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59E54" w14:textId="77777777" w:rsidR="00860708" w:rsidRDefault="00860708" w:rsidP="005B0AA3">
      <w:pPr>
        <w:numPr>
          <w:ilvl w:val="1"/>
          <w:numId w:val="0"/>
        </w:numPr>
        <w:contextualSpacing/>
        <w:jc w:val="center"/>
        <w:rPr>
          <w:rFonts w:eastAsiaTheme="majorEastAsia" w:cstheme="majorBidi"/>
          <w:b/>
          <w:iCs/>
          <w:color w:val="2E74B5" w:themeColor="accent1" w:themeShade="BF"/>
          <w:spacing w:val="15"/>
          <w:sz w:val="32"/>
          <w:szCs w:val="32"/>
        </w:rPr>
      </w:pPr>
    </w:p>
    <w:p w14:paraId="585C00A4" w14:textId="3047E2DA" w:rsidR="005B0AA3" w:rsidRPr="007C5F5C" w:rsidRDefault="005B0AA3" w:rsidP="005B0AA3">
      <w:pPr>
        <w:numPr>
          <w:ilvl w:val="1"/>
          <w:numId w:val="0"/>
        </w:numPr>
        <w:contextualSpacing/>
        <w:jc w:val="center"/>
        <w:rPr>
          <w:rFonts w:eastAsiaTheme="majorEastAsia" w:cstheme="majorBidi"/>
          <w:b/>
          <w:iCs/>
          <w:color w:val="2E74B5" w:themeColor="accent1" w:themeShade="BF"/>
          <w:spacing w:val="15"/>
          <w:sz w:val="36"/>
          <w:szCs w:val="36"/>
        </w:rPr>
      </w:pPr>
      <w:r w:rsidRPr="007C5F5C">
        <w:rPr>
          <w:rFonts w:eastAsiaTheme="majorEastAsia" w:cstheme="majorBidi"/>
          <w:b/>
          <w:iCs/>
          <w:color w:val="2E74B5" w:themeColor="accent1" w:themeShade="BF"/>
          <w:spacing w:val="15"/>
          <w:sz w:val="36"/>
          <w:szCs w:val="36"/>
        </w:rPr>
        <w:t xml:space="preserve">Commonwealth Environmental </w:t>
      </w:r>
      <w:r w:rsidR="00EC4D89" w:rsidRPr="007C5F5C">
        <w:rPr>
          <w:rFonts w:eastAsiaTheme="majorEastAsia" w:cstheme="majorBidi"/>
          <w:b/>
          <w:iCs/>
          <w:color w:val="2E74B5" w:themeColor="accent1" w:themeShade="BF"/>
          <w:spacing w:val="15"/>
          <w:sz w:val="36"/>
          <w:szCs w:val="36"/>
        </w:rPr>
        <w:t xml:space="preserve">Water </w:t>
      </w:r>
      <w:r w:rsidR="00562E5A" w:rsidRPr="007C5F5C">
        <w:rPr>
          <w:rFonts w:eastAsiaTheme="majorEastAsia" w:cstheme="majorBidi"/>
          <w:b/>
          <w:iCs/>
          <w:color w:val="2E74B5" w:themeColor="accent1" w:themeShade="BF"/>
          <w:spacing w:val="15"/>
          <w:sz w:val="36"/>
          <w:szCs w:val="36"/>
        </w:rPr>
        <w:t>Holder</w:t>
      </w:r>
      <w:r w:rsidR="006E45CD">
        <w:rPr>
          <w:rFonts w:eastAsiaTheme="majorEastAsia" w:cstheme="majorBidi"/>
          <w:b/>
          <w:iCs/>
          <w:color w:val="2E74B5" w:themeColor="accent1" w:themeShade="BF"/>
          <w:spacing w:val="15"/>
          <w:sz w:val="36"/>
          <w:szCs w:val="36"/>
        </w:rPr>
        <w:t>’s</w:t>
      </w:r>
      <w:r w:rsidR="00EC4D89" w:rsidRPr="007C5F5C">
        <w:rPr>
          <w:rFonts w:eastAsiaTheme="majorEastAsia" w:cstheme="majorBidi"/>
          <w:b/>
          <w:iCs/>
          <w:color w:val="2E74B5" w:themeColor="accent1" w:themeShade="BF"/>
          <w:spacing w:val="15"/>
          <w:sz w:val="36"/>
          <w:szCs w:val="36"/>
        </w:rPr>
        <w:t xml:space="preserve"> </w:t>
      </w:r>
      <w:r w:rsidR="00636414">
        <w:rPr>
          <w:rFonts w:eastAsiaTheme="majorEastAsia" w:cstheme="majorBidi"/>
          <w:b/>
          <w:iCs/>
          <w:color w:val="2E74B5" w:themeColor="accent1" w:themeShade="BF"/>
          <w:spacing w:val="15"/>
          <w:sz w:val="36"/>
          <w:szCs w:val="36"/>
        </w:rPr>
        <w:t>Flow</w:t>
      </w:r>
      <w:r w:rsidR="006E45CD">
        <w:rPr>
          <w:rFonts w:eastAsiaTheme="majorEastAsia" w:cstheme="majorBidi"/>
          <w:b/>
          <w:iCs/>
          <w:color w:val="2E74B5" w:themeColor="accent1" w:themeShade="BF"/>
          <w:spacing w:val="15"/>
          <w:sz w:val="36"/>
          <w:szCs w:val="36"/>
        </w:rPr>
        <w:t xml:space="preserve"> </w:t>
      </w:r>
      <w:r w:rsidR="00EC4D89" w:rsidRPr="007C5F5C">
        <w:rPr>
          <w:rFonts w:eastAsiaTheme="majorEastAsia" w:cstheme="majorBidi"/>
          <w:b/>
          <w:iCs/>
          <w:color w:val="2E74B5" w:themeColor="accent1" w:themeShade="BF"/>
          <w:spacing w:val="15"/>
          <w:sz w:val="36"/>
          <w:szCs w:val="36"/>
        </w:rPr>
        <w:t>Monitoring, Evaluation and Research Project</w:t>
      </w:r>
      <w:r w:rsidR="007C5F5C" w:rsidRPr="007C5F5C">
        <w:rPr>
          <w:rFonts w:eastAsiaTheme="majorEastAsia" w:cstheme="majorBidi"/>
          <w:b/>
          <w:iCs/>
          <w:color w:val="2E74B5" w:themeColor="accent1" w:themeShade="BF"/>
          <w:spacing w:val="15"/>
          <w:sz w:val="36"/>
          <w:szCs w:val="36"/>
        </w:rPr>
        <w:t xml:space="preserve"> 2019–2024</w:t>
      </w:r>
      <w:r w:rsidR="00541E7C" w:rsidRPr="007C5F5C">
        <w:rPr>
          <w:rFonts w:eastAsiaTheme="majorEastAsia" w:cstheme="majorBidi"/>
          <w:b/>
          <w:iCs/>
          <w:color w:val="2E74B5" w:themeColor="accent1" w:themeShade="BF"/>
          <w:spacing w:val="15"/>
          <w:sz w:val="36"/>
          <w:szCs w:val="36"/>
        </w:rPr>
        <w:t>:</w:t>
      </w:r>
    </w:p>
    <w:p w14:paraId="5C916DB7" w14:textId="3392B867" w:rsidR="005B0AA3" w:rsidRPr="007C5F5C" w:rsidRDefault="00DE3CF4" w:rsidP="005B0AA3">
      <w:pPr>
        <w:numPr>
          <w:ilvl w:val="1"/>
          <w:numId w:val="0"/>
        </w:numPr>
        <w:contextualSpacing/>
        <w:jc w:val="center"/>
        <w:rPr>
          <w:rFonts w:eastAsiaTheme="majorEastAsia" w:cstheme="majorBidi"/>
          <w:iCs/>
          <w:color w:val="2E74B5" w:themeColor="accent1" w:themeShade="BF"/>
          <w:spacing w:val="15"/>
          <w:sz w:val="36"/>
          <w:szCs w:val="36"/>
        </w:rPr>
      </w:pPr>
      <w:r w:rsidRPr="007C5F5C">
        <w:rPr>
          <w:rFonts w:eastAsiaTheme="majorEastAsia" w:cstheme="majorBidi"/>
          <w:iCs/>
          <w:color w:val="2E74B5" w:themeColor="accent1" w:themeShade="BF"/>
          <w:spacing w:val="15"/>
          <w:sz w:val="36"/>
          <w:szCs w:val="36"/>
        </w:rPr>
        <w:t>Lower Murray</w:t>
      </w:r>
    </w:p>
    <w:p w14:paraId="522AF306" w14:textId="6C2C8F52" w:rsidR="005B0AA3" w:rsidRPr="007C5F5C" w:rsidRDefault="005B0AA3" w:rsidP="005B0AA3">
      <w:pPr>
        <w:numPr>
          <w:ilvl w:val="1"/>
          <w:numId w:val="0"/>
        </w:numPr>
        <w:contextualSpacing/>
        <w:jc w:val="center"/>
        <w:rPr>
          <w:rFonts w:eastAsiaTheme="majorEastAsia" w:cstheme="majorBidi"/>
          <w:iCs/>
          <w:color w:val="2E74B5" w:themeColor="accent1" w:themeShade="BF"/>
          <w:spacing w:val="15"/>
          <w:sz w:val="36"/>
          <w:szCs w:val="36"/>
        </w:rPr>
      </w:pPr>
      <w:r w:rsidRPr="007C5F5C">
        <w:rPr>
          <w:rFonts w:eastAsiaTheme="majorEastAsia" w:cstheme="majorBidi"/>
          <w:iCs/>
          <w:color w:val="2E74B5" w:themeColor="accent1" w:themeShade="BF"/>
          <w:spacing w:val="15"/>
          <w:sz w:val="36"/>
          <w:szCs w:val="36"/>
        </w:rPr>
        <w:t>Technical Report</w:t>
      </w:r>
      <w:r w:rsidR="00EC4D89" w:rsidRPr="007C5F5C">
        <w:rPr>
          <w:rFonts w:eastAsiaTheme="majorEastAsia" w:cstheme="majorBidi"/>
          <w:iCs/>
          <w:color w:val="2E74B5" w:themeColor="accent1" w:themeShade="BF"/>
          <w:spacing w:val="15"/>
          <w:sz w:val="36"/>
          <w:szCs w:val="36"/>
        </w:rPr>
        <w:t xml:space="preserve"> </w:t>
      </w:r>
    </w:p>
    <w:p w14:paraId="7A551D0F" w14:textId="56C7AF00" w:rsidR="00755BBC" w:rsidRPr="00B3181F" w:rsidRDefault="00755BBC" w:rsidP="005B0AA3">
      <w:pPr>
        <w:contextualSpacing/>
        <w:jc w:val="center"/>
        <w:rPr>
          <w:rFonts w:cs="Arial"/>
          <w:color w:val="44546A" w:themeColor="text2"/>
          <w:sz w:val="6"/>
          <w:szCs w:val="2"/>
        </w:rPr>
      </w:pPr>
    </w:p>
    <w:p w14:paraId="459167AB" w14:textId="77777777" w:rsidR="00B3181F" w:rsidRPr="00A67C76" w:rsidRDefault="00B3181F" w:rsidP="005B0AA3">
      <w:pPr>
        <w:contextualSpacing/>
        <w:jc w:val="center"/>
        <w:rPr>
          <w:rFonts w:cs="Arial"/>
          <w:color w:val="44546A" w:themeColor="text2"/>
          <w:sz w:val="24"/>
        </w:rPr>
      </w:pPr>
    </w:p>
    <w:p w14:paraId="3D491A9A" w14:textId="4FE1B8C1" w:rsidR="00BE6D9A" w:rsidRDefault="00BE6D9A" w:rsidP="00BE6D9A">
      <w:pPr>
        <w:contextualSpacing/>
        <w:jc w:val="center"/>
        <w:rPr>
          <w:rFonts w:cs="Arial"/>
          <w:color w:val="000000" w:themeColor="text1"/>
          <w:sz w:val="22"/>
          <w:szCs w:val="22"/>
        </w:rPr>
      </w:pPr>
      <w:r w:rsidRPr="0089667B">
        <w:rPr>
          <w:rFonts w:cs="Arial"/>
          <w:color w:val="000000" w:themeColor="text1"/>
          <w:sz w:val="22"/>
          <w:szCs w:val="22"/>
        </w:rPr>
        <w:t>A report</w:t>
      </w:r>
      <w:r w:rsidRPr="002A3CE7">
        <w:rPr>
          <w:rFonts w:cs="Arial"/>
          <w:color w:val="000000" w:themeColor="text1"/>
          <w:sz w:val="22"/>
          <w:szCs w:val="22"/>
        </w:rPr>
        <w:t xml:space="preserve"> prepared for the Commonwealth Environmental Water </w:t>
      </w:r>
      <w:r w:rsidR="00562E5A">
        <w:rPr>
          <w:rFonts w:cs="Arial"/>
          <w:color w:val="000000" w:themeColor="text1"/>
          <w:sz w:val="22"/>
          <w:szCs w:val="22"/>
        </w:rPr>
        <w:t>Holder</w:t>
      </w:r>
      <w:r w:rsidRPr="002A3CE7">
        <w:rPr>
          <w:rFonts w:cs="Arial"/>
          <w:color w:val="000000" w:themeColor="text1"/>
          <w:sz w:val="22"/>
          <w:szCs w:val="22"/>
        </w:rPr>
        <w:t xml:space="preserve"> by the South Australian </w:t>
      </w:r>
      <w:r w:rsidRPr="00755BBC">
        <w:rPr>
          <w:rFonts w:cs="Arial"/>
          <w:color w:val="000000" w:themeColor="text1"/>
          <w:sz w:val="22"/>
          <w:szCs w:val="22"/>
        </w:rPr>
        <w:t xml:space="preserve">Research and Development Institute, Aquatic </w:t>
      </w:r>
      <w:r w:rsidR="00AE217B">
        <w:rPr>
          <w:rFonts w:cs="Arial"/>
          <w:color w:val="000000" w:themeColor="text1"/>
          <w:sz w:val="22"/>
          <w:szCs w:val="22"/>
        </w:rPr>
        <w:t xml:space="preserve">and Livestock </w:t>
      </w:r>
      <w:r w:rsidRPr="00755BBC">
        <w:rPr>
          <w:rFonts w:cs="Arial"/>
          <w:color w:val="000000" w:themeColor="text1"/>
          <w:sz w:val="22"/>
          <w:szCs w:val="22"/>
        </w:rPr>
        <w:t>Science</w:t>
      </w:r>
      <w:r w:rsidR="00FC1C1D">
        <w:rPr>
          <w:rFonts w:cs="Arial"/>
          <w:color w:val="000000" w:themeColor="text1"/>
          <w:sz w:val="22"/>
          <w:szCs w:val="22"/>
        </w:rPr>
        <w:t>s</w:t>
      </w:r>
    </w:p>
    <w:p w14:paraId="5756C838" w14:textId="77777777" w:rsidR="00D82DC1" w:rsidRDefault="00D82DC1" w:rsidP="00BE6D9A">
      <w:pPr>
        <w:contextualSpacing/>
        <w:jc w:val="center"/>
        <w:rPr>
          <w:rFonts w:cs="Arial"/>
          <w:color w:val="000000" w:themeColor="text1"/>
          <w:sz w:val="22"/>
          <w:szCs w:val="22"/>
        </w:rPr>
      </w:pPr>
    </w:p>
    <w:p w14:paraId="603F5E3A" w14:textId="6FB92F3F" w:rsidR="006D4CE9" w:rsidRPr="00860708" w:rsidRDefault="00615114" w:rsidP="00A340A8">
      <w:pPr>
        <w:contextualSpacing/>
        <w:rPr>
          <w:rFonts w:cs="Arial"/>
          <w:color w:val="000000" w:themeColor="text1"/>
          <w:sz w:val="22"/>
          <w:szCs w:val="22"/>
        </w:rPr>
      </w:pPr>
      <w:r>
        <w:rPr>
          <w:noProof/>
        </w:rPr>
        <w:drawing>
          <wp:anchor distT="0" distB="0" distL="114300" distR="114300" simplePos="0" relativeHeight="251658244" behindDoc="0" locked="0" layoutInCell="1" allowOverlap="1" wp14:anchorId="0CD22232" wp14:editId="1965DB75">
            <wp:simplePos x="0" y="0"/>
            <wp:positionH relativeFrom="column">
              <wp:posOffset>-186690</wp:posOffset>
            </wp:positionH>
            <wp:positionV relativeFrom="paragraph">
              <wp:posOffset>201295</wp:posOffset>
            </wp:positionV>
            <wp:extent cx="6195060" cy="4057015"/>
            <wp:effectExtent l="0" t="0" r="0" b="635"/>
            <wp:wrapThrough wrapText="bothSides">
              <wp:wrapPolygon edited="0">
                <wp:start x="332" y="0"/>
                <wp:lineTo x="66" y="507"/>
                <wp:lineTo x="0" y="811"/>
                <wp:lineTo x="0" y="20386"/>
                <wp:lineTo x="66" y="21198"/>
                <wp:lineTo x="332" y="21502"/>
                <wp:lineTo x="21188" y="21502"/>
                <wp:lineTo x="21454" y="21198"/>
                <wp:lineTo x="21520" y="20386"/>
                <wp:lineTo x="21520" y="811"/>
                <wp:lineTo x="21454" y="507"/>
                <wp:lineTo x="21188" y="0"/>
                <wp:lineTo x="332" y="0"/>
              </wp:wrapPolygon>
            </wp:wrapThrough>
            <wp:docPr id="714150310" name="Picture 714150310" descr="Image of the Murray River with limestone cliff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150310" name="Picture 714150310" descr="Image of the Murray River with limestone cliffs in the backgroun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95060" cy="4057015"/>
                    </a:xfrm>
                    <a:prstGeom prst="rect">
                      <a:avLst/>
                    </a:prstGeom>
                    <a:noFill/>
                    <a:ln>
                      <a:noFill/>
                    </a:ln>
                    <a:effectLst>
                      <a:softEdge rad="139700"/>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0" layoutInCell="1" allowOverlap="1" wp14:anchorId="04D1CD7E" wp14:editId="5E42BA6B">
            <wp:simplePos x="0" y="0"/>
            <wp:positionH relativeFrom="column">
              <wp:posOffset>2650119</wp:posOffset>
            </wp:positionH>
            <wp:positionV relativeFrom="paragraph">
              <wp:posOffset>1679575</wp:posOffset>
            </wp:positionV>
            <wp:extent cx="3250565" cy="2402840"/>
            <wp:effectExtent l="0" t="0" r="6985" b="0"/>
            <wp:wrapNone/>
            <wp:docPr id="714150312" name="Picture 714150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33468" b="49987"/>
                    <a:stretch/>
                  </pic:blipFill>
                  <pic:spPr bwMode="auto">
                    <a:xfrm>
                      <a:off x="0" y="0"/>
                      <a:ext cx="3250565" cy="24028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65DF33" w14:textId="7424F078" w:rsidR="00755BBC" w:rsidRPr="00755BBC" w:rsidRDefault="00755BBC" w:rsidP="005B0AA3">
      <w:pPr>
        <w:tabs>
          <w:tab w:val="center" w:pos="4510"/>
          <w:tab w:val="left" w:pos="6205"/>
        </w:tabs>
        <w:contextualSpacing/>
        <w:jc w:val="center"/>
        <w:rPr>
          <w:noProof/>
          <w:lang w:eastAsia="en-AU"/>
        </w:rPr>
      </w:pPr>
    </w:p>
    <w:p w14:paraId="11EFEE8F" w14:textId="48D1B439" w:rsidR="00F91267" w:rsidRDefault="00BE1748" w:rsidP="005B0AA3">
      <w:pPr>
        <w:tabs>
          <w:tab w:val="center" w:pos="4510"/>
          <w:tab w:val="left" w:pos="6205"/>
        </w:tabs>
        <w:contextualSpacing/>
        <w:jc w:val="center"/>
        <w:rPr>
          <w:color w:val="000000" w:themeColor="text1"/>
          <w:sz w:val="24"/>
          <w:szCs w:val="24"/>
        </w:rPr>
      </w:pPr>
      <w:r>
        <w:rPr>
          <w:color w:val="000000" w:themeColor="text1"/>
          <w:sz w:val="24"/>
          <w:szCs w:val="24"/>
        </w:rPr>
        <w:t>September</w:t>
      </w:r>
      <w:r w:rsidR="00A31912" w:rsidRPr="00651FCC">
        <w:rPr>
          <w:color w:val="000000" w:themeColor="text1"/>
          <w:sz w:val="24"/>
          <w:szCs w:val="24"/>
        </w:rPr>
        <w:t xml:space="preserve"> 20</w:t>
      </w:r>
      <w:r w:rsidR="007D7E1E" w:rsidRPr="00651FCC">
        <w:rPr>
          <w:color w:val="000000" w:themeColor="text1"/>
          <w:sz w:val="24"/>
          <w:szCs w:val="24"/>
        </w:rPr>
        <w:t>2</w:t>
      </w:r>
      <w:r w:rsidR="005D34BC" w:rsidRPr="00651FCC">
        <w:rPr>
          <w:color w:val="000000" w:themeColor="text1"/>
          <w:sz w:val="24"/>
          <w:szCs w:val="24"/>
        </w:rPr>
        <w:t>5</w:t>
      </w:r>
    </w:p>
    <w:p w14:paraId="3BE1D609" w14:textId="35B3C8C7" w:rsidR="005B0AA3" w:rsidRPr="00630FB0" w:rsidRDefault="00F91267" w:rsidP="005B0AA3">
      <w:pPr>
        <w:tabs>
          <w:tab w:val="center" w:pos="4510"/>
          <w:tab w:val="left" w:pos="6205"/>
        </w:tabs>
        <w:contextualSpacing/>
        <w:jc w:val="center"/>
        <w:rPr>
          <w:rFonts w:cs="Arial"/>
          <w:bCs/>
          <w:i/>
          <w:color w:val="002060"/>
          <w:spacing w:val="40"/>
          <w:sz w:val="24"/>
          <w:szCs w:val="24"/>
          <w:lang w:eastAsia="en-AU"/>
        </w:rPr>
      </w:pPr>
      <w:r>
        <w:rPr>
          <w:noProof/>
        </w:rPr>
        <w:drawing>
          <wp:anchor distT="0" distB="0" distL="114300" distR="114300" simplePos="0" relativeHeight="251658241" behindDoc="0" locked="0" layoutInCell="1" allowOverlap="1" wp14:anchorId="1285BA37" wp14:editId="01B1FD32">
            <wp:simplePos x="0" y="0"/>
            <wp:positionH relativeFrom="column">
              <wp:posOffset>4465320</wp:posOffset>
            </wp:positionH>
            <wp:positionV relativeFrom="paragraph">
              <wp:posOffset>12700</wp:posOffset>
            </wp:positionV>
            <wp:extent cx="1552463" cy="1000125"/>
            <wp:effectExtent l="0" t="0" r="0" b="0"/>
            <wp:wrapNone/>
            <wp:docPr id="23"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59">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52463" cy="1000125"/>
                    </a:xfrm>
                    <a:prstGeom prst="rect">
                      <a:avLst/>
                    </a:prstGeom>
                    <a:noFill/>
                    <a:ln>
                      <a:noFill/>
                    </a:ln>
                  </pic:spPr>
                </pic:pic>
              </a:graphicData>
            </a:graphic>
          </wp:anchor>
        </w:drawing>
      </w:r>
      <w:r w:rsidR="005B0AA3" w:rsidRPr="00630FB0">
        <w:rPr>
          <w:i/>
          <w:color w:val="002060"/>
          <w:sz w:val="24"/>
          <w:szCs w:val="24"/>
        </w:rPr>
        <w:br w:type="page"/>
      </w:r>
    </w:p>
    <w:p w14:paraId="61DCE51E" w14:textId="7787E948" w:rsidR="005B0AA3" w:rsidRPr="001F65AB" w:rsidRDefault="005B0AA3" w:rsidP="00BE0564">
      <w:pPr>
        <w:spacing w:line="240" w:lineRule="auto"/>
        <w:rPr>
          <w:rFonts w:cs="Arial"/>
          <w:b/>
          <w:bCs/>
          <w:color w:val="355F91"/>
          <w:szCs w:val="22"/>
        </w:rPr>
      </w:pPr>
      <w:r w:rsidRPr="007E678C">
        <w:rPr>
          <w:rFonts w:cs="Arial"/>
          <w:b/>
          <w:bCs/>
          <w:color w:val="355F91"/>
          <w:szCs w:val="22"/>
        </w:rPr>
        <w:lastRenderedPageBreak/>
        <w:t>Ye, Q.</w:t>
      </w:r>
      <w:r w:rsidRPr="007E678C">
        <w:rPr>
          <w:rFonts w:cs="Arial"/>
          <w:b/>
          <w:bCs/>
          <w:color w:val="355F91"/>
          <w:szCs w:val="22"/>
          <w:vertAlign w:val="superscript"/>
        </w:rPr>
        <w:t>1</w:t>
      </w:r>
      <w:r w:rsidRPr="007E678C">
        <w:rPr>
          <w:rFonts w:cs="Arial"/>
          <w:b/>
          <w:bCs/>
          <w:color w:val="355F91"/>
          <w:szCs w:val="22"/>
        </w:rPr>
        <w:t>, Giatas, G.</w:t>
      </w:r>
      <w:r w:rsidRPr="007E678C">
        <w:rPr>
          <w:rFonts w:cs="Arial"/>
          <w:b/>
          <w:bCs/>
          <w:color w:val="355F91"/>
          <w:szCs w:val="22"/>
          <w:vertAlign w:val="superscript"/>
        </w:rPr>
        <w:t>1</w:t>
      </w:r>
      <w:r w:rsidRPr="007E678C">
        <w:rPr>
          <w:rFonts w:cs="Arial"/>
          <w:b/>
          <w:bCs/>
          <w:color w:val="355F91"/>
          <w:szCs w:val="22"/>
        </w:rPr>
        <w:t xml:space="preserve">, </w:t>
      </w:r>
      <w:r w:rsidR="00906BCD" w:rsidRPr="007E678C">
        <w:rPr>
          <w:rFonts w:cs="Arial"/>
          <w:b/>
          <w:bCs/>
          <w:color w:val="355F91"/>
          <w:szCs w:val="22"/>
        </w:rPr>
        <w:t>Bice, C.</w:t>
      </w:r>
      <w:r w:rsidR="00906BCD" w:rsidRPr="007E678C">
        <w:rPr>
          <w:rFonts w:cs="Arial"/>
          <w:b/>
          <w:bCs/>
          <w:color w:val="355F91"/>
          <w:szCs w:val="22"/>
          <w:vertAlign w:val="superscript"/>
        </w:rPr>
        <w:t>1</w:t>
      </w:r>
      <w:r w:rsidR="00906BCD" w:rsidRPr="007E678C">
        <w:rPr>
          <w:rFonts w:cs="Arial"/>
          <w:b/>
          <w:bCs/>
          <w:color w:val="355F91"/>
          <w:szCs w:val="22"/>
        </w:rPr>
        <w:t xml:space="preserve">, </w:t>
      </w:r>
      <w:r w:rsidR="002B4901" w:rsidRPr="007E678C">
        <w:rPr>
          <w:rFonts w:cs="Arial"/>
          <w:b/>
          <w:bCs/>
          <w:color w:val="355F91"/>
          <w:szCs w:val="22"/>
        </w:rPr>
        <w:t>Brookes, J.</w:t>
      </w:r>
      <w:r w:rsidR="002B4901" w:rsidRPr="007E678C">
        <w:rPr>
          <w:rFonts w:cs="Arial"/>
          <w:b/>
          <w:bCs/>
          <w:color w:val="355F91"/>
          <w:szCs w:val="22"/>
          <w:vertAlign w:val="superscript"/>
        </w:rPr>
        <w:t>2</w:t>
      </w:r>
      <w:r w:rsidRPr="007E678C">
        <w:rPr>
          <w:rFonts w:cs="Arial"/>
          <w:b/>
          <w:bCs/>
          <w:color w:val="355F91"/>
          <w:szCs w:val="22"/>
        </w:rPr>
        <w:t xml:space="preserve">, </w:t>
      </w:r>
      <w:r w:rsidR="00CC1E80" w:rsidRPr="007E678C">
        <w:rPr>
          <w:rFonts w:cs="Arial"/>
          <w:b/>
          <w:bCs/>
          <w:color w:val="355F91"/>
          <w:szCs w:val="22"/>
        </w:rPr>
        <w:t>Furst, D.</w:t>
      </w:r>
      <w:r w:rsidR="00CC1E80" w:rsidRPr="007E678C">
        <w:rPr>
          <w:rFonts w:cs="Arial"/>
          <w:b/>
          <w:bCs/>
          <w:color w:val="355F91"/>
          <w:szCs w:val="22"/>
          <w:vertAlign w:val="superscript"/>
        </w:rPr>
        <w:t xml:space="preserve"> 2</w:t>
      </w:r>
      <w:r w:rsidR="00CC1E80" w:rsidRPr="007E678C">
        <w:rPr>
          <w:rFonts w:cs="Arial"/>
          <w:b/>
          <w:bCs/>
          <w:color w:val="355F91"/>
          <w:szCs w:val="22"/>
        </w:rPr>
        <w:t xml:space="preserve">, </w:t>
      </w:r>
      <w:r w:rsidR="009B2F8D" w:rsidRPr="007E678C">
        <w:rPr>
          <w:rFonts w:cs="Arial"/>
          <w:b/>
          <w:bCs/>
          <w:color w:val="355F91"/>
          <w:szCs w:val="22"/>
        </w:rPr>
        <w:t>Gibbs, M.</w:t>
      </w:r>
      <w:r w:rsidR="009B2F8D" w:rsidRPr="007E678C">
        <w:rPr>
          <w:rFonts w:cs="Arial"/>
          <w:b/>
          <w:bCs/>
          <w:color w:val="355F91"/>
          <w:szCs w:val="22"/>
          <w:vertAlign w:val="superscript"/>
        </w:rPr>
        <w:t>4</w:t>
      </w:r>
      <w:r w:rsidR="009B2F8D" w:rsidRPr="007E678C">
        <w:rPr>
          <w:rFonts w:cs="Arial"/>
          <w:b/>
          <w:bCs/>
          <w:color w:val="355F91"/>
          <w:szCs w:val="22"/>
        </w:rPr>
        <w:t xml:space="preserve">, </w:t>
      </w:r>
      <w:r w:rsidR="00906BCD" w:rsidRPr="007E678C">
        <w:rPr>
          <w:rFonts w:cs="Arial"/>
          <w:b/>
          <w:bCs/>
          <w:color w:val="355F91"/>
          <w:szCs w:val="22"/>
        </w:rPr>
        <w:t>Nicol, J.</w:t>
      </w:r>
      <w:r w:rsidR="00906BCD" w:rsidRPr="007E678C">
        <w:rPr>
          <w:rFonts w:cs="Arial"/>
          <w:b/>
          <w:bCs/>
          <w:color w:val="355F91"/>
          <w:szCs w:val="22"/>
          <w:vertAlign w:val="superscript"/>
        </w:rPr>
        <w:t>1</w:t>
      </w:r>
      <w:r w:rsidR="00906BCD" w:rsidRPr="007E678C">
        <w:rPr>
          <w:rFonts w:cs="Arial"/>
          <w:b/>
          <w:bCs/>
          <w:color w:val="355F91"/>
          <w:szCs w:val="22"/>
        </w:rPr>
        <w:t>,</w:t>
      </w:r>
      <w:r w:rsidR="00CB5E0F" w:rsidRPr="007E678C">
        <w:rPr>
          <w:rFonts w:cs="Arial"/>
          <w:b/>
          <w:bCs/>
          <w:color w:val="355F91"/>
          <w:szCs w:val="22"/>
        </w:rPr>
        <w:t xml:space="preserve"> </w:t>
      </w:r>
      <w:r w:rsidR="002B4901" w:rsidRPr="007E678C">
        <w:rPr>
          <w:rFonts w:cs="Arial"/>
          <w:b/>
          <w:bCs/>
          <w:color w:val="355F91"/>
          <w:szCs w:val="22"/>
        </w:rPr>
        <w:t>Oliver, R.</w:t>
      </w:r>
      <w:r w:rsidR="002B4901" w:rsidRPr="007E678C">
        <w:rPr>
          <w:rFonts w:cs="Arial"/>
          <w:b/>
          <w:bCs/>
          <w:color w:val="355F91"/>
          <w:szCs w:val="22"/>
          <w:vertAlign w:val="superscript"/>
        </w:rPr>
        <w:t>2</w:t>
      </w:r>
      <w:r w:rsidR="002B4901" w:rsidRPr="007E678C">
        <w:rPr>
          <w:rFonts w:cs="Arial"/>
          <w:b/>
          <w:bCs/>
          <w:color w:val="355F91"/>
          <w:szCs w:val="22"/>
        </w:rPr>
        <w:t>, Zampatti, B.</w:t>
      </w:r>
      <w:r w:rsidR="007A7858" w:rsidRPr="007E678C">
        <w:rPr>
          <w:rFonts w:cs="Arial"/>
          <w:b/>
          <w:bCs/>
          <w:color w:val="355F91"/>
          <w:szCs w:val="22"/>
          <w:vertAlign w:val="superscript"/>
        </w:rPr>
        <w:t>4</w:t>
      </w:r>
      <w:r w:rsidR="002B4901" w:rsidRPr="007E678C">
        <w:rPr>
          <w:rFonts w:cs="Arial"/>
          <w:b/>
          <w:bCs/>
          <w:color w:val="355F91"/>
          <w:szCs w:val="22"/>
        </w:rPr>
        <w:t>, Bucater, L.</w:t>
      </w:r>
      <w:r w:rsidR="002B4901" w:rsidRPr="007E678C">
        <w:rPr>
          <w:rFonts w:cs="Arial"/>
          <w:b/>
          <w:bCs/>
          <w:color w:val="355F91"/>
          <w:szCs w:val="22"/>
          <w:vertAlign w:val="superscript"/>
        </w:rPr>
        <w:t>1</w:t>
      </w:r>
      <w:r w:rsidR="002B4901" w:rsidRPr="007E678C">
        <w:rPr>
          <w:rFonts w:cs="Arial"/>
          <w:b/>
          <w:bCs/>
          <w:color w:val="355F91"/>
          <w:szCs w:val="22"/>
        </w:rPr>
        <w:t xml:space="preserve">, </w:t>
      </w:r>
      <w:r w:rsidR="006C4E7D" w:rsidRPr="007E678C">
        <w:rPr>
          <w:rFonts w:cs="Arial"/>
          <w:b/>
          <w:bCs/>
          <w:color w:val="355F91"/>
          <w:szCs w:val="22"/>
        </w:rPr>
        <w:t>Deane, D.</w:t>
      </w:r>
      <w:r w:rsidR="006C4E7D" w:rsidRPr="007E678C">
        <w:rPr>
          <w:rFonts w:cs="Arial"/>
          <w:b/>
          <w:bCs/>
          <w:color w:val="355F91"/>
          <w:szCs w:val="22"/>
          <w:vertAlign w:val="superscript"/>
        </w:rPr>
        <w:t>2</w:t>
      </w:r>
      <w:r w:rsidR="006C4E7D" w:rsidRPr="007E678C">
        <w:rPr>
          <w:rFonts w:cs="Arial"/>
          <w:b/>
          <w:bCs/>
          <w:color w:val="355F91"/>
          <w:szCs w:val="22"/>
        </w:rPr>
        <w:t>,</w:t>
      </w:r>
      <w:r w:rsidR="00F5549B">
        <w:rPr>
          <w:rFonts w:cs="Arial"/>
          <w:b/>
          <w:bCs/>
          <w:color w:val="355F91"/>
          <w:szCs w:val="22"/>
        </w:rPr>
        <w:t xml:space="preserve"> Frahn, K.</w:t>
      </w:r>
      <w:r w:rsidR="00F5549B" w:rsidRPr="00F5549B">
        <w:rPr>
          <w:rFonts w:cs="Arial"/>
          <w:b/>
          <w:bCs/>
          <w:color w:val="355F91"/>
          <w:szCs w:val="22"/>
          <w:vertAlign w:val="superscript"/>
        </w:rPr>
        <w:t>1</w:t>
      </w:r>
      <w:r w:rsidR="00F5549B">
        <w:rPr>
          <w:rFonts w:cs="Arial"/>
          <w:b/>
          <w:bCs/>
          <w:color w:val="355F91"/>
          <w:szCs w:val="22"/>
        </w:rPr>
        <w:t xml:space="preserve">, </w:t>
      </w:r>
      <w:r w:rsidRPr="007E678C">
        <w:rPr>
          <w:rFonts w:cs="Arial"/>
          <w:b/>
          <w:bCs/>
          <w:color w:val="355F91"/>
          <w:szCs w:val="22"/>
        </w:rPr>
        <w:t>Hipsey, M.</w:t>
      </w:r>
      <w:r w:rsidR="001229D2" w:rsidRPr="007E678C">
        <w:rPr>
          <w:rFonts w:cs="Arial"/>
          <w:b/>
          <w:bCs/>
          <w:color w:val="355F91"/>
          <w:szCs w:val="22"/>
          <w:vertAlign w:val="superscript"/>
        </w:rPr>
        <w:t>6</w:t>
      </w:r>
      <w:r w:rsidR="0097724B" w:rsidRPr="007E678C">
        <w:rPr>
          <w:rFonts w:cs="Arial"/>
          <w:b/>
          <w:bCs/>
          <w:color w:val="355F91"/>
          <w:szCs w:val="22"/>
        </w:rPr>
        <w:t xml:space="preserve">, </w:t>
      </w:r>
      <w:r w:rsidR="00BE0564" w:rsidRPr="007E678C">
        <w:rPr>
          <w:rFonts w:cs="Arial"/>
          <w:b/>
          <w:bCs/>
          <w:color w:val="355F91"/>
          <w:szCs w:val="22"/>
        </w:rPr>
        <w:t>Huang, P.</w:t>
      </w:r>
      <w:r w:rsidR="00BE0564" w:rsidRPr="007E678C">
        <w:rPr>
          <w:rFonts w:cs="Arial Bold"/>
          <w:b/>
          <w:bCs/>
          <w:color w:val="355F91"/>
          <w:szCs w:val="22"/>
          <w:vertAlign w:val="superscript"/>
        </w:rPr>
        <w:t>6</w:t>
      </w:r>
      <w:r w:rsidR="00BE0564" w:rsidRPr="007E678C">
        <w:rPr>
          <w:rFonts w:cs="Arial"/>
          <w:b/>
          <w:bCs/>
          <w:color w:val="355F91"/>
          <w:szCs w:val="22"/>
        </w:rPr>
        <w:t xml:space="preserve">, </w:t>
      </w:r>
      <w:r w:rsidRPr="007E678C">
        <w:rPr>
          <w:rFonts w:cs="Arial"/>
          <w:b/>
          <w:bCs/>
          <w:color w:val="355F91"/>
          <w:szCs w:val="22"/>
        </w:rPr>
        <w:t>Lorenz, Z.</w:t>
      </w:r>
      <w:r w:rsidRPr="007E678C">
        <w:rPr>
          <w:rFonts w:cs="Arial"/>
          <w:b/>
          <w:bCs/>
          <w:color w:val="355F91"/>
          <w:szCs w:val="22"/>
          <w:vertAlign w:val="superscript"/>
        </w:rPr>
        <w:t>2</w:t>
      </w:r>
      <w:r w:rsidR="007A7858" w:rsidRPr="007E678C">
        <w:rPr>
          <w:rFonts w:cs="Arial"/>
          <w:b/>
          <w:bCs/>
          <w:color w:val="355F91"/>
          <w:szCs w:val="22"/>
        </w:rPr>
        <w:t xml:space="preserve">, </w:t>
      </w:r>
      <w:r w:rsidR="00C655E7" w:rsidRPr="007E678C">
        <w:rPr>
          <w:rFonts w:cs="Arial"/>
          <w:b/>
          <w:bCs/>
          <w:color w:val="355F91"/>
          <w:szCs w:val="22"/>
        </w:rPr>
        <w:t>Mills, J.</w:t>
      </w:r>
      <w:r w:rsidR="00C655E7" w:rsidRPr="007E678C">
        <w:rPr>
          <w:rFonts w:cs="Arial"/>
          <w:b/>
          <w:bCs/>
          <w:color w:val="355F91"/>
          <w:szCs w:val="22"/>
          <w:vertAlign w:val="superscript"/>
        </w:rPr>
        <w:t>2</w:t>
      </w:r>
      <w:r w:rsidR="001147FF" w:rsidRPr="007E678C">
        <w:rPr>
          <w:rFonts w:cs="Arial"/>
          <w:b/>
          <w:bCs/>
          <w:color w:val="355F91"/>
          <w:szCs w:val="22"/>
        </w:rPr>
        <w:t xml:space="preserve">, </w:t>
      </w:r>
      <w:r w:rsidR="007A7858" w:rsidRPr="007E678C">
        <w:rPr>
          <w:rFonts w:cs="Arial"/>
          <w:b/>
          <w:bCs/>
          <w:color w:val="355F91"/>
          <w:szCs w:val="22"/>
        </w:rPr>
        <w:t>Shiel, R.</w:t>
      </w:r>
      <w:r w:rsidR="007A7858" w:rsidRPr="007E678C">
        <w:rPr>
          <w:rFonts w:cs="Arial"/>
          <w:b/>
          <w:bCs/>
          <w:color w:val="355F91"/>
          <w:szCs w:val="22"/>
          <w:vertAlign w:val="superscript"/>
        </w:rPr>
        <w:t>5</w:t>
      </w:r>
      <w:r w:rsidR="007A7858" w:rsidRPr="007E678C">
        <w:rPr>
          <w:rFonts w:cs="Arial"/>
          <w:b/>
          <w:bCs/>
          <w:color w:val="355F91"/>
          <w:szCs w:val="22"/>
        </w:rPr>
        <w:t xml:space="preserve"> </w:t>
      </w:r>
      <w:r w:rsidR="00BE0564" w:rsidRPr="007E678C">
        <w:rPr>
          <w:rFonts w:cs="Arial"/>
          <w:b/>
          <w:bCs/>
          <w:color w:val="355F91"/>
          <w:szCs w:val="22"/>
        </w:rPr>
        <w:t>and Zhai, S.</w:t>
      </w:r>
      <w:r w:rsidR="00BE0564" w:rsidRPr="007E678C">
        <w:rPr>
          <w:rFonts w:cs="Arial Bold"/>
          <w:b/>
          <w:bCs/>
          <w:color w:val="355F91"/>
          <w:szCs w:val="22"/>
          <w:vertAlign w:val="superscript"/>
        </w:rPr>
        <w:t xml:space="preserve">6 </w:t>
      </w:r>
      <w:r w:rsidRPr="007E678C">
        <w:rPr>
          <w:rFonts w:cs="Arial"/>
          <w:b/>
          <w:bCs/>
          <w:color w:val="355F91"/>
          <w:szCs w:val="22"/>
        </w:rPr>
        <w:t>(20</w:t>
      </w:r>
      <w:r w:rsidR="00AA0560" w:rsidRPr="007E678C">
        <w:rPr>
          <w:rFonts w:cs="Arial"/>
          <w:b/>
          <w:bCs/>
          <w:color w:val="355F91"/>
          <w:szCs w:val="22"/>
        </w:rPr>
        <w:t>2</w:t>
      </w:r>
      <w:r w:rsidR="005533F7">
        <w:rPr>
          <w:rFonts w:cs="Arial"/>
          <w:b/>
          <w:bCs/>
          <w:color w:val="355F91"/>
          <w:szCs w:val="22"/>
        </w:rPr>
        <w:t>5</w:t>
      </w:r>
      <w:r w:rsidRPr="007E678C">
        <w:rPr>
          <w:rFonts w:cs="Arial"/>
          <w:b/>
          <w:bCs/>
          <w:color w:val="355F91"/>
          <w:szCs w:val="22"/>
        </w:rPr>
        <w:t xml:space="preserve">). </w:t>
      </w:r>
      <w:bookmarkStart w:id="0" w:name="_Hlk208820377"/>
      <w:r w:rsidRPr="007E678C">
        <w:rPr>
          <w:rFonts w:cs="Arial"/>
          <w:b/>
          <w:bCs/>
          <w:color w:val="355F91"/>
          <w:szCs w:val="22"/>
        </w:rPr>
        <w:t xml:space="preserve">Commonwealth Environmental Water </w:t>
      </w:r>
      <w:r w:rsidR="00562E5A">
        <w:rPr>
          <w:rFonts w:cs="Arial"/>
          <w:b/>
          <w:bCs/>
          <w:color w:val="355F91"/>
          <w:szCs w:val="22"/>
        </w:rPr>
        <w:t>Holder</w:t>
      </w:r>
      <w:r w:rsidR="006E45CD">
        <w:rPr>
          <w:rFonts w:cs="Arial"/>
          <w:b/>
          <w:bCs/>
          <w:color w:val="355F91"/>
          <w:szCs w:val="22"/>
        </w:rPr>
        <w:t>’s</w:t>
      </w:r>
      <w:r w:rsidRPr="007E678C">
        <w:rPr>
          <w:rFonts w:cs="Arial"/>
          <w:b/>
          <w:bCs/>
          <w:color w:val="355F91"/>
          <w:szCs w:val="22"/>
        </w:rPr>
        <w:t xml:space="preserve"> </w:t>
      </w:r>
      <w:r w:rsidR="00636414">
        <w:rPr>
          <w:rFonts w:cs="Arial"/>
          <w:b/>
          <w:bCs/>
          <w:color w:val="355F91"/>
          <w:szCs w:val="22"/>
        </w:rPr>
        <w:t>Flow</w:t>
      </w:r>
      <w:r w:rsidR="006E45CD">
        <w:rPr>
          <w:rFonts w:cs="Arial"/>
          <w:b/>
          <w:bCs/>
          <w:color w:val="355F91"/>
          <w:szCs w:val="22"/>
        </w:rPr>
        <w:t xml:space="preserve"> </w:t>
      </w:r>
      <w:r w:rsidR="00541E7C" w:rsidRPr="007E678C">
        <w:rPr>
          <w:rFonts w:cs="Arial"/>
          <w:b/>
          <w:bCs/>
          <w:color w:val="355F91"/>
          <w:szCs w:val="22"/>
        </w:rPr>
        <w:t>Monitoring, Evaluation and Research</w:t>
      </w:r>
      <w:r w:rsidRPr="007E678C">
        <w:rPr>
          <w:rFonts w:cs="Arial"/>
          <w:b/>
          <w:bCs/>
          <w:color w:val="355F91"/>
          <w:szCs w:val="22"/>
        </w:rPr>
        <w:t xml:space="preserve"> Project</w:t>
      </w:r>
      <w:r w:rsidR="00C37392">
        <w:rPr>
          <w:rFonts w:cs="Arial"/>
          <w:b/>
          <w:bCs/>
          <w:color w:val="355F91"/>
          <w:szCs w:val="22"/>
        </w:rPr>
        <w:t xml:space="preserve"> </w:t>
      </w:r>
      <w:r w:rsidR="00C37392" w:rsidRPr="00C37392">
        <w:rPr>
          <w:rFonts w:cs="Arial"/>
          <w:b/>
          <w:bCs/>
          <w:color w:val="355F91"/>
          <w:szCs w:val="22"/>
        </w:rPr>
        <w:t>2019–2024</w:t>
      </w:r>
      <w:r w:rsidRPr="007E678C">
        <w:rPr>
          <w:rFonts w:cs="Arial"/>
          <w:b/>
          <w:bCs/>
          <w:color w:val="355F91"/>
          <w:szCs w:val="22"/>
        </w:rPr>
        <w:t>:</w:t>
      </w:r>
      <w:r w:rsidR="00DE3CF4" w:rsidRPr="007E678C">
        <w:rPr>
          <w:rFonts w:cs="Arial"/>
          <w:b/>
          <w:bCs/>
          <w:color w:val="355F91"/>
          <w:szCs w:val="22"/>
        </w:rPr>
        <w:t xml:space="preserve"> Lower Murray </w:t>
      </w:r>
      <w:r w:rsidRPr="007E678C">
        <w:rPr>
          <w:rFonts w:cs="Arial"/>
          <w:b/>
          <w:bCs/>
          <w:color w:val="355F91"/>
          <w:szCs w:val="22"/>
        </w:rPr>
        <w:t>Technical Report</w:t>
      </w:r>
      <w:bookmarkEnd w:id="0"/>
      <w:r w:rsidRPr="007E678C">
        <w:rPr>
          <w:rFonts w:cs="Arial"/>
          <w:b/>
          <w:bCs/>
          <w:color w:val="355F91"/>
          <w:szCs w:val="22"/>
        </w:rPr>
        <w:t xml:space="preserve">. A report prepared for the Commonwealth Environmental Water </w:t>
      </w:r>
      <w:r w:rsidR="00562E5A">
        <w:rPr>
          <w:rFonts w:cs="Arial"/>
          <w:b/>
          <w:bCs/>
          <w:color w:val="355F91"/>
          <w:szCs w:val="22"/>
        </w:rPr>
        <w:t>Holder</w:t>
      </w:r>
      <w:r w:rsidRPr="007E678C">
        <w:rPr>
          <w:rFonts w:cs="Arial"/>
          <w:b/>
          <w:bCs/>
          <w:color w:val="355F91"/>
          <w:szCs w:val="22"/>
        </w:rPr>
        <w:t xml:space="preserve"> by the South Australian Research and Development Institute, Aquatic </w:t>
      </w:r>
      <w:r w:rsidR="00402728">
        <w:rPr>
          <w:rFonts w:cs="Arial"/>
          <w:b/>
          <w:bCs/>
          <w:color w:val="355F91"/>
          <w:szCs w:val="22"/>
        </w:rPr>
        <w:t xml:space="preserve">and Livestock </w:t>
      </w:r>
      <w:r w:rsidRPr="007E678C">
        <w:rPr>
          <w:rFonts w:cs="Arial"/>
          <w:b/>
          <w:bCs/>
          <w:color w:val="355F91"/>
          <w:szCs w:val="22"/>
        </w:rPr>
        <w:t>Sciences.</w:t>
      </w:r>
      <w:r w:rsidR="00BE0564" w:rsidRPr="00BE0564">
        <w:t xml:space="preserve"> </w:t>
      </w:r>
    </w:p>
    <w:p w14:paraId="724EA588" w14:textId="0A9E6E52" w:rsidR="005B0AA3" w:rsidRPr="00EC460F" w:rsidRDefault="005B0AA3" w:rsidP="005B0AA3">
      <w:pPr>
        <w:spacing w:after="0" w:line="240" w:lineRule="auto"/>
        <w:contextualSpacing/>
        <w:rPr>
          <w:rFonts w:cs="Arial"/>
          <w:bCs/>
          <w:sz w:val="18"/>
        </w:rPr>
      </w:pPr>
      <w:r w:rsidRPr="00EC460F">
        <w:rPr>
          <w:rFonts w:cs="Arial"/>
          <w:bCs/>
          <w:sz w:val="18"/>
          <w:vertAlign w:val="superscript"/>
        </w:rPr>
        <w:t>1</w:t>
      </w:r>
      <w:r w:rsidRPr="00EC460F">
        <w:rPr>
          <w:rFonts w:cs="Arial"/>
          <w:bCs/>
          <w:sz w:val="18"/>
        </w:rPr>
        <w:t xml:space="preserve"> South Australian Research and</w:t>
      </w:r>
      <w:r w:rsidR="00541E7C">
        <w:rPr>
          <w:rFonts w:cs="Arial"/>
          <w:bCs/>
          <w:sz w:val="18"/>
        </w:rPr>
        <w:t xml:space="preserve"> Development Institute (Aquatic</w:t>
      </w:r>
      <w:r w:rsidRPr="00EC460F">
        <w:rPr>
          <w:rFonts w:cs="Arial"/>
          <w:bCs/>
          <w:sz w:val="18"/>
        </w:rPr>
        <w:t xml:space="preserve"> </w:t>
      </w:r>
      <w:r w:rsidR="00AE217B">
        <w:rPr>
          <w:rFonts w:cs="Arial"/>
          <w:bCs/>
          <w:sz w:val="18"/>
        </w:rPr>
        <w:t xml:space="preserve">and Livestock </w:t>
      </w:r>
      <w:r w:rsidRPr="00EC460F">
        <w:rPr>
          <w:rFonts w:cs="Arial"/>
          <w:bCs/>
          <w:sz w:val="18"/>
        </w:rPr>
        <w:t>Sciences)</w:t>
      </w:r>
    </w:p>
    <w:p w14:paraId="4E31595A" w14:textId="77777777" w:rsidR="005B0AA3" w:rsidRPr="00EC460F" w:rsidRDefault="005B0AA3" w:rsidP="005B0AA3">
      <w:pPr>
        <w:spacing w:after="0" w:line="240" w:lineRule="auto"/>
        <w:contextualSpacing/>
        <w:rPr>
          <w:rFonts w:cs="Arial"/>
          <w:bCs/>
          <w:sz w:val="18"/>
        </w:rPr>
      </w:pPr>
      <w:r w:rsidRPr="00EC460F">
        <w:rPr>
          <w:rFonts w:cs="Arial"/>
          <w:bCs/>
          <w:sz w:val="18"/>
          <w:vertAlign w:val="superscript"/>
        </w:rPr>
        <w:t>2</w:t>
      </w:r>
      <w:r w:rsidRPr="00EC460F">
        <w:rPr>
          <w:rFonts w:cs="Arial"/>
          <w:bCs/>
          <w:sz w:val="18"/>
        </w:rPr>
        <w:t xml:space="preserve"> The University of Adelaide</w:t>
      </w:r>
    </w:p>
    <w:p w14:paraId="0E619540" w14:textId="77777777" w:rsidR="00A47EFB" w:rsidRPr="00EC460F" w:rsidRDefault="00A47EFB" w:rsidP="00A47EFB">
      <w:pPr>
        <w:spacing w:after="0" w:line="240" w:lineRule="auto"/>
        <w:contextualSpacing/>
        <w:rPr>
          <w:rFonts w:cs="Arial"/>
          <w:bCs/>
          <w:sz w:val="18"/>
        </w:rPr>
      </w:pPr>
      <w:r w:rsidRPr="00EC460F">
        <w:rPr>
          <w:rFonts w:cs="Arial"/>
          <w:bCs/>
          <w:sz w:val="18"/>
          <w:vertAlign w:val="superscript"/>
        </w:rPr>
        <w:t xml:space="preserve">3 </w:t>
      </w:r>
      <w:r w:rsidRPr="00EC460F">
        <w:rPr>
          <w:rFonts w:cs="Arial"/>
          <w:bCs/>
          <w:sz w:val="18"/>
        </w:rPr>
        <w:t>Department for Environment and Water</w:t>
      </w:r>
    </w:p>
    <w:p w14:paraId="0748EA64" w14:textId="31F12C1F" w:rsidR="0097724B" w:rsidRPr="00EC460F" w:rsidRDefault="0097724B" w:rsidP="0097724B">
      <w:pPr>
        <w:spacing w:after="0" w:line="240" w:lineRule="auto"/>
        <w:contextualSpacing/>
        <w:rPr>
          <w:rFonts w:cs="Arial"/>
          <w:bCs/>
          <w:sz w:val="18"/>
        </w:rPr>
      </w:pPr>
      <w:r>
        <w:rPr>
          <w:rFonts w:cs="Arial"/>
          <w:bCs/>
          <w:sz w:val="18"/>
          <w:vertAlign w:val="superscript"/>
        </w:rPr>
        <w:t>4</w:t>
      </w:r>
      <w:r w:rsidRPr="00EC460F">
        <w:rPr>
          <w:rFonts w:cs="Arial"/>
          <w:bCs/>
          <w:sz w:val="18"/>
        </w:rPr>
        <w:t xml:space="preserve"> </w:t>
      </w:r>
      <w:r w:rsidRPr="00807492">
        <w:rPr>
          <w:rFonts w:cs="Arial"/>
          <w:bCs/>
          <w:sz w:val="18"/>
        </w:rPr>
        <w:t>Commonwealth Scientific and Industrial Research Organisation</w:t>
      </w:r>
    </w:p>
    <w:p w14:paraId="682D8B78" w14:textId="21D83DB7" w:rsidR="005B0AA3" w:rsidRPr="00EC460F" w:rsidRDefault="0097724B" w:rsidP="005B0AA3">
      <w:pPr>
        <w:spacing w:after="0" w:line="240" w:lineRule="auto"/>
        <w:contextualSpacing/>
        <w:rPr>
          <w:rFonts w:cs="Arial"/>
          <w:bCs/>
          <w:sz w:val="18"/>
        </w:rPr>
      </w:pPr>
      <w:r>
        <w:rPr>
          <w:rFonts w:cs="Arial"/>
          <w:bCs/>
          <w:sz w:val="18"/>
          <w:vertAlign w:val="superscript"/>
        </w:rPr>
        <w:t>5</w:t>
      </w:r>
      <w:r w:rsidR="005B0AA3" w:rsidRPr="00EC460F">
        <w:rPr>
          <w:rFonts w:cs="Arial"/>
          <w:bCs/>
          <w:sz w:val="18"/>
          <w:vertAlign w:val="superscript"/>
        </w:rPr>
        <w:t xml:space="preserve"> </w:t>
      </w:r>
      <w:r w:rsidR="005B0AA3" w:rsidRPr="00EC460F">
        <w:rPr>
          <w:rFonts w:cs="Arial"/>
          <w:bCs/>
          <w:sz w:val="18"/>
        </w:rPr>
        <w:t>Wetland Research and Management</w:t>
      </w:r>
    </w:p>
    <w:p w14:paraId="08DABD9C" w14:textId="166853A5" w:rsidR="001229D2" w:rsidRPr="00EC460F" w:rsidRDefault="001229D2" w:rsidP="001229D2">
      <w:pPr>
        <w:spacing w:after="0" w:line="240" w:lineRule="auto"/>
        <w:contextualSpacing/>
        <w:rPr>
          <w:rFonts w:cs="Arial"/>
          <w:bCs/>
          <w:sz w:val="18"/>
        </w:rPr>
      </w:pPr>
      <w:r w:rsidRPr="00EC460F">
        <w:rPr>
          <w:rFonts w:cs="Arial"/>
          <w:bCs/>
          <w:sz w:val="18"/>
          <w:vertAlign w:val="superscript"/>
        </w:rPr>
        <w:t>6</w:t>
      </w:r>
      <w:r w:rsidRPr="00EC460F">
        <w:rPr>
          <w:rFonts w:cs="Arial"/>
          <w:bCs/>
          <w:sz w:val="18"/>
        </w:rPr>
        <w:t xml:space="preserve"> The University of Western Australia</w:t>
      </w:r>
    </w:p>
    <w:p w14:paraId="364C5C60" w14:textId="2FF3627F" w:rsidR="005B0AA3" w:rsidRDefault="00D16569" w:rsidP="005249A7">
      <w:pPr>
        <w:pStyle w:val="NoSpacing"/>
        <w:jc w:val="center"/>
        <w:rPr>
          <w:noProof/>
          <w:lang w:eastAsia="en-AU"/>
        </w:rPr>
      </w:pPr>
      <w:r>
        <w:rPr>
          <w:noProof/>
        </w:rPr>
        <mc:AlternateContent>
          <mc:Choice Requires="wpg">
            <w:drawing>
              <wp:inline distT="0" distB="0" distL="0" distR="0" wp14:anchorId="29F4407E" wp14:editId="244B1805">
                <wp:extent cx="5229225" cy="1200150"/>
                <wp:effectExtent l="0" t="0" r="0" b="0"/>
                <wp:docPr id="116" name="Group 1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9225" cy="1200150"/>
                          <a:chOff x="0" y="0"/>
                          <a:chExt cx="5229225" cy="1200150"/>
                        </a:xfrm>
                      </wpg:grpSpPr>
                      <wpg:grpSp>
                        <wpg:cNvPr id="117" name="Group 53"/>
                        <wpg:cNvGrpSpPr>
                          <a:grpSpLocks noChangeAspect="1"/>
                        </wpg:cNvGrpSpPr>
                        <wpg:grpSpPr bwMode="auto">
                          <a:xfrm>
                            <a:off x="0" y="0"/>
                            <a:ext cx="5229225" cy="1200150"/>
                            <a:chOff x="0" y="0"/>
                            <a:chExt cx="2842" cy="706"/>
                          </a:xfrm>
                        </wpg:grpSpPr>
                        <wps:wsp>
                          <wps:cNvPr id="120" name="AutoShape 3"/>
                          <wps:cNvSpPr>
                            <a:spLocks noChangeAspect="1" noChangeArrowheads="1" noTextEdit="1"/>
                          </wps:cNvSpPr>
                          <wps:spPr bwMode="auto">
                            <a:xfrm>
                              <a:off x="0" y="0"/>
                              <a:ext cx="2842" cy="706"/>
                            </a:xfrm>
                            <a:prstGeom prst="rect">
                              <a:avLst/>
                            </a:prstGeom>
                            <a:noFill/>
                            <a:ln>
                              <a:noFill/>
                            </a:ln>
                          </wps:spPr>
                          <wps:bodyPr vert="horz" wrap="square" lIns="91440" tIns="45720" rIns="91440" bIns="45720" numCol="1" anchor="t" anchorCtr="0" compatLnSpc="1">
                            <a:prstTxWarp prst="textNoShape">
                              <a:avLst/>
                            </a:prstTxWarp>
                          </wps:bodyPr>
                        </wps:wsp>
                        <pic:pic xmlns:pic="http://schemas.openxmlformats.org/drawingml/2006/picture">
                          <pic:nvPicPr>
                            <pic:cNvPr id="121" name="Picture 115"/>
                            <pic:cNvPicPr>
                              <a:picLocks noChangeAspect="1" noChangeArrowheads="1"/>
                            </pic:cNvPicPr>
                          </pic:nvPicPr>
                          <pic:blipFill>
                            <a:blip r:embed="rId17" cstate="print"/>
                            <a:srcRect/>
                            <a:stretch>
                              <a:fillRect/>
                            </a:stretch>
                          </pic:blipFill>
                          <pic:spPr bwMode="auto">
                            <a:xfrm>
                              <a:off x="1344" y="85"/>
                              <a:ext cx="749" cy="454"/>
                            </a:xfrm>
                            <a:prstGeom prst="rect">
                              <a:avLst/>
                            </a:prstGeom>
                            <a:noFill/>
                            <a:ln>
                              <a:noFill/>
                            </a:ln>
                          </pic:spPr>
                        </pic:pic>
                      </wpg:grpSp>
                      <pic:pic xmlns:pic="http://schemas.openxmlformats.org/drawingml/2006/picture">
                        <pic:nvPicPr>
                          <pic:cNvPr id="122" name="Picture 1043"/>
                          <pic:cNvPicPr/>
                        </pic:nvPicPr>
                        <pic:blipFill>
                          <a:blip r:embed="rId16" cstate="print"/>
                          <a:srcRect/>
                          <a:stretch>
                            <a:fillRect/>
                          </a:stretch>
                        </pic:blipFill>
                        <pic:spPr bwMode="auto">
                          <a:xfrm>
                            <a:off x="738117" y="92839"/>
                            <a:ext cx="1798765" cy="1070955"/>
                          </a:xfrm>
                          <a:prstGeom prst="rect">
                            <a:avLst/>
                          </a:prstGeom>
                          <a:noFill/>
                          <a:ln>
                            <a:noFill/>
                          </a:ln>
                        </pic:spPr>
                      </pic:pic>
                      <pic:pic xmlns:pic="http://schemas.openxmlformats.org/drawingml/2006/picture">
                        <pic:nvPicPr>
                          <pic:cNvPr id="123" name="Picture 1049" descr="Logo&#10;&#10;Description automatically generated"/>
                          <pic:cNvPicPr/>
                        </pic:nvPicPr>
                        <pic:blipFill>
                          <a:blip r:embed="rId18" cstate="print"/>
                          <a:stretch>
                            <a:fillRect/>
                          </a:stretch>
                        </pic:blipFill>
                        <pic:spPr>
                          <a:xfrm>
                            <a:off x="4003533" y="188107"/>
                            <a:ext cx="483235" cy="831850"/>
                          </a:xfrm>
                          <a:prstGeom prst="rect">
                            <a:avLst/>
                          </a:prstGeom>
                        </pic:spPr>
                      </pic:pic>
                    </wpg:wgp>
                  </a:graphicData>
                </a:graphic>
              </wp:inline>
            </w:drawing>
          </mc:Choice>
          <mc:Fallback>
            <w:pict>
              <v:group w14:anchorId="72BFA554" id="Group 116" o:spid="_x0000_s1026" alt="&quot;&quot;" style="width:411.75pt;height:94.5pt;mso-position-horizontal-relative:char;mso-position-vertical-relative:line" coordsize="52292,12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XHDyCgQAAPENAAAOAAAAZHJzL2Uyb0RvYy54bWzUV9tu4zYQfS/QfyBU&#10;oG8bS7Icy2rsRZDsBguk26DJos80RUnESiRL0pG9X98ZSvIt3kvTS7APFngdzpw5PENfvF43NXnk&#10;xgol50F0FgaES6ZyIct58OHh7as0INZRmdNaST4PNtwGrxc//nDR6ozHqlJ1zg0BI9JmrZ4HlXM6&#10;G40sq3hD7ZnSXMJkoUxDHXRNOcoNbcF6U4/iMDwftcrk2ijGrYXR624yWHj7RcGZ+60oLHekngfg&#10;m/Nf479L/I4WFzQrDdWVYL0b9BleNFRIOHRr6po6SlZGPDHVCGaUVYU7Y6oZqaIQjPsYIJooPIrm&#10;xqiV9rGUWVvqLUwA7RFOzzbL3j/eGH2v70znPTRvFftoAZdRq8tsfx775W7xujANboIgyNojutki&#10;yteOMBicxPEsjicBYTAXQcKiSY85qyAxT/ax6s1Xdo5o1h3s3du6s/UNM+/dvjNE5HBoNA2IpA1w&#10;z8NJJmNM+nFsmLkhdiLVVUVlyS+tBgKBDdzxJTjIsv1V5XAEXTnlefDfghOnSdxhOg3PvXOfQwVu&#10;ld0Rx/4z4txXVHPPR4vEGBCO4WJ1CF9C+H4R6UH26wZ22Y5aJ+DdDRmj2orTHDyNwKp6ACa9ycVe&#10;EvZMttpmFqj7PPg/DyLNtLHuhquGYGMeGKCBTyt9vLUOybBbgldAqreirmGcZrU8GICFOALk6VxF&#10;5tlsqfINuA26CcYrZT4FpAUNmgf2zxU1PCD1OwkIzKIkQdHynWQyRaDN/sxyf0aumisFMge4UcnA&#10;6jxwQ/PKdZoHoqOpu5X3muFCdBUjfFj/QY3ug3UA+fsujadi7tb2IXWB9B1g2uJCC5bBr9cqaD2h&#10;3Nc1HXa5FcLQ1YXmm2w01Hxc6VddhGIpauE2vkRAEOiUfLwTDGUOO/vsRZ55fYB5PJZE0QTv1LCu&#10;2wVACealcUfWrTzshg74i0Q5tOK7B54sa6GRPJgKbPcxQ7qOJP4EbF35uFZs1XDpunpoeE0dFGNb&#10;CW2BLhlvljwHCr/LIVAGtdiBTmkjpMMgaWYN+x3o3bWd4Y5VOFyAT/04cNgOEz6Anc8Y3TfdwGic&#10;JAGBIpB6bGk2VIhpMuuULJkkB0q2u2H/2iUcvO3TAl3P3L6qfY/chSpwxN0w8dK7T7uBhi/FOyxV&#10;L8W76Tj1LwBg3ixOx7OO8wP5ouksnZ4Pz5NwGs4mnp7bR8b/RELMFvy+I9EcnyAeXOScWwbSdatK&#10;9fNP68tf/OcaB4VGVSL4QIKnvGC0rjek5JIbEKT8WG9fmrIQ3inKDir4d+URBfXoRZiE4XgyhnPw&#10;YZymUTg9pGaSjuNxz8x0HKXdu/m5xPSyjUL9RPrgfwWMHfxx2e97gdz9U1v8BQAA//8DAFBLAwQK&#10;AAAAAAAAACEAwjl86lJSAABSUgAAFAAAAGRycy9tZWRpYS9pbWFnZTEucG5niVBORw0KGgoAAAAN&#10;SUhEUgAAAV0AAADWCAIAAAD96sZPAAAAA3NCSVQFBQUYJt5DAAAAAXNSR0IArs4c6QAAUf1JREFU&#10;eF7tnW9oHEmW4LNvZUiBDVUwAtWBD2rADSXoBgmmwbXQCxroARlmQIJbsA7mgxpmQf4wYH04sD7M&#10;gRruQP5wYB8MtA5mQYZbkOAarIOFroE+kKANKjiD68DD1oANVdCGShiB6kDD3u/FywqFs6qyUn9s&#10;V7YipyedyoqMePEi3ov3L1589K//+q+BvzwGPAY8BhwM/BuPDY8BjwGPgQQGPF/wU8JjwGMgiQHP&#10;F/yc8BjwGPB8wc8BjwGPgVEY8PLCKAz53z0Grh4GPF+4emPue+wxMAoDni+MwpD/3WPg6mHA84Wr&#10;N+a+xx4DozDg+cIoDPnfPQauHgY8X7h6Y+577DEwCgOeL4zCkP/dY+DqYcDzhas35r7HHgOjMOD5&#10;wigM+d89Bq4eBjxfuHpj7nvsMTAKA54vjMKQ/91j4OphwPOFqzfmvsceA6Mw4PnCKAz53z0Grh4G&#10;PvL5msZ80KOo3Wy0ukEXOI+D48lg8uwAHwfJr07fmKcwkPp5tNeklujdtV35yylvIOrV/Pb704qO&#10;j48nJxXm8Pi4WyyGhUKhXC6fvRf+i/eHAc8X3h+uz9fS7u7uxvpGqwNrMFc3CMOg2+2GYdiNn/XN&#10;kHvQDQNKann3LuWlPvOheeBXYQ/CJOQfeWuetYTWo69OYdAP3n7vQmhaNB+ZQsFksbiysvLgwYPz&#10;YcN/9Z4wgLzgr3HGwNdffz09PW2W24KhL0PE2e9K9Hrv/8p5HybrH9ZW771bZ3/9cYNaOGYx/FMI&#10;Q5jCOCPcwwYGvH3hPfHfizWDHG4W5UJBuEOhPPxeSv4amPJ659vw7W/t+0IZcSEolHpleND/KO/W&#10;ybMpI3U675164vLBdBDCzihp6ilMq7yDQiQCiL/GGwNejxjv8QmCra2tr776qtlsFabL5ZnZblhC&#10;iu8J85Pd7vFbz8YKoGqFI/DzONnlvd6NGmJkfW6T3UjexMKEeS83Y294+641mPeqtiRr66k28Xsp&#10;L9YHKclD1GrsR81GoRCiR2xubo473q82fF5eGP/xn8R0BzEadlDshkWW3+NA7h1WY3mWBTl+FomA&#10;Z3nTK3NashP/ypsyXx1TslsICzCayTAsVueqhVKZZ1rpmFbiu7al35r3XfeNeda24vcGqo5wFd6L&#10;gMP7MKRmNTII+xh/pF9xCD1fGP8JcByIPb8bToqiDm+QVTgsqP2/dw/j55A39hl7BGXMXUhR3pvn&#10;+FuqLBXCEiRbCOcqpfurC8uL1TL+gjAoFUUyoKRb3rQlb9ReQJ09SABN2hWtgVbcttSioSZPxbR5&#10;Hn+kX3EIPV8Y/wkwGai8cCwifMfQ1LHRE46NUG/uSOrm2ZBc4pmPeXN6N992hOyh/+LC0vzK8uLq&#10;ymK5ECwvzK7eXViFPVTmpLaoV38o5eO2YAFGi4jbUkiMdmFaMWAaB6a2aCwjxu6pP3h5YfxnXBB4&#10;vjD+o6T+f5EXICyzGhu5IaY2XXtjV+KpUcG8kYAE1x/hfGuEeb7tzFZKdxfKs2X5m+V+cb6yNF8u&#10;I0gYxmFCGmIHp3oVOt3uZKHQifg1FMemcUOe+kjl2bCDXlvm2bAukXdiR+n4I/2KQ+j5Qg4mQGxf&#10;MDSqZKaxAGr9M2Rpn533bpnYlmiDHKT8cRB1um3DHd6+ukGr1RQmIMYG+Sc2VRpvgigy3S7aBgzC&#10;eBeMAVIejYIgbEJlBANbLL+YWoxQ4e0LOZhwXl4Y/0GCMk24IPKC/CM2AiO0m4XciOiWNwhVmvex&#10;6O6UMSV75CrPYmkMwzsLCzPoD29fWBUWFuZLJYyXRl6IPRdC5VgXcTDE0YumLTwaxgOixg8p0w9D&#10;XF6KePvC+M84gdDLCzkYJzEvyHor/6hufyovmF9i9UFXaeteNM9mxTZxinHJ+FtW+0KpNF3A7JjE&#10;AC+IVi5XKvEnKA7SYmQaalfKpUq5GCBoGFNiN+oocFY6cNpSeGJLhFg4pKT3R+Rgynm+kINBircX&#10;qLygK79rNVBGMNiOEEsQ+mPPNiHPxbDYbna2tnbWv9ptokz02AZ1P949WNt4XNvf15dGWOmWMFIG&#10;3dlyYX114f7KAvYIeAOyQxFDhGoiJoyaK24Lz2XvD21XBAsjU3h/xPjPOc8Xxn+McEcYwlN5Qc14&#10;Zh2OZQGrz8dverYGa18wReVbVn55lso63Q5LfNTt1vYPmy0xMxw0oygImlFQb7SaLUwP8QJPiwQv&#10;rxKMtHF/fXUZjlCtFDbWVzfXV1aW5wtsqBJWxaex4NKzKaiQY9o1TaqjwtsXcjDhvB4x/oMkMQKT&#10;svb27AsqLqg6b9ZhjREwUgMmgx51mpW556dAOoAidd0Wg0VsNIhY4gmU2ms0kQ9W17dW1p7s7bdf&#10;tFANpH5d+sXv0I3KJdhBiLxgfggq0+H8LFHZhhlIzebRyDIGht4Vt6jyQixOeHlh/GedlxfGf4wQ&#10;FDR+IZYXhLxiecEFPpYIzKvTlbkbRdBjt9sxNgJds+MKYBwqFOzu7O3U6q0oaLQ6m1vb7ZZYC8Q1&#10;2pMyKBmph+Ltq9ttdTuRhi0Yg6iwLPFTiEHDiCWOP8LHL+RgqvVA9HwhB4PVi18QUJ34BV3ODfmd&#10;2he0jMgXsm53I/R/eAGKwHSRl7pmCy8wUgb0XohFA74iKkHoWqIhNfbBMAJkkKBana1W1Qx5evHr&#10;/O1qtXobYcFEW8rHlDdeiZ5npCehKFj6q5cXxn/Oeb4w/mNk5QUBVU0Njj9C4wXitV2dkdgOjHgf&#10;YRc87kalYrB0Z+4e0UslZQuxoxFKVROEBlOzzluXp4lEkCqMEhEWiqVWK+ZAFl9to6Xonxp/GbMn&#10;a/vw8Qs5mFyDQfR8IQ9DF8c7nsYvuFGPsZWh5wwwBCokStDi4vztlYXba3fnV+/OLs4X7i8vLFTL&#10;dxdmiXGUfY7d46IYLcx+itMVXg0LQvAEL6nesfd0f+sJVgjlSYYvBcFho7259eSw0RRzpvFKGANk&#10;7BkxLCZ2SbrxC15eyMOE8/ELuRgl175gVubeVoOepCBUeeqnEBINAmKZ8ResLM0T2lwwq/nC7cLa&#10;ysLy8vzC/KyWOTY+ByFs2XFNbWJEFKJXS0Ek9cse6W5QO2wcNlrICPVmVG+2zZtmvdFsdZBKevs1&#10;em6St6IebX4474/IxWQzQHp5IQdjNci+IGt2nCLNyO89KV4WeiNNdKdlr2RANGMs65uOThfkDcIC&#10;RcRYaLY/UZ7FnYAlypuNlCac2cQjCL8w8gGv9urNze36+sPtjcdPN7dqpIQQ86TaI0wjsb/jNOox&#10;lh3ijJRGifHyQg4mnOcLuRikYfsjlHTj+EIj46tqD6lPFwvlkok56rt4V5kpIU2o9QFqDY0NYn11&#10;EeEiiCJhDXgwY7OjlFGpoX7Y2N3bb7REZNirNQhzMJJLL6RKYiLkK91n2YuzjCUO40+J3/cCpXOB&#10;+ysKpJcX8jDwSftCT4fvs/yrkYHd0yt3l5YWUBYGX5XpwurqcrlcYIWfLhVXlquPHqzcLgcrixWi&#10;learlWJBSFsVBLgLzEezQRsXCP8VjNnBNBbbFPSxZ2XoPSsLEOMlIo2PX8jDXFMYPV/Iw1i9Hb9g&#10;VIa312QIT2wBJkRaLlma48ch/TPrORKDEDx2yErZCPlBMDc7jUJBIJOqD4QzLd6pLi5UC6E4LHvC&#10;iWlDt1o7UZUqI7jygtopeCO1+/wLeZhrni/kZpSGxy8IpWq8QLFQVOciV9SJtp9s12r1YT1sNKPt&#10;7b0XzRZLfLPZJBQag6KwgSAguml7bw91ADVkZaG6ssh/syvLt9dWMGFW8XGYOAWhdqIkRHGwUkNP&#10;RlA5QmUH82zYhxEb9L2PXxj/meflhfEfo0T8gtCks0rHz8fdjmEQsZTA9gY8iNEgqUGIv93FlRD7&#10;NWAN7Qh2cNDsNtoBH0WdDgFOuCoqM2UyOInxMgzuzs/ixehErdiIKMFRpIGNYxzd/RpvxVacygve&#10;vpCDmWZB9HwhD6P1ln1BhPme6c7IC6f7I1QVkEVZvI3dEMagbkd7tSORCJrsmVIPgolVYKv05tbe&#10;5uPtza1dZAeED1b49nGEKGGUk/hqHNaJejZ/2HdqZYjhcWQELaPvJUQaKPz+iDxMtRhGzxfyMFhv&#10;2ReU4pRgleR7hC/Uqvo8twKxBVvbtY2t3d29uqoJewfNR9t7j7f2avt1GAPvRCnohkgW9RdNvAwH&#10;h+gU8hP/TRdLZKZ326jMzBaK01K/iaQ2agKCgoHk1N5hbRD2fRwirfmaHKaWB8xfVRg9X8jByL9l&#10;X1DjYs/Or9KBIVHjGtT3Jk80u6f3avW9WvPR7uH2bmNrr721c/Bkr46rcR8lgrTPxrlgohhEviAY&#10;QXM6k/TZvDlG13i8K/upkDu2duu7GCxCzqfUVsx/cZRkLFW4toYeVAYetTj0JAhvXxj/Oef5wviP&#10;0al9AfIiKWNPXhBVweRTMLK9pkXRmEUjumsIM+c4tDvdnae1J7tP6xga481RwkX02569IMaDmhWP&#10;I6wMUa1Wwzz5ZKe2u3ewvbPHf+0W9gXTrmlLU7ao50L+62V2Oq1ZfjUqTazQCAPy8QvjP+c8Xxj/&#10;MdIEj+Lqg7rYFEnAssmhwBs4QiRvTOok+95QqQlPkoyMkGUUdaNWp230DPYyaA3dIGprZGSPlZj8&#10;S4aM+VYKm/3StYPGztN9oyio70FgOI7aRXEyyCdmkzX/wWKwZwg8tG7YAc9dPKiATVmEEMW1lxfG&#10;f875c+jGfYy2nmyt3f8qaktw4XSlInZEDU2Wq3cwnDn6TZdt2egQHwAn6ViFnIWhyK/GFBAHKJnX&#10;5pA4URmQKiRXi9CycSVaAtZnw2HisGslbHU3mruJbNLTrg3zihvUuoz6wFMhDNrNQzgFhe/fv7+x&#10;sTHueL/a8Hm+MO7j/3hr66GcT4lFwJxF14tdinX6t8FXTcKWMYwidh4kyp+W7P2gEkHPdvD2p4Zb&#10;mMq0RqMWxByj10bccK95kSZUvOgZSoU/dM35lKv+fMoxn3aeL4z5AHFu7ZP19ftRuz17u7C8VC0G&#10;kn9ZMiZgAuwem41PmvEkXuNjP4WcCsU7IwXoCh6bJHELdMjJaGrgRCmTx0kqKZbK1fn5u5HQdZEA&#10;hkl0iVOvhzSgMgKbNYykUKTuOJOrMS1ouz1AenKDw5fIPV9vNGA8Xl4Y9znn46DHf4QM+QkBFgMU&#10;9SaBBdxLYbsQvCiF5FZrcC8EzQLPYaMQtgoFnluUKRYo36nv7+/t1QhViiIyq2BMNIbDgDsny7WK&#10;01B4G9/FZNgsFfBRTE5PlwuFQrk8zb1QmIaZ8I+ylVars7+/f+/e2r179zBLlqf1olRBH+L/x8/8&#10;ad/LgxxI4Y2OOZhwAqKXF8Z9oJ48ecICK/JCJbi3QkABcY2xbGCFBNXhxUyoer4R9TsRf5a2d+oq&#10;4MtmapODUZ6NKhCaHVGa6J2TrGcqS7eri41GRE6FVqvVbreJe8QvYXZzss0yarDaq7khDDEQzM3N&#10;wTJ69ofRaPx5tVo7OOCL9fUNejT6A1/iw2HA84UPh/tsLT/Z3d1YX282GoYvkIeZGGVWeCOo96sP&#10;whqg21Kj0dmvQ9Nsf+g+2NgkDWO9fkj698YLNk2oKiExDuKpEMUEtb9YrS60WpI2norJQA3xQ8PW&#10;rThTLpdnZthh1Wg0V1ZWqlVhCktLS4uLd7P1I6jOVQ/qBwgO6+vrq6urGb/yxT4IBjxf+CBoP0Oj&#10;u3t76/fWms0G+VTur1VKBXQEcUpY6cBKDeYNrIINVOH+YeuwHs3NLtYO9tcfbCwsLZFGBaruNcyG&#10;SWEr7ItotV/sHx7U9p7WD+uzc5gYFuaqs2gTIvY7vgkL8d7eHnxhfn6+Xq8vLi5A5CZ57OirVPpp&#10;u91CuUDWoIbRH/gSHw4DPn7hw+E+W8sSllgowAaQE2Kyj/dEiMqg5kBTk7EfBiIpvGh2cV/MVRfv&#10;b2zOzs4fB5PYETc21tsRgoZe1Ml34XR5evb2/Orqg83NxwQ7bm4+Wl5ZoTDCgfzcc1gmIEWDWFtb&#10;M6yhsb29g6aDljGyN+INFUlksiiZqf011hjwfGGshwfghIoM4SPxi0RgkrzHsQHGtejsUCCGKHi6&#10;F9UPO822aAAYLClhToLokF/pkP3UUTv+9u1+lyskcZEzKTEibG1tiVv07avdJvzxQOnfxi+gU1AY&#10;kQF7ZDoeNbiqx5Ost2LckX9l4fN8YdyHHmFBF9g4KoHtCz2fpFnPxYAoUgMyRcQ5ESX4xsq99YVF&#10;BHWckRLaxL1cKiO679f3H20+goy/vPclPgUulv2vHj5sxgdUxuFSEPnDhw+1wPJyXHJr63Gjgekh&#10;lk2UNeB6pAYBQjQbaw0dgNKWxGVRAENG3J1xx/vVhs/zhXEf/1JJAprFFoCFkG3OeiiMuTS2SOUF&#10;8jXhZ2g1jpElKpVqqVQWP8IkEc8dRHdoePX+6r2Ve3CH5eXl+/yxunL//irPt2fjdG96HiUaBIxj&#10;cXER0yCFCZ3gzvPdu3d5wBIZ48vEMlC4UsHkUWjv77draSKDK4Bgehx3pF95+DxfGPcpUEASIILA&#10;+Bo5gVriGIQxqL/QSA7mzKhiUOq2gqgZTXYLxUDeTBYnu8eSrAUGwf6IRqPOA9bE2Qpp27hmIepZ&#10;zA/z80QrSDVFkRcg2pVVMStKCUnwFt/5UNIxCBMST6fdLi0BklH3uNZo7dZ6cswAlDZfEGohMCP7&#10;qEXTX+OMAc8Xxnl0YtigJY08lgMdVDqI4xRUdDe7EmAc/NuBScQZFo87x6RC0U1K3Dm3/quvvrqz&#10;dAefpV5zczPcEBnq9QMp0xG7YLvdXF9bX6LYzykw1ytWvXPnDqYE7AswGuIaJBBCa9YYx2ZLj6AZ&#10;dmG2ULtGijkzByNxZUD0fCEHQ826rRFETRIhmMU63qSkexbiG4KBGBwkZasszV3J2oCPwfgUkALQ&#10;Hb7++utvn36L+UCvw8MX3PAaIjiYlVxlkCJRCVtb2/vfUuCwV2z/22+/ZVODqACkc8Le0YtclOBo&#10;yUCNIoOOM5Q1EHYpkkUYIoDkAONXHkTPF3IwBRC8kb4hOvInGNKLAx7jXQn66hiu0ZDkDHJ4nDAL&#10;tAYJoDakyjpPuAFuRa7enT/kjWEswhEkqSNZWcJCebpMvKMpKR/IvffxqT+il2Mylho63cbhi+7h&#10;4EyzgPNCUsJhHA0xSeQA41ceRM8XcjAFWGMl2sAYGnvSutr/dIU3dznNXp/j/EvIC+bEBwkZED1C&#10;kqxsPX78uHfffvjQPG89VqOg1oMjk53d29vblERxMOW35clcFlnGyuC0LopOzF/6EdpCzsEsyjUZ&#10;opvkAONXHkQf75iDKcAqjRWAQEOIb2UxnOcwB+PzU2ehkR/CUqfUPOg0W6Vas7VZ29s9rBGt8HDj&#10;4erafbyJKfGFKgKgpyCVICZQJ3eehwU1AQZezEePHnGHYS0sLKzfWVo65nir0u2tjeA0pPIUsTAU&#10;XJ7UTHnYk/dHjP+c8/LC+I+REC3it3olTIrmOF7Qeg11R3U4bVZtc96kvBB5AZNDrEcQlajrv71D&#10;2DxDqKoL6AU7QHyA+LUk1+7uLt9y51ImIjYFy5LisyGCEC/DEB2BgCj9il54ppCDCef3WedikAAS&#10;v4Au4HLsA8fAnUYuGI8AvkKThkEpXM+M1H2Q1h8BW4FTIAgk7jgXEBBsSbZRqj8S4yIlVQexvyq6&#10;3DfKIDrHYjswNtHkRYF6XdPASS/ygvArDqeXF/IxAW7fvq1Rj8dR0Gi08RrE4c/WviAuAnEimkXf&#10;SA2SFfLUH4HAT2wSAUv2zgMXGgr+DrckLkn9KXHxreZi0MvaF4Q19HI39mMTj4axaEqk4/z87Xyg&#10;+8pD6flCPqYAEriEA5mox0M5SNpGNZkQArmMdKDuh54/wq7tyP+oBqpBoD4Q0WjjoBO7IagI9ySR&#10;DpThUl0DPQJ1A6eEuz9KJQVXBxkY18SHkhIGw+jk5OyslxfyMd88X8jHOAEly7Wa/Bsi5qv5H7KM&#10;WYQRFEwAQ++8Blde0PdIHPAXpAMkAkKbuRAWErsb1UOJeEIUAxeFNTyRl1B4QlLQMCdpMXaNJJFJ&#10;gYODA8Mvuggsw2yZuRmDKwOo5wu5GWpikxHFJeqxIyKDxDf2QpJVZMANGKmkoFYGTRCt0Q2yx2kB&#10;zsKdeiB7EwotF8qCxhRoSZ5JpkQZOIJGSasCgkeD9wYAubR8bICUtk4tly5CYSXmMDt+DeFBucH1&#10;lQfU84XcTAFoWJ3/qBL1F3AA4hMLJt5R8rOZEEfV+Y39T/wRKkrEtkDoE0UAbQK3gqoJqBIEO2p0&#10;sy0JtasnkgIUU4cFa75mdnMrPLUvGBFlIGPYr9WMURNPRAlmlBtcX3lAPV/I0xTQMAQJfGwGrQ5b&#10;KGUdFtEg/r8xNMhOB+OPiM+MEAMkJI2NgAgl1AEcEEgBsqvy/n00BX5Vf4ReqkfAg/iJYmgZ/Lmz&#10;swOPoLy7LfJUaqBFPXvy7Qs2JHkZDETIG3lC9JWH1fOFPE0BRHqV+SH8/ToJoIuGHIUgC5NFE6yg&#10;dgTkiDiLNKs6DkuiBh48ICnTJrQNc1E9AsOB6hHungXVI7Qh9AjdcM2H7K2ArWjrb0U6GglFUsfo&#10;cXjOhdyhJ2KTF3o5cxrIPI3HjxdWH++Ys7E10v06QM+Wg+W7hUpJCJKN1YVOsVHvNJvFWrPzqLa3&#10;Jzueahsbm+RNgexZ+Y2gIRfyAnfrWYDUudQPyk+6JwJ6lu0Vk5PqmNTwR2UHqowMjnfc3gwq8fYH&#10;KqFpSvIJrAeekjNEX21w/+Z3v/vd1cZAznpfLn/8zTe7kPUJcsENpdggOAmmPio2/s+bIJx61X7z&#10;xa9//bz5MoqOPv/885cvXz579ow7NgJoVS0Fb968oduwBh4wH3C9fv0aRnLt2jUMCt99992NGze0&#10;AO/hEXz13Fxm/1QdPmISTNdhJZ988sk//+OTuWvhSfevt+Y/D8omt0I3+Ke9f/rD1h94vD5x/T9v&#10;/me/XSpf88zLC/kaL1nzMRYiM8AN2LK8vFgpl7qF7nEReUFIvrSv+yP29xuHjUdbj+AFuuvB5nfW&#10;TGrqTeAnLvgCxkhKQr2s7QgXZgenpIoHO3qKhARImJOmjJ4i/k4Mk+qwkP0RnZBzY+YfbQTVWfGk&#10;NhoYNdWveXfx7sPHj0kDnTNEX21wPV/I3/izUC8vLzUb2BeChfnCnfnidEi2pkLzsNtshHv15tZh&#10;bbuGLlHTzGuWBdBVPS1GDY3WDQGdQ/PI/NgalREo/VslAjahYdTqp1SGAitBaoCP3Pv5neWgUCnP&#10;zKJHQP/dLjkjMUlQP3YNBBCsFfnD8tWG2POFXI4/8gKHzUC7qPPLC4XZMgJAeNwM64fd/UZro7az&#10;32yymZJNknRP8rMcH8v6j4GQDCqSd15EBu6wCc3Rwp/oC0gBMAXOkCBVEyQNYfOnuieVWXCX7Vhi&#10;esBzEWGhhDWs3VlaPCbGuVp+vEH+hoPaAXkkERn4ipRwSDfYHXOJ5SsMtOcLuRz8RrOxsryC2o+g&#10;Pz8fLpONkRxujajxoiDywot9DA8kdTTn24q/0hBzUNRdDCYFmyR9FLInKiEi8JlVHZsFDIMcr3Mz&#10;MzAFtk2Ro4Vzp+AhmuJdHZ+mNglkkjOpCmGn1bn3858vB+K8qGxvkr4BRkC0NU4LNIvt7a/nb4vJ&#10;01/5woDnC/karxhayHR7a+vLL78UMg+D1cXyAsdRtbvNw2C33phdWJjkYBgT6aCMQHcukB+FS8wN&#10;5hdTwOyGNKdP6VXQMGqzX1M+lfTzEVmfUSU4etZkljapJvUWmniHvdpiWCYusvx4/cneLsqLxkM+&#10;eLCxtn5f8s/5K28Y8HwhbyPWg5fVniOkyLkE3eGsfLA8WyKqoR7iZOwIXbODwsQgxrkSNBGk2Brg&#10;BOZJSJd/20H3sNttGk4BU5gLwookmCYBHMkhOZbmmIRPiBcEVcbP5o2ymy4HYJqqqtPioiivLZXm&#10;5zW2in2bm2SO7Lkt84rlqwq35wtjO/K6oqdd6BE4BTD7izaBoeH27bDZll0Tku+1R8xK0uaugdKk&#10;Z1UZQoUImMlBq/MiikjsgDViicys+D4xH5ri2nxP4DDPRlKQj0VJkV+EzZB/oVx63Njfq9f5kVT0&#10;6xsb7MYYW+R6wNIx4PnCmM0QaE4YggYujr7IqfTwq69QECi+cLuwcqeKQdBss+zJCzFhu8K/yAqU&#10;N6whbB5yyrXkdIjkIIpCtTIjpoJ7K8G0yQplpAZzmA0yQu9Z33DXi+q6nbWNdVI7RXoChRxIs3EG&#10;BcJuCx3dY1/ifWDA84X3geWsbZBZpV7v7B+Sa0HIkqBjIpptqpVBtRBXsLG+QfZW2fLMar8QLsxz&#10;5CwnQUChhvBVb4BLaHYGs/T38iZI/HLYLbb2O0GHkOpCWKTl8uzd5aBaUfPDwBRMPUB6Ek3Uffj4&#10;IQKCtoUGwbarofna9CO1b3CObqtDlut2R46pm125mxVRvtw7xoDnC+8YwWesvv14d//h49JxMD1T&#10;LhIMNDMTcBjU7ExQYi0fLEKQdw1tYmd3D+shRe4sFhaqKAREN8QSPyAYI0DMFJQs5XB6Weflx8nu&#10;5HGnMFniaKmlcKYa4FbMJq0YYaFLSun1zQ1xZ0o8xTyRCxxSNbTftNhqS8Z7TppptiKsIcgrnVah&#10;Oje/9UgsHP4aAwx4vjAGg2BBQPXffrK/tlnuxmRM2hMSLYeVcnGmQpRCwD5rNiz0ES3nO6ytiaEB&#10;4oeNLMyH1Sq2SGN/1Es9CD0GYbQUo2jEsgNiAYLCQmVh1RgZsnIFBAQ2PrBnu2liHLAyfv3oa92L&#10;kbyEB3Ulpcx+PcInwmETfNLqSGfkaM1Ctzpze+drzxfGZDr6/RFjMhAGjDA4eva8+90hUcrGote9&#10;ztaHN9ERB04fPj953vx/39ev//UkuD4VmLOh7DVVKs18PMNJc2/etLtHQfuHk3AiKN8sTUCKEydQ&#10;3sREeBKcTKA0nAg74OOJYEJsEBPcKUzBa8Wbs1Nl8juwM2IiC1IMU9h6+PC/vPzza2ST69evb/1+&#10;64svvhjAEtjM8d2z7h92Xz355s0/70fffR+234RHUSGg4aMbQXg0cTJxq1Ra+iIAbn+NAQY8XxiD&#10;QTiVF7rB88brve+KJ93jk6NJaPrk5MbJyUT35PpRt/u63X316k2jcfS8MRmdTPzbKaHfCf7PWjxR&#10;mirNffbpU0mmGAlreAUHOCqXb0J5J5A+7OB6SB00NcFf8uJEnuQ+IffwxuTUrVL574ywMJo40Vke&#10;P/79w4f/9eVLSVA9MTHx+9//YXHxl29hk9aO2BDeaDz+/ev/AUf4jrwR4Ztu8SSYPOlOnoQnJxF9&#10;hPUdAWW5cHPpV54vjMl09PkXxmQgVF4QKUB3K0lwkfEBQPY8SwJFXhB32GhGe7XGV4/bqxtBrS5v&#10;VOwPA/ZKI9VPo0gQbhQFT/e7O7Vm1CVbLLYJs6/B+DlUXpAYhdMWjddRGjMRjaMuEzqBGWGTKCmq&#10;Ip6acEmTfvLtq96INrbqaxvd7VpYbwABegty0LGxdHDXPppLktCNatb//v4w4PnC+8P16JY0MMCk&#10;djY5GnkwZK/hiGRu448uW6QCzn7p1PYP1tajzcdBg9CkuG4yN+5u72Iq4AWOx71ad2en0YoIZKYA&#10;nMC4JowvwDSldw2CMr5IZUSpF/bF1bU1PA66b6Jgdkbhg3BoHLdKN9jaq68/bGxth41mIeri7SCI&#10;gnxzce5J03D8bPpoOn1qDxkFhf/93WLA84V3i9+z1d6TF6BOSAg6MQdIiTeBu+RE0igCSe2Iky+a&#10;xpb/eLuxth5woFOPNSA1PP326e3528YZGezVA4p0OjATMSgKCzCiQmx67LUopBmfAWHX8H7YOSGm&#10;Pr8wv7u9DXNhpyYZX7Z3t5EU3mIKjVZ7/WFtfSPYP5yGhcl5NySVExHFRELF0pD0Ud4LszB95YUN&#10;pDob2nzpS8eA5wuXjtILVQh9slsBKjGSgj4HHfOshB8HGJmsr8gRLMXd2mFtfbNrznrTq1KubH+9&#10;JfmXDWvgiKqNh439OhsgiWUuiBxipBJlE1Kzig16yq1lMG/3I4ra7Iaqzlcb9YbuqmAnJWpLcltU&#10;q1XfeNjc3im1I1iRkRFgZJGwAHNAntx7nTHPhmWgxkQESqWwpAth1X98Vgx4vnBWjL3L8oYu2MYY&#10;r6KyouoaWzCtxiut+VWo2cgU5v9RS9V2e5XLlc3NDfZBs3Uaqo+C4PEWdolWswVrEHXEREOYaKee&#10;RcM8CrNI9pCD5A4O8IPeW1vHpcivGtG4uflID6p662pHJJODGxnpRlmQbsRSmEk5J7KBSisKv5EX&#10;wskCB2Y5HXiXaPZ1j8SA90eMRNF7LIAcHR29fv7y5OSjI1wRExNIA9L8yck1I0HIHUu+2PBFHcet&#10;gAH/KDgpfTZX/PtfBqX4PFuFGNchSzpGwaOjo1evWt2Tk2bzpPmaGInuRPH6pHgu8UTgSRCvBxVN&#10;Ts3cLHMelDg54j53g/bL5u//+z+urf9HSb5EKaISZ2f/4R/+gdyNN2/eHICaa5NFLKPPm1R9zfx8&#10;zGcCf8x0BGbaNT4UojIRPCKcseWb16ufTpEGbrQn5D0OxxVuyvOFcRp8qGJq6ubcp5NTpeAnBQg+&#10;gJqhcCFdXV2V2CQaCWJjHcYPePKTUmV5Kfj8s34nHzTPkROffvxxMHH91atm9+gIA2SjeRL95Wji&#10;2vXw2lTxJzfwEoYSyzAxNfVZqfyZMU/KhVnxm71vNh7+l+3/sd07OSL49//+7m9/+9tf//rX6jQZ&#10;cE0A5cSfD57hHp00sF8LlClwxS7VMCRcYaKDh/XWzWDu46lfLtz8+4USqaIIXvB8YTzmo493HI9x&#10;cKFQaRqrAAsvVoH9/ajREN+jiuKOqI/IEEGerOAb6/GOhiG9wbO4s8P5lI/QCFRVIGxyrhJUZsI5&#10;SSmNbl8sVxZn5+/xCwEQ5HR7+pRgiJrhCMKPMDGurCzjdxidwbXewBra3t6bNsKOsjMjOAg7451s&#10;oigUy/OzBcI3yQfJNhBRagZoMOM3NlcFIs8XxnikoSbW9/3DqHbQ2Hk6HXUx41lw1UrYDsPK2kph&#10;ZVkSK466Go06lsInW7vNtuSGhE6JdSCBM5kTCqXp6vwyCeX3avtb27sYF+UIGVMGawKJXe8uL2bN&#10;vCSBkHtEWBTIImngVftCnAAGN8bcTOXuQswRhogdo7rif3+3GPB84d3i98K1m9iCeoMopebWlsQk&#10;2BgDY9vH91BeX2VHRMat2dBsrba/u/uEI6RIxKSLdHGa9RvuMC+bmCShU2zWgJLZ7ICJUY/GzNoX&#10;oMJnsfG4VZPDptTjoFKDJIGYr07fXxFZRWUEf40lBrw/YiyH5RQoY7knIXy5SEJFwxSEnHSvpIQA&#10;QITENpJcJdvFh5xcu7mxubO9Q9wBize8oRkJ59nZ4SSaeosISbOZiggItj9oIONZmIJRGlqy8ctA&#10;KNzEsAajRPAH/KXsmUK20fpwpby88OFwn73ldtS4v9Hdq2msorAFc9C9XIVQjqObm6vMV0m9INux&#10;1SKYYTE2skONqIS9/ZqJp46DnWZvz967t7awuCD+w5ExBWquUL4EdPv1xvZOVG+QSZ5Iifi1UVpC&#10;muBhtlJZvxfM384CYXYM+ZKXiwHPFy4Xn++gNmhre69OHscmq3BQlhMjFghwPNjZgfCEU7Dmm3wK&#10;3XCyMn+b8ySC23Oy4TIbg6B6ohiRC57u7MzNVdfX185w8LQJjhKBhbwqT2t14q6bRFIIgzC8ghjL&#10;Mkflldcf1De+CmqHxsxQKC/fKWzc93rEO5grl1al5wuXhsp3VVEzaq5tRLV9WEAr7M7vPZWVthVF&#10;W9scXI+YTrJ3I7SbBVuTLhRDxIfS7Fw4NyuWAwmNjAOZTHrGIdKE0R/e6oWVBVyJQOUCDrCOTKql&#10;/YNm/bBz2DR7N7rs0Iq6kUkPSTTWdHl1RaIqkGI6UW15paRSyWylvLYaLPr88e9qyly8Xs8XLo7D&#10;d1kDa+7ubnNju0sQISdHlUqzW5uS72j/Bc7LwnwV4oQySXmESq87n6DXmIpFnw+nyyUOjeM0KHE8&#10;kB5OE8OxGUEdEpMwFsMOlCkk7lSnlguClCnGM7ygRTr6JqddkV6F02ZUOiiYrNPCGaibMOzqPM01&#10;ajWSRIdkf5V4q7C7/rC+vYPzMiIJzMry9BopJGndX+OIAc8XxnFUTmFqthuPt1qPd2TPU7lU3thA&#10;VMBud7CyPg29Y9iHONk9ubfXOmxywkPUEo8CMUm6yYqwBJEkIFphEULXnDcl+6JhEFgOzJlTJqdz&#10;T1CIs8MaHQBvBw6L7jHHU0L5Uat1TC5GfKXCT4T8VbSQvRJy1F1AXqlSpcxJmMVKubCygnu1Xqt1&#10;ou78/VVzmG03aHYaX94TgFF8KpXb62veyjC2k8/zhbEdGgMYJ1A/3AqfkmehA1+owBckP1v3YGPz&#10;drUaLCAvtKDIg4cPZyV52zwLeLS11dmrTUbiFJS1vkDyJ1nVdbOTvce6RKw3OO9182avvGJHv4K0&#10;8S2KXEDwMs8lNk/LwTOV6lxk9BTYQbS329jfv72yihMiqtUaO7VZRIaVxeCQLgTR9jZsq82e6tnK&#10;vFclxnjq+TjoMR4cQLt27eZPpj6KOm9aUSv6YeroCDH+1f7+UfvNTQ6D/QgSnQie/+ll48WtxV8F&#10;pang394IXr760/8+CCfEATmFJn/ni9Lc3F//3D456hZvlSdu3GC7hARRdyV9Gy8JWybKGm5wxPNE&#10;cJ0tEyfy/voE4crd6ycT5FwqyJ6J6zdvTkWv34TXCzcrn5aqldKnM5M3p08KN4pfroSfzUUfda9/&#10;WmbTxbP/dVC5WQpuFoNXUfF19Op5fQpX6B//95/3vms3Xx1NBIVPPvl0+VcTn38uoooPfB7LCej5&#10;wlgOiwWKVbo0df3Tyo0bE0ed7qtnz9/U60cvm9OTxeLMxxIddPJR9Mfvut2PSkt3gqO/BBPFZ//t&#10;ceGHSFK1lUu32Dfx6UzwySxp4J6/ev3Jf7pf/HyuNFP+01/eXP+4XP7ZZ1O3ysWbWANPwqnirV/9&#10;/ManZbhDN7hW+fsvSp9/NnWjGHWOSCR3RJ64Lz4r/P3Sm9rhxPXJqf+wNPHZbHBzKizf/L/P6jc/&#10;+TT4+Nb1wo3gBuLESff75x+9al2vfjYRXiOf5NH3z//f/228lp1UJydTN6bvzN/6zX+YwGlSuu6Z&#10;wthOPs8XxnZoeoCxv+hGMZz7+GapNHktaDVeXYPYoL+o9dFLdi42XtYOfsbaS0b51hvki9d/+Kfg&#10;9RtkgImZmalfzjefH0bPnn30ww/diaD0my/b7ZfXq58f/bkZFqemfnFnolSc+GT2T88PPvnlLye+&#10;+DyszExR9bWTqeVfBrd+Grx+Fb18zV4rdl1OfvbJ9aWlNzvfsFNrslwMf/ZpdPQGvvDyu2flKfLQ&#10;FoOpQvBDFPxwVHrTfvW8ca3d7D5/GdWeHUUYGY7+MhEUK7dmf/PrIqwKdnbdywljPfF8vONYD08M&#10;HBo/BsLF+ekH9+a31jkf4ngyaHNO1E6ts1MLMQdyqHzjhZgC92qcJIt3gA+LYu2XE+KwL+A+CAmX&#10;5IxpTnbA39lqSb4DSomHYvIYJ0V1TiyCbKZmycf5gHlS3BZF2dtgPBccfM1PxZlyJ8QSKTnXJO/T&#10;Melaw/b+vhTm2+g4erJNPd1GvbVz0NyRfA+oM51yqbq+Wnm8ESwvBBXZAuavMceA5wtjPkAueOxz&#10;KnCsfWVzff7B+rRY++LMJ/XDw4P1r+r31uqbjwh2irdXme0P5epsZXEZTlGenhYLIts04RQdtSMS&#10;nUwOhGNcD8a6SMrI/fr+oeSAhfB7qehNiGXYhO9ga5zm5Pti1JZjbkP2QeLmbHda9Xqwu1ff2q2v&#10;3mvWavXaPmaPFmEV0nzp9trK/NZmuLLEVg4fy5SX2eb1iLyMFHCajCnYBovXg5lbxV9Ub85Xuzcm&#10;fzg5akecwHDyUTv6iSSVD67J6RBiWSySweHmx8F337cbz0s//Wnw8cxR7Z/DW5VXtVqpXA4/+XcB&#10;iR7evHn5Xf1WFStgUP6sWqrMNJ4/K89/JpER39ePMDSSRV6OnTgpLy1MfPHzmx/fivYOpl69Iq9C&#10;939+c/T9n2ANb77fP2H3ZHTUjY5Orl/v3Lgx9cXc3G+Wb67/Nvh8TvyUsCGvOuRnrnk/ZX7Gqh9S&#10;s8yL/N9oN3d2ONMNJQIhPWpHbIiSyAXzu2xnRNSAEZRLKBWoEgd7u0Q6kVBBQgme7Bzu1OZR+xHy&#10;od7HT5A+ZlneiZU8bHS3dppsdmBDd9CdnZ9n4zSBDHKKHFFOxFWSfl7OxTT/Q45A3ZGgptuyvxNe&#10;4HdM5nZyeb6Q26F7W8OQvzAB1F+0SeXC0Y8tE4mIybBzjMIA2QoBCxmbDVf8P45QlOCEUlggwWxx&#10;tiy2CJM0wWxvIKi5FwEpn8gujN4LYyGQcy0JqCwQ6jRdmSnNVkKSrJiIqTiG8keB2qvZCc8Xflzj&#10;rhICUUeQN9zhRQtbwLFsxGZ1l0vuYjW0oUqGZXA+hQZBKTtQltHbSaHPchUlkEliJbkKnHNbnJ6t&#10;CCNgG3i8Tatvh8WPC7tXpzeeL/xIx1pCEXuKBAZI+EITVaDTRgXAQdBsGw5wTGoX5RFm/TfbHYWr&#10;cDZEQd6bvHGheC7CUlH0Ak63lR0W0+YuRfz148SA5ws/znEd3Ku3mIXZE6kcgd1Qve0Opx/CDrgI&#10;SRSHpbML03sZr8CU8XzhCgxyli5almHJ3n2jz/66MhjwfOHKDLXvqMdAZgz4uKbMqPIFPQauDAY8&#10;X7gyQ+076jGQGQOeL2RGlS/oMXBlMOD5wpUZat9Rj4HMGPB8ITOqfEGPgSuDAc8XrsxQ+456DGTG&#10;gOcLmVHlC3oMXBkMeL5wZYb6anQ0jum+Gp19d73MU1wTpxYcHByACz0czc1u/HamY3YDdCYnJ+/e&#10;vauI47D2w8NDnTELCwvpZ6txxLuW5GR3Lhf1nNoGDKWS7FZOtM5B8uwp4HzX0Qe3mRp3d3e1C3Nz&#10;cxwYnTLAAP/ixQvuVJ4oCTBAW61WOel+5BShhn0SK/VhAMgP9/dlr2RAzpfT82mpnG7yK0jIcj4l&#10;Q0MxUs9bIHlDJRYhiTHiTyC3NdMWZ23zuR1Z3hwfHzOOlKSD7BNPxxK901HWsWCY6E4CM/xKMQok&#10;Ogsa9aVuEOsfX50SdmJQLb0j7ZV+kj7uWjLR35Hj9YEL/Gt+LuaNzg97MWV57r8zNTlMzfbs22+/&#10;ZeQoyf1f/uVf0nusJanz0aNHiZKc4ErNtkUFQ1vXyhn+LOikmIXn6dOn6Z/AFGiX+jmBOlGSfoEQ&#10;fh3ZKT6EHqiE8jBNtx7qV2Domv0JgqT7Slf97fYDzIcUhue6GLh//76ia+AYURgytlXxYQK3/KmX&#10;4pbaAHUgruiaHRrGnQu+wMUDcybRWY7nVpDAnv1JP+caNqN0kdAPv/76az4ELSBH36egiH4BBmWA&#10;P+P0yDKF3nWZPOkRcFwdGx17JhYDI0cfNUgcIkuKvuFiEdaVx14MiV5Z2LA5610YfKIwdbKq8Csw&#10;PHjwYHV1lUlGo0o/CeEipSFqhpCoh3sW+UIb7S/JWkorSDHr6+u63KVckDrNUSxRj2y8NsAgUNjP&#10;zabqIi85utKupSmVUwbi5CtXoqFm6qQSBgtccS0vLyPEqYADDl0xhGdgA+0AQ0loD5Lm1Ey6RrVU&#10;zvm6Gxsb1JYAAwghOQBgFOxXFKZ+Fmp6nSiv0yBRD4VnZmYUMKDV9Z95RTGGVcfXcgGdWspMtQzN&#10;DdNf4Psq5DJP0gXDLDPz/ZV514znEutnjHVQmTpcPKhgzAW/ZzGx77WYKy+oPMmQj1xaGT9KMk11&#10;WXAv5rQSFWspwCil6V3hydhZlReoB6jcVWvg57qeU7hfsmC91TNmgQoOlRAEErUp3TKVE++p3x5U&#10;S1/cBRysKiqGLdS2sGpnib5Arjo60LPWrIhSXCWg5U8tDDCAamvmQ4ZMh48mYMf9Qhw/Qb3uyKq8&#10;Ax26IgkfqvClnXLxaZcNnWMAo9NA0e7CzK8WS8CprI2G+mcLzVGSnygDBjLOjTEpljN5QYU9lRL1&#10;QQcPFo4+ad9rMf2JS9fV/mf7MvGgxO9+lfgW6lJFlBb1rvAMq7C/fpUUdFlO/0qLUYZG+0uq+q3K&#10;OZMvpSrAs1W5xaz4kPiV8qr/s4xb/juwfhXZVNofiElFFz8pohJjp5+orGGL2XqUlyE18IZuIh24&#10;KzPyCG8oAxm7+OENsolKDS5IYNuaMFzMW51FwVAg9UNzWN8pzBZIfoKFwY75BDCePHniClz6LQCA&#10;PWCwLDLjDPngxfLEF1KQ1S8uuoXtr4xxekmdu2p2sjPDVqVc4OJjRv1AoveRFaYzDrpjjWQPHz78&#10;6quvhoEn2ZpI2abZlpwLzuIa1dyfoHM0Mt4w6VP0FGyorKJKuu5FW9q7kX1Umk+BBHlBK1Gzom0F&#10;hmUxkGidwUI06B9EWyx9JmT0a8CLtQkEE7QeFwbYxObmJmDDHbJg4OLz6hJryDdfUJIAHf1ru4sj&#10;u0ro5EtHn12B+wlSV+aLj7FlOllq0zIDG+Wlul2sH4FpCncY1sGBlUAew1iPatR8pY6YgdUCHlY3&#10;WIAVvG0xS1pZMOZykP7y8AKLB1cusyOC1HAmqhg5E7LArCwPhCsYaBzITRYMxgKwsZVYNe1MEH7Y&#10;wvnmCzoeYHCkFKBYpnyWkjoF+0valfmyxszCn17hwHVeF0/liaxLquHzhunIwjVsuetXRvg8BSfq&#10;CqEV9JSBQMIymP2I0/0rs+1dxrVXe6R8OdEWrEffoNq4PwGbSl4IDtBnvyQ/DLEj1bfsMIMikE95&#10;mIIVGbA1YgqFXd67d++yZsv7rCfffAFM6eoxUgpg6jPb1PDO+DGVmUN62Wd+sj6CgevJQDLmc60h&#10;+7C5BJNlXVImNawk75l/CKtMUJ4BBm1iGBn3swDoWbE3sH7oUEUGKhxIKvAF3qsxL3FZaYgH+y0P&#10;irGBtSkM7mhSEj1FRXFaSTQEbKpiUAyGiC4DNQ4Tbdw+8kk65rOMi11s1tbW4FDAADaUUaplGpCy&#10;W52yz5/3UDLfZ33YwRspBajuCkdg6qjem2AlqqZyaWwM1DJQXtAhgUhUcNUyOsuxLWV0VVqSyC4v&#10;DGR81GOBBGAWTJ2aEAbPLIkuFaW0pZUMI1QWQ1ZjGB8klyBLGuInCvSbLZQItU5We0ur6ndQVuLa&#10;KbUkdwrQBchM3RYsvMjn/IQdEamkH8MMqBaj7yzXFIaXUTNXf2G3j+kSQXZ5AdhoCG0OnDMr4GLc&#10;6QIADGSX74GqL95EvuUFu6qPlBcspiip65UGKaiMwKUv0xFqFxkoRL3rXCxlPHOlLFP91VryyLIu&#10;Ucau6v1rsiVpliYNRuINHJDFSqMq9bKrdz8w6di7c+eOkj09TXyrwgJ8YaB5z7YI71AUoe9wpx7w&#10;5qriykS0coUctZxFGCGcb+kRb7gGKurIC1QIy9CVGf5Fr2EWfNuvT9lWLlFeoFG6D9tSZypMkG6C&#10;UgDIMrgXp+F3UUO++QIY0bVupLygBTTsDOJhktk7D+6bhAbrIt2uIUxZxh6XtU5xLmpQ033Gy5Wr&#10;R34Cw1JVIlHSrvN2/rHM0jU1AbJq8QwL068GLun6Uzr2oDc1XiBJueY9oGKVpsWUjitrgGjBDxiz&#10;bNTyr/6+UyFDQOUwCD5nyCBy2ESKQA5BUjljweCqNUTlJj5MsIZ3JC/QIu2qkUWVU8SHjMLjyNH/&#10;MAXGJI7ifGAQpqLTJT2qx8b/JAJ1BzaqHmkG2I2u0ZIE1SgFjgxeTu8OwoJO3yxx2RrXxNTvj5sC&#10;Qt5DM4kYId6ztCqofKsdoQydYr4mYIMpWHl+GNiKZyqE8GwZbWVgPI+WsT68LJHUgGFxQnPQuf5J&#10;u1k+1xbpI1AxTPotAPO5izcKML66QqQHa9nNNf3TYBiWCKwaGDR1vrn9Yb/Kvbygwv9IX3R2RUO1&#10;4oHrsxWMLygfuiL9SOVFjQgD4WGWD1SDIVdoUtcrlk2IOcWN5xophi1NVIVQQEk3JhrmCFbTpaQz&#10;aenaOj3FMqIx5rr8Ip1ldENSnr4jJsBW4Ji0DnrVPKHXu5MXqBywLT8a6e/4MFJA5lZzzxe0p+lk&#10;P5CohqHIGsD661SXWEZjYcoQMH1VqtcA2/TBYrljclN+mOkxMd21NtXJ1ZWAtA+Z6S6S/rYyki41&#10;8DnQqstQ3Tq6I2gY/K4yn3lCxjjhW1rUfQq0xXNGOJWzqO9QQ9Rcu48FaRhLtXCej/Wf76vsyHlv&#10;JXPPF3S6jLQvWIRmLDlMn7fSxEVGCJhV/enfwNNfrd290z/nLAsbOB0hDOt8gTWw/LL2ZpebEpCo&#10;00EDfmmXCgEMQ0AKJZzJhtLfcagak4FlbSr/Z7/s3jm3yy5zGSljZm9LS4KKkdLfWev8UOXzzRfs&#10;MKdPd3dxGEkYunNBRdDEqPDysuQFtW5qeH/KSggMGEco6aYqsFDxoUI7bPagJKNsq2yi9v9hxsss&#10;808pk+UXYx7qie5bTfkwJeZi4Ff95eGesAb1K+NlIC4jgSvwM0zFsCXdQEwXVyNngpJ6FsxomR8N&#10;U6Av+eYLdsxGSgE6wLoZLn2kbchNv4TP53ybXaBNaQgJWUUGCMy6DPrLQ4GszMzsgeK6xlyki8QQ&#10;M9whZZuA3ZUwkgB0OylIwFGPNQ5WlR60M5C3prdiJSBbDFVFNx3xE16MBK7AnqpI/RwcCGFhuqHb&#10;/mrHNItV5Rxjbd3PI5E55gXyzRdcSTVFUdeYhewjMWyVsCTkBj6onM+qBQFnZxkaIUtDfI6RDOFc&#10;3XIKpGrFkB/efspoKpF++FV+UdaQ0ju0CXWyUKZ/kXQljvSoTWDQgF9gg9GkOHQTwKgxwr0PRJe2&#10;3o9DTdygCzJGE01noBfVUhUddMUuiiFcaHAUNkuXJ1K5Mvf0+eDCMNIAZIEBw4rejEwn+4R8/yXz&#10;zRd08R9pCLQrqlJROpZ1ER44dewUYRmHqjXwhvuXX34J4TF9dc5ludRlqG55tQsyuXXXExcP1Ay/&#10;oCre9+9ftuxDZ2G6uMuvAAlpDTSauKt6ilihLSp9Ug9MYSCrGth30KW40nAjcMXF88Dt2wPZHNqQ&#10;+hc06snqDqp6wAWoELxpLIkGRAMJWE2JOEyfCRar2VcUC/nIOZZlhnzYMn/zu9/97sNCcJHWGbNX&#10;r14hY3/22WeffPLJMOfQ0dHRmzdvmMc3b9781a9+df369ZRGWWdu3bpFnbo1wC357NkzFgRe0tDU&#10;1JRSCNfJycm1a9cQAUZW7tZGJZ9++ikgAc/ExMTz58//+Mc/Iid///33f/rTn6ifxfm3v/0td34d&#10;CPCf//xnMPCzn/3sb//2b9M7xa+g6OXLl1S1tLTk1kYNIAcwwA/wp7MY+ggywcww1catmR6BGU2x&#10;pYiide4fffTRjRs3AOkXv/iFjbaiWtCL1qB5kxJRWOAKCAGV2sAM1YI6aqNm/uTh9evXDNw333wD&#10;r6E71PCb3/xGWaEL0l//+lcmDJ9oZ4fFelE/uKJRnQbMhyyz9IcfftDK+erv/u7vADjLV+NZJk95&#10;X/sxqDKtjn3K8sV8sku9TQowbDysPw8WkNCfaUslDipx7RS6PnBX4/lZR1qTnWmaIL6lXXVkjqyN&#10;D1ULyLh00zWbKsoCqTiEBvhpZIvaTa6RkgUlAU8FKGUK2jW7D4U3mkpHIXGHUlOh9KMRMUFdj1rA&#10;olqVFG2LJsAG10DbhwpHime39f62dBroWGfprHbBWqCyf3XW2fJ+yuebL7wfHPlWPAauGgbybV+4&#10;aqPl++sx8H4w4PnC+8Gzb8VjIE8Y8HwhT6PlYfUYeD8YyJN9AYuRbhYYaNtz3XX+2RrzLK48Tj4U&#10;ThTzWCJzlLspT35K8IsL6i9/+QsP+Lp4cO94Cu0b/6yY8Xj44HjA5Qk/Yizwy+Zok2We5IX3I0H5&#10;VjwGPAa8fcHPAY8Bj4EkBjxf8HPCY8BjwPMFPwc8BjwGRmHAywujMOR/9xi4ehjwdse0MdecwniY&#10;NKfYmaYH/lRyimgoPm4qa4vWqHutSp81BzxOLBo6U1w937JNiEh+PefS7gJiD0JiPzVgAA/vBx4Y&#10;RzfZy6BeNN0rcbkHH7DHUTPWk0Ah41aOBKr1BFpFFx1he9XAeugFbVmc604TdRMmcK4jQpc1KWPG&#10;HRAuVHoqp8V8P861MMDopgly2Ggi+Vxcni8MHSbmH7uDmWfMIT3R4Ex7oiBXdi7qti4bOzBwgtpf&#10;mcdK3vAgdmFnISGbCt3dmKTbk9y77SRbDHX7tnux95msjbp1inqYwW6u1AvOY3rHCRSwHmgPaM93&#10;svNPf/pT2yM2XFJJ/3GYwKnp6hI4d+G3Y+HinAKgOjvOtUI6pUcQWczr+37M6+YrADtf3y+I/3N+&#10;/mHTUb//1knmzaTngpGnt85SbJcRJk16WvH+qijvErbuetRzkLiY1tx13dOJ5TIdnlnKWLSZeSlA&#10;MgWHTbWBddKKm+jd1myztugcot1LHJdvv/3WxvOwYI5E+8CmXeSAsWF5+kGXuzXexTkIV5xzDRQQ&#10;KMxwg4p0nNuE9HrITWLU9I1e7q965M8lYvVdVxW86wbGp34IlUWYqaknGjJUKTMAkkNGsLyWGUPq&#10;pDP1heZcuZGmU0iChZoVWw9NStAAy3vKh9C5OwXhZZqrTndtqxALK+Q99dOjgcc92HMxdCoDxpl6&#10;ml5Ys79pzWc6DMKt1uZfpx6wCq8Z2KjFubaYfqoImIG/AF4C5/wJokbyL1evBDzmEngG84p2xTzw&#10;6FlbDGL2UzAuEfnnruqq8AVmEgxeUyqBLE15yPAPQ5wmI3BlMPttRlwzS1y+kD5HbZ18ZY9U09aZ&#10;4ilNQ9IWSEr2nz2TBVrLXLSqS+QLUIuLBCDsP9gmC4TuWDCOw856gQ7ds+rSefG5ca4funwB8OAI&#10;WTqSlzJXwh9BPg9SCetpJSrTolHD4weed6i0gT6cyCaaflDyQC3OjXtNLErDtD6gYkm3p8KoPoyN&#10;gwUnPaGYljxfBL6VexOC8TAgs793T6zlKyDUjIzZa7DMMeMnanBVeSHl6D23NsU5aeCsVAKcWDoZ&#10;hRScW7GuX2XLCOo4F/vx8wWGFrpiJcHkZpcdFjFGPSVvItogw+aaqbFm6TGt5xvOM32o6Q+BVr/S&#10;aUov+pu2focz1Z+oJ+G8OIdxfiBOwJgeM21tKBTjJRz2rNBmJEJbTOt3+d3IUcOqouzYwqbZIod9&#10;6GaaclW/kQ3losCPny8gczIR9exzOyQM5ECDthbQbMXMZntIsQ486mj2zK521bLryZmIgWlqFQqV&#10;BWAN/QnR+eniZKw1XPq6pxIWlaueovXDJmCv2ZOp6ojYlR88qGswnVy1QPYU+Np9F+eWHQ+TbtR5&#10;ZPGWC2rPDuSPnC/g0GZ2QswjDztwUWaFBesPU5KGWWSXge2kPBM7cDkX01RzsWsN0Fj/SfPKMrKP&#10;98CSVirRti5l9QPzeoID/Bd/LZeFk5dn9YO6fUyH0O3LWQ+2Udbg5r/XQ3SGoddt64JDMG6f/8j5&#10;AhwBvoDWkP2wA9ZkFjSmCFNZPYuuuzFxbnrKcDIp3ZU8fZUbWA/tQlSuyQDLdv9Ke3Eydmu4eG3a&#10;FyyO8FBqw89PF+wpcrzR4zbOJDK4K3M6K3RxnuVEqQTmLc4tHjCRDAP1snA1bkwBeH7kfEH9dgx2&#10;yvGqiVFR2tPzHfiJKBpX49D4wiwD2T8pzzGNCDECANucCuGJ1i8uLyQqvHiaAIVTj3tSfwQmXrXy&#10;KrT8qufrZbyySzQuNkaeLTawdcW5rWcgzvXDS8d8Rmy8h2K55wvIqyre9w8SI6piP8OcUQnXo4r4&#10;hFVOxQTWOvcMFY1uzjgwiXX4HNMIokrkbu/nCxfXci9dXoB1wkDpLwYaK20RPGrxpibJjGik2Pkw&#10;eQ55gbYSR9fRi36cK+QWqnOMbPa+f5CSOeYLzC1EfYgW0z0PSKp2JddNDVAUiz9jhp1Ztx5QLP2o&#10;NdQEtSy6cYSoEq64MVCYHzh4Ca34fAOccLb1n9F0KVquO8XPIde4XQMegITsQZrL1NxzepTYshtr&#10;EoQ3TKJJMAJr7Dwr5l0HCt8OPBfLXWkuxcpzViDfafm88gVmFfKeWrCIWSIwgXXeOsBYpqBw7swn&#10;2L86nPSEshQPP7KAKpMJRsAnqBLuPMgoMlzKOswcVdagtSUcItYIp7/C9Xijlwq69krR510yuyBT&#10;oFH1RFIPSHPNOqDR3WNyJlUiYV8YRhIJQ2NGIbG/Notz/Wkg6lymQwGuhLKTBfPvlLYvUnku+QJr&#10;ESs/A0O0j67kOkjwdR1CXlqvJM9YCjQ8Pt3KYINwmL4JnDK/7ZnujHdG62NCXjgfySWE1cTKaVcq&#10;fa/Gf0QneCIPaEO6IwBNirmeOIHO9vFS5BpbG6Ogu6RAWqLLQOLSavZQsYRMlILJS+lLon57ZGlC&#10;LLJ/EvWMI0NxDvJBu8W82rb0vMwcXfnjCyyJCPnQPwPghiToyumamph2ah3IMh58TnmqdXmK/VDt&#10;Z3ZOMw/UDJF+JVa582mhVJKIL0hhNxp8RUe4c0GiGouhebSzGBQvKBKrYxi0MDT9mIdIiDS1SOsP&#10;Kh2GzwShZsdk9pJu0/aQu4wWBLVkKdq5g3a1T4N5leCyYH7UbHqvv+ePL7BWMwYQvJ1hjIoeEg/2&#10;7QDoqer8adf5dLwynFrJsP3ULAVW1dcYypFzLiFYnm9gExJBv7zgVsuSBdPUcEk6os9cyBEsaFmc&#10;Mspezwcq3+JlAJPQFWjvV9moGfZq34NGCqdbfBSS9F5baPsDmc7XF9ucfeivx2Wg9AjMg3AuzKv6&#10;wBswD9oTSuj5cPu+v8rLRg6Fk3UPdxdDAt4t5MxFFRyIR7LbV7AO6qo1cmMc9fCVZQfsROJb90K/&#10;4E9C6F26Stnta0FVT6deLmxnwjmtJ9p1P6daVzJP2b0DHob9ShOWVi+4I1jjFECORSN4c5GJ6md3&#10;UjGO6btabU/dPDE8D9sexq4ztyRNn287UzrOFSo6aDHPAKWMaQrmzzQT3mfhnO2nZIap38vdIs1L&#10;Roj37vZb3d6bcWsgH9rJSlVczFd9cK8Ez6bylGnH3HXnKPRwvnFlcrsLL2wxwRfcpex8ZAACbRP0&#10;99yZAtyMFar+6OU+99sCB6aESODKDSEBq8N4fYIvnLsj6Ti3fMFinslzvsEd269ypkfADpgTsGfr&#10;FUcKxSWBvIdo4KoMqHYMW8omCJfIKYzewRtqRlmgck3vpc96VwOS1TwpnB7jZI1V1sowUu8YKCuq&#10;gqo/UVW/WuTyhfOJzYkazgcn4Kk3BxSph9Jiz31W/7HL6bDUjFQlzmdfOLethMmQjnNVbc6H7fet&#10;EZyrvZzxBbWfYdCyy45ui4JoNaWCIoF5pnkKs2TUw1qhO3lYiFjVWTyxHfTf9WUiOEe1lWHXxe0L&#10;1KBd1ib4s9+Yd3ELvCZEtE2cb7prbkUqgXMNw6FVKNSdpC0yUjCU9NmbvY8pRtmMBEIN9CUd51Rl&#10;HZMZq81XsZzxBQ1csdRu5yLWAZdgdIODLvIjx0Otx5TX9Grqehh20ZDlPkwgeEpKWPTFV3KYQqL+&#10;fgno4q24KDofU6AGmAKkgiBgk2KloNHd806L5D5IH6YEVBkDnM/XF/iUGyQyTOrMCMPI6TeeBXLG&#10;F1QEVZmfWcjyjmbBGs48cyeBBq4OS6/gjoRNBzDQPdk/ZjAFuwWIX1VaSZcXLrIOo+CQOcLWn/D/&#10;25rd1f4c88xd+s6nRPCVCgsaVDoSBrBt+Tjf6iikfJWQAlKAzC5ZDGuOMXX3bgzEOd+eaRP3SISM&#10;W4Gc8QWVCxBHNYaEyUTooWsZVvyqvJDFuKBKBJ/o7sksw+OqEsxC3U088MML6u26YweZyFoo+lM5&#10;0+7F5QVbf5buDyyj8eMwzWFUlPhKS7p+FjebZn8TiT4OEwTOx9Tc5sC5Bh3oSxoaFpJ01k3c58bt&#10;B/kwZ3yBcVKvIbMKdsBa2n/SAaSOwpzFuKCaLZMpEcmfPhIJkUEjiAZ+ktDbzzrAcD1VvHW6u7K3&#10;rYqfLr5CunaQswKp4MGd1Q7XHyo6rMJE+Kll0APLJyKRU+jfFe9hVWflFBbnCgZADkv25+WFc0yV&#10;d/sJTCER7Oi2p9nWspyMAl/AGM5sdsXaLKBbGyffJlYYl2Ldqs6q67JqqcaulQBhIjurvk/M+7O2&#10;opVcUK6BTdujUzLKXNoo4+g6JlIyoJxPmT/rfkp4E65NF+cpUgxM/3zYzjLBPniZnMkLWfBl9YL0&#10;wlDUkydPlK7OlM2J8pjclQD0cxylA7MJuKvcmRLAwRSYkVYMoS3+HEhyidD9sy6PiiIXzrPWwLfw&#10;Vq0BiSbLANkyrMa2U7RLr4dtvs4IIZW4Jc/ETWAKINkCkIJzy5Etrs6KtDNh6YMU/rHxBfVQMqgp&#10;uZ4V0dj5NZsYS3EWd6Y7PFaV0BVDDQEJWbd/Mc8ywMwwyAyd1trhAI/5CgkNXJ1Ues9S80guaQuc&#10;qUK7xwGcZDHouGAwTG5qDD1EYyCcLuFB7f2oTnylXcgoLyhrA+e650XlxxScW77gNvojYw255wu6&#10;RNhRwQqIgJflwC+kXzUvMTsz7qFw54HGUFjNXLdXJCZKwr6QPnVgZ8gvuq9BJQU1zmFrRCcaxhRc&#10;7kOZfqkE5HApuxy2ICdE4sSqqyYMfWnr0c7y0u6JdINKsvMpt2ta20C/r9uvFDTyk+Jcy6TLC5Sh&#10;O4pzbMmKc3BIR8D5MEY8kCn0rwGKLi7dpwPmM6b5yo66d1oy9+dTMpwYvfAm6GKlTkTepJ+kwIRA&#10;RlBTP9PCPZ0lI7oZctpyd1WywrgmAKYCVG0nse53BirNI6zrPJOYByY9kGiognVtAB6dSt/sxLdM&#10;aE0GoXUCkuUg/GnPSrSkDq/pX5PZgWa3gelqCaPkW92EZuuxJMcbtftCxgCgMx4+6+4HyY5GqrIJ&#10;WgAPttiv1auRT/uIJDgsxz+TAaRZaYKSml0yBedKt1ozHUcVyrLBjCaYbzZLGGC7kVr03eKKmhlc&#10;kAm7AewzyWIZcfhOio1thHZGwGDt4FpTpzDDmJrDDiNyK7SMgKlwvgPCGGlNG20vqiI+37bSn+SH&#10;2QOcGm1lL91B4NajMgKfj9zswOTLbv/XJgCgH7H2qLjsM4x2Ac/lg27fM46dFnN5GQDQ/URVCY8g&#10;eB52PiX7XBJdSOBc8e8GsytLzY5zhRkIRyqqCUgu99TPM2H4HIVzLy/A7ImWw2FJRA0seWTyFV0A&#10;WeV0JVd54XzHNKmlihpYV1WChVpsMBXyAmSjR60npki/tK9bCZjxmkAlMXGHkSurFhyERdI90N3C&#10;Y6USXWlto/3yAodxQWm6i1xlhMS3KjIoxrQeFdBUF1OpBC55vsUQ+BlBumzNAfApNyZNRTPtF60D&#10;J6v6QLIchnOrX7iYBM9UqMk7s+Nca6DXTBtmHTAzeYAQ8BRCLWClG4t5NWSeD0XZ+fVllcw9X9Ax&#10;sAOTEe9aXgcv4ycDMW5FVq0twQLckCSrUFDSbV1hUFK09+yja/tuP+knadtBhaGfTyXMeG55tzbb&#10;hPZUf7L96q82ey8UAK1QHxKDksBYSlsW5wNbd8n13Di3lK9QuZjvZwruuF9kpmVH5qWU/DHwhUtB&#10;hK/EY8BjwGIg9/4IP5YeAx4Dl44BzxcuHaW+Qo+B3GPA84XcD6HvgMfApWPA84VLR6mv0GMg9xjw&#10;fCH3Q+g74DFw6RjwfOHSUeor9BjIPQY8X8j9EPoOeAxcOgY8X7h0lPoKPQZyjwHPF3I/hL4DHgOX&#10;jgHPFy4dpb5Cj4HcY8DzhdwPoe+Ax8ClY8DzhUtHqa/QYyD3GPB8IfdD6DvgMXDpGPB84dJR6iv0&#10;GMg9BjxfyP0Q+g54DFw6BjxfuHSU+go9BnKPAc8Xcj+EvgMeA5eOAc8XLh2lvkKPgdxjwPOF3A+h&#10;74DHwKVj4P8DUoRcMiHSjUwAAAAASUVORK5CYIJQSwMECgAAAAAAAAAhAOmcrD3fbgAA324AABQA&#10;AABkcnMvbWVkaWEvaW1hZ2UyLnBuZ4lQTkcNChoKAAAADUlIRFIAAAF1AAAA8QgGAAABQ6wXJAAA&#10;AAFzUkdCAK7OHOkAAAAEZ0FNQQAAsY8L/GEFAAAACXBIWXMAACHVAAAh1QEEnLSdAABudElEQVR4&#10;Xu2dCZwcRfX4O1y5dmeGQwEBQYiCgWR3ZgJGBBayO90jgSQ73TMTxQM8oqioCDGQoJPp7s2xs8vh&#10;hehfFA9QRMETFRWBHyqCN+AJKLfcNwFC8n+v+lV3dU/NubvZI/X9fN5W1auje2rfvKnurq7SFIpt&#10;RdbdyiRj/5A07dFl7UMxLZ42n6GolkibL1NU23VBfitFQ/HWwRMmVq9evc/AwMAWltDtTSxsEfFk&#10;4IS/S9EQWIaXa//khRPnrF+/PtBlnCcpNmJmpYy9KcpOeHbSnM/jTNkSdOLr1q07gaUnFYZ9MwZw&#10;8ieJvY3xUqnUQUkwn/KHKDYxwRMG+RHY+0UU9z/MfdqxLf1buT1zIXVIT6oRswP+gZN9gZ+weOLI&#10;C1dpIzp5frK19O0BNg8mczal2ElD+gtgMq+sVCqzST0iap1oLX3LwEl/haLVSLxRq9Q6yZF/AOHk&#10;oMcTFMUP9Fvw889RckTUO8GRnTxiuKlQD/faydHocYSf3Nid/CgjnnCjk2uUPy5IT3x4eegkpWVa&#10;gpuH4f6Axf20/aCmO39g8TZNiJ/YjGRuf3biNU6ekhOLWMr8Hj/BWpJIW49T8XqUdgj1oO48QDGv&#10;Z8U8ns6U3+THdXuYhX32a31dE8hOmAsVaYKMfZWWKXWzuHhww34mlNbP6fJCGE2KJ49g2OLJTz4G&#10;C3doQ4X/59m5tRtpYQS4bHdtMP820H9YGy54ndQI+MG5GH/6R1uo+amHzLZldh5LWlmK1sBw1sIX&#10;7sfMThcN7MmuUTFuuDeC/h3a0c5+nj2XeyC9mdXR3RfA7s9i+ozzGqbjdn7EaTH/+1MDPNF4ynwe&#10;w0TKZG3Sye+EcYR/mM7u3PFMIYUfFEPdfZiFXBDDvTNUBsmUP8xCTPOT73MXsDDrvsTCGoD7+xae&#10;GMr0+dZrEknz36iHXn4f13Nh5ZPmwxjK6SntQbGRwU++CfiJRYH/woMYxpPmDdDjr42lrFvjafPX&#10;LFOK7r6DYh5oRojoOpGFp89koe74tyhYHs9v4eQnFobjUqw1KoVbtXPzBUoFnG55HaVQKBSTCN35&#10;bcinjwDZD5T4ixpPWf8Ty9S6k9wYPpaJMoIPsWsyN0BRn/iCQl+tX932EE58YGBgA0UZbMjbxgeI&#10;p/I3+j3c3f8ePz7qJy+Qz+d3pKi2YsWKWfBhnmKJUTCj0cdw/kQx7PXN4sVF6EJjlO6ajSribWt+&#10;ZeS67jvgg9waOvkWQdMQhdQ19W2Bt63hRD9JSb+3+QdxHOcgltEi0ZNsJFRtZMAJfx16/l3r1q37&#10;Pam8DzRCm+cnmUhZV5CKMfIPIJwYnOhqijLgv/ILio6Ieic5spNHdPshDKDH/8bSgG3br2eRUfA0&#10;iQXmi41OHi4Pl5OqDfAke0uvo5SXNlz/seNIqHXiCM+rlT8uiCdV7+Qa5Y8L0pOK3CFGWj9xw13M&#10;zAIlM3AY6Z5mIaI7X/NtHcOFw961Zta9nIVNIv0AQ/m3UGxi9rqIeIK1hIrWgfc0j/OQx3Xn1Kp8&#10;RHfOD6V7SjMo1jSyE+ZCRRognoB4kjyuu8Ms5Bj2llA+xy9fPq4qb8owVPi7Nli4SKsUr9BWpHcm&#10;raYNWn+CL+4TLD60PKMNFm9g8XOX176Zxccroy3U/FSjx78TjKB9J1L51dzOvbT5IMidPI1hbfDO&#10;bsa5kMXx9nV2YD58IR/WMu6/YYiwSeujIQGC9qy73r8UMco3gazW9NIh0Mb7Gtk7O7m0+XI8af4l&#10;ljLv1uZkY7G0ed3Mef378nwME2nLm1FVl4zza5Bv+SdvuM97oe2NZ/TyuqqTr4XhPM3ya5SZNa8/&#10;hSE/wVjSfFLWs6hD6ZxvvkGWP3J09wiKtQQ7mX2tmZ0wDN41XTjeP9GU9R3Mh8HaMKbBbMJeTkqm&#10;/AaKeWTATDLOu1mcmQj8qiLoIhHd9a7+dXcV6D4Cg7YDocePZWX5r3HfQC8LJwUZ279IaRtxfPOZ&#10;fDANTKFQKBQKhT8qM5zq+VU8D2UbAyPAQYpWIRv54QMDDGV5XBfNk5UdW4TOLJVKe2EoXkmB7lUU&#10;DbMN/wlwsbMRw2jnwD/k/HjK8p/WcCZ+x1PHDQwMXCh29rp1695IUc40Cvkl8woocxNTbKPOnzrU&#10;6LDTTjttuuzeAfxznsJ54CAHkipAdX5z1HpJhKxZetNGyHsZ/gkZUvu0+uLJdgnvJOjA0I+W0Ll+&#10;50P4iEyPuK7bzdNj2fHof5sRKt5U+VjaqlDxbYjh/FMz7C9QCjv3X/BPOIeSPuDHfwNyPyVrg/e8&#10;DOciSo06so4bTaHDbCMCv+z/cEaJWjj4d/a6WBXj7ONb7Ux5+fCt47EFO8xwn1+5cmUnaRhg/ZdQ&#10;NIQ454VhuC9NhB/WeCp/ZnVH1ieWzP231TqjD3YedaDMqkEXfsgmlJ8IRDuw2U5st97YwTs2KuNE&#10;Z7f5ZlESaetyWadxoWoNGUnd7YZZXUu7ZR3FhYp5SN6Tk1G3jVEDLZa/FDLWtDj7ohWinYWSSJq/&#10;pGx8sv28trG4gnX8ecuCp4cRZO1Q1iij2/+gmPdPQPBh2ZzTpvvp0JQWmqeAeXrJe/sM47xTvXhw&#10;suH4mHU8p2bH4TQCfGsOGSr+nYWErA5KrDt3KhUZBcSOQLKuQ7H6ROuNFHw/EhntdgFZJ7YiiZTp&#10;vSI2IvgH42H0pTiu7yu9moWI2BnR+iKG/SLIX1ncb7/8JvhWvOyndeckFnJQjxLteAwN27vBNkrI&#10;OjUqsXTuXiquUEwGhgr3aCW4ukT/PVQ4CX48rwUJ32+pFMPfpOGi9y1FKsW/sBDrcSrLT4ffgeso&#10;pYiSWGA+jO4C477rSOa+CHIDT7OChJjeNW3eFU+ZVyeSOb8NDk93Jq0l0bzmQd+J04JGnRr3Zzjc&#10;l48x8aTFJpmFOhXi0TSGOD1PTHP89Nx8RyxlnYRT9mT1W4O/bmzYPwa5mYk/Q87xFvYQ7630bYhD&#10;Gf8NAMi7E4acf2b1xNlzjV7f4e1FrxHE15hxeInTDbfBP2hiwDt+ioAWyaxy3/Ar2TijkIVksTxM&#10;pHKfT6SsO/x6AL5Ij3F8mR5nG8I36Vmmr/tSfT3whXu+zghiOLeEXgvBbwTOROwp7cTKGPbJQVn3&#10;Ohh+HsbWNjHKP2A6XH2A5/NQL82Bdm5ncQRnMnLEsoadE5ZM8PR4+5lfoAW6ppjdZR4aT1mXYlzs&#10;xFgq91YME2nvpU8xb3YqdxyGftm0+X6eRoFO3wz/FH85B16udbyOD6aCeh3gTflMr9gZ0tdqc0u7&#10;sIUvME8c52NaL39GO9rdGzrWm9rBdMLVLq6MwKaWwj+HI3Y8HgPR7ae0rH2B3/Fcz8mUr4Ey7GWn&#10;UQEXKhguvCxdrABvG1Qy4dXZ1AIGCoVCoVAoFAqFQjFZyNKz1qjgLYVxAi79N8VT5jcp2RDv0j+4&#10;7OegHrdMmHVIf2jlDLwv0/6tgZGAj/D8ToaOF8GVAXgeXvZvY2p3SM8M6LCq+Zu8fLReLT2SSJsv&#10;UHQbwTtUYN26dWzTAs7AwMAhLCIpO9ZgJ8k7yvqnTM90+y6c2ZnKnUwqBi8bT+WOSySttzMlsW07&#10;XejAFSuCm1XQ6T+jKAMnpoKuRMlQvW1BPG19LZa2Qiv4y16xQVBX858BxJO5jzOFwLbrdOo46Mwf&#10;YyjO+BUBK/dPslQqpSC9jCW2UcfjdDyKVjNv8a5g8T+nFIN3brTja+mRbdPp2GFHlGIYhU6/Xuxw&#10;SJ9LUYbrurdgCGXYAwDI/wZ0/h5TewGVsUDorFWrVsWhQ38E8i5MRy2ep3FmMFj5XUzJUZ3eJJKO&#10;4lOtoVO3yDo9qvM5cmWn6vhmqNFJvHOh49njMg64kxtRD25GvgSR6vTGyF72go5+WOj0e0jNgE7/&#10;J88jVQj11l4TRDsJOtPFBRp5x4KwNW55J3NLRwFrvxp1ImPd6TjaqCUJyZWqrBxKLJnzZoONB9hJ&#10;YM2roTOXYFrsZFFq6TjQBpsvM56dziWeyl9GxZsqT0W3HbiS7Tvf+c4Zkk78C+9cdCmo4+loWQSs&#10;/kcYtrqhW6vIOq2WtFJ++rxc9dvlY0YTP3zQ6R/DEF+LZ4p6jPEPqazDaklHt7lUpq8l8e4cWyRi&#10;7KFOEqx3GgwZZ1Gc6cGKTej4t4PcCd+Aqstm0PWCeHNixmn0EktZV8k6krKrkJVFoewxhl6V6enp&#10;2Qk6dwVpsSP96cYQf0bmVuCfswtFPcapwzl4q1bSiTUnxU4/eOkB0fJUZxsQ6Sx8yRf+AWxeOHTs&#10;K5mSgI7/LEXxn8F2D4KyMKyM7Jk2TrTaibjOZSvlRxfqsI0bN76KWzS4Ex3k2xgXES0e8n/CIhOg&#10;w5FoBzbTie3UGR1wk7A6HYcdDR3MRjEwjj/e72wE66UvCs9bHCeindfMeDxaB4WytgG4dgB2oG6v&#10;wSR07P8xPQAu5HuQ/gbFvSnGhv3piWLhiGx/ScqqSzxlsQ1JWq03umBHss6vsXk4m51LZSYIsUOX&#10;HRTtuFY6r916ow+uf8w7VxTd9l6kHQfEtQXiSeuUaGeJQlUaEp+3eNd2624XRDunllDxpkgkzb+P&#10;pP52QbSDREmkcmwNdkaFXhZosKCDrB3KUog01VGVwv1axQpe26lBtB18RYayRgl8680ov18znPtI&#10;M7bgb8BYMCc7PdpZKJTrMXDinr6V40vBEhq2MSp4P4SrQp0RjevO91gcNw/w8qZBGKyUkSkd48d5&#10;3Z7SXn5cfPGMh2MA3xRY2mmV4tPaUNGb2VXDvcjqolD2KCJ2Br78xeNiGHwLsLN5Xv1Ox4srkaCe&#10;F44Rsk5DYZnDBc94SifFtI3WwSwOxNPm1bI6KFRE0QhZ57Uj1NwogGNqvrMFkrFXgitof+OG7Ah2&#10;vGDfjPa292uErBNbEWpmBOD7nuLX23ANFo8SlFlIYXABhOj2d6Guv/gmI7p/StBGEOJ7q7wdfvXq&#10;51Gn8/xRoiOde5OsMxvJrMPzdTeUbx7xw0Q/GL5YK35gLx50OiJOhRbrG86j7K1oUSe2Iw+DNQIw&#10;HKNOR2SdGhX88dVed8Lo7EkfQvxA0Q+GaX1tEWLej2TGtny9rI4sLoa1dNG0Hxc6fTT2u1EopiZD&#10;hf+xcLjQpZ1XPIDFK8VNbCWkQbgC5WPzUs8M0G/WNpoL2JgdGS6czcbsQ4XgN27YmqcNLA+Gu5X8&#10;XdrGnLc2maIJhotfh05ny4pA517L/hkiQ8Ve/0JpKP/n0A6GyFDhv/CPqWiV5a3fBsCnPJNF6JQV&#10;ExkcgXQmzXcl0rkXMI66RMr8YyJlPcLTHExDOTafHl/26kjmjvF05gsd6fxRrJCmeStt798zA/NQ&#10;oP11TKfw4B1DSSJ8MyuezLENJ2F4WPXkK1qXp73Ozr29uu1m4UO0bYG44tE2OC52SrRj4mkzWNoW&#10;mZvv0PbMzMZOj5atl5a13R7ZsnfZbtjP+J2CFziIN272HjLr9ma2BanueJMvddt7l8hw7mDlcB9V&#10;vpeqYR+qZdwPUDxYjA1h+7Paf6aUpi0qHeG1DWLYB/vLVuGerUivk2Vhk2CngDt5sKMr9yZSSWHl&#10;hH1ZcXv3WMpkG8+CRZ+IumgHY5oLqdqgbxWuUHez1lfyrjiRzJrXhNb44gsdI6KlYj3dOZNSYXg5&#10;XOVOt9l6Wg3B9cL0MkhpDmm8dnQ79Jbc5EXsPP6CrXfj6+HQfW9OpuyyMNzpL1IsAG8DeOwA7XlL&#10;CbbU6fal8C1ovEFKHdAKE0nrjngqfzL8ILL56Ilk7tHYAvMvLC+deyiesjaAXzd5+c5u6x34Q4px&#10;yLsV9eB6nuuYnz8K2vgupmMp6zqQe7BMLGmO39z1MSf6z28C7BSK+rDOpHvkfPk/EVzVLp4011OS&#10;zXMBWUlJBmuXliGE8lU76rSH7uD9ltrg0oCtEvpGtbd7c6vIOh18vL8heCJpPsiUyNw8e0gDHXyP&#10;2OnsnxPpdIS33X6nG+7e8HX2lvnDzsFOz7jsB4SBOhTD+S1bTZR3Ou9IsUN53LC/H8oXy3D6nFOg&#10;3NksHmrD+Qm4sc95caGNFqEO+yt2Glh3aDzNOj1l/S6WNs+PpfNncV08lbsMZ/RiGlzH3bigPXTs&#10;ps75uRPhn/G5WNcyvXP+m18H5fAfMW3kD6ZxAymkqtPt8GL3fBFMWYdwfdYNrdIfKsMJytbvUB1G&#10;Lbgs7ZQFF6XETuedYThvgbQ3NMyc4S0YyS2dL2CJq11wgiVIgk7nq2GIGPYTTMcX5kSr5/Bjc7DT&#10;+TPa0QYXyBwqrqm694JUCodD/n9YvOS5n6lDb/lwGJMPUWrbkKdLery7WCn+pqrTK8u9Zwe80xUK&#10;hUKhUCgUCoVCoVAoFAqFQqFQKBQKBZFxbvWfpLYjhh1a5X1KQ++LU0qLJa2m9mwQ69QjvqDQJ5bF&#10;eKO60TIYj6VzdSezYJlts3D6eGM4bthY3bspJ8S6deuOHxgYeDfGMXTdGu9o8ukIXKJ7708hZqXy&#10;6ahxNSK+wPpbs3VGw9hxYlIzdaa2sYsG+cZgGUIwambsEH4UxJ9nA3HfY5dKpVdRFNcTW4whf5UG&#10;yt2LIeP4UnfoOFMUbmBkVPU3ZyewbDxtees91IAb+4xDl+7HyidzD1BWTYTzYICxH4vp6GYvIix/&#10;Sho7NzzdfZk0PrZt58BYfU/sOM4iMGy2lAHod4c0W+YAPPt1GHLwiwC6uZT0gS/AIxRtfsbfJCKe&#10;yt9IUQYaTWe3eRElqxCNEI1LTMsIefa907Mw3qhOtEyzdaaWsRvOx6PGJu6oJAJG+gMwYH+CM2fr&#10;1q3TUCCKUo9pYPz+CzAQf4KigdHjizyTHDR2MJKXEynzUWYw3eZ5lFVF1Oh4GqWj23oFqUOIZeD6&#10;IMY9PEtLEMujiC8h1SJUJ22Gt7eZlOjO01FDR9BrDw0NSd9KKJfLdd/oigIG7XcUfFnYW2jwhfkC&#10;DHOqFy3j56I7fyCNQjEKZJy7PMOyg1dUIoDRswXzwWBPZQoAdLh9xMs4FsetJEhdBeajUNJvC6l5&#10;EYtwgzfsi0mjUIwQblQNgPE6W1wODPfPaLzglZ+OGrIMXga+KO/FEL8kqIf6od09pTR5bgpFY3Dx&#10;KlxN4Gg3tMlwFDDMt2DIDVcUyAu/GB8BjPyT0TqgY/d1oe7nWaFa9NmvvVs72rhH62m4WKxCURfc&#10;8qvRtl98Q6UzzjhjdtRoyXA3g9GylRwgHBSHJvBrkJTVQaEiDWnmHCcqiaT5tkYSS1uZRHd/lza3&#10;p+UFOmXtccFF7SGcD8WautU55RENCYxUuhglGDPbZwnyX5QZLRg42wgFwruh7MOVSmU2hG+F8mwD&#10;b4jfLqsHUvV6ugjUY0uuTGZjD93JaFPwbg41V4WsfCsCbde8OzTl2PpDbdctV2mhfWTBSI8AeQaM&#10;ja0CKF58Oo5zlMRofaFi2MbJsnwuVCwEHG8z7Zn4U1IxcO/Dsd7/cKyQGdhIhZpmyPJHItTs1ASN&#10;aMu3tH0oid45WG9JAAzxaIr6gO5U0YDxNiVl4dj+YjRangft8qWBQvBfhSjQlvfT21Oao+FSQ+I6&#10;UJMImUGNhnBvL8sbDenszh3PPsCUgm8hFrnjAYa8Go0UxtxdpGK7GFK0CihvYwjGy56yQd3w+uMS&#10;oCxb3Q3C/6MvxCdYhoh/bmT8U5j4AjMnM7x6QlXrc/CSzlr7ljYSqD0h9uYbPbhBZVw2NgejCy0N&#10;Aob4Vxy+UPyrTBkBjRWGLo+Uy+XD6aIUx+yrIC71EOC5pbvBIHB8b8kUvuA+Lq+4nRFL9mdlxicT&#10;qtISnancR2RtySQmWZdtcsMN3nBqTr8F770FDJGtwwnGvz8YrPTJKhi49DE/1Bf3sD0DZJiS2N5+&#10;FPXIlP/tn9N2jMz4ohJLmquoeMvEuvszsjZlQlWmCLr7gMzAwEuzZYvRe4NRvoYpAX9cTUD6dfBl&#10;WAOyEQz5vdFhj2wYBGV/DnIbSLCQIj8HNVVAiyfNb8gMLypUvG1kbUYlls4F85emDNzYMmV/rVgw&#10;xl+CsVfdKsQvAIaQz7cL3oHreMiBMqfAl+A5EG8bxyi4pi0/toIR7859RmZ4UaHiI0LWblSo6BRj&#10;0dnepuN1jA+MN1g+XACM+VbI+39g7KHxPQ59KBpGPA5fs1LBkBlcVGZ2Lfbvpo0EWdtRgV+aKbwQ&#10;NYLr34sGuejsqnnpImDoD4I8TslqdPuEUHu6sx287tUi6fTOMmOLCozXvRXeR4Hp8xYfKDtGVKj4&#10;doC+Ph0y1KgY9hYIvR306kk7i5lvB/Dl/psVqjZqyI4RFSq6nbNweCYb/vSWDvSGQRewOTXbMzJj&#10;GQ2h5keVzvlL3iA7VlSouEIhZQeZ0bQqsbT1J2ovzHBhubahL06ptpEdMyr13rRSKHwSqdwfZQYk&#10;E22uFWyNVQvcDJNviFnJF/x4G3SmrCtk5xEVKj7BMZw+uBD07qMbdtW7o4pth8yIZBKj/XRqMmQm&#10;fYMvZWNMVyl+kqWdnPzOl4REuv9bsuNHhYpPYHC7GTTwWvSV3+9fNGbK1zBd7znzQnUwzreA52Wj&#10;+XrpSF+XdS/Xss6jfjncigbJlI7xdSi9dtKP+1vVCHN1DOE1QUxnnCf9PMSwP+KnuW6SEE9ZG2QG&#10;JRPcU5SqeQyZRzKD5jvDDBVe9o2+km/89peA7HgymZ2yFlGVCcxxGw+uMgSezjiLQnnMaGxvnRLD&#10;fVrTy4/BL8K/wKi8N5GityB5XQx15+csjjBjpzzcqZLHubEjYhkMo3Euhv0eX88Jx4N2JiEyw6ol&#10;VMWDG/dQ8RFt6K0naIP5u30dSh3gi3ahrP1aQtUmEdx4uHAyzt99ne6yaQE+0bKId2vR0x/nHMR0&#10;Xl1/nguk2zf29IpZfprrkFrx6C51kxFh+YumJG1dX1dkddqQeErYI1KhGE1kBjcekkia3qbZExL0&#10;an0lvml/GMzTYaxr2F/Q+uTTbZsC2+HjdqRZT6qXz6dzqPlqWUO8+q2tB9lnv9Y/R7YlZvlwFp8E&#10;yAxwWwgdfgKQcTb4/7yM876QsWE8U5K+P8ryUMQZhHjh57dl/96PZ92FfhyJxqPGjvuk9pxZvbG5&#10;CM/DUHc+yeKIWMdry1twSdaWVzcwdkwbzn+hzptZGqcfILhSAq8fMnYYbont9tAbVV67gyw+wYin&#10;zdtlBjlaEl9gPast9PYAn3jgjvfiPywar2XsHMO5xK/D/sllb3HRRav3EfSBsRv2eX4cwXgtzy7G&#10;RVCPd3i4sHI0Ldhrb44f58bOEdtk+c47KRXOwyXyeDo7MNeP1zJ2nIeTca6n+LNQ/yYWVygUCoVC&#10;oVBUId73LvV4Q8Hh4qUsHCp41yLDy9n7vxBWWIgMF7/OwqFi8A5opVDRKkVv5d1KcRMLOdH760PF&#10;XhZyfSX/bxYOWUVoWz6turL8dBYO5v8B7XvTtIfhmMPFl1h8W7DeW5rCX7ZCyegJdfHYMVT4LRiO&#10;N4mrkr9du+iEWWCI3gKxw4WXtUGrH2LetUylcDNb8WGrNg3yvFuAWAapnBTcUUJD37ikUxvKn8ke&#10;LCHDxVsg7V2P4FLjlSJbKz8wdviSDLM5N95y4qgftPLauYUytPFHrQTnMFj8F5zvD1k+lhsu3gB5&#10;U/B1PIVCoRgJeKtPCNl8Fq7T5ubZbdBEOn8LhrGk+SSGfr5A5zzr4Fja9G+VxlPmk4lUfrV2SP/e&#10;4qJJLBOI0xIYok7WbiJp/p6iuNvHXbwMn5Pj10mfsAe7ZalQ1AKNJZ7q/2jU6GTpWLfJVkvGeDxt&#10;Vm3SINZBY4+nrK/h200dYIioE/M5vG0upGZMn5djr+JRUkukzDs7upf1oK7K2IFo/bHBcNZSDB+i&#10;jNp7hwycv9K3YcST/0O0co66s45iAaF76ZE5O5MMbiDNGI2sLO7BFEtbX8E4rhHD87hnx+0mE6kc&#10;28hN1q6oE+PxNIzXgVh3/+Fcj8aOoab17MR1teqPHaKxIzg3Hem157EQ6S0frmWcCynlYZTDazQa&#10;rndVLRqTaOx8hiMSNjivEzJltkgSI2u/TeuzX89ewYsiM3axPfHxvW6/lWIBWDbrepPUkAyuVyNZ&#10;As9wvOmvi9wj2HRmxHD4sh4BuuvdfRDPIVP27oCIOsUEQDR2wwluAxl2mWIeaOxHne1tNnX0am+D&#10;gZCRUVzUtWLsuhveqhCNXUbGDt8WQ8LnESyzUcvYRZix16HPDVYiNlxvp77w8SRfcjutZdzgVp9i&#10;khH17Ir6ZNayTYrHEv7TD8OOM2VDAySezNmQz4ZrEF6NIZbZNV1gk/dgbP5PrsOQQ2l2757nxZPm&#10;ehjH3yHqxHqdSesLUOYGjEfbg2HMsK/bM+Ov4QPXD79OpK1zdu46cdLvYKgYQ0SDEo2PxfcNJmOJ&#10;5RBeht9VQWRlKIqrAP8XxvZ/RmOHL8+joW0faVv5zpT1c/jirBSNnem7c6/FNBo714vnxo2dkmOM&#10;7r6DYo3RnWDdxEZknDH3bDWJDlUQ3fUW6TTsK1g4BeAGCQaWw4tKUYfsmqaFSedkYyE9xH3PnrR+&#10;xHUYMsiAKSUeBzx79YsXfn7E2DFEEknrl9zYETFvfIwdp9Xq5QyLHzXgjc3xndEMbbfeV+71jT3j&#10;nshCBMf8sjnv3Ngxr89ewuJ8ASOcOhtc9P2LhRnnWyysR8b2lsVrNGaWGbvh/hMuqn8RusDF1weR&#10;PnchCzNOcK8363h7q/Ixu24P+LMz8Tqkr9zD4obzAxYifaVXTaUv09RDNPYour2RYkB+R9/Y+xx2&#10;z5YhXuD2rQqMgBu7OEWYG3vGrf0AIWqoMiPGuykc/vKG7rCxJENm7NyzZ2xvMwOjvJiFIvguLCdL&#10;89G5sUfbxD1eo/AXwBGcCuy/7D1BGLbmaYOFi5ggpbm7+PHB/M+102F4wfM9GdCGC5+L6Dy5IDtd&#10;queimETo5fpbS05WKoVbKYYTul7Szs17Kx8P5X+qbTC9i8ToRDDEnwcTXFxCW95t3uFCsMkEfmGG&#10;CrU3XFYoFAqFQqFQKBQKhUKhUCgUCoVCoVAoFAqFQqFQKBQKhUKhUCgUCoVCoVAoFApFQ7Kl+ewd&#10;zmakr/RqqrW9MS2xwHwRI/j2vfgGfj0SKSvYT6oG8aR1P28znjafwbAzZX2UsqXgchlYDkNc87HR&#10;wqMxYetIOMbTpN4OwC3eZYbciiwqzaXWpjxoIBRlRNMyEqlcqZlyCDdCjHfOX/IGjMeTS70NBSTM&#10;TprzWZm0eSym42nrn42OlUiZjzUqM3XAjbpkRquXTcj1FqmXUtpB47v0ReXIlZ1UaMqCBrJL9xL/&#10;i92MwXCvS8m6YDmxLMZxrRZKVhE1dISlU5a3o4cEXEtGPMbUJWqgmTJbwVVk3bp1x7uuezJEpw0M&#10;DLwbRL4oTsZeWdXeFAYNBCWWygtLljSAFjyaPW9psPBsDXj7lCSjNT9NySpqGbrYRpSpb+iZ0qKQ&#10;QTbYPlLccqVUKiUoqjmO83Yw/GC9FwTXpBHbxoWHpiAwNLicGxJ6alLXpLPbPBLDRsbHEcuBV36q&#10;UR1l6FEM+5u+EeqOvzX3Ctxnh4juJVTL0Dlg7A+DhNcpwXXTg+O8l7RTikQy90VuTI0Mhuc3Uxbh&#10;5ZotrwxdRHd+Vcv4Isa8A6T9Za/rGToY+D0UrcZwviQc73zSThXYdjBII4NCwOs/Dp75xkTS/DeW&#10;jc090dvQuAZ+m/sunNlM+8rQOXr5LN/o+JqPAvW8eDRPpFae/wuhrz3FPy4uIzdFgKHImRTFsfcr&#10;WjEYZpDCqrsyRCMV47WoZej1bktOTUPnxmaUWEeAZ/bWaSTAYH8EF51nUxLH394ioXWAC1Wotv5d&#10;lPRB44f6+1ESf0k+6R9/iiAayIzXH79/PYOJJ3Oh7W+wbCMDE8tM71p6AMbx/jjLlMANPdZlHYHp&#10;+ILcTY2OEUvnn2hUZnLBjYxWzIXhxgeZPgIY7u4gsj2Jpm3dupUJxj2VHDTyVatW+XsuwRdqBovo&#10;5UemkrGDp7wCjSSeyl1W72I0njR7sRw3qF1TuT/yNNdFEfN5GX5rsjNlfpgVihCtA579dsqSEi1P&#10;6kkMLukcMTAw5jvBIPvRKFHA8M+jLB8oc1PU64tAneXwCxDslwRQe2mMQ34G0yyDw88ju/bLpFEo&#10;RomIkXPAEN9EUQ0M9rcURQMP9kdqgg0bNsThC3EAxiH0N+uqMnKPabXOR6FoH25UurAIvwAY9f1g&#10;8P6ueBBna7FDuCcY7SymrAOUiXHjFr8saOSg9xb2j4K77uE5yXamUyjaogXvCUbPds4AI/8fxN9+&#10;2mmnTQeD9bZElADlngLphTIH8LoQ3ssy647j8zu2cl4KRX0y9tnMmHTX27GiDmCszLuCoX4ebwtC&#10;GqLrvoyemRWQgIaO+VAOn44Oco8OusZ7N3FDP+acKXO7UTFecGNqMKMQjPQ4DNFowVj3wVAUVkgC&#10;lH1ELHfGGWfMRg9P2fUxnI/556dQjIgmDQkNFEPRaFHAaLeAty6xQhIg759C2TMw5ON6yHuUFaqH&#10;MnTFqGCUP9fIkCqVitTIUcBYv7Nhw4bqHfEIMO4/gNwn1oH0/0DelM/DOLwBCxacut992tGfo6RC&#10;0Tr3aofvfp927NZ7tGOCXeAkgHGy7RlFY+Vy9tln7wlG+01WUAKUeQGkS6yDAl6dzYVZvZq2fq8B&#10;nh8KJRWK1rlPO+YyNKJ7tR62qWstwJDZ+B289+NRgwXdy5D/FOaDZ3816jDOgbwXo3VQYOzO9hWF&#10;+t9gBWtwr3bs4945Hi19SjvRSSTNtzWSWNrKzEjm9qcqLSFrjwu2O+vw4/eiotsv3FverR19DKnq&#10;IjNYFPFeOKbBiH0vDYa+Z7Q8F8q/ihWswX1azzfpy/hLUk0qoo/QmxUw1Ic1rUf+jEFAVree4CSx&#10;ztSyE6j69gE3dEo2RGasKGCsh6FBg3wWPPSdWBaM/WyQD8CXoENWBwXLQZ2qaQUiYODn4Dneo/Vc&#10;T6pJhczYWpV4d3/VG10cWflWRJvb00FNTV24oXOPDkZ6G0jNbdJlxhoVKtqwbLns7ZANx/s2q0BA&#10;+kpeBtPc0Lc3jy4TajKErFyr0sybT5OarddqM7Z8T9vz6e9oh5GKAV54NzS0jRs3speXwfj8yf/c&#10;CGUCHtx/KVeWzwW8OFv+AYG2f4gh6N4N9b/HlAKbvqNd+8JV2tYXvqudS6pJhcywRiLxrqWhF1pk&#10;ZdqVWNIcomanFs9fqb0bjQhCZni2bafJEIdZAQJ0v6coA4zzRtFwuYhjdWjjCVkZqBuaLgB1DqEo&#10;A8ocAHX3BKO/GNPMyEG2XqGFyk0WZAY1UpndRdunA7L8kUg8ZcqmX09utn5fm7XpCu3CrVs1NuEK&#10;jEw6ZwWMTnoL0HEcXTRiFMrS4NfgVaIeDLylxW+g/GdYRHde1jLOJSw+CZEZ02gINT/m7U8dmnzy&#10;KHrrWnBDx3vrEG84dwa+QOw9UjDqx5lCxiR/MiozotGSbdH+1IEb0tzSLqRhwPBhExouGOOJmIbw&#10;PSyjBlgOJ3rBF2IWGO5NqIPwJyyzAeT1q38yM2fMnuyG3jRzsjH+dlDTkrK+RrXrgkMdaf0mhJqY&#10;AujO15ghGeUHSeN7Zg4MUdjDDDDc4EVfAPSvAQP/BOi/A1IGwemM94Ksgi8K3mr8JYQPQJkKVfGB&#10;Y1xAUR8o+zAeG0KLKTLuC+zcdLvqfdOpjMzgaglVaZoEvdrXrMCX7wtUdQpQx2uCh95FNPzTTz99&#10;JkVDYBmQq9Grg4H/G4x7sVhPBAz5DxStT53zmurIjE4mHencMqrSErK2aglVmQJwg8o67PYeGCrY&#10;d2knCNew/AhgxCmK+oBRX0jG7gtlhQD9PyhaH8O5hZ2TYfu3Irc3ZEYnEyreMrK2aglVmfQ0fEcT&#10;DNQGT+w/rocvwT8pWgV8Sfx3QkWgvr8YUvSLAHnhOeoNzmd7QFwWup5Q8baQtScTKj4FMOwtzLAy&#10;dnjJOIIbJhhkaKYjpJ+DoOYrcfjLAGX+QskQorFDmWspCtcN7svsXPCctnNkRhcVKto2sjajwtd4&#10;nxpwL9pXWkAaNFS23goa5UUXXbSzbdtvZRkSwFiXg6ffiAJx/2XqeghfIO8Np0z5A/55KLaJocdT&#10;1j2ydqNCxacAfaUlUSMDA3w3hrhcBRjl15kSAP2LeGEKIXr0poAvgPSBFN69oWjwZTOqrwO2R2QG&#10;FxUqOiJk7UZlJq3uNTUwbGGlLG+sDcZ8DRh5lZGCt58Pxvt+yPev/MFoj4H0BaB/A4ShFzKgfEwc&#10;roTInjY9MHInvMT0dozM4KJCRUeErF2ZUPEpAh8jM2OvDRitdI0/MPIbMQRDD43rIH0dhtXGLixt&#10;UeMaYXtFZmxRoaIjojNpLZG1HRUqPoXQ7c2+8WXtt5E2RC3vjHow6qrX80DHJmbBFyFYF1B31vnH&#10;0ZWRi8S7rR/IjC0qVHzEyNqOChWdYmScewIjDK/7AkOURWDQP6dkCP4FiH4RXNc1KOrB20Yxyszb&#10;KwJkhhaVRNq8i4qPGFn7UaGiU5BeOxkySPT0dcALS/DYT8J4fA8Idye1SHDPnouiCpmRyYSKjwqy&#10;9qNCRacw4kUqFxx2NEum/Kmq+hnn75SrEMD1zWVGJhOqMirI2o9KfIGZpOJTnKixVgsuDuotEFpL&#10;aixmur0zO5V7q8y4aglVGzVkx4jK9mPonN7y4TCMeUpqyDIx7Ae13tLrqPZ2Q2e3+eZaklhglRJJ&#10;6w6ZQTWSRMp8Jx1i1JAdJyoz0idsrzuAC/TCmDzjvIZth754/a6k3Y7p2UlmLCOVeNLyl94eTWTH&#10;igoVVSjCxFOmKzOYdiWRzrN3accC2fGiQkUVimriSfM5mdG0Ktq+VvW7AIP5vbThwnJKtc+8xbvK&#10;jhkVKq1QyJEZTTOSSJsvawfm/U3NQgwv9wzv/BP39ONtkkjl7pQdPypUXKGojcxwZALDnaupSn3Q&#10;uCvW2/14Pti8t1Vk5xGVzuRUeq1OMWbM7Fq8j8yAZKK9dvE+VK02aNwog9aV2lBhkLQt05Hq/4Ds&#10;HKJCxSc4Gec77Daf7vxBWzSwJ2kV25hYyvyezIhkomlpb1ftWgwVnvGNHVlnzWHxoWLd9SyjyI4t&#10;Eyo+geH3svG2n7H27Y22cZlU4OeaZMiMqJZQlWq4cXNDHyp82k+3AFwDvCA7blRmppawtTInLmgI&#10;GedJSlXDvwSiwWBcX3sqi2PI8/AhUVA+WLYO0/jam25f6qd151d+WY6nD7ZBz7j/8XTC/BnDuc/P&#10;76FFk3T7NrabdaBn+5X6aZRJhsyYaglVCeDGjZy+cKafHiz6L8Y0w64t/bpMdNAIcGIWj6PgvBWe&#10;1p2HWdxwL/YNxnBv9ONemSP9OCcazzq6li3F/LTueGPGaDnD9l7GwHjG8dZlj5ZBep1j/TgaOo8b&#10;5bul5ScfO8gMqpZQHQ/R0JFK8U9VugbE07lbZMeRiXbYiZNgqIuGoDufpZRnNKKhG+U3sjgiM6Co&#10;ThSOGEdq5WG8j7ZSlJUx3J+yuCgInrNuP8bihv0eX4+I8UlGx/xlR8kMSyaJlOkvMAXDlJd9wx4u&#10;LIQx+QtBmqQmrT2tjSXN2qOBCYXh/CtkDFFD12FIgPQNnFFlQBn7h5DPtm1h1DKqqD7aDgfjPaU9&#10;/DiHx3tKe4X1p01n4RQ1dCSWsm6VGZhM4kkz2AZnyHoPGPmftY0Fti0mAy9CK8ul+0l1Jpe9UdZm&#10;I6Hqk4SM/RAzCC7c0BFRj6+0cQx3qacTyDgfDJcnouVq5WG8nqEjfGt0FP6yRyNDF9OTEJmB1ZS0&#10;dX09iaXMP0nrtSF0egrF6CEztPGUZvZPUihaJ53eWWZw4yF0RhOQej/fRikFeY6Wcd9MmpGDxzLc&#10;mnuLhugr92jZJrdEH03E/sB4rz2PUhMWGK+XZIa3rWRi72XE10ORkXFu9YzSWQ0iXZqiKRaV5lcZ&#10;TrOGjmVrnV8zLCzt1lb90PmWD9cWylcBnmjg1ioyIxxrSSywJsgeUfjwhBuN7lxG2sCQxH8sB3WG&#10;/TdKBRw18Aq/jlF+P2kjxgHxPvv17GUKXpbnY5hxvhXSyVjkHuGX0e1gFV3DPjhULxpn5R1vaWme&#10;5mUwNJy1fnpufhc/X3ceYDqE5yMY5x4db7Xy8lm3n+kmGDJDHCuJJc3/0mEnCOwfSQvis3+S7bB4&#10;T2kGS8vQ7RL9Q9EI9iOtV/8YG+9ne2/kc28ntoNxNHSErwTAwThPY2g4P2PxKF7eNzS9dEiofi1D&#10;x3VdRD2Cd2miZVF66f7/HLoFibBydOcoWocbujGwgYWIWGaCITPK0ZTOVP5kOtQEQ/yn8AcrSD1D&#10;5xj2E34Zwz40VB7jeEuPxzkYr2fofOjC4jWWkGN5do4JxnvP8pa/qGXoR67sZHEUfCUPqWXoHPHX&#10;CYUbvlgG476h2z8OlZ+gTF+w+ECZgbYjMPZ+PAHjf2p6gsP+KbTuOM4NMZxHWbwZQ0fEMtF4xvbm&#10;GWOcGyPGR2LofBpBpnwNE91+zm9DNHTdOdOPcwz7Cl/XyNAxfhx8eXk8XZrlxzkY54Ye1SsmGDhm&#10;xX8MF049QxfLi2Vq6XF3CVHPDR0Ry2LYyNBRrzvexDAOr49gnJURvwDCFAC9fAPTIVwXjSM8zaUZ&#10;QxdFoVAoFAqFQqFQbF8MW7uB9GiDhQGtpO2gVYortaHCL7y85Vu1Sma2dp51sLahf1/IW6UN5a+F&#10;cJNWKfxRK+U7IDxDG8qx5bYZg8U/sRB1w4WPsnilcLO2Ir2zVrEWQfxr0P5/tKHiUyBnahuKr9eG&#10;od1KPphuy99GwtvL4pTeSvFp7fzl3txzPAdk3bLd4TjeOwtDBW9inUJRxWBxKYjO4qJRDRYflc4b&#10;Hyx6b2kNFYdYOCxMw/XYAYzau+AezHezcHj5h6FcFxhisOdoZbl3V44zVPwKxTStdMIsbV3RWx5Q&#10;PIfh5cGGaRvyR1EM2oIv42D+ZGjfm9KtUEi5IDsdPORDIaOqFP/VsqHjlwaNkdcTDR0p5XfxPXHU&#10;0IeLt7Fw45JXhdqQGfpQ8RYWHyp6T5rR0Cv50+Fcqp+yjza4qL6S0Rfq3rFjMP8P7fL8jjAkeQtL&#10;V/KXgGe8h8VL4JmHChdoQ8uD/aEqBe9NosH83fAXhhYFG7yrt4DRcNG75Vop/gj+ToNwizZkFT1d&#10;/i46jvf0fLjwvLYVyuRBN2yxDdeg7XPgWJ7xDhYGvTww9HMLZcj7C4vj8Gpj0dtREIc/LE1ftqFC&#10;8BLOWCH7JykZuVD3KhQKhULRAGG+ib+lfGgeSsqbHotrH8ZT1l+j+SioQxLJ4AXpeMp8kufjWuuk&#10;1jq7+hcnkrmbOtPWFxJpcykv05Fc9noep6IMOOaPKeofF+OJlPlNnkaJpaynpIucKhRIPG3ehqtz&#10;YZwbEYaz5/e/EuNo6DgHHeOceNL6USxtfR/jYKyPMyXA63PE9phCm7uLWIYM/RI4h9sxjXnxeYtD&#10;69aL5RGW3nchM+jd5mRjeJ68TLSsQuFTz9DBmP/D04mk5c2/B3YFI0dDj6VyoblCUUMT28MQtzoH&#10;b/5FjCOJ7mU9kNfY0OdnZlMSPflq3l7U0HF3Dvy1wLhCEQINPb7AvAnCZ8BoDkMdGg548t9xQ9e0&#10;PPPE3KDQ0GGo8z+eRuDL8kGoc008nfNuEwKYH0+a69iwgtKxdH+GZRKguwT1XERDnzkvuy/8enwc&#10;2gj9omA5OP6aqKHD+V4P8SdYoTHBcB/3Z9sZ9hLSTg1017tvHIV/Xj4vXWQSzTrkHp0bC4Jx0aMD&#10;0/AP6mNdps49OgxpvspyATC8m7W5+Y5oO+CBN8P4nt0zx/Suqbz3Qg4BupoeHYY2j0Xb5KCuyqPj&#10;FzZlBm+KjTpo6ByclqvbD1FqdBhtw9HtNMUaozvePeVa6GXvcfkkhRt6PJn7Ox+Lo+GgAWEchie/&#10;Aq/q79IH8VO4oWM6llp2EMsgRKPkcR7Gkv3vE/PhIvVISNc0dFzGGkOxDgd1VYaOmxI0WuF3RIiG&#10;jojzv3GrQ3yHUndOojR4/fLV4Cl/pGXs9YHOXRwyaN05H8rcwAT1GHp6G4zL9Oo492l9pYWRei+A&#10;nAqe9jssbbjPQ93boc5ZWta5kOlw7jxvTwQXIs2U8357WAb3/peV5fS572Eh1uH1xJC9fucMan2r&#10;4vC5r4Rz/h/LQwznac0oHRAcr/wh0D0P8k9fh/A3rMYAfLsHDJzdLeEGgyHuvR/rzr8lviD/LNfH&#10;0uZ9LEzmnoPhhF9netKag3EE07FU/hLxwpPp0rlneHx619ID4AtzP6ZhWHOPZ6Be3uxuPrTxLjgR&#10;1EN59tRzdtKcz5TwK4OG3tFt5Vn73blTY+n8GE8BiBp6xvV+0kL/LDAiRNSJcY4x4D31ypQ/wEIk&#10;VMf5Fgvx7fuj6T1T3d3IQtEgeB3Z8WQevbd0IMU8/LI1PDq+1I1lDNebxCQ7jqjjnx8R15pEsvbx&#10;LDScL7EQybo0r4PeMVVMAKoMnd52Z4Zg3+wL13F4HF+9051TNL00xzf0ntK+LERCdZzTKAa/UvS2&#10;TsbxHiE3f7xqQzfs8OL0ftkGQxeO7DiiTmbomN9XWgCfyTt/0dARHP/j6ryKCYJo6LhbBS4cioj/&#10;aI7MIAzHmyCE74MGhr4XC5FQnTqGji9ZR5Edr9YYvQe+aBy+JvpYGXqfu5BSkKZxftTQcW1H3VW7&#10;WE8Y0NDxn4qil44grQfqDMfL52ku4vuTeAGbtU/XFpW9CTqioRvunSwfqWfoCG8Lx+Y8zYnGoztr&#10;6M5PQueKjLVHZ79mA95nrjJ053vQDwlKjQmJdI7tKJFI5TbPmptnfY5pNi6Gi0QMO1Pmh1k6ZfXH&#10;u/LdXl7uMxjC+Jo9oeT1oJ3QnPB4Kvd5uNgtwLUA+/yxbotts55YYP2Wjbvh4hPTOG5nFQBMw9jd&#10;37cokbSuxTC+IGdiiGVmHLp0P6ZjF9PWPSyeNJ+Dawpv0ti4I/7zFfXZBn2VYPe/zb9jnBsR3kMH&#10;uQLjYIw/xZDneXh3NsI6SLML2/4UJZFp3MCxDi8vhp2HLNsdDPU6roMv3od4HC5+3xLErXMwxDQI&#10;++VmT23B0LkeQ2Xokw3sJ1wXcoyJGjp4zT5u6PGU6d/zTiTNF7GsNreng1S+cXGihg7e/hdguP6t&#10;Zl4+FHb1JODLZHNdvNv6DY9zQ493FX1vD+zI89HQmQbgOoVCStTQwbhWoaFjXDSejnTuTSy/27qe&#10;VKy8WCZq6PBFeYC3jfCyGIInvpqnRUPX9n/nDB7nhu7nEfArsQl/KcbH0HU3PDavhe6M/OJqvH4V&#10;cDMw/JxZ4Y5Qs4hj9AlE1NA7upf1cI/ekcyZrBCB+YkFpncrF4gaV8jQ52SngwH/H7Ttz2jk5aP1&#10;0NA7cfpA0mTzVHi+P3SZk/X2nhJA/fgYerPG14qhT7RhDj78QuaWdmF3RKYAUUP3dMEYHYYsb8MQ&#10;iRpTVVowdKiPfbVDIpnjO/qxzb8wEq2Hho4hfIlexJDni2P0GQuWBmtzAnAx/PXxNXTDfkbDbU4w&#10;jdMBkJ5SB0uzPDJ0vmQdYjjeQ5c+WgNRt18E+X8sztvNOnf5xsV1+KoVKy/cghPriGTK//by7MtZ&#10;OuteCh7aexpr0JJ3CF8Hkt/REeGGjojHYO0K6Yz9NpbOlB+C9tg/D0LPo4urDnMwjk+TMTzq7Fcw&#10;HT4EwzTflW+MACNjTz7xrou2fw/7f2Ha01lXiAYERuzP+4mlcxdjXiydP4uXYXWSuUfhi3MnCLv7&#10;AkOMm9H4eZlYl3UEq5fyfhniXUsP4AYeS1rLO1PLTvDatc7BECWeyl1GdfDujf9kmRt6LJX/BNV5&#10;H8sYU/g/LvoPFEOEx2WGLm68hcjqIbJ29YGfQP3fUKo2fc4PWIiGzrdjNGgqgmF/WuuhLUOMMrvb&#10;EMKbzvAzkMe1vtKrSFd9XvzzIFFDb/Q5gjbY/A/FRKPuP618JwuReh7dOKd6JV2OLI4hF/7QCuN9&#10;5wRrMnIy7jUsD+fCIGjoHFyIn4WQXw/u0XVnXWj5Z1Hw1wtXBOZEDb1vpfcFQXCnDy+s/my6u2aq&#10;DI+mFvwfJPuniTr+zxMNXcxH6rWF8DjumCEjunioYRcohnG+Mm+1oaOn5vSU2NzsEOLQRXf5FyZ8&#10;7ghOOuNUGTr9oiAZGI4htT4nImt/vBksXKRVCqew0E+bb9CGCl/VKvmCtnH5AqZDGSoMsrAEv5Rc&#10;N5xfxUJed0P+1X6eKJVieFrGhID/Q2T/NNwPFD2ZXloG/1zPQPTycTCG7QeD2gMM89tMl3Hz7EKP&#10;G4Vuf5+lEVm7RvkZGEK8Otjvs3yDll6xM3j3p1mag2uSY1veFOILmE5m6AheR6Qv2hnKyaYTCIZu&#10;/8oLyzZ8jrV03Is9HS6bXTbYeUYNHVfnxWGP4abgi3UL08k+G27s2/NOPN9ge/aJAq6sxcLC+RBf&#10;yeLIcKFCMY9B70lraG0WXLELEXWc9YUuFsryFBOcjDNJdjZuAdHQh/Ir2AJCCC5QJBqpMvQpDg6B&#10;dOdI35tPNbih812gh/PBnaGhgjc/H1lveWu+ywy9stz71a0sD4ZyUUMfKnq/kAqFQqFQKBQKhUKh&#10;UCgUCoVCoVAoFAqFQqFQKBQKhUKhUCgUCoVCoVAoFAqFQqFQKBQKhUKhUCgUCoVCoVAoFAqFQqFQ&#10;KBQKhUKhUCgUCoVCoVAoFAqFQjEaHOccpGXKb9Yy9uma7nxNy7rXaIZ7e5XgDma681kt67xbM5w+&#10;f/NUxfbMjvF07mPxtHk7SixtnhdLWnMwI5Eyg60kR0ginVuj7X1C9a7VbZDo7u+qJZ3duddq82mT&#10;rREga5vL7MNO3JOKjQhZ21w6ksuq95RVTDEydgUc8gNsy8YxF+cucPpvpyMrpiiJVO6PuN38zHnZ&#10;fUnFiHf35/mW9aQaMd6299Y9lBwx8aS5np8jyqyufDdl7QA/TvdxfSJp/YH0LRNP5VaKx+hM546n&#10;rGmxVO4S/xgp09tStj12EI+RSFnBtq+KKYThenv0tiKG/QiMxG/TdPcGLWtfAPEz4EfgFF+M8jlM&#10;bzj/B3n/gPJPSNupJYbzNFwNvIHOUDHJ2WX+stdxR0KqMHtmZtfMaxFwss/wY8UXmO8i9YiILyj0&#10;8TZl5ynmwY/JVaRuidlJc77YDnyOYymLMTtlzRPztUOW7U5ZLQE/Cg/yNhJp09uHXDHJ6SklwGne&#10;IXWmouAm8712kmqNDd4WwTdJjy+K4fwWznsnqqWYZCSS+SHfkSTNF2WX+7GU+UGKts3sLvNYfhzP&#10;aVlbtLn5XSi7bVpx6uCMf03qlmjk1JFY0vqrWIbULaGc+lQhU5kNzvMZqcNE0e3HtEVnt3zvznXd&#10;P6xfv77KuAYGBq5xnNq3VEql0m4UraZ3/Tw4n+ek54miuw9rWn5HKq2YDOzfMwMdrOiQUOIp87l4&#10;19IElRoxzInj7Yqk+aR/jG7rfi+3feo59Vh3/+GhvAPzccpqiWacejxt+beqUGbNW5amrKZRTn2y&#10;ozu21DGiYJ4EcNKng1O+CORhEHTa76CsKiD/OplTB6f9KpCqL+vpp58+c926dXdDHXYFAD8KX4U2&#10;NkG4ZsWKFTuzQiI4Os+6l1adO5eM208lFZOAeMq6UXRKosRS1klUrC1iqdzFIKdifPq83IFi2x3d&#10;y3pYoTaJOnX4MbpbTMfwvnpX7k1UvC2ac+qRK5Fk7kOU1TTKqU9WjPJ1UidolG+iElWAc31s48aN&#10;nZT0AYf7bXTc4Iw/RSof0P2sFacugj8W1O5HMQ3H+TCcwzUsU840zXCfln8ut0JlFJOC7HR8SCc6&#10;KJTY/FyRCrQMONrnKcqAUfvPxbZJ3RaykTqEj4u6XXAmzAhoZ6SOdSiraZRTn2zozvekTi9TrjuK&#10;AIeaRwcLjlg6DQzyvof5UacPDpk5fEr6QHv7rFq1quZlKBxnB6wH5b5HKoZt21VfDCwLEr4vqrsl&#10;6efUyy2PXBRjTzyVv3HWIf17UzIEOOOvBk7G+hapWwJHynAV8ONE0rpSFN4uSucIZo3Uuv0SS1t/&#10;FvUdqf62rxybuqeesr4v5D9D6pZQTn2yoA8cJ3VyR539CipRlzPOOGM2OlmZg0Y2bNhwBN4moWQI&#10;x3EOgnoPgoN/HMrcAeHPq5xwhHrHigLtvQHa3QJSbcQZ25J+7jaeDyjGDnTq4Ew2U7IK7mRmd+f6&#10;SNU0s+eZveBc/0PJEB3d/RZvG4XULVPvnjqMnn8j5iVSuRJltURjp56dLuaDYpqnbw3l1CcDGXtT&#10;lVPrddi9RQ44xNXgHC8D+THEH5bdZgGmQd5f0NlCuQ+QDh3wItCvpeSIgdH5QmjzNmjzraSSAvnz&#10;8Vwg3HzWWWf507fy+fyOYpohu0LJ2D+kXMU4g07ddyTJ3P6kZiRS1s2oj6XMAqmaZmbX4n2wbs0R&#10;8t7pWfy47NipHPyw9LQ8iyqezn1GbAfOdTVlMcBR/kPMh8/4RcpqmuhceL8/5uY7oI9+x9pNmy+P&#10;7PlAemfxGDRPXU06mDC8sfTKKkdmuI9DTugXHBz0vRT1Ad2XwLn+DsIzSdU0UKcIzva34GxvAFkN&#10;8iaQuThi5wJlDrdtexmEeHvmHyAXgDNuamoZlN0V5CWQrdDGPDjPfmyTstnMGsyDcBNcEcwgtaYd&#10;ubKzqj8yLoxESjtQCcU4EUvl8Aec2SW+hRlP5sx4yjwznupfpLU9+6Vnp/i8xbuKQhmMGQuW7hdL&#10;LTtIJq3MnooeQxQq4hHN29eaSTkNEetFpf3+CSNrm4uW7mtrxo5iNOkr91Q5MN3dSLkh1qxZ8xpw&#10;gi+jIyRn+BiEizDvAx/4QAfmsYISwJnuB475bnTSpBoxp5122nRo72Y47nsgWXUJCU78qQ0bNhxF&#10;SR847y/i+UPdh0glx3DvrOqbowaaug2lUCgU254+56gqp2UMHE25dQHHeBpFfcCJhmaOgONMQrkb&#10;KBkCHGrVqL8VoN0MRX1A92445oWU9OFTHOGYg+TM72QZzWCUN1T3kSt9UKdQKBTjx6JSqspZ7f/O&#10;4BZEk4Aj3VwqlQ6kJANGxyUYmR9DSR9wpp8Dx381jrDRueJDVcpqCTjeHKwPx54P8ieIH0BZPqB/&#10;gKI+UO6hGs8A6qPb76rqK4VCoZgwzLlgepWT6i2blNs24MiPBMd5BiV9wJH/AOQJcOq7ozNeuXJl&#10;J4YkXVSsacBhP4V1eQhOfg8Ivw7tP0tFGKDvwB8RSo4Mw7041F+G/SLlKBQKxTijl+8NOyjnG5TT&#10;NuBQHwcnGnqQCLobwfFuhpH7eyG8j5x4SKhoS3BnjgLHuBkE7/P/C/TLQLZAeoCKMiB9CUVHRqb8&#10;ULjf7CsoR6FQKMYJvZwJOSaUEQJO8+8UZcCI/VjudMHJbuJxUWAEfQeEv6QqLQH17hfb4gLHehHa&#10;XQDn80dMQ7iKquDVwmJ8WEvJ9on2XU9pD8pRKBSKccBwHg05JdykYgSAIw2t+2zb9sFRZxsVHE2D&#10;fBmcbltrn0O9v0L9j8vaRkHnDvIcpf17++DUj4KriVdSsj10+7uh/sOlghUKhWI8uE9Lz7pPO3br&#10;fdrRz9+rHfPFu7VjRjS9EJxr6FVsSP9GdK61ZMOGDQaEV8PoueYCX/WA49wEgqPx94jt1hIo67+Z&#10;B/G/UrQt/qkdEfP6MBDKUigUim0LOPF3ic7oXq1nJA/7doDR8FkUx9sb/TKHKhOodzQI3n4JPdgE&#10;h7sGRtJ7UVIK5M/CNqAs3oK5mrfZSOB4/po1kD6Zom0h9iHKA9rCIyhLoVAoth0wQr9HdEYwWl9D&#10;WS0DTtw466yz/DfhwGlujjrSegLln4DwQAh/QU2gU78RdH2gu5XK3EpZPlBmIy67y9tpVqCeOFr/&#10;CUXbAvrxGrEf79eOOY+yFGOM+Gr6WEoi1f+lWXOP3wvXb6dDjwqyY42GxLusC2fMPeHVWnp09lNV&#10;TBJER4Ryt3Z01VzyZgGHey1FGeA4l0YdaS0Bp/oS/Cj4L/CAzn8ZCOIHUrkHMQ3H8WeYQPwcirI3&#10;VKlcQ4Hj/T+qxoC6l1G0LeAK5xyxHyHd1gNfRevIHNq2lETKeiSetE6h02kZWZtjLfF07rZYsv2l&#10;iBUTGNERofxXO9J/exSc7C1Vi1vVIerUEdCxtVRakEfA4Z5SKpUO4zpqygfyz+d5ED8JzhPXmfkW&#10;pP3lChoJtB9aKwac+tco2hCoX4HPtUmcOaOc+vghc1rjKWx1wu5s00tHyNrY1oK7OsVS+V/RKSkm&#10;M6IjQrlfO8afuQGOC1dsY+ungBPswBAcKC6T+1lwot+B8B4Il6AewdsvUC5GSQak9wDnl4061VaE&#10;mvKB4/5PVq4ZgbpPwHmeDec9h5pjgP46imrDw8Mzocw7oMzvhbovQfoBELaDDpQPLUnw+Je1xJ3a&#10;kQeDMz/hHq3no/dpR1UtmaAYG2ROaqIILkWrpetvQSerN94CTv5x2V6viknAC9/Vvv3CVdpWLs9/&#10;V6u6Z80Bx/YQd3Lg3KpmyeCyteDApZd0tKb6X3n9ZgWc59uoCR/4oWAPRlsVaOsQOL/Q0qwcyJdO&#10;Q4RjJaDe9/HHCsK/kLqK56/UXoj043spSzHGyJzSRBNc1rbWDv2y8hNJ4imzankNxQRmy0+03ULO&#10;6EottKoiODu2TC048dtIVRco2/ASDtr6EDjIy7HdegJl3gTh6VTNB/TzoY1PQSh9iUmQB6HMY+CQ&#10;665xDWX8UXojbNs+FNp9Fo5/JakYL35XO3XTd7VfQh/e9fxVWs0NGxSjj8wRTWSZfdiJoU1WZGUm&#10;qszq7m95CQ/FeJCxr9IM927/5Zlem23cjIDzKlO0JuDkQqNcSP+Uok0DjncByG6u61Y2btx4MByX&#10;XQmgcwZ9aLYB6fYCZ7wnCG5gfRfIBqhzN+j3xZkwVLQheF8cxF9PvVnw+BTFN3LPCr985KiRzTZE&#10;5nwmusRSln9FLMuf6BLr6h/RRt6KscYorw45JZQGgFPbARzwCnSwKOBUr6IsBqT9aYntgPfnod2H&#10;0OmCs/43qdEJH8RXcoQyt1x++eVt76yCPx5wjMWUxHPGHwl8s7UXPx+pGxPtu14nSzmKbUAiZX1k&#10;pBJPWZeio40nrftBnpU5srGQRjsldabMN0QFzxd3R8J9UnGrPUg/kkiaL8raH2uZefCSV9GpKiYc&#10;uMKg6Jh0p2rXInB2uKzti+TEN4GzfQtlyZgGTvcxitcE73FDO7+B9j4N4dMgn6L2vwvh85C+BOQn&#10;II+CfBl0eEvlF5T3RxQ8JzjWD7AOyDmga/hWLJR7X3SEDukjMdywYYMFbTyL50Hn4s85t207/PAo&#10;414T6jfDDe06r5j84H6esbT5jMypjYZo8zNtLTfdiI7uJXPB6fubSY+VxNJ56R6uivEmUzos5JxQ&#10;BMBp7oMODkaw9UYWuA/pUxRnQPr0ZpysCBwLrwDOg7rvhvjFUL8E6XmQ7oE4BAOnQXgm6C6G+P+o&#10;WtNAneco2hSVSuWV5NzxXnmwm9Iid5+qPjsqePlKMfXo7C4cL3NsIxVqfmyZE95cerSFjqKYUOjO&#10;aVVOSthvERzb5RQNAQ72XHB476MkjnirXmCCuj/FHwZK1gXKfQadKDnS+0D+C8fAxb7+CYKj+kuF&#10;/M0gOapaF6h7PW7GQcmRkVnzmqq+0u005SqmOPGkNSBzbO1KIpl7lJreJnR05d4kO4+RSjxlqllf&#10;E44+52dVzgo30AjA0fh8GLEfglMYSdc0UPe94LSl+51Gueiii3aG8u/jDpwL1P8KyPvhHBpuNg1l&#10;9gBnfmf0XEH3uQsuCH2u5ukrvaqqjzLuSspVbCfMnt//Splja1dmzM2/mpredhzSv7fsXEYisbQV&#10;2sJSMRHoc66sclqGfSjlNgRHzuh8V61axV66gJH7fqBbzjIFQPdxkKvAwTb91moT4L38PBz/V3wf&#10;UhF08pC/EI57F54jHDs0NZED+uelo/qM++aqvsm4H6BcxXbGrEP7u2SOrR2Jp83bqdltTjyd+7rs&#10;nNqVeMqq2hdYMd5knPdVOy/nO5QrBRfzAmc4Bxzm28hh+rsNgW5zo1sfUOYQqPN5CG+H8Nyqh5IR&#10;4Bhvg7I3gFwDPxzHypx4A6ZBvV/iuWI7pGNAehP8AOxGSQ/d/mtVnxx3TtM/doqpSSxp/VXm2NoR&#10;anJciM/rT8nOqV2ZPi8X2qdYMRHoPWt3GKFvqXJkaW8ELgJO8B5wjv6epuCQl6CzBOknVQhwpvtT&#10;/jc3btw4JtOi4JwebuYWDQI/Ipfg+UCdLXDu/jx9xnFr9q/qA919gXIV2znxVP5MmVNrR6jJ8WPP&#10;zGzZebUjuJ6M+ExOMZHIONdXOzX7H5TrA07xboqiQ82gkyyXy28glQ/kHS2Oqsm5PwsOeCdwrs9C&#10;/h2UFQKc7cGQh7d2VqKsWbOm7lZ0UNbfCQni80ldE9d1P0RRj7nwg5Bxn6367IYzRCUUiqnl1IHR&#10;fIgaT5u/oWYVE440OGHd3lzl4DLuk5AbTPNrEXDi30anS0kGOFfpgxYsh+UpiXXvjdYVAUf+bgzx&#10;gSiUZcsdgG6YZdaltAObb171We3QdE2FAsHVDWUOrR2hJsedWNr6gez82hFt34VNv+GtGA8ypVdK&#10;nbvhPK/prW3i7DjOa8jRfpBUdYFyuDrj3zAOo/YuSOPtlQNYpgT4cUhR1Aec+014TMg7m1QBunNk&#10;1edCwVstR67spFIKhcDcXWSOrB0BR+pPC54IyM6xHVEPTScL88+YLXWAKIbzXypVFxw9g2OuufJh&#10;FCj/Kz4yB2fOXggC3Y9ZpgRoG9dkx2OEljAIA1cghvO4/HPYT0CBtq9CFFOeHXH1RZkja1USqdyE&#10;WwQukTKvkZ1rO0JNKiYNuvNlqVNEwdsYGUenklLAQe9B0bqAA/8Cd+oc/GEAeR7aaP5Ju1FeDOf1&#10;kvx87S1wJdL2ln6K7YNYd//hMufVrszsWtzUi3nbkljXsiNk59qOUJOKSUdPaScY9f5W6iy56PZz&#10;Wp/9daox9mRPm67p5Z+Csw6vbRMVvfx5di9doWhAfJTXgYmnzKp1liYC8XmLd5Wdbzui7qtPFYyy&#10;wW5hyJxoLdGdz0K9N2p6aQ6to1Lj9gc44KMGXqG9ed3roPzR8GNyiZaxN0nblInh3KdlG8+IUSgQ&#10;cLyuzFmNVGJJa0LvEyo753YkvsAMTxNWTBF6SweCk79Y6mTHWgxng7ZoILQ5gUIhozNlLY6lretl&#10;zmk0RUv31d3mbiIgO+92RDn17ZG+Da9m9+YN538gT2u6+7LUOUcF743r7pNQ9wEYsQ9pPc3dn1dM&#10;GabJnMhEllgqdwmd+4Qmllp2kOz82xFqUqFQKBozPWnNkTmSiSbxBdaP6JQnBXivX/Y52hFqUqFQ&#10;KJpnW9wyaUc65plH0ylOKmSfpS1JmX+kJhUKhaI1cFNnqWPZhpJIm3d1Jq030inVZzD/QW14+Vat&#10;Urgfwm9qleJmLw3hxvHbKi6WNlfJPls70pnq97eMVCgUirYAx/plmYMZbYknzR/OnmfNa7TXqJTh&#10;/DPMgaOIDBZu8PXu+Mxfl33WdoWaVCgUipGTSFkvyRzNSKSza5RGnsPFl3znXcm/qK1Ie4vcDRUv&#10;8/TFbfc+R8C0RDr3guxztyPTD10W2gdYoVAoRkxHt7lU5nBGInAlMPKll0tLE75T95178RKtNDdY&#10;LnqouEIbWr4hJMPFsdpla0fZZ21XYimrzvIciuboWxWXTvsLiV21A5FinOkpdWj62lM03VFrtI8h&#10;iZT5oMz5jETi6dzT1HzznJadrg3l/6xVlm/WBq1slWMfzPtLWPuwvPy1lBp1OrqXzJV9vnYlkTT/&#10;TU0r2kZ3bvcdt+H4y9O2BK7RYgx8RNNdU1t4evVrvfgGZ5/9WiZRcGlentdTmkHaAN52xrZY2WbI&#10;DLxN00tHUqqantK+dL4fkraJ5+Gfb2kHtggZ7uiEMkfYhUkvHcLa6bPrb2DdU5qjGeUPQ1+fqhm1&#10;V4cMsWhgrneODr45KH87Nute7v/vFGPK7C7zUJkTGqnEF5ifpkPUZ6jwGHPQQ/nnSePB9VwqxS3a&#10;hv59Wd5w4RltGJz/GAE/dv+QfaZ2JZG2/kdNK9qmp5TwnYLuDJKWg44kKgHoyPy69mb4QfhZaJ0U&#10;w32cSnrwPN2+jTQefhvle0nj4evtTdD2WnCo9/i6RaXw0rhcb7hP+3HdvpRyw86P5bkvwI/EYyGd&#10;SKZ0TCgPlwbI2HeFdfYWcNQ3QviMr9Od06gFD8O90y+bsb8Kn+E7LO6VvYdKeWC/8HZYHfdRv8+Y&#10;OIHB6+UPQf0XQIIXrby0GrGPMfGk9X8yhzRSiXctrf1jXyk+HXbc1lzK8agUzgjlszLg3MeIXUdx&#10;zXQuibT5GDWvGBGGu9h3Cn2lBaRFB7PK13Mx7EcoV9N67XmCvkBaDxzl8jzdOZe04FhhhMv1Gdfb&#10;qq5v7Ue8cu7LkAp+NPwfgPIN0EZRkEG/DRGuy5T/Q5owolPHWxYcvbSbrxcRnbr4AyI6XhGu0x3c&#10;+MNDt88Q9OJnKPp6wzmWSgdt4w+kSMY+2y8fRY3Ux4Wxmv6YSJovwqVr9ZXjUGGwymkP5cP3nUs9&#10;O1WVQamY3lXkOmuONpj/OYu3wYy5+Vfj+cnOe6QST5rfoMMoRozoaHEVRBnc2YhOva+00K9nSG49&#10;+G06l5HGQ3fOpzpbQuuq4yqNInwzDcO9kd12kYkIb0d35EZby/k149TF5QNqtcN1ol53bF8nO38U&#10;XNOGEzj18IjFsN9T1TZHOfVxJZHKXSxzUiMVcHIP0yECBvPdUqfNZSj/FlbuguwrpPnDRbabVyvE&#10;us3hRMrcLDvH0RLtdSeo5TnGhKot2Jwvs/vjhv0JEG+1RNGpI7rzPb88jqgzzjGaUV4d6GpssKzb&#10;D/llUHChrijpFbOCdux72Yh2UWmuZqx9C5R/RtPXzaGSHn5ZV77l3Hg4dUS3n2I6/JFCJ84+g9MH&#10;8jNJ2Tacun2Bn2c4LlwB5SlHsQ0Zi+mPKPGUNVazVRiz5/e/siOdPyqWttbEkrn/ys5hrCSRNn9B&#10;p6EYU3DLObydYjhfAqf9BxBw7uWPgu5QtpmyDFzqFjdUZuXtr0BY+wElkr98Ry1TfpMv9fBm5ayA&#10;9n/ARu1ZZ5Dd+onit+e8hjRhDPtg6fHwCkGmP6IU8/XiVUStdrguqmfkvc+rr/0i6yPsW3Ts0d3S&#10;s3aS2ghvuL3o7D1rtw3gMsM6OHdsu8+5iLSKbUxH0szJnJeSsKh75wqFYlKRSI7+9MepIPFUHjdf&#10;b/3t2e2aPnchXH5/lQluuzbV0AcOYdK3cdzWtZj09Hyggz2k5g+qFWPCrNSytMyxbY8SS1nfp25R&#10;NE9pB/++Kj7sxJkrhv0RyqwDXP7zelHB+7PjAZs5s/a00C0Pjn9u7jdJM3LEB8Ws7bXjs151+qKd&#10;td7SsVqmfCJpxgacd88/q0jWOcjXy25vKdoCRu2/lzm6qS6JtLWJukBRxZEbO5nUQ5xCmCl1k7Yx&#10;fh279X9AX2n0R8u9dtI/p23m1Hmbzr/8uG53Ue7ogS84HbUet9irBh/E+sd2TiJte6At1NulqZZT&#10;b5bjnP0ppmiSWYf07y1zfFNN4Afs79qc7CvoYytC1NvoOFMOP2SQlUExXINK1EYsr9uXk1ZOT2mv&#10;UPmoZNxrqKRH1g2mPEbh+j779Szdu253XxcVfAOT4+toumNU+krh+fKNyDi/9usi4mweGfiQtFY+&#10;14sPM3XnTF8vimH/mEqE/wdhCV7r5rpM+RohPziHI1d2hvSiGM5/qZRHOyP1rPt3P08UnJaqtvlr&#10;mngqd5nMGU5WiafN+7QDJ/62euMPvhHIvzRR0KGjPuMGL7gg7Y7UkYx9uvRHxLBPphIeXN/nfIk0&#10;ATwv41xPGtQ179Q5TY/U7QdJ4+HrnTtI0xi9HDjcRauDJUq5LuM8S5qA1p36k75ed76mHQf1ZTQa&#10;qfM8lHrLJOBMIaOUgjayTHgdcVmDtm+/lHaAz38o9FuGtZ1xfsfKGvZNVEDRJPGU+bzMSU5UwamH&#10;sVTurXT6ipbhXyyUKIZ7C+W9RBqPkTj1KGyn/MjxDXfvoP1y9QM2noc/DpxaTh1ftuH6tp165PaL&#10;r2/BqfM69SRj/55Ke9Ry6riujV8nMu0Ql2HQnbP8fBTcG1WkFacuQ8zP2sd7Dlpw0vu/M1hPp1Wn&#10;Lm72bTiXsPcDsKxhe/PslVNvi84F1sGJ7v6ubS2xVPEglJld1j6z5ub30ub2BG9XK8aIrP02/0uk&#10;2z9n88Z7z9odvuzcoYMM9FBpj3adulG+E0ZcLnshBud36+5H/Xa81/YDsqEXjT7KnFVv6XVwXt5o&#10;NFr+zete55c34NzxMj1bPtzXoUSdOo5k/Trlz7FjZEvewkSInzcSp44jTuclVl535avBGeVP+W3i&#10;C1gc8RaUYf+VfSbdTvs6FNGp49UO/4z4QDbjBLcxRNLiCpnOr9nnFu/r+3mRegguKMbzMo73xiCe&#10;pw5XGlyfLs1ieqRVp47PW1Cnlx/SFg57C7Vl7PV+WdQrFIomyA70gvMJHt4Z9t+0Pucoyg2DLwWh&#10;k0E57hz5Jb4MvAWBa6XwY3jH+b7WV3o1lYgyDb7QJ7PbP35596c1Vx3E0TZ7YQjK4X1w3XbYjBtc&#10;OgBloXDbg3P06r3hGMH6KoazmnLQSXqfMWNXSOPB9eK96lrozu/88vXQy/C5qByeE4d9Jnob1Du/&#10;DfBDsZP/mcT+z5Zt+Pz/88tm8E1a+NGWAz825auFdoPFu/h51Dxn+KHCl454XVzITLSJkFOH/62s&#10;LbZqJemPOSe8kmZfuRc+28Ne2xDi1FnvbeM656RQKBQKhUKhUCgUCoVCoVAoFAqFYsoxXLxcGyqe&#10;RSlN21j0Xmsfyl+vDS0Pr1k+VHwWynsrYeJytkOF8Gyl4eXe+wXDhfd54fKKNlgMNmspWbtBG0Oh&#10;jaGHC8exdmUMWzO1SvFfcB7hh/qV4ia2FK/I8PIPs3CwcD60t4bFkUrRe5h9wUkxFlaWPwr5vSw+&#10;mH8vC/GzcCrLT4fzq15hdbjwcKgcR6ZDsC+wLZHK8sWgv1urFMJbYw4XKqwPKoVgEsRQ4c8UUygU&#10;ihZBR43OaTD/sFbSdvB0kMaNJ0Rw42buxDCs5dQ5UaeOoFOv5B9kZVGGin9kDk3GcP5GFlbyN0OZ&#10;dSyO1HPqyAbzzZDG86veHk506hwsWyneC+Ufgx8zR1sR2ahjKH8rC9kPRmS/U94fUWROfePyJSxk&#10;x+t/JYsj6NQrmdnaxkIKzmOLVsp3TBmnPjAwYIP8RYmSySJkupOXSv52iuEGE9N9JzW8/JvgWMJr&#10;fg8VntE2mkez+GDhBnCOX2Fxj2khx4ugU6/AlYBIpfAZ0F1BKXRo8pF6dBPpoeITcPz3eHFwvhUr&#10;GO1ent9RG7I8hzkIDp+zIf9q//Nw0KkPFnVKeWCZPFsKehr0x5Nwfp/yMoChwi0U86gU/wL1L6SU&#10;V1dkqPBxFjKnXlzF4qWeGXC1EfwYbFzSyerhlQvCnTqnUvxTVbuTlfXr118MslWJkskiZLqTl1LW&#10;uy1xPjhAdOpRSqUdtPWL5ev2IJi3IT8+r8vLjo2jXGSouB+7fTNZKeXl+zcoFAqFQqFQKBQKhUKh&#10;mGzEUtY9uHBVLJm7gaWTuS+yhaxS5j9YAeTgIzv5AlfTD17qv0EdS1rPJlLWuRifNd9MJtKmv1xG&#10;rNs6G8tTUkukrccx3Zk0f0kqLPNJsYzANNR3dC+ZS+kQcMxNmJ9I5dkb1/Gk9TdMx1PmV1kBIna4&#10;WfCO2e/dbwfiKevHrG7aXMrSSeu3Xlu5YAXYA/viqEOZcejS/UgrxatrfYCSIXgbeH6kYsTT1uWz&#10;5h6/F8ZndeW7eTmWCWA/YnrmvP5gmRCFQqFohnjavA0dSCxlfo9UvjPS0sEsEK7DzZoxHU/lNmDI&#10;nbpfRwB+GL5NUW3XtPV9zI9ByBRzvXvf8WTuYywtgMvaYtla+3mC836S5ZNTR6LHByfNfjBwVUhS&#10;+cAxP86dOpS5hJVLm8EDY4C3F59X+3kC9NlqXo5UIeDz3+m3kzKfI7XWmcy9fbc53rMM7E9ZG3wz&#10;71gq13gZcYVCoeBUOfVu6xWYRqfC0gR3POiEdpm35GBwzv+hLAaMgG/lZRILzBc1clqcqFOH0Wr1&#10;dEMERsYd6dy74byeYW11W++gHJ+oU4djfxTT8ENzLysAYNrTmWeSSgqUadep75hIWlfyz51Imj8j&#10;vQ86dQx5W5DejOlmnHo8nfs16uILzPCeAArFmIPrmPPFtFDGCt2xKaYYRbhT70xa/tZzsXQueBmJ&#10;4HnohOJd1oVRp46wWzCp3GZeFoWyQk599oH9rwSHGF6CmcDbQRjyfU6xPUhOQx2HO3UIr+bH6Zi/&#10;LLTgH9fH0v0ZUkmBMm05ddz0Q5szZzou38vLaocs252yGdypI7Gkd84ozTh16KfrUQdXFJN4JVDD&#10;fVzT3WFtkbsPW00Pl9HFTaS9lfeearit3XjS85EEnP9LWt+GibsTCi4pi3u4jjbeEsbsUrwh+L/E&#10;/y8KLl1sOF/y/r+lI6lEbSby/38SExqpp9M7cwcTS+aCtzIBrkcnhGnu1GPdJxyOYSJtfQtDTjyZ&#10;+zuWj6fyKzAdHalDO4dhiMBol71k1JFedhSMUG9LpPO3oHBHGE+a32AFCXGk3rlgycEYR5ndZR5K&#10;RbBNGkHn6q55D2Vad+rgkOFK5hF+nlCX3S6C8GkqwRCdOgLnzUbfKA1vvyStO1ibKfPTpJqEoFM3&#10;nLWUqga//Bkn/NIALrGKG03jhg6G8wO2vrZIxjkGRninsiVjM/ZKVi5jX6FlS9UPYLIDr2BljfJN&#10;rBxuxxYaIbBlc0/VFp4+U+uzj/eOWTqA6fSBM9j5Gc7HWJrTt/YU9gOFDgy3Y2Pt2sEuKrrzXqbD&#10;9dqlS/6yY56kGfbNUO/nWvYT7Avkc7S7N/wQsi8NW0/c+3wgziKm4+A54TrguLMUO1/hHGuBS9bq&#10;bonO+TcQWqAN+oO3k7Efg//d1SxuOMdSrhzsoyi6vQz03qgNt6bj54aba+CxOdFz5une8hvZ+eEy&#10;x7i+O4Lrt+vOOlYf14fvKUU3Q5gG/b0AynyZlcnYV7H/kQh+FjwG1s0434IBxrWavvYk6fLBuCMT&#10;lt17RbDM7ySBO/V42voBpvHhHHcys9NL/f+nryOnjsxMLnkV6jDOwrm69zKNx45MR6NXcIK/wzR3&#10;6hx0fDPnL3kDxsF5h3Y1m95VPADrsHa6LX//T9GpYxoc94f8cgcv8X/88XYH6qIPO+MLzB92zl/G&#10;/t+Q37JT5z9CIrx8Z7f5ZlLhA8+qUXYsbZ6H5eo5dfgxW4DpxILgmcTkpJFTxy+WXg4u+XDXGd0O&#10;ntAjmfKbPcdR8l51zjgXsrRe/hBLc3S7VOVgvDfKAvDLjGVwrW0OpnHjhGhZvbQby4uO1Pk63OJO&#10;Rrg+N+5vqUfW4jacP4FcSSmo614O5Z6glAdu6IHtHVHy7lfiJhSYFushGed9TC+CDq/ZkbrhPA19&#10;9htKebC11O1n2I+TiO7cA+02t91X9JwWr98VjvUStPEjlsbNSrzPU32/NVqXlSuH3zrMuPDD5b4A&#10;7YQfvhnOo6D7IKWq/9dIxv4hK8fR7TXsGNHP5p1fH6U8DPsR+Az+g8bJAjiysigwWv8E6tHhxZJW&#10;EaUjnTuEx2US786xvoAR+WWdSesUaIfdCwfH+TlQs0GArJ4oYhlwmP7uYtHzwx+NqC6eyq3EsokF&#10;Vo/fnrh3aDofx5E+O6ekeTd8Rn9giOfO6zBJmQV04iEdyOzDTvT3ooV0lutJVXWes3CXJaE+FfOB&#10;88gxpw4/QGI5lHh3vzUjmZsiG5w3cuq6/V1wNP6DEPblyrr9VYK7EPGNp7lTl4H6jB287us5rZPh&#10;OPeyPC7GgPdaNIJp3HYuSi2njpt7ZJ3TKBWAZcXNGxAcaRtucLmGZXD0V/0Z0Zl5rzFzpy4jqm/W&#10;qRv2eTXbRDBP3LWpVaeOm5Og9JX8aWY+3KnLiOoxHd0Upc9dAOe/hVIBhnsdnOdnKeWhO/uBvX2b&#10;tRNIcJ+X3xqKopePC+lxIxO9/BSlFAqFTz2njtva4RcJv7Qc2RcuSiOnjlvTIYb9R+aAo+B98qhT&#10;x+3SooyVU+8th2+3RBkbp/6emm0imIe3oDgjGalHadWpR2nGqeNVDtaN3m4RbwMhtZw6YthXQHnv&#10;KhHLRP+XCoUCiDr1RQNzIe1taefdhgg9AYe8S9gX+IjTvFsRHH0gcDD+7ZfIbQyj/CDoglE/bkuW&#10;ce6ilAdeirNjN+HUEcyrui87AqfeZ9N9encxaTzEXflbceq9tG/qvoJDrgVuLZdxX2D39Dm4mz72&#10;d8Z5J2k8JptT17ZOY3XFK65gr9XmnDqCeXgsw2aX/4rxZWbXsiNmHdof7G2rmOTopTlVDhWJjtSx&#10;DD7UqkV2w77SdpoF77+jYxptjnMOGtF5iWBbfaVXUaoxeNza+7ZObvCz4cP2dtDLn2T37yc5iW7v&#10;wV0iZf6dVDiThb2xqe3fM4NU/oNOCIMVFudkp7NyRCyVu5fdu07nfk0qBk437Ejn/SmHWIZJunA8&#10;qbDuWxNJ0183HefJU1vLSFVFPGmejmVi3eZbSIUPJ7+Lutl0rx+Jp6xLWTmasQP13sXSqRx7MDt9&#10;/omvwbSnM4dRJxJPmc9jHtR7gFQ49fJUXodUjEQ659sEHO9PfpmDj/Qf4LIpnfTSVjxt3hZPWmy6&#10;LsTZ7Bjo/3MwnUhaf4gvyL8L4wpOvdsvCkW74AN5fHaDm25PcsCZf5A5EsGpi8sCaPSQMOrUZ3ZZ&#10;+6DTB4cnvNzTs5NfTyCRygUPoAFehjt1ODab5QFO05+6uCstKxBP9adIFQIc9XtYfmQaIcLbnzE3&#10;zwYj0O56TMO538EKAH4ZmhkDn8PlOk0L3qTtBMcMx1qJemiHLaWAxNLmW4LyAPTF9EOXHSReLcDn&#10;Go4tsM7l5XBWC8vY15rJnfquqfyvmA6IOnVEOXWFQtESUqcO+I4obbI1wUWn7k9lBOfECguAA/wa&#10;r+ulcyd3di9+LcskeD469ViXqcNItWo99cZO3bzbyw9Gzxx8CxPzcKTL0hGn3pHMmSwNx8A0gqPl&#10;jlRuhVfP9KbSzs134FVGQ6c+PzMbw87uXOhzolPHsCNt5XlZOM4polMXkTl1hQzjnEPZW4+K0QNf&#10;ZFJMCdpx6pBkC27JnDrC686a158Sb6lweD4bqbMph2059Qe8/NpOPZa22O5BvlNPmg+j4+0Q5rxz&#10;+C2QWMp6Cst2HFp8fYIWKGtmpA4/INfWcuoITlPk5eGcv7r9OHXdfceo3y7RnWdBquaKjphsKabp&#10;a+qu4OZz1Fm7hh7MTnaa+R/hQ0fDfhE+93NMsA4Kvik8ViwamK9lHPaauaI5ajj1HbgD0vb0duSJ&#10;OHVNYy8heffcwRGG9jIFp2nx+rtEHB3C84TbL2x+PN7bnjnfZC8i1XLqnSlrsbZ/TyKWtNZgPjje&#10;qkW/wCmyZwIzu/vZ7LFgpG4+yApI4E5ddL6QZJMzmrr9An2B548xKP9PDEWnzti/Zwavo5z6SBgz&#10;p44Oynk3pbYvmnXquutt5yUy2v9fxYiAUeOnyZEwR4Tgm5DRNVe4U2fLCXDmZKfjg8GZ8/oXksYH&#10;2tsCjrJ6mjDgO7Zk7kRSaZ3p3PGooySeA1t+tjMVtI0vGkEdPC8GOM8LsUzH3GCJXtCxe+1wnv7L&#10;ZrFUjr01Wsup4wg7ns757zHAZ7oFhZL4o+Wt+Jg27yMVtil9UAqf+X7oUwfjeNyq5YPTJ8zyzkXq&#10;1G9neUnzy6SaAkSdeqb8BhrlvaT1nhNc8uvl5zTD9Y2QYbjPQ9kXKYW3CJKsLZxrLjp19nah6xuT&#10;j/dGpzelki9SdYzwks3cyKvmmB916vjyUta5i01108umlqbXxntKe4Q+F6K7T2oZO3iN2BjYECpj&#10;2BezdkT6SqFFi6rAUbBRZkuKMuafMRuOsRk+b7Dec9a9FI79B/ZmLOfo1XuzY+trS6QJ5nNnysHl&#10;M76Jm3GfrfosMmRO3Sh/ruozGeWPMR3//6ah73XnZTi/YKogfm52fm4w8tGdy5gOrwY4simNOn5+&#10;O3g5CJciYP8fN3xbwGtrC5Q9mTTQn+4Doc+ql7KsjDhPH9/yVciBETXFxhxwkp8EZ1p3RcaJxKyu&#10;ZeElT6YsMqeO6TmnVe+dGPqy2fhKffDl9sG1U9yXW3bq3AnrziCkvCUHomB+1KmjUxXPixN16uyW&#10;hOS1ct3dCJ/DG00YzqfZZzLKwTz5dsC1ccRjo1OXnaOBa6iAM+VgGaN8M6UC+uzXSutHQaeesf8M&#10;n+EKCH/P6mTK4c0EMuUTa7aF+t6zdmdTUFndyHo2iOGeHPq/R5061tPdz1MqDL5DoDvBsqb1zkN3&#10;siyO/wtMZ+1g02OFQlGHWk5dRqic82v4woVWRPOJ3n5pxqmL8NfCdcd/Us5AXbtOnbVnfwXa3K9K&#10;xLVmkIXDM5lj9M4h/Kp7FPYjYD8Bbezlr28id+qhh2KMbPlwaD/s1HV3gFJhxPZqIRupe5/7Akrh&#10;+X7E00n6AQU/A1+DB19+ioKLbjVy6j0D4UXeOFnXgXMJRvC1PpN3fp5T5+CSEn3lT3rnVb6atAqF&#10;oop2nXpPaQZLR1+SYavqgT7s1O+DL37wAgWyaPU+rJzhXkyaalg7a4N2vHbD98WadeoZGOlhupVZ&#10;OfjCkKxtju6cIs3nDyk5zTr1zNp3snrRl3N0+7fS40Spd0+9b6CHUtSPkQXXorARfzn8VjD/n9dz&#10;6rjGDJbBH0YR/OFEvfh2LqZlsPOLOHURzM+sGf0XzqYaw8VVWqVwK6WmacPLt2pD+Z9S2mOw6C3E&#10;huU2vsWzkUrhFG194UQIl2tu/96errhJG8x7b3ZXit4tTGzvgux07bx8tzZEqzKibgXNOR8u/EJb&#10;eWQn04mU3jlD22gerQ3lDmGCDBf+A8f05psPFry57VjvdGG2z1C+alaPQkavuxgcAZtbyugpHRZK&#10;i8j0hvth9qVmXzTnHkjvzUbx0SV7uVP1ysFI/hNp+OLaUP4LLH8RXGbzFRZZGft+dtshRM9OUOZJ&#10;ls9vmeAbirLz6iklqvUwCsUfEX4MFN29jjLBWZQ/E85zfhK6lytjUekI//OzOmtPYXrx2LgkLS6O&#10;FuW4cw6FHzz/4ZAHnqP9TeEcfs5uhdX6n4jgcsHi/WkOLm2A9Y86O5hWlrWPh7ZfCI4DI2ijFF4J&#10;EW/D4P8X6xrln7KZLoa7FMoGzwaOKs2FYwbL9XL4S2hc+srvp5yAWp8J9brjrffe56yGz/Wi306m&#10;fK2/YqaiPmGnjo7zfHDiBzFnWbG8H8Vz8wUWDp2wB9MPFe/UhiXTJkWnzok6awR13KkjlcxsablK&#10;IbzGkujUOVhvOP9eOKeTtaHw8sEKhWI04Pfa+YqciomNzKlzhorXwcj3Gd+pr7PmsBCpFD5T5Yjb&#10;deql9CymK0Wekw1HHXgNpy6O1PFqQ7aEs0KhaAJ04Hh1ZbjfhKuJK2H0fCl7aKmYHOCIfLAwAM57&#10;nTZkngAO/kMsfv7y+VQCHC5c+Q5a3m2uSvFX2lDhXHD03wEH66/LzqhQ3aHiGm0jbYgxVFxBOjbf&#10;nTFYPJXpBqHcWb3BNnPo5AeLl0I7N4Fcrm1cHl4Hacg6idWrFGztAnpJabiwHupcGRKsq1AoFAqF&#10;QqFQKBQKhUKhUCgUCoVCoVAoFAqFQqFQKBQKhUKhUCgUCoVCoVAoFAqFQqFQKBQKhUKxrdC0/w8b&#10;aQX3ONa/jwAAAABJRU5ErkJgglBLAwQKAAAAAAAAACEAzu+/AlB6AABQegAAFAAAAGRycy9tZWRp&#10;YS9pbWFnZTMucG5niVBORw0KGgoAAAANSUhEUgAAAHQAAADICAYAAAA5ksUpAAAAAXNSR0IArs4c&#10;6QAAAIRlWElmTU0AKgAAAAgABQESAAMAAAABAAEAAAEaAAUAAAABAAAASgEbAAUAAAABAAAAUgEo&#10;AAMAAAABAAIAAIdpAAQAAAABAAAAWgAAAAAAAADcAAAAAQAAANwAAAABAAOgAQADAAAAAQABAACg&#10;AgAEAAAAAQAAAHSgAwAEAAAAAQAAAMgAAAAANp+32QAAAAlwSFlzAAAh1QAAIdUBBJy0nQAAQABJ&#10;REFUeAHsfQd4lMX299m+yab3hCQkoffea+iKVAEFFEUErKjYxStBRaXYEaWIoNKL0otI77330BKS&#10;kJBet3/nN8sLm80GNiF6//d7mIewb5n2njOnzpkZGZUzXdkQPU9DKcMK9eWs4GExpxBw0xAVFMl+&#10;rdq34BmnGe7zUH6f9w9f/49BQFne/qoUJlLLjGQ2l7eGh+WcQUDNGDEpZM5eufSs3Ag9er0GWU0B&#10;pDdYXGroYSbXIKBRy6lQb+XMx1wr4JCr3AiNW/McpWaayWoxOFT58PZBICBTqInMgOmIclVTboQq&#10;ZGZSyhmh9JDnlgvypRSSAaaW8sP0oVJUCmD/Vx8/ROj/KuZK6fdDhJYCmP/Vxw8R+r+KuVL6XW6l&#10;qJT6nD62WFh1MlvJYrWSlf9kMhn/ESnkcpLLbddOC9o9RDnz7Xpwzf9EHSivUMi5rvLbbmhG9JHr&#10;xy/qR+WoUtTP/UR/75dQzGKxiH7a6rHrI1cmd7Ge+7Vzr/f/KELxgWazhQL83KhSsAcF+LiRWq0g&#10;o8lCGdlFlJKWT6npBVRYZCKlUk4q/nNMBqNZDAYvDzWFBXmIP18fLalVciooNInyCSm5lHqrwOXB&#10;4dgG+uPjpaFKXH+QvztptUqy8ADMztVTyq188ZeXb+SBI+N2FY7FycTlUYc7lwsL9eR6PMnfVyvu&#10;i/RmupVVSInJuZSUmi8GDAbJP5X+EYRihJsYIEDCpLfbU4uGoQKZjh+SxQC7fD2LdhxMpNVbLtPZ&#10;+HRSMrUpGXAAEI8HalY/lPp0rkKtG4dRZKgXuTHQHFN6VhHtOpRIb0/eToWMZAAeXOBeSQw2pkbA&#10;9sOXWtJjsTEUEqATA8u+XH6Bka4n59Ceo0m0hvt46FSK4A4YfKBCDLjaVf2pd+eq1KF5OFWJ9CFP&#10;HduSDik330BnLqXTmE+2UGJKnvhGR3g4FCnXbUnolKuau4UAKA93tRjlMkZJ51aR5O6mupvB7srH&#10;U0ON6wSLv1FP1KelGy7Q178cprSMAoqq5E3vjW5Oj3aIFizVrliJS3+m2NaNK5GG/WaoM4+RAOot&#10;Dafoo4Y5hZ+3llK5rQ7NIyg8xLNEvXigc1dRrSr+4u/Z/nXpr11X6YsZB+jitUxR/rVnmtDgXjVJ&#10;V8o3SpUCyS0ahApOAKpF37Jy9KX2USpX1t+SPK6sNTjkL9KbqFenKvRjXBeWJURFBteMZCD9mX51&#10;6OtxsWIAzPy0q6gH8tGVpOd2IEd/+aIHdWwRwS5JU6nFjCYbVS3+thd56TSEPruSUH+P9tE0b/Ij&#10;5O2hoY9fb0PPD6p3X2RKdZsYIEDmJ1xu5KD67OJzrV2pvCu/rkHLlZrs8oAduWmdU6VdNqeXoYE6&#10;ASB/Xzen7+/30J3bBdu+XwK7wyAqjYrvVR5982CKC2Z5W56k1ShZl7h/H8tTd4WzXHQCLE1oinY9&#10;WrLuPDWoFcQjW02bdl8VQAebOngyRciiLq0rUydmz9BkbeVthWcsPM4yLJdashyGzO3SqjLtPnKD&#10;asb40YETKXTyfBqNYCoJ9LUBV2jAdu3e69KxjwvXnKNTF25RnWr+gtXuOJAo2GT9moE0f9VZwaaf&#10;H1iPPPkbUBZ9tU+r/o4Xt71Z5k/7/SglcL+7t4uiTi0j7bOJsvjGfyJV2DCBNgv2CtZnNJacgUlm&#10;jXbL3utCubh0LYv+3nOdKod5CcRCy63FioWztGHnFYrkfNWifMmfteTXJ26l3Ydv0L5jybTrcCIN&#10;7VObgvzcxaCQykNRARsFi7NPUGLwHO/RT8e0kdsC1ULJ2X04iaLCvWkZy3X0GwoN5D0UPWvxakU1&#10;aGvB6rP0+8ozov5t+xJEn7//9WiJfqAANGOwXCh/FZkqBKHoFKhv5idd6dsPY1mrDRHmin1He7Nc&#10;3X88iTbsuEL9u1UTryJYxa8W5UMxEd4EVussQYaCaoAAaJEXr2YKQMHs6dI6iprWDRamBrRqJFBN&#10;R1ZyHu9eXShWsH/Fc/5FG9PGd6aZn3YTWq14YfcflKoLVzIImi2UGCAzjM2tqHAvyuT24lkR0jC7&#10;ZB5iV8p2CYSDaqFhHzmdKqh5AVN1q0ZhJUQAkF+vRgAN7lmT6lUPKDYYS1RcxgcVwnKN3MFaVfyE&#10;EiO1v5/ZoX2KZqTBlEjLKKT6NQIpv9AoTBsg6l6Kk5kHC0wBqP3QLl8a2pCOnk2lMEbOH39dFAMH&#10;Jo2ONWvAGX0Z/FhN8Qc7svcLf9LlhCxBVZB5QLSU0Bd75KAvlSt5CcUlj9sDq7zJdihsUCA4gDlB&#10;BtuUkNOOae22y8JGhXxEv2BXQ3vGQMCgAqKlhHbaNQ0Xf3g27O31tHnPNTEIpDzl/a0QhMoZUZnZ&#10;ejp/OYMOsEzEBzRkinVM745qLlgeFJIXhzQkb081tWlSSeR3zCvJt5eeasQGeZ5g4wBwxxbhTLHp&#10;wh5ty0A5d5mvQTUQSgwzNVP0jEUn6PSFNDIxtcIEgkfKzHyygFn7hSuZAsHHzqXRc4/X5SJ3AT36&#10;yfqCA2BQPN6jGlWJ8KFzTLFA4NA+taiIy7MjSLTj2N+2bDa98WwTgdRtBxLYvpVRw9pBdOB4sq1v&#10;du0A6RAlKzfHk1ajEOzcmVPFsQ1X7isEoVq26bbsu07b9icIDxBU8iYsbxwT7EXJJoWcAjutEe0n&#10;qAByzZkXBmwW7Az5IXdAVWBXQHLbppVYrtkGTk6ebaIdgwUUvIjlGZwQYKMMW0Ex8QnZ1HPUCsrN&#10;0wuHxYgB9Yp1EawflBjDHAFojmenR7C/jmW3llTsmYLjIYA1XKktqfA5HsghQTrOny3ywisGboS6&#10;olkOn7p4i6BYSQnmD7gGFC2dG2u87H2qKCdDhSAUHYXCYWYqwUhzNtpAQC98tJka8Id99Eoreoe9&#10;Ov26VqPOrSPp6bfW05wvuhcz7gEQsKaX4zaLDwZSarKBb2TEj32uKX08bS+9MLgBbeVBBKC1Y0qX&#10;ks1sUvLoL/55oGKjEexP7nTwjP9uj6gC3xLD1HmMB0a7ZuHCDbj3WJLgJJ+83poi2GOFJFE3BvJv&#10;f55hFh0hBizKteX+QAxsYkdELD+vzX23t6lxjQHn2EdR8QP8VyFKkdQ+gF5aOs+sy4O9LlDl4cmB&#10;IrV6Szz9+dclSryZW0Lbgy15JTFbsMnpE7qQnhF57rZrEG0IDssNok1cu5ru1UfUE8EeI/QP2jAm&#10;E8KZ2uAtgu2JeB8Da/BSHZL8xcCqwWbU68ObUAjLdgN/W1iwJw9QD6HxQgtX8ECX8rva1/LkqzCE&#10;Qm5CRkEVdzQX0LFNO68yay0gIHY7yxgoKJAff2y6yDZmWAk2BmrCCIZJA5MHrjw4K3ILDEJBggYE&#10;pQey23GmRTjLGfBAiH3Cvegj1+nMXEC5XEbmuBdbCgQCuTBdzCw4zzLbBzJh/yKfY7KZSmaBwEjW&#10;3qNZM4aGCz8xbFKUt3d4AF4o42jLOtZb1vviPKmspW/nBwKrVvahvl2qCRkKQIBtIYFoAVfMOEx6&#10;p71QUo6eSRUmRNc2UUwNBjrC945IgV0LZzzY1Rtse7Zn1gfWOnvpScFuoSDNW3FaIB1OB1AFEpAG&#10;jbsRy9akm3mMfNssCfrjx7JwyGO1hLzKYS3WMaH+QT1rUHW2ec/E36Ldh24QHCLQfF97pjErYBmE&#10;vkOGOyYoUJgBwowQ7Nal6y+IfGDHTeuFCFtaggl+YbI1rx8idAIobvbIdqy7LPcVglCM9qZ1Q8RH&#10;S43Di4MEtIJFxb3a+o7gj20RKZ5JigDMDkfVUSo3ZlhjISslhalr28rCBIGS0r9bdaGsoB3MYKAx&#10;9AVl8HeVWfbgsWvpBk+vQTvFQHt7ZDNkF8nRbBn3Ugvul01uDOheg/rxAEU/MPuD5/BRY/CCWzim&#10;uDGtRJ7HYqvQI+zvxSBGH2EmYSIASeJchexn7s/6A2Z4wGWe/2CjcLhI3+hYd1nuKwShAAFkDmYP&#10;TrArDlogND37JCEPz+xtMtxLQMS1s2T/oWIk356SBMCkJNDA/+E97EDIaiAXLNtWP0/p8T3ch5ib&#10;BKXBLScpNqjHvh/AK2xJx1QaJUllHctJyLTVb6tNo1TQXp6Ow5QclKK0zMISHMqxXVfvKwShMA3+&#10;Zjaz7/hSpoY8eordcU/zHz4SiITsTOA5xVvcccghyE6o/5WYYlx1cAMZN5iFAlFpmQU8gMzC/sSE&#10;NDw54O0AJlj3hp1Xb5stKvbs2EwC9OUSmyHdhy8TbL9WlQAxcwJAQePEYLx2I4duMvuDvQn26cvT&#10;axiYoYEeJQZhaQCGOYU+YuIeyhXqwbfCzRnK7Bj2KQYKBlQca9Uw4zRstthrwKXV7crzCkEoAFnA&#10;nh98AIQ9OggAZ2YX0lBmeZg7zM4xCOUCgIXCgw+Ao74626Fd20Qy+6kiPEISBUhUCRPgz82XhI17&#10;he1IeJjAztAmfjFgUE9lnj+FvMQLlAWg7E0C5MdgSuaoAROv38CgQjIxL3570jbxHHOjGDhSH1E3&#10;NHMoRvD6YKIdDhOpb1JfYa9CY9+065pQ+sChICelPuIXExFVWM+A5o56gVT0EVEOFZkqrDYAAd4t&#10;20fYNNRmrAzAbTfwkRqsLOiEoa1iYOuZPSPKAIA4xJ6l6fOP0zdzj3C+6ozcKDGqMYvyGzu6NzK1&#10;+XhpCXVBHsH49+V7sDKYMgAelB9oz0H+HOLCFAFEO0voG9i92cIXnHANB4gvh5/Av4xJbkyQw18L&#10;exfsGXIYStuKjRdo1uITQkl7ib1cYPfgGOO+3kXzV54VdcF5P/rJBkKpgpkDLR0DBIofwm0u8qQE&#10;wnAwAIVny1knH/BZhSHUvh9QcKsyIn/gSW5ocFBYkpkVQUuEqu6mUVEgxxnB0/N039qiKLTBn3iq&#10;bPlG9s9yBc+9v1F4h2Z+0k2En0AeXmYKBYAxysEWAXjEAoGdtWkSxnW6iygCp9Mh9h3kawAUEQtf&#10;fxArREEiK05gl6JuHnDgMn4MfPid+3apKqjp8Kmboo9Pv7VO9PHtSduFVvvxa60F+4ZD4yqzbXiB&#10;TrHrMZ+VJzzDDA3sU0xgwNsEz9Oh0zcdelQxtxWOULCjPUdu0MAxq+kSs1rYiYgeAJLtE2gEbAcf&#10;h7ihob1r0aqf+tJytkt/ZXMEPtxurNEi3ug1NluOMgAwwyLNqtjXBbkEFoq6qlb25QGUyxR0W3Oy&#10;z3j7GqzyWlIODX2TxcHVLIFQKHXObEJouIhOqMumyhOP1mCPVg+eNUqmybMOCK33WY6yOM025ic/&#10;7GMl54aQnZg+dPhcEbsE2GAAwguF9oRoctK/B3lk4z3lqKF5/9/mpWWZhzlbrAQbEsAB4GQsL+7V&#10;CGQNqBZIgaM+bkxrQZmHmBomfL9HsGSwc4x0yJ7SEtgsbFDMzsArY2/XmswKBjDXwUsgpYR2QfUY&#10;VGib/5WaUC+QhDKY/IazIJbtYChRE6bt4Tija2KWBwizb9dZhagD5oukHDnmwWIlq8nw69Xto55x&#10;fOfKfYVTKBqFwqMonUCK9QtIkpSXnWzIP/HaavbvVqb1268Ij5D0rlghJzdAiIL/U9y2+aQsepOa&#10;GoZf5AFhpANXa5NWaXMooF17k0LK7+wXwJfyQmxAHMAmhekBjRZhnxgYriS0q5a7CBxXKnTI848g&#10;1KENl2/BNqHkLF57TgBQAqLLFThkLDJypF30Gfqk9yymTjNhCeT2Cw1JqyrpJXIoWuotqBDcAJ4g&#10;KEZQfP4vJdeG1b/YY4liwWYfJAGZsTWO0Of9ZpC3ez65qYvo496z6ZG6+wjvHiShaxh892OvD9JG&#10;ecv+3xpe5f0Kh3JA2GP19tA73eeTmlktZCiShq8/fHQe6Ri5y4924HfsRSqhvjhU9j92+/8VQq1W&#10;GRnMShrUdAu93mkJK1GIzLsrr8wWKEAWeqvbQtJpCum3fT2EoiSTOeqk/2NYtOtuuRFq86OWjJyz&#10;q/tfvQQyjUyJz7ZeRy+0W8kaLxwIJSWKxcqaN1Plyx1XMFKLaObO3sSLGhjR/0eQyt1Q3/ZilQeA&#10;Jb/YxVqEcuBi3n86G5AHRL3c8Q96sf2fHDnBKOK/0hKQb2LKfa71Wnqj82JhVqHM/5WkVpZffyg3&#10;hSanFibJZJiF/+8mUKFCbqHXuyykAY23MstVsRZ6f4AI9mxS0ZPN/haUOnnjEKZwFdf13+c6zqIK&#10;XYVyuRGqVNpilf+bCAWVadiufJeVn5719rJvl41yV7+c8yEvFKhe9XcLRenTdc9Qvl7LDpH/HlLR&#10;J2a55e5AufkMO5/vTwZlAG5Zs0Jz9WDF5uNePwtkAjFlQaZ9eyjbqeZhmth3Bvm4c8goK1b/rQRz&#10;LT296EZ52y83QnNyjSlC+JS35QcoB4D76nLp874/UccaRx/YrkRXgNRWMadp8uPTKcSLJxH+S0gF&#10;lQT4u5cMWnIRXuVGqK+3srDchV3snLNsBpZ7od7pNIUB3zz6bIUgU2oHSK1fKZ6mDphGUX4ppOe2&#10;/vXEGGXHfbmnYsqNE71FdtPK0ej/ZgKAowOSBMDrhl2uUGRK34E2qgYl0tSB06hWyDUhl6V3/8Yv&#10;EOLlocopb1vlRmiAtzabbbfyiq0y9xfUUzv0Kn3J1FMl8MY/Rj08r8AmjYrCfdJoyoAfqHHk+X9k&#10;4JQOAA7tJCq+MKj0zCXelBuhapKlkszKu+X+87oRkNk06hyz2R8ozOcWh2z+M6wQyLyRpqD0bNix&#10;Sgr0yKIv+v9Ebaue+JeQClhazBqlKq0Eplx8UG6EBoXrMpVyWfY/jVAgs3314/QFK0ABHjn/qAaq&#10;Ulpp1U43+vhnHx40oFQleWnz6dM+s6h77QP/OFLB7niqLi/YW3XLRfyVyFZuhE57v3MOzwFyw/8c&#10;hQKZPersF9NfntoC4dor8QUV9AAzKLyTNB05p6bdxziif5uO45N4MpptXUy3/eexudSv0Q6B1H9O&#10;zoiJ/MwuPZpllfezyo1QmiAzq5SKG/ec6i9nrxBdgInpxxtvo//0nCtmSQDYfzKBOo+eZ6+TR13q&#10;1asrLftbwZGMPGHOEBLeKN599N1u8+mpFps40sE1b1RZ+wvPm1whT3o6+9WispaV8pcbobI4svDE&#10;+wV0oiKTcLKblPR0yw30Ns+KYHbEmZO9ItuU6lqxRUFt2nWikaOeo4SbMpqz2p21XMQWI7wFbk4Z&#10;jem0lEa2WyUoFz7kikyApUYpv0yDlpbbfHggbPDi2jOYkK6oJGZIGHCj2cH+SsflDESb0/1+9YNd&#10;ohv4LU8CdZ6OV9LxywE06In+HFKioYjwMPpjdzh9PNuD51NtdaM/4BQj266m1zov5aZc65+rfbLF&#10;TinO8GeUm6s/EEK9vd3O8ye52t975pOo8I3OS2hEm7UCcPdysoMVatVYj2oVVJTH7NHIioyG5R6v&#10;NChjYmpcpaR2sY9S9epV6eyZs9S6bRuaOfNb2nZER9uPaHgy3AZjyak/tNkm9iH/Lpz5Ut/L2GiJ&#10;7JjC4x1WzpZ4UYYHD+S0jAj3vHTlemaekWQeDzLzD4AgIu+d7guEo/xeTnYgS6mwUvItBe06oaED&#10;pzWUmMozBRw0r9NaqXaMkfp1KKDqkUaOJrw/yWp4UOw4oqITV4Np5fevCtBt27qVmjZrRu07dKDm&#10;LVvQjsObqHvLu1AFaotYxvdtuFPM1ExcN4wKjRqxw/fdXGW9wmaRZr23t+qBEPpAFDpjfJdktVp5&#10;lRleWXt/Jz+c7O5qPcX1miOQCc3WGb+BHAP1XUtR0DeLvGjUF/405Xdv2nFMK57dzFBQ/A0lrdjq&#10;Tq9+6UebD/ACXc5/rwQ2nZMvp+8Xq2jYsyOoeo3qdO3aNTp18iT1eOQRUbRevTq83gW7dJYcHOhr&#10;11oH2ak/k7zZvHkwpz40XNmNgW0aX79Xn+/3rvyY4JqZ5xt56cExeTnDEgEAzG4AIJ15tgMAcpbA&#10;VvOZpX631ItemORPCzbqKDNHLlguWCHYIJY3QIa6aWx5J//uRWevYVex0pEKs+SXVSpSezehV159&#10;QTQ988efqEWrllQ5qrK4NxiKKDNXxguBbcqRY//Q5zZVTrID4kcK8swsv1OfYcjB4ScHDowot4aL&#10;vj0QQlEBL1ffWx7FCLMZwTyrMan/dJ7lOFUqMoGQpDQlvfmtH/2+XscrxBHHy7tocs/BUoGU2tEG&#10;al5bT4E+2OaUFwIxWwblzd+gK1VRAvXuP6WiP3b40sTP4sjT05POnj1Lm//6i8a8/jo+jZdbFNHR&#10;Q/spMU3H3MBThG+WpFPbTE2jiAvCVRjpm1ouT5acNVydu/IAD8rSR6Do1b3/e2CEenu67VXITHdD&#10;0u/dnngLB3hlv5s0lV15DcLjS0UmKK7IIKeJc73pZLxKUJ+kVJvMMoptUkQ/vpNBP7ydQV+9lkmz&#10;PkinjvxMQvThcxoxGKBA2SfcZ+Qo6It5ahr+/EvUpm1rXjVnoQkfjacnhwyhmJgYkf2P5SvIy9ub&#10;vpg8kVm4WjgdwC2cJdjNNYOvi4mDasEJwo52lq+0Z2yeWb112l2lvXf1ucOnulrsbr6ePSudZ7Z7&#10;nWnm7sN7XEHhqRlyXTjZq4sPL90vC+r764CWjpxXC2RK1YIKQZUfjciiquGskvELmBZ+XmZ6bVAO&#10;BfvxURkM9+w83ngjSclR/MWRoOBowO8WKSk0uhONfdOmCM2ZPYsKCgroxZdfEs1kZmbS9B9+oJdf&#10;fYWGDB1CwaERjFAsx5B6UfL3zkDlCYQGHK1fmghxLAnYsei42a5J0EnHd2W9v0f3XKtqVK+mhbxc&#10;YY9cfn+FGR/YKPKCoMwIv9T7zpiACrcd0TKy2Diys46AvE5Ni3htJa+LYeRK6AKiQ/zN1KSWgZfx&#10;Qa6ScLRLVI0vwiDZfVxJx65Vo6+/mcQ2p5aOHjlCc2b/TJOnThH3yPfJhAnUqFFD6tCxIw8OK+l0&#10;7kKO4929khAlLEsnsUxtXaV0UWJfh4zlp0ajOvDei+3K7fKT6ntghDJ1WL08lJscl9lLDUi/QCZm&#10;LfChgVAe2Bt0rwQkQBG6mqykPu14Q+QwrA6Dx4Z4DaeFWtbRC2Q6qyPQGwcE2ZLJTjsFJYMdz1vn&#10;RsEhlSg6JppupaXRW2+MpbfffZdq1qolCi2YP5+OHD5C4z/+WNxfvXKFkhJ5M8ZIXlUmVWyr3un/&#10;QtlzY2Wvz0zqUuvQfSkVO53xHOjmB5Wf6MwDIxSVVA702yaXmUqdeQEyu9U+KGYtMHvhinoPuAF4&#10;4UEm6tm2gGUchg4JpeixNoUUDQQzpTomlEtnDRgJMlinvbu0T8XUeZTZ97ELSjbgNbyizEhjXnmV&#10;uvfoQf0HPC7K7Ni+nb6e+iV9/e235O9v2yH0p+k/Um4O7xbGt6jflQSPkhubY+Mfm0O9G+wSdquz&#10;snjG624MkZX8N7tS7/3yVAhC53y594anTnWYZMVdNOisZIB/1PMXMWvhqpMdyARLHT8iW7Dc6zex&#10;CyZRt+ZF9OxjCOQCvRVPQGA+B8acu2ozV6Ah+3tjGeDdfJvYPjWZ5fRYr14U99FHTKkh9PZ774oM&#10;+/fto7fHvkmffv4ZNWrcSDz7bd482rVrJ8VUrUnLt6qd2qN3ay9+JRwmHBb6fo/faXCzzUL7dfR+&#10;yWTYDFlx9NdHlBeLly7f3b35not1ymRxlh7Dl63Mys3vZL6t8KLjoMShzTcJvyyqKquLDPJu3ykN&#10;7WaP0JdjMoSjoGYU9h1i1muHJKmbsEnhObrCbBrKC2zSIFaQ4BTAfVqWgvaf5HWorZvRxQsX6M8/&#10;/qRde/fAnqYtm/+m95ntfhQ3XlAs6vzt119pyqTJNO/33+jQoaP03ZT3KIsVLS9d8UEite/sFwHc&#10;cOm9zi5NnbqQftnTU7gL8QxJzh/j5a75UxYbWyZLwVlbor7SXpT1eSU/t5XMOnJtDms7JzbPTpTX&#10;iQ0ahNxcu8uN8pjymrGtCcQ4QyaoE0rR0r/dBXtGHtilAaBQhp2KqfXUJRVl5Gro0sXzNHPGDGrd&#10;ujX5+vrS3Dlz6MNxH9AkVop6MuWaeFBO/ORT+mrKVJo+4yem1sbcLitZzOLRn7ImMenA7s3R7VfS&#10;K7HLWZTcdeqrFRZDdBWPNWWts7T8FcJyUflsz4MJ7m7KbRaCt8c2zfR8BUwz5RXw7lyBZqoWYWT5&#10;WfqGGHAUbD6opYNn2ZHO1/AcValk5N1H7ioy+5l6Adzc3FyKjo6m4SOeozdff4OWL11Gc3/7jTrG&#10;xjKyL9KTAwfRdvbnLlyymNq2aydg99emLRQTTuTN1Fme2DjBsTAt2ALTgguYanla0KphLqLY++vE&#10;ggfy34oO3v6vwhAqi4uz+Hl7/u6mMdM7PBEMVmvkD3CUGfaN3+8aTOlqsoIGdmYtN9Sm5TorA0dB&#10;crqCZq/yFOwNeSCD61Yx8j0PL/7LZs/RsYtq4QrUaDTUqUsX+iRuAnl4etAfq1dRlSp8ksUP02lA&#10;//4841Kdlq/8847WO3vmLPrrr7+pfnX2UrEz38YsnfXk3s/uTtxvFxP3Hm5GcnfX/SaTDXKi3t27&#10;rtLeVogMlSpXefXd8GmLjtfaRO+qXGhw7peV8rryCxMDilHPNgViiqy0Mlg2OOtPT5514XARAJwh&#10;jnJ1q7A9yqACuz1yVS0CwOAWxHFWM3/8kUa/+CJN+OQT2rB+vdBsgahvv/9e2J5oy2Aw0DdffUVr&#10;Vq+hEc8/S/t2zKXhPbHHkG3AlNaf+z2H1v9I3f3k52m5+e2ReSvvl78s7ysUoeu/l+XM2x6z0Fyk&#10;ec91Bb/07gIxo/rmCRbqTG6iJBC4YZ+b+MM1EuRcZaboyiHY7ZIRwCx413E2U1jGKjgPzJV+jz8u&#10;5jyfHDiQUlJS6Jlnh9PQp59ijdM2ELf8vYW+nDKFjIzUWXN+psyMLFr7xzzKYREAzRl9e5Akk6mp&#10;dfUby/q9UKPcAWHO2q8wlitVrtc0mmMwa/IkLU56Xt5fyMPSgAez5FqKkqYv82SpfRfC8Cw1qGok&#10;D5afSGC3h1m2SjMvSiYxaLkjnxtBzZo3p7+2bBHyFMj7c8UfNKBffxr3/ntiCu3PNaupRo0adPjQ&#10;EXbPGe9wgPJ+D8qhr3qzxkC62rMepB5nZSuUQtFARMtll65urLZKI78xpJCjdh80lYZMyEVQ33dL&#10;vHi+kl1nt6kT7UGmQiNGWTjTj11QUwKzYymSAa689PR0GvefD2kwO+N379ol2O7BAwfIw8OD+vTt&#10;R/369yNfPz/RfSB/1qw51K2llfcssrg0cX6v79YwEzDK/Ta/MnXDKaC3IlOFI5Q7aFW7t/3KmJM6&#10;ANOlpSHkQT8CWu3vGzwEK7VHJlhzgI+ZarG9CucDbNPdduxWahfa66mTp2jwoCfI28ebKbUFe4e+&#10;o/oN6ktZ2Ewx05pVq2n6tGnMcjPY/YiV3ndel+sCxc0WlVmh9ZuydCmHElZw+gcQShT23c5jV5+v&#10;sUUjv96jyPCAEHDywaC601dUNHetTlCgfRaw25qVjQKpoODMXDntZeeE/bQXevTnihXUqk0bIR8r&#10;hbM9cjvp9Xphumzftl3Mjbq7u9NnkybRG2+8x9u+HZaylftXmFTywL1zth/cVdHUiU79IwglHnnq&#10;13p+ZspN6VTRVApWq+dBMo2jF2CjAkD2CU6ExjUNgu1C+91/Wsvslt1rPAiQwG4hQ1969VW2Ozve&#10;ntTeTAkJCXTt6hW6eTNVOBFq1a5DY996i+3QtpSamkopySkU1sK+pbJfYyBZSGWRe0R8FhcnqxDP&#10;kGMvyozQJXsS3Aa1jih0rMjxPqztml2X11depVWnDagIWSrVL1jt3zo6zBHuklYrvQN7h7uvHpsr&#10;0HRBrSt3uBeTUnDzgZX+8vPP9OvcudS6TWsKCg6h8PBK1GTAALZBa1Bk5UgOB7HN08LE+ezTL0hh&#10;TaNW9XH4Qfk5DkSDgXw2z9u8baMr1Llu3UXNI49WA48rPmqlD3byWyaEDnx1XeCvvxx4gwE3juFy&#10;n0ZkVo1378+MmTt7ymSFbg/iYJD6DR8uptMWbPS4Q3HSO/yCOkPZdxseZGYWS2JyHAqRPbsFgry8&#10;vKhFy5Y0YtRIas5arrOE8BNMoc1iF+GWzZvp3WeMVCkQ56aVD6EAF2/9bNJ41ZvI1GlTv501fPsZ&#10;w1jW54VT4xe+tfEbmto99R5Zi70qE0Kzc/M730jLH/XGhK2TiWLvOxlbqfXKY9c21Z7nprz6QsED&#10;hT7Z+qxkFrpwk45u8eowR+pEDkyxRYaYyJfnS5N4FdnslTgQp/i4s01W6yg4OJh28lTZ/r37eHJZ&#10;IxooLCykDNZ+wX4TEq5zTJGeLl66Ti8PMFC/jny0NMczlTdpNbyHEvktiWizdpcr1Dnhm63elxOv&#10;jQrw05/gNhe52q7LdihGTFpm0WC9Qel/ND7V5uC8bysyq3tAq0/0Zs+bCPt4kAQb8kKCSvhrwXad&#10;JVBoDM+TIuB60m/eQnZKpoqUX8FknpiYSH+wUpSVlSW01/hLl+j8+XMCicjXvEVzmvj55+xF+phl&#10;tIJqRfNO3felKamFkr+Q5UaLLkvh0zKOkelSTXuOp7crMir9+dy1pxn2LuPJZQp9/v0NVQoLk7pg&#10;LrEgn4Yy7Na4wtsDG89JSvi76acK07nvC4vKr6UDMev3uPEOnUydLCedJZgU0Gw/mulLe3jKzd6c&#10;sc8/6oXR9OTgIVSlahX7x8Wus7OzaNhTz1NMKB/NxT7hB5GdOErMqAyfGtFygUtzniCelgOKhmLW&#10;JzfP3PHpsStjiPpcKtbBUm5cRuiF65mDDBalu9Wip/x8a/cxcVt5c9vYxFLqLfY4vNO8mVfWP/Kk&#10;Rp3aBhpqWRM0W5gfmBe1l4eO9UDjXbGNFxhxG6UhE26/eb/Mpa1btgqHfHRMDEVFRVFAYKBgvVlZ&#10;mXSOwzn/WLGaMtIu05QxehH1gNil8iT0SW/xPV651otfE412qYo3J24Pzy243N1qYW5jVrsn3CwY&#10;zAU/caWwSwiFtvXuD7sHW1g7tLmt5D6nLqehkSmuNCKT1TEkHxw41nBry3a5LF+LKayyJLDbiwlq&#10;sfwBitG9EubXJRefYz5ot82aN6MYnlnBVJmVefTBgwdoLbv3MtKxfbqRfHz4RMLzl8hPm0IzPyhk&#10;Fs5LKsqJTMhvK2kNCl2112Rhowsc+1Pa/eHTyQP1RrmPUKTMJt7J2/oE42Dyo49Wu6/vzSWEzlxz&#10;rkORgeqQ1cYyEZWQnlHw/JKtp38cFFuHT8C5fwpttuTg9c2Np2gVF/5TUOiSGLlTKVx5F64rBWCd&#10;KUN3MvIFqLm0BBamZ0Wna7fu1KlzJ458UPCE9mPFsqdx0Fi3rn2oSwsjOygMYmK9WIYy3Lhp5KRX&#10;hHwf1X7LDlcUIVS9ceNx3dvTjowSp1OItnC+qqL2j3+e6sC3m8Sje/znEkKTUnOG8TSUHajMVKBX&#10;Vp/+88k+XPf8e9Rv90pmldXY87nh1JOdysp6ITGxIOlBElht3379yM2Nj31mp4I3B1B37d5NTJWB&#10;YiWH/VdTvyFfTTz1amfgb3RZFynRNbXKQnpr0AnPyi99zMh0LvRLlCL6dN7ZXrzQuAZby3fe8g7u&#10;spRbecP4wX0RaoekO+XJGsda1XirYuS4VX7pWfJqZ+PTVhbqzX5gAXcSB4R5uMuPfPRMjbaDBrW+&#10;r6NBKpd8oFcdQ/re3VZTnjcUGFcSvDzjZvjSlkN8vEdpGi7bl7AxgRjHBFMFLr1AlpO9+/ShhhwA&#10;dvXKVUKEHxzvco5rgSMBZktWVj5993Y+ta5XxJThWv8c28NMk0KpK1T7te4U0nL1Psf3pd1/t26d&#10;Zsa0m7vzC61NeOP5O9kwMa5VyzP4TLY+wQGKi7Mm9s7ACnpZXMm1nKLHz3+4Mfry9cKGhiJ9jMFs&#10;qsqb3McYDOYIo8kcxIcB+JpMHOlkj8zbTSlVWg7zcB+1ce6AMk0DXd3afIRSf262QW/gWu8PNChC&#10;H/zoy+s0tSVcfegKZGNEZKRwGCBoGsgBkiDzIRcrR0WJKL9VK1cKBCKOqBXHE8Gt16VrV7p69aqY&#10;E128aDklxB+kueOzRewvj49yJNuZNSZVzbGRnQ5+Uxbq7PHc8hGXEvJmm4zORKWYWLdwDG8mb4WQ&#10;ypGCCXxIw2W1QnlJrdVcjol0Ozb70+5XxHAuzDdXY5JegeOnMJrFhlL8C89jSUTKmQrkHEhl5oli&#10;PgQnzfr+Z9P2r/jglRbprn59VOz+udf+qtHcTZs4qqDIjupLqQCBYR68WxrsTGcJyINDIJYVHcyW&#10;HD50iOOG8th5EESVKoXT9m3bxLPRbK5ARp4/d15EIyiYmk/y0sHPPp3EJz/l8ub+ufTaE4U8gc3f&#10;Vk5FyB0OBHmlJb/sOPh9WZD5+fSdvgvWXR4H0YBzNJRsp0GO2nCAr8bZbSTnA1P8mQ78qdBSC0v4&#10;ZewS1mqMFOqv7s6ZrgjysFqXKJo/btiQlmnsQlYjSjtPMhVHeMuvx4R5fXz2Ssa3RQaLTsHHUoQH&#10;a6fuWPDE284LOX+aevoHj6LEKZsVlpQW92NtUIR+Xu1BM/7wdOohQgsYiKDUevXrU926dUnLsjIz&#10;M4Od9Apq2KiRQGhiYgINGDSIatasRTt3bBdsdwWbJw2r5tKQHkUct2QWSynKi0yIA5Pc/4RvxMhY&#10;7zpxGc6/3PnTDkMXTUpI0b9jNhtYrMjza8f4vHY1Oe+jrFxL5P1wEuir2nxguboHYpPu8LtBr/7Z&#10;5dj5rI0cR+NcE5CryNNNcbpjm7BB33/Q5Uy7IYu+vJFqGGs26RnIqsImdfw7Lvi61wHn3XX+NGHf&#10;s9Uoa8MWqzkr/F5AhC0HR8E70/xKNUmkFqDJitjg2+ouTJOAwABqyWs+wZazMrNo44YNglKtvLlU&#10;5xZW+nhUtm2dDPtpy+sRgqkkU3qla3w6dwpuuRDuOpfTsHdWNz9wImNbYZHBDQRSKUj11c6FQ958&#10;/ZO/am3Zn7w0p8BchyzOCY1DZiwNa/h0X/J9381o8A5CQaUtBug3pmaYOpcYEUyZgX6aky3r+Tya&#10;kmrl4Hdjs0cb1tz2zYr9h3ILTNVRja+n8uD7T1XtUBYFCR1I3tUz1pS7f43ZlOteWiA2PEA5vOB2&#10;1GcBdDMTGx6jpOsJ1IuALyhNmG1B3BDYNKSKzs1KI/vm8vqZQuH3vdfAKq1FuPaUKje9XNdoYKV2&#10;W1aXls/Z8z08e/XK5G3bM7KNzdBPXy9V/HNdqjdedzyhWVig75UAX4Vh6/7kNWmZ+gbO8aL8+8Ay&#10;TXcpcvAOaPCgehW/SRp18Q385AoNnwGm2tGzVWgn/yBP9aUbGZvOxmfNP3j5oldYsPZlXnXMZ6mb&#10;OG7H2mz6yuufCA3ZWc9LeRbads020lYfrVC6WR0d6VIRyE4EZrVrVMRy+84YlF7f9xdIhAMeJgtW&#10;mwGZSCDiPB4oU3m194cz2KFwTSU8UWDxoDhXohPQZyVHocm11ceWFZnow3vTdo3PyrMwMvnoLI66&#10;rlLZ6408MmgSUwoWHTmTvPlaYpamaTOv2ADGgVypRZE7Sa2SWaNCvCZJyMSLOwjFzW+T3Lf6e6u2&#10;Yr0Fkkyu5uhz1brp77bodfxKpt8fG66sz8o11WNFxvPw2azpGyKf2BLkq/pRwUgH602+VfRG/9QV&#10;fUVhl/+TWSNidy8wqyLe0jDlFDON7OrATErf9gV8AJ3ryxDsipd6Cdxiqm3rYS29OtWf3p/uy9vD&#10;ubNnSiXcjaUWFC/YD6Th2GN1lc8qddz3473zlnzba/SKPilp+jcBO4VSw8s2NDOWfd937fq9id+x&#10;6RKQmWuMPnsl729TgbbqN292f8zPS7YaBCYSc01vD8XWJdP0W+xrLoZQmSzWVK2y7yQWylaMhvBg&#10;t2X7lil7f7/0bI3LCQVbsnJM1a3g5fyXmWPu3f3Kkud3LRrypp+X4piM14fyPq/yS9dy5rzyycZo&#10;+0bufy2zRHU58a1JWXUKAHRb/BUrhvharDgb2j2/3K64YhU63EChwSzNjqNamviLN42YGCDWpjpG&#10;RNwtZuUTC9l7RUFfv/nT0fE8/EvRwe+WsL96a8r26OtJefP0HI0OAvLxkB+fPKbtm71HLH8y5Zbh&#10;SYvFwDWaeGsBY+Xdh5NWf7N4d8ODHxQ8Hh6kWQqkgjpjKvsUo07UXwyheDB3stuWIH/1Tj9P+Zwd&#10;H54dOnSse+zRM5mrsnMNlXjFCrKIZDIZeXqqYMqQsaur1armM0SnlWcrlCoc4bg4IkxXjlhTmbny&#10;jMPvG2SBUzVqqONSS3d/savXwM751LlZ0QPNTd6tsfgV2gQCweI7NS2k3rwu1blMZWRq2axQVp1/&#10;xhz/fnmCvQL9FLc83ZXzlUo1y3FFTuOqAcNmrjoVfCU57xsDj6w7n89IzS8wBp+/kruuz8yAbtv7&#10;PTnYz1v5c4i/ZteirzyKUSe+5k45+0/79Mc9lcbV/OBm17kvdU+5pV+Um2/gfYjuuqLu5OWR5eut&#10;Oj53Qtc246bt6ctOiHrrIh7/wJkH406Z+15Y5VfXVZqslme/Kexihy5CIcJC4PGzfYTmi5CTikpQ&#10;kmBCdeEB88Gz2cJEKqn1SsiMWlAUeeq5atVkzrwALnUJ+sYj15Z/yu2e2vBL/6VN+v22JSPb3LaE&#10;8sO1YUqUj8bOqxnt/eLKMQuWTN73fsC7IxonOTbkFKHI1PelP549F5/9Q6He5H6v3cJA/qGBqiW7&#10;Rg8ZSrEEO+jBIRzHSG0ZM0UtSxuLg18dvUmYG8XOmdivaB3PkQot8z6zMI4f7ngPSkQ9A2ILaHQ/&#10;Pn+U5apTZDKbZcpcGB57dDgrW+VGpn37QGzbMwumJ6cbR1vMpVcJpLJIMocGal/Y9vuTs+3rkK5L&#10;gMG6hBS73Ba9GH89f3qRwcR+D3grSk9WnoFh4Nb548IT8uEnl5dgAaWXvMebbROsxxIzt/TrtMxD&#10;KctuZbaAO9wde2CJao7hgtYb6m+h+ESl2NUEeW4rsPeo/O4rUCRid7EfA3Yee2toDj3RJV+0hTbs&#10;E7RZnERopMDv9FFnX/H3ryBk8mjtMW/pO4mp+vdMrBzd/Ur71m3XUBjZLSsvLLL2bh77lOnikSW7&#10;JjhkK1aeP1DW5ZnF7yfeLJpYxP6l0jROhzoEBamUSmv1KM9X184aMJ1lkQM4HEu4eN/Rqrw2rtZb&#10;CnPK50beAMpxHhWdV7OJcYsX8q7f60Z/7deKIDJMcLNXTJgdYknG7a8EAlGH5KPFUgnE8PZoVUQd&#10;GxeRJ7sXIacdE+oQTn9tlclPf3xs3LZtFReC2e25pUOv3SiYV8RzZKWZbY79AcdCfyqH6r74/r06&#10;4+vUqXPn/Mw7vQcyuz+77JP4G3njoPCUFSdoxE2rMgf6aJ7cuWjwMsdOlP/eqri+tcVIKrr4rdVc&#10;qEZopmMCVWJGJpdl6wW2JU/Gq9nsUIolElgozM4jQbmwL314KQPWm9ZgiqzD+wJiURMUIUTzAeGO&#10;CbFQCpXGKFPHvBfe6QhHHZRNm3Wsz/5+4Mt/9jtxKet3tg7uKdbsy0jX6KpG68EhMuqxG34ZwP2y&#10;JZvBydegqi7Pmm7BCC8rMlEVyrC8UySnW+a1GrTAtHfJkD9tTTzo/zJzZKx1xo0dnZIt+admswM9&#10;wDGUEhQHZUbNX9OwuoGacKA1WCby4Q+yEBosZm2Qh5kJ99cWt8vuXxGy4qyXyC9TeOQo3Gq+GNZh&#10;58KKRObg11f3PXEho1zItPUVG14a0709tX/Z973YcLdatypbDbyx5GaGqZ+zs7XtC5Z6zbyOp3cK&#10;6lb3fvWPH/rPKTVfOV5c3dG9sbzo5G9KS2ZtV4K3xccV+0I48V1rGNRslvtdVeqaPB3WdvUu10q5&#10;luuREcv6Xk/Kn59XaCwzZUotqFRqqhrh9dT6Of2LBRgUs0PhWGjfLOoVDze6ymu4pLJl++X16kaj&#10;2f3MpZxZzMJfg5JVtgpKzx3VfuMRCujf1awIW+fuBlv13tjBWyDQ/q/02m1vwGnctSxnlaHb1CGP&#10;dqpIZEKb7T36j1GXE/IWPggyYVkE+alnrPu5P3ON4qkYQvFq8rttk6pH+ozkg8L1NsZUvIBrdxb2&#10;GhnlV5Lyv+m0aslkdjqzTloxKbLxtKSiqEv9TYqYSUqFxlJaQFh5WoO8VKk1bJZEfR9e57ueIQ1m&#10;XylPPc7KgPt1il8y/tyV7J+KDEYMGWfZ7v+MXX7smTs45PEGb7EYKVGJA0Oy1ceDWtb1mcVvXk0q&#10;mmLk2XOnme7ftFB1leyjDPBVrXqkaeSLcTxYXCjmYharLGF7837WwqvTFJQXyrFfD5QQ9mmVe6XL&#10;tNXeDO+w63cGgRNPSvmaiPtqg9/6fZnTbmUYBt/PNLlXC6yeYcexm51bhMZ+85+uZ53lLRVXmE5r&#10;N8QyKylNP9zC9tGDJDj5fbyUF6uGu7+wdFr/LQ9Sl2PZxJ1PVKfC/dPk1rSueo64cDRtHPM73gv7&#10;kk/UNcr8d6t19V4IabOWF+FWXBo6dlXLU5dyfszJNzW08uR1eZPNilAX1Yrx7PfH9P4bSqunVISi&#10;wMaNKbqPZv29KjXT1Ml6Dw+GY+V6w93BzbEvgsKtHFSmVSmKKgW5TZr3eetJERH3X8HmWG9p96dP&#10;W9U+Nxu+ZzEkvk+WfK2jFlxaOZg6VrmbiVShU9SBX08MacCe/wpKLGbUXZ5d9nrSzfyPCvUWnRT0&#10;BdjguGs+cMfllqALaFgURFXSvbTplwH3nNW5b60Tv94RuvjvK6tzCixNSps1t+8ZezKoX9dq1KN9&#10;NG0/kEAL15wTnUf/McrgjPb2VO6tEen1zsJve1Wg9miVJe16pI254MTXSmtW0yI9YpCcf56NKuXs&#10;9fE+pdDVHlupLW8j5uKaE/tvLe36iddXN46/njOVpxpjEXcFRQtIUfAEa7e2UbT3aBLPVhW5jFQF&#10;wywiSPPp1uqDx9/PT15CKXLs5Lg32id3aBH+hL+3+jLHWDi+LnaPTYQjQ73ozeea0uot8dS6URhN&#10;GMObC992zeDDMPeXkaVvdeTcrc3tBi/6btxXeyoVq6TcNzJrWNsNuzSVxsWaVTGfK1TuRc5CPuFE&#10;4OgCk1kZ/Y019Jn2ldr+zXacawuI7te1D77ZHNxu8OJJx8+l77iVaYhF9B6+GcnChrGvl5a+fK8j&#10;dW4VyUrjXS52r3oxTxoR4jZ7a98VcfdDJupxPoSdtDDy3Q119p1KXc0hJ9ES+7DPZmHbgEM/qVKw&#10;J/38WTcaMnYtBfnrqGubSPpp4XGOUkfIh+3j4LwAtSJ+xl1LNwL83L/u3av2L2MH1SlTYJV9+8Wv&#10;rbKUXV1bmAovTpVb0tsYDOzg56Y1LCt5seEhubb2u+EdNm6rKEROmbJRt/l07vPJ6QWv5xVYoxDo&#10;JSGyiGECIGMVG7jUih/6UOUwTxo0Zg2dvZwunhfv+907mCc+nrK5h/94ehTDzHj3TelXLiMUVTwx&#10;Zk3dc1ezVmfnGqPsp3iATH8fN6oR5Uub91ynd0Y143stffDlLg7lQBCzLX4HE8IYqTl5HNnGshUJ&#10;MwgcwsFb0MgvB/hqfmhes/K8zz9wPSRUVFLKfzyANInbGr1gLUocx1BVy7WRk+UeE74Ja9rL5XUm&#10;pVQtHn81e4/f+p1JgxNT80YbjFQPAWqSJYEBBBb7yrBGlJCcS8s2XOB5TQNNeqcD7//gxgPfg556&#10;ax1PbBgFjBzbATI93Gney4/VGTl6dFOXkIk6yoRQFHhryta6W3bfWMZBTTUkpBo4Vr99swh6/4Xm&#10;1O+llWymuNEvX/AetC+vRBQDj0wZT0ibhGwdM6wxTZ19kDbsvCI+BJsiIgGxCgXvK6+2Jvj6ui2o&#10;FKSbt8jnsfOusBlRwT3+S9k/MFoh16gDm/1+/h7ZXHplZefAKP3mqvGJGcNuZRQOZRxFAZHSuh+p&#10;EvAifNmrjNA3nm1KG/l7v5xziOrXDOQJbT7YNtybTRA1/eeb3Ty/iy3s7qICbNbHU/7rqB61ni8L&#10;MtH23Vpw52Ia9e7qyKMXc5bfyjI2lVyEUIZGPdmAOjQLF7VgVL43dYdAGkYr1ILfpjxKx86kUgSz&#10;HKRxX+0q8TESYjn2rMDDXbWNz6Ne1LRO6JZPx7ZO4s4CTv964kZlo+O2+sdfy+ick6sfkptb1Mlg&#10;UniYzZjEsNn2Rg6KBveR8AIWCxGjN1po9sRut71VvM+Rp4bSMgrow69309qZ/Slu2h76e881wXrx&#10;cbDbI0O086a9X3eU/SyKqx9dLoSi8s+mbfZftT31Fw7O7iUZy1DJ69cIpOAAd9rDmhy7AG3UyZPU&#10;T/WpRW8934zaPrmQCvl+xMB6tHwj2BCPbk56lnPYqhvs2Za4a6yEIUpfo7Sm80zOdi8PzYbK4T67&#10;5zxXOV5W7f5L625XVK4fRoZy6GtrolOzi9pyXM+jjMjWPHcaZjbz0OSwEElGonIgs171ABo+oC55&#10;6tQ0f9VZ2rL3uhAriH6PCveiH+K60JhPtogBXzOGg9G+3Ck4GZALLgWdQs3+2bAg7eRtvwfxHhbl&#10;2z+33AjFh/BHqzsMXTw5Oa3oNVscjIWnqnCaIM9q3FYCQLk+PCqXftebTl64Rf6+rOn9fIgOnkxh&#10;hUjFpoWVP0JHo5m61267TAeOJ4uZEhUjUkr4WAShAeFKhVnvpuH1HCrlfo1KdtDP1+20f7B7/PtD&#10;u6ZXnS8zlpVFg4WeGXha+eXSGwHpqQVRBQWm+lm5hsaFhYZmvLanOh8Ky/HCTIVikr2Ep42j9a0U&#10;HupBP4zvQj/8fpTFBofHvNqaXv90K+0+ckPAoYAH8POD6tEj7aLppbjNwmSBbgE4Qc6CK/GANVSu&#10;pHtnQ/cB02SDnMX7SNC49+8DIRRVAyA9ri1/7lpy7lS2/bztNWAgS8vzVVPebc/xr0Z64aPN1KV1&#10;JFOjmU6cTxPsGNcdmofTVFbnDzGSERUwjQFz5HQqz9rwgiP+aKS7shZ3Cr5nrZGBoWAPHf9k8TFT&#10;N1mTTlSplEkMq5sKPqyWjZHsrPyiLLfbClght+XjqfWRyeXeHF0foDdYA3hQRrAOEMZrdUIZb7xl&#10;sk1xQySGbWNcW/voBygRSOD2BPVBN4CO8ETPmsIUeead9aJPIxl5j3evTgNeXYWhyP21hXv+/HkP&#10;+nbu4TuIxpcQ+2Y9dYrU6Ajv51b92GetePYA/93bsHShYhtFPD778VdWHmNjemZOvqKRmb1K0kjh&#10;M10YEFaOO9JRR0bc8XNpAqESBUK+Pt2nNs1YdFwoSyOfqC8GAZqGDApi9m0wWFgz1jML58h3JlzE&#10;FFmZYrARsY1mZD4cpeDDc881xAwMA1rIMoELAN2WC1vr8HIDoTmgXQi2kguzStqHQCYUmFZsV9eq&#10;6k+ptwpo+aYLvESRBxNjNzk1j704XkI+AuErN8fT8P51iZf/0bn4DCE2oDgOf2+9EDdCvnLziGdm&#10;5WdXy7oho6Z/6tw3CziUJVXY1NbZA4uSXh87blFyWq6XXm9pysdrMAHxpDd/NJwMWTl6GjuiKXmw&#10;jAG7BcsBO46J8KG3RzbDHKpgwch7PQlBWnJRdszTjenZ/nVoGcvbRrWC2CesocxsZ3vkAEOMOEFZ&#10;QDZW0t3+E8gvfi/lsw0JgXlmnxyCwlSMXyAKFCg0eB6IP07oytcWunQti3p1qkJtGleidduviH6m&#10;MIIHP1ZLUPDeo8liMINqt+9PILwDW0VCvRAb4DAa9nCEB7l/92KvOs998EbrCpu0qDCEosOb18zU&#10;Xzu5bP3GncOOGkyWJkaTwh/bLQE5AMSGHVfo3OUMFke2NSYwZaDWx1/Poh8XHKc2TcLo/JVMwcYA&#10;TMinp/vWpjVbLwvWO3Nid6Fwbd2XIFifoEI0fDthgKCMUomzRPma/6BU4RoKGq6RQJ1QwsCyJXMB&#10;ZSNDPWnUEw1oSK9adIn7dCuzkKlIzgNIL0yub+Fxw9IAADlZSURBVOcdZjl/hXYcSqS3RjQTGvuN&#10;VD62hBF9JTFbyE5fHnCP96hOHMdMC1afFYPiTj+ZvYAqde7yizERns9tih74fcPXfmKWUXGpQhGK&#10;bvGBRMTRaOdfHDtm0a20IrXBaG1kssh5uSPWN2JrUpvmi2vYZJ+81kZohX/tvkY7DiQKhIA6IH+h&#10;4r/ydCNy16ioV+cq9PUvhwTigZA7QLoNCyDktWcaU8uGYbTjYCI1bxBCjWoH0emL6dSkbrBglwA6&#10;kAsq//h1Dn/lii5czRRA51AOmv1ZdzrBIiHpZp5AJqgLnCQrV09VIn2oZhV/2nnoBp/NbRJ1e3H/&#10;dh2+wdvRKekq133wZDJVj/als5f4PLb5x8T3SrIfGjs7U4yhAZpZHVsHDpv3Ra8jE7axcK3g9MAy&#10;tLT+xI2OvcW9Hfv02DVLz1/LnpCVI+sikHlbgYM2mJiSx96kndQztgo9xn+r/r5Ef/51CeeYCGDU&#10;ZgByJD61a1aJ3v5iO61mSoUsc5YwQKBN1oz2EwAfOag+L8vzEB6atk0qUfP6obSK2Tm4H6inBgMe&#10;kwcYHPjz9uR1PH7uAkGnL95icYDIBZVoSs2UvXHnVYp7tZVwCmRkFwpHCZZtSAl9PnH+Fh1mZQ5t&#10;cFC0TZHjWSYlb87h46XaERnq8Z/lP/TZKVtU8YiU+nG3R9KTCvzl77LSV4/tsR6a8eijPwX0uZle&#10;+GFOnrmBEaH+rJ3CFbZi00VhrrRtGk7pzOLkjGgkABQa8bwVp+lmegF15VmKDQzU0hJY43F2WjSr&#10;G0IhrIAB8blcvy8PCHhlFq09J1ijlv25sIOvJ+cI5IBKMbggt39ccIw+Zo4Btn3oVApN++2o6AdW&#10;U0MrZ32HOUCo0MQb1w6mMZ9uYbPkrnkF0SIpeziUSKFQwqV5MiJYN3X1rMiFMllTJ0GipX1R+Z7/&#10;owiVuiRrOhq+yGVJSUnrRk7YPzjlZv5rWXmmelASsAce0tZ918WIBouDVhnC2m2HFhE0nVkXbNNh&#10;LEvhH+ZYnDtyTxS8/R8Uj+vsnYIDvnXjMKFdwgSCwR/KlAqTSAI+44WpVC/qA3UiAakzF52g31ee&#10;4bZ19MOELuw8z6DVf8cLE4XXl9B5vv/wpZZ0+NRN4SQ458y5LpwhrOBpZKc8PVTfDBvaYeHoXmEF&#10;stm2dv7p//8VhEofERYWBqf4z3sSEhZMGH+oV2pG3kv5BdTBaIKH6G4sMOQOr6ehYW+vF5pwKlPo&#10;hatZ1KJBmPCJgr05JpS5lVUo2C200JWbL1EtZtlg5TArktPyBWKkchlZRYJ6JYRCBkPuYkCl8zsM&#10;KizDkGQ1KHvG4hO8VZuBbrCMVfIAgPmBBMeHnFe4Q09gd+Ve9pTNGDKoyrJh3Rvk73Z520WpZw/2&#10;+68iVOpqa1u0whLr1rgVg1c2aXslKXcY71nxGEcaBIJq4VqDYEu5lS9MAAD5nUnbhZbKC4ylakr8&#10;gpWCksCq//P1LsFSMRnw/pc7hJIlFQBPwLRW3eqBQiPGc7BZTCpAy8Xk8+K152kbmx0S0qB1X7qW&#10;KbgDkAsk2tgqIjEo09NTta5SsNfcZd+FbAdr3fCz1Nq/+/tfQaj0ibLYODhytzHX2/5q3KbQM/E5&#10;PdOzCx7n1fNt9SaZDkIL9iQc4ML0YMVHohipDvtf2Hjrtl8WJkQm270wkQ6cSBYRAhJikB/mSwpT&#10;7KkLaULxQd2YzoM5tPPgDV7vYmsPmy7aJ+w8hrWckNdKpaXQw02131unXtKopv+6qR92vs4otsp4&#10;75P/ZrIJsP9mDxzaRhzv80c2RMcnZnXOzjM9UlRkbME6VIiFt0qyCGcBIxUOhFISkANqE1TEVC75&#10;S0Fh9smWDzK8+JgGC5aywseKrWPgZkSIp1JhSeNV5vvZH/1XlTDPTTM+m31RJlta0rVk39C/fF38&#10;K//lxu/XHGD71tSt/ufOZzfMyClox16nVnq9qQ7LuxAzb8EEV54F/j/xB+1G+rtfzbb3yA1fq3D+&#10;A4uMPIFAvuTzUDnmV57CCD/LMyiHArx1OyPCtYe+MXZJK+sEgGu9qZhc/6cR6viJmAj4otoJ75NH&#10;rsckpRZWKyw01TYaTDVMFksUUxzkry8jlecpSSlnkwHUCRzjSEck7CzG+BOuOAtvXcqaLZY+5TEL&#10;zWLk3WS2nKjWKC4yAk+7qeVnWtQLuPxeQLucB5n9cPyGf/r+fwqhpQGDlSvl1IR+muNHkr2MFpN/&#10;2q0Cd09PdcC1GzmMT6umamUfPjSL6Mq1rBRm2PoYdqTzxHOmr6ciX+UhT+8QUy3nuedOFJBsEHYf&#10;BOE+TA8h8BACDyHwEAIPIfAQAg8h8BACDyHwEAIPIfAQAg8h8BACDyHwEAIPIfAQAg8h8BACDyHw&#10;EAIPIfAQAg8h8BACDyHwEAL/xyAgi+48Kzgvh7ey5OThpbbart2pRjW1PtOoys9Py/crNBRZbu55&#10;IY2n+62jRh1Sbbpw0t9NY5DVHTEqVb9hlfuJyxm6fOIITezyo3Mnb7PVfGnncN53vvhmfHFxp9WL&#10;9+7y5zUt1ihKu7VtW5ypSZMZqnRPk39Bodqauv/51FYDl2pz8sl7/LOUNmjQIBGvw8HQsjb9fwtM&#10;yjTLvdSK3OMbny5o2Wdh0M0ccSh2Vp7RovLUurnHVNKa/v61vziyi2ODZI0fnROQWShTVI9Q5Cos&#10;AYpzKVlueTmZtkl97qeKjyNI2jb6VquBS9w4zNObN4aSWbRKWe/YyvppH3TJsJ/sxiT60HVNoo1G&#10;jc5NI8sY3kOZFBsba+o4eEHAtVRSqHWFBaE5MYVX6UxAPsPhLiyJvHzllpY1KhftPnnTnU8zMV9a&#10;x7DhZXJdRi3xjo83aTUcAnfu72dKHDWGCI3RhX+FFxjNvnWq6q6//1K7TNv4scqqPvJLgNlgludx&#10;nwXc+cXIoU0QeUXXA/zczgT6ux3n0Bz+dT/u7y8/zVvm/t6hjm9zDsk46uup+WPgG0vFoSHZmoRI&#10;3qnyEG9WurNh9v4As9zSR6GUnfBRak7y4tvjfhrZcbPSvD+q41xvW+N3/0/IS6xutqr369zdd1Rv&#10;3TIQb3Q1PKJUSu0hX2/5X0CmyVLYxmg2npj2p/krIOV2aRVvPPirUqU65hOg6cCHN6sNMvNylVp+&#10;ona0Z4PoIO1o3l78XJG+6EMON7hdZivvbKOeo1KrTvn4+HbSK/OG8hKmU76+2hPop79GdkIjk//N&#10;AQoyPx9FG41GfoJDivarzdbtu/Ymn2375KI5Xyw5JL5hzIebqjWfVmPLibOZR85eSNp49FTK2Tlr&#10;Cx9B34qMlqkKhfVMqLfnoPOmsw2USreLHJd7nIfyGV8f7cmgQN1xjUJzosBU9DyHvJz0VCkXcR9F&#10;TIzCrEC/z/v6KePu9tv2xXFfb/VpdWbB/D2nkk+eOJ+6fcH6a6fbPblwJN6OGjVTyadZzufVsWf8&#10;1Axz/h43d+U5Xtl6XR4c4DmlXs2gwSH+Hi9oVEq/lo1D3m1UN2Sgh0755w/jfffLrMYCXvdxcunX&#10;g8SRkov6f3uNV1ilFhYZj3zwfIvU+PSc9WQxaatF+85pWDOoc/1agd19PdVfGTw5GNMhRXjsPaM3&#10;GC/5eqmvz1Dvu4nX2/v+edndTXEz2F93Ye/SQYX9O8ccVskN1pRbpjG9X/yjP/JwxJ4hI8uwxk1t&#10;Ms2b2HyLTPaonhfobvJ0kynnfN72VPsGYXPdOFDbKrPm3aWqWDPHfZndNeb4d54J3XAlIWcdI9SX&#10;13d+hX5Wq+LXk2NpfyJaKn9rSONDTHUaPkpkTkiQrkNokG5Mepb+2Y2r40ej/b1nbn6cm6evHh3m&#10;8UhwmLo+L5NcZTbyORyceK3oMrXS5Ne2bsSe4AC39LBA97d6d6remcNCcyJCPbcN7F6tc4i/bqq/&#10;r2K+zo02yxXyEKJLAqEZWYVyrdpoat4w+NO7/eYhxgN57a4bk3PzTL0rhWiH1Ij2acRENf9WtnFm&#10;35dXd545c7TR11tzhLdptzSsHfgIvicm3Ot5NzfNFOW+pU9+iAMufZv+WJcPgiG5VRa/cGr3nfxo&#10;C/2CYyaP84JJ650FmbLYbaZWA0Zy6KrVxIC2RnX8xYwQR9727fLi7x6T9sk7ho91THFxcZbIDjMR&#10;jm6hOAxKTmeW8u9j/Mx2hohM4cYrS2UG7uz1a4k501/74q+D377X9TpH+vGyYTJHRUUJNsyRmkZe&#10;SiSuv4yLvdWs/29L8nKNT/A2cZ/UqSMzvPL5Zr/c/IROvKTinaZNmxordZxldmMw6txkFxZ8eaef&#10;B9EFkymeq7Zyu5S9e9FgrNVcVLvHnPeyc/SN8b6gyByhVsourcrsv1e2VLQ5+DhecOLFdEYts7ZC&#10;s1F27M/hV/nRjB286WnN7j8XcDxiWtxrbQCTU1v4v4Gv/PnZmSvZxx4ZfrzzG18t2bphU97YYH/3&#10;qd+O6yIGN2cRaeS4lUG5eelP88CfvPHnQWJVt9U644P6vbSPJyRljeJMzFkYK1YqXPxNryO2UnRq&#10;23xadmeljTsfRIkXHCVVLFCV5ZeJR1WtAS+vfLIf/w0Zs/JJk1UWwCNKABNlGBrGq0l5bcLb/Dg0&#10;vP3PQ9sNmd8cz8ubeE8DjUJhmcDl0/ccSJ1ptQ5U8NIEbsYuIYbTLoX5e84zW2XVPvzujyZ4fP58&#10;Zk/OoKha03ullI2LGM/GZ3eR+hnRekYV6R1+uQUeJyQbGbe5Oi9hqqLVqMSOl1Fhnr/yUt02zUwL&#10;1vR6YcVjDJM7S+B4BXixfoh64uI4xBSsHwRxN/GBc6f4kKNlSbfy39y/z/QqRxnKBj1ae8bdHLYr&#10;Pn+uqlyh0gb46EBrIslko428ZuoAr0VtANnKiy84yFHmEdVxxjOhbWYOrd5tdt+4uK23V8BKpZz9&#10;8iJmPh2v/fWbud8nJud+fykp9/v8Qj4CkRdgS9kZ2Ea+7hIe4vke/kL9vbpJ78rzy4tw5bxSLaVB&#10;tYBhTB3duw0fMJKp+p6bRf1ndPhBDpw/l5xZ9BQ+mBfrPsXy/68Z43qkoA9u/McxvCauu1cY+hnK&#10;/aykqy/1j+Nzi3h9zIs1u/38954DN3by6rXT3dpFzML7NeGPz64W4d6LF2mo46/nLW8+YOGel/+z&#10;pY5U1tVf5gDW6MpeExleLbLzLBPDgtynvjS0/m1F524tHG2K7nIyFvvmnFxDKi9c1lAcSxcOO5fz&#10;/um8W9s7EfieIM+XateuarcWzlZDif+5E26+Hsrfvvq0e8zXY7vH7P+xe4yPTn6SuYxGysxxrW5V&#10;Ir0n7V22o/HexZsbL/6u12fSu5K/grLuUlscj2OGFJNHsZGulMvdfvu6Jwc4q8cn3Sz4KtBXE8t1&#10;lZDLUv1gq17uyt/y8gy9PvDYU51lbHt/X7dfQCbIAwVAKZdp61bzf2//+9zPtzc33r/kKft98ZXM&#10;BA5qtardZqsiKDLU/ZO4V237+yKw+o+f+q853GBo13o1fZtzwLff/pM3eGNniHeWN2VIy3z7nPLQ&#10;qbYYTYb09k1CZjoryksSM7HMMa/I4i+9B+fgQVZVxbKZESrjjSkZRKbU/cvaNNn//tbGf/929tFB&#10;gyL4yITbyaTH5gRCAbnDSvlWdJYFZmHbmoG5bdsG5vJB1nncmJFfiHxsMohfi9lkkMlmGvFHh2co&#10;OE8xBN1uhg9g05hy8006CdC8jYqcWWwwa4s3RPvKIg6d5QZYZuJ++of1vuDo9f15RfLhXOYOQkX7&#10;nC84mNfD305VK/su5nY9tx+8NoWX26f27hyxVXqnz7X108Q7esiacj/5j+iQEv10c/PCKhqlyWjZ&#10;e6zxsPFatWX/havZH/M7IX5aPr6wxVtTNgYBsYu/6nVcpbBs4/5Vo6Uk560HRD95UN+FG+sHrOUy&#10;AFhXcEioQ6dVpeqLDDfumiHFMzWspbnIu8mk8R5OA/g7BRyn/rg7kHcwaMurxXeiDm6Ax5/VGjth&#10;nkl8jyxO9OMOQqOjPaqRXMMHixuipOrHfLA+gOPO/bhcJPgzns9ft88TCHDXKqOXLElwa1U7MJI7&#10;7h6fkNM1ot2MF6M6zHix9SSvbf1e/LOZVI/9Ly+zX887lrTrMGThB92fXdKj1aBq3/EeRFFRkd7i&#10;3M3LVwpCrFaFV1iAW31swozdtJrWDR7FO4tl8xfoUBf3R8FbqPNZ4TKvCT8lBkv1z9UduMJrWvak&#10;Zase42X8K8Y81TJHelevrk8MD2rlmUuZvdDP6E4zXmk96MLOQS+vqrLt+BkfPv3Qg1ef1afxS2RV&#10;IzzfM5gVjTsPWzKe21KmZeVP27k/Y3HLgfNfbNb/988MRvlTDNj5NIgs4UEeNawyDaWm50dKbQH4&#10;vHWOP+9zFLF1q21QSO8OHbKqjGZzJJtgwaPitjJ8S6a4MY/mhId4fMFHgg1mZW9W2ycWvfb72ssb&#10;5TK5oVblgGncJ+CtMqsIPjWpRbh9DXcQ6ufjXs/T020771YSJmW4ZTDX8PbyOM2j3XQ6mzc64PTX&#10;nnzYj1d5+bohyZTl5aGj+r6+nrt5IAUzixvu4+02nJclyNw02juasVQffkd0D5np76P8jHd4fupW&#10;loFPb7I2Dg9ye3rxl4e24/35y5mVdTr3vbxbSnXWC8XonPFpt4uRlTxf4gW/rCQstWw6cVPLary/&#10;RqPdd+RU6h1AyliLDg/2+iHIV7Y1OMhjDuqTEq8Sa+Tj5b6dx3U19NPLw20YA9bo7+tReOTErWg+&#10;4nk32+KBe/e2Ui/9vt/2AC/5VIPJ3PK3TSc0kSG6r1mbLczMMQwv1JvbB/iq3/95QsPPUTeXqenh&#10;rt2elpF3px/xNwtq+3h7nmeKN6w9tOmOaEL+eWvW896ulgJ/P494Q0FhVTxzljY9c+a7kADls3we&#10;UpVU3lOQOcC5GjFeXed+2f3c6NEzFbwhiMLLU3f4enLBnXaL1QPShjIhkbj0Ujzj59I9fh2fSff2&#10;v/b5nV1jU/2LF60aZ6dGiHpusxr7sngu3UN+2d9Lz/Hr7Pmd78M32v1J5cQzoZlKT4rXI8FF+pVy&#10;3anXob9SG1I++997vbPPh2vH9qT39/p+Kc/D34cQeAiB/2sQkL0+cUvPpWsvEu/qKZI7n3cR2ytq&#10;x/SXY/PsOwvS7/Dkwlb5BoVv1Qht6uJvewsvi32e7iOW+F2+ltPKgGV7nBQKd6oSoDzqE+htPHY2&#10;tbnBhYMIUCbIX3V53+InhVEv1c8sRj5k7KpaKelFDVj+hvi4KwJS0gtvBPq45yvVsqtRYb5nZ3/W&#10;5WavUasDeDOLFq60JdXNm9BQZCVt8o7fnzzaefjyRvFXc0N5a6q7r0u5UvMmUg0ru+9d+vOgjKff&#10;2qjbfyKxvd4IheWuwouinu4Mh0hPfbC/55UZn+y8JrutkdpX2//l5ZVPni+oi357uikMJ9c+yy5O&#10;3iqmlDTkvTW+B4+mtLY5WDkb67iVQrxIefx83hoFTo2Hns1YIxZThmRTbb4oBtABr65smHohc7vB&#10;JFeeKcpPiPtha+04B6Tz9m6dZEqPpXKLzR7GFuRGBT2dkZ3H2za7LZJjV0tOtnbEZYn/sOCWjyr+&#10;hl+8Ib0c8uaaJk36ZcXlF6Z3NZnlGhwOkJmNvRjkdD2Vt8JhYzkvT7+C8z/O7vLGMoVijdysstlc&#10;tyvhLHeSY/sybARpscKj1C89PX8ib9rfw8rL8pEc84qH/B+qk/HSfKNKFsuX2y4lp8WYLcp1mO3A&#10;wmFbOVuj+YVmOnMpCwpfQeO+VY/2GLFi2vruC5fKBt1d/Z2QUtTXIld9I+c9ePUmJXV/btnbXO9U&#10;/nOa8rOKmivkHmvkwt/CrbIbSabis1QN+ty5fEpuPDYxBFLdtLSkMNt4w7GWpJTC9jxbozSbi3iG&#10;wRp2+nxWDcc8fIL9RY3SuE98DX+Ru8a0LzrM+4xCrbokt+i3ow121vBePha2xcjk+IdjN8Sye3Zr&#10;SXU/MXZdy1PnMzZn5Jge400YmY+wG0VlypBZis6zsz6FHVa8s6uZJ8KswrvCK7utqAP+Zal+3tee&#10;TwjF/n88jHlDDnc+PEl6x21yt9CcWPxrVSuVq60W/RWprzy3ZZby2v/K2cREOV7+L8igac3QAi+d&#10;fB3O78FiYq7XwOdqp+PPTW1J57aNfJSle0a2oU08H5XVY8OgSVa2waXvxL5VOo35BNQgAx+tmZiS&#10;P2HYO6tLdaHy9rK8a1bRBtF37gKfE7uverj2S/nuxUOH+3trf8S2LBipAb4eS+d//+gd+w0Ncn4Z&#10;T2m1A6Aw5ixWhSItQ99I6oz0u3FO/+M6d9lubIPGU2qWmAi3sb9M6XFk0+x+h4uK9N9hwwniQ3l4&#10;Y6j5vTtXbdDD7g/3tWP8PlVrNFkape2wVSvbbBcupX2dk2/2YTua92pXn6pe2at3z//X3nXHR1Vl&#10;/ze9pjcISehIj3QINQrSOwSVpqiwgCBF2RVlCUqzrD+FiIIIAhEwkV4EjITeewklpJBKymQyvc/7&#10;fc+EN5lMxhWU/Xz2j735TN57951b3q2n3XNeaNhqUKvI2Df7NW8VGij9jS8k8tTp4q/CJ5oZPFh1&#10;WLD0yPiBVWWM7NesG+jmYvJMhFWkvGenmF5UNpX5XKPAdyQSsRotq6Vt5eLOV9ewdvtZqqsYEoIe&#10;7aLf8q7r+OEtY+uEyU8IhEKtTCJxEfSrF72Y1SRGuYQstlBaqZifNntiXIvZE9u0GN6rSYtmjUM7&#10;wDPvvyRintNqsTDZBfr5Q9+K7cW13emU8ekxEdJdZBeYjAQYzU75zfvqdauSz/lzMJ7X1NUjMmB/&#10;YgkKwwl1ERMTqdy48dMB77qYBf5K6fmyCjMDm3wwyGTug4Q/eyY+dixHYjKlx1LP8sEwJRs+Or2t&#10;K2DWe8IRI6DtUGN3GrOwn1gcFRZ5m3uPcl27NPYFBsfoy1e82yuDe8dd16699JFTVPFNy3oy03FE&#10;jvl+bwu9yd4Jc4iMYJTEd48Z9vl7vXN+4RJgo4uftC05hBFqeE4BZLQM06911LnwEF3LnMxC48LZ&#10;vVwD82BmpmRPWia4TDQcWds9VcXNYx8nuHCElBT23vdph3+WyU3wPvp4lYagkfKiumK6Z/mq65zE&#10;9OF5KpOyZXtZOcFSsFidUtcN0jnsrHlKQtMy13PVvzKQKwv6ZG6X5RWbZ5BX4Ucqw0Q01XGuXKzy&#10;LlqfwGk10egEsSkHc5Yj3WweuEMeeXG3VeXhCbSta0C7OrRrl5i7+cWVZVYzGwajFO3ZlBSIAaq0&#10;BSjlur33GsPmbX0hn7WHB8sKC8ss9WHMshN76ZKIBx4ql/vc5XXCbbbMFiS/lUoFV1ct7qpbnci9&#10;rb5in3QvNdWxDPPYYH7R3seRFidb32W4DVsBtojr1Jme8HSfvvmVrbjQzxUe5+FiyHNxOVet1FDU&#10;m9RlPAUrdzdcQoIL8Sh2vfPxz1v6xIF8mRhfiftK2rh9BrDPvOOpUwa/Kdkg4BunYZcQAIFqCaIZ&#10;kIno1+pARrTIVqDRZAUHip0+smRXGrZ3T75zNbDXnathF0/tWAFRznWqAyw0N5ueEeBmChN8UYm6&#10;vZ0VwiszrywwSPYtFQgfLY1fSc6v55nfvSxVGyAtAfQeng9O0AD3fP+09+h3GEkg5Ie8JDH1WPa2&#10;axQ+bT7/TfBw5VkJXMU1CQwmEv4k1pp5WLYdrZqFJKO9HTCyzIdh6aR5S49HP8l3uDoUDe9Eh54k&#10;+7FYdoMfPjRgllUHmPLuCfYpGe+93yhSsRueb8GTFihUaptb/ETQWr2xC9kTQn1YeHM4XZ2D1x0Z&#10;0X2C0KSp+KZUzCuhaWWBh+V+r9358uDBTJ97yhNk96dAYE3FtUf+qcQ+EuE7YEOYB1+I0DuSwaWn&#10;B2LEgfOAptcNVa4HroHJI4Ararbe6Sv5SWx6FT+dg/N1dS259CI4RHGuQlsJUzB8nsFs7oio4xSP&#10;/UvYdsgPHaBDBP0v8ZXVQ3KzWl+Q5NosgmZ6o7UbQFwrJNZ5fqdrTni0x34n5hX3aRqQ4ZYsU0Zc&#10;wH5oZ51hceO2t+aiuKsY5BO81pYRPUlx/zdvQMWLE3/62Gw1Jdmg5JRdoJv+4drz8XA0+22zBiE7&#10;ViXGF3L7D5fHs7zS3l2m0jdBXSu884VNe2eFlXlwOzXBLQHyhvH1rNZZx2PSILhWsXO+Zigt1rDR&#10;LxgxqOXfk1Ov9anUOVqpdI5hfTeWzUSeX/nKl4tz72XtWoTcFPHZSiIVTWZnF4wg1x4w+R9pkTDN&#10;3YyPrQa6RWfJsqZCJrxObE/QVx2pIymzT6NPKWCvFp3EY+BB6eocTXwNTJkrkPy8lKvNrz4q113z&#10;/hWU6K8VlWje4WDp+tuWcV/XDRPPlUvFENvBQKPG2vxBgeHLtHMPr3Yds3XrwLd29ubq4JnuWdxb&#10;4S7pVmbZOu96PipHPYs153VqfdTvlkNqNo8DxgU/8bPT4f2n7FhYVGr8mxOOeyRCpzEmzH8jB+N9&#10;hU0l4XuTYg2N6wdOk0r4ZpvNxiDtx+QozxvW89ndocvqrS6F8PQWLQVmqz32WHqOCystfqR+Hsur&#10;EgIXIzTuXJgkbOWdJDoM9F/rJf5nAinDo+dLmmIdjiQbTzDcdIIQAM+CPO8hBuKLhNB58fpRHKQK&#10;tfbJk9te/bJDy+AeQPt/gP1Z12wxWtjQkgrry5m5lUd73Nm+/Z1laRGeZTyrewGsVvmqK9Ry5DDX&#10;6hr0tcoChopJ0LNF/w1H6Nd60MYTKUfvX8/K0y1DvFgqFTONYvwWbV8z5G6ttF4RO5OGn64bKl1K&#10;7sTgttLvfrZ67ebN14lO8xncSy5xLTqNHnaaz3f2APodnbTrFm3Cmdi4uzsh0lNKedkpnw0t4H3O&#10;MBGB0ktlqkoWNvgiLt179Bzgzpp0tk6Ei8IbiUMiEKb7LI0ieSLYo5XuaRoTuM7NPXgMTC6ioiLE&#10;WS7BqFcGyRAsY7BNmbn0eFTG3dJBsHc7EUt+d5hA5xeVW8ceO19U7x8rTg5Z+T6nu+qVwZ94hMsQ&#10;pl2r0IXQhrxeKzk+VCazFz/woKGqYaDB5mDCHYykH8U50VC0MhEZhMF+t3495cr9fbcl8757MqTx&#10;64VtPpv0weUXVFreCxoD23HdgdsfoS3ebVhdoPvO3aEUExEsP6+GnVMHvKRqKowQMDMPnh9mg6Aa&#10;Xgwk/POokAs7i20edOfuQ/Uji11cV11hwv7KnEXHd4XSErg4TGHXTsF3Dv1AOdYORLGAufLgh88G&#10;Hqz99t/HYDqwzIe98wG1FlayN4zaWHcQZugq2NaN0ZskcRczimfh3Uf/Ppcnf0s0t1IhPblhWb9T&#10;T54KkGD9gep4IJFYqygwJ6+vzsRvSwhOcIBoD1xkbeKte/IcScj/2nv7/nbxdsVp7K1hpZXMO/D6&#10;dMR8saiCMyDN5eZecimifnjgFSHfoSdM1WCxdczNZSVwe9GKtgOxhH+CS7R4znGtFArMxFOF6kgc&#10;aZVbbHbqWLIofXnxjHgDB+vrCs2RGgPJF8wfxdFevuvrYXuiI2RvwYQ4/OrYYLjYNJiYG3+U9mne&#10;g6dbawv4w/QwTy4W8K/e3P/6fPq1aV3nLejpWlFJpkxtnvHa+4eb/2EeXgA/fDY0E4oA88Hyg78Y&#10;u+BWVvmaZg0UzcD4qLG11ejQpKUvFIgEgjuYmYzR4mi3aPWB9lDzCBPxbPaGoQFXuDIIM5NJBedp&#10;BwHd2nruhfimsCPfmNgFCsVfpz+5cp7k2qNLQ5A2dA4DmKHJpkxIHfskyf7jMKSjxBXy4ycDLob4&#10;i7bCNwb2Qcbv7oPypWzK2KceeIc2ZvwYEiDcRMYoIXFqpNHaV5IcgBYuLtToUCypDgk6inZ6u83R&#10;tExtGg4NOB6OHORMfzk4i0tEV39/yVnSjYa6SUxmVvlIq50nF/CBFYXKznjC/ZX7UbN2RA2etveN&#10;Pq/+1BdsQZGvvCrKLGKMUSF9E9xy2WeMPUbV/68KxGDp0LbOUggFKqFMx1RobSPHnBjf92krSRMp&#10;vn2d+X5y/j3C+CHEisJ31xgYNTqUCggDPYrzFoSl1cNxgFeIbwu1wotxcXEmzwpEBvtfw/KsgfcG&#10;P3WlZQZNfLjDKBjbs1ktHi2lgwaze2nAzHbtxZ75cfexwzeN6/da6lgiuAuKLB0f5JnWF5bqfiou&#10;1tWoOMFjHxVdvJ0/C8S6jPYnfz/x5T5MvDeuBcldkLtsSmdxSGo8U1zNQGtUVYAjAp+6UT3Hbgjr&#10;PHrn5DGz98dxsAK2mlRBnDsPek/M+7BgyVcieCCE6y9+dp5maXp6jpsX68oDe5Hrin8Clu+zjisW&#10;9lU1iQ6YDt426F83OJesppY8xUZEKC9kP6w0gzskhTH9aCE4+UqF5Kw7xeOb7weKSmNvC+7BTGnn&#10;4nJjPXA3wO4TXBk7tlWt/TMdmm/Tlm/0A+bnYjrbnIK4oVN3fuBdY2iFy7LyNAvNJh2Y2ot32O1b&#10;HDZIcEHgK/dczV/XZfSPl4MDZOXgE4PgN0R0Xs4Oq9AYe4MRjjryjU3qBa72xW4sf5QHh6VYnNAA&#10;aAJ+kMxMh5A03t9Ez1+knJElfXtbQk3lgKA+J1/zBuoa71lXmgXllea2FXp7gjlbuxmPZ1BH3sgZ&#10;u1FOVQC/WpyYuE+emFjtTXj4i82/3PDz9Qlag7OxziTouGzTpb8BZh3BrAVffNeaPJmrjijcbLf7&#10;06rkyyHszjXD0+PHb1+ZV8L7J/k09wzudZ6LfHtEcO7Fy4VZFp6wlROquiIMFBzAOc+95648HKXr&#10;jAbWmR2dCSUnEY5CIT7pq0FXpe4dxhMI/wW5EZKzYDhb48rVTvfI5vKkRqSZDlmFa1YIwekgnyno&#10;U7Fax0zEjjBRpdWTxAiNjR+AaWbiZGBlg7ry6Zu/GHSVy4u7UkPHDt28Cdr+9cjfGXgF4Zk56l9A&#10;4vTwReLs3PnwK6h7Dob4EgaTWeZOjnYK6GYuO/fVJS+FmrBNAIk0Qr/xWxsWlps3gozCJ0L8ZRW9&#10;9Ntd/Ro8vY7q0qcxc19vVzno9dRl9wuMG6z4qJx89jPwatvi1ZSfV+WOywfTwYFy6dsu3an4PrdE&#10;S1h7MqX1DusSOyx/+b1z8SqNGGxZKrLqSEatDiUN9O7jtu6D/rAf2kLsrxCc6t5feOMnHwwn6LEe&#10;NpiNg0xwEeYnd2pjIpR7vAum57JKkwBYHtgGIg+1Fs8x75EKdCocP+jnzUuVdGkdfOJervENjZ4/&#10;GJKH1tivI+CzTEDHXEAbOiFzLIQs93jz+gFJ330y4LZHLu7by5cZSBX4oUo5H4gTKTXiAAG8VUY3&#10;Dva57OPsqtxPLrGhfbCkccF3XXlCMcg0p2vwhYcH+pfpVXKBiE7AUTFi0gGptfwf2DDmx7iEbZP0&#10;mKEYmXzgKq4pptYaYc6evt3paiPwkCUhAXBa/juhKRzivrlg/7TL9yoPsjxRqEIhdNXXJwKBUS1I&#10;WHJM5g8hzvrF3TSELPnKl0b/zCXHFDmZJv6IXuF2LA8ubNMbdtWqTIlRoomAzN5ned7wcApqt5cc&#10;KabTavQOzcM7lpMj2bkpNzTtQpbAjCZs1yrS8ebApmWDBv17T79Ux6/W3wrXW2zYr4AGSGWMUW81&#10;L5/T1cUv9i77i/W3g+Gj0M9sroEyeIO5nqXIy2q26Re+3UWVCMa5MENRF+JW13Smd2B8qBNnVyt7&#10;c5kkHzzn/6hIHETPHAyWV7lOwA/jyhWKJGyEOKT09dcb+tzDubySNp0PMQv9lEFmfsUbbzTXcfH/&#10;u/6vBf7XAv+NLVBrCaQlatayYx2sRocfCQKlcDf29aK+l3wgO7w3Fx1ujx3J3w4OCJATVia0XVmd&#10;WFMfaenXF6LzSoxN7HYznNdIgfTYHq338GZLmvMT4aeluEDbMCRYHqmuNGp5IoEq1F9SMKJbw4KE&#10;hFbWKf9IayQUC+tTHn8U4IadaKQrPVqF289kl3aCIN79jUIQ9iUqvVEslqomjW9bNLSjy3XXv83y&#10;7Y9+bWO1i0LpG7G3m7/96EVigfrcVKfO3xcKVL8NwdK3YvktX/tRv1s+2s5V5vzPT7TUaZ0RXNtI&#10;+Gzm6sT4Au8KzUpMj7I4eU0Jjtr5uWbhF0kS4w1Hzz423QzR+cuFqVoj2wA4J5APxjht0UFgYoOy&#10;PDPA4SVJ6vmHu8F4iCJPuqSyGREi7AOY455wJy/n/y2/1LHQYYPbK74ULoqdB/F+MMG8Mmdftw7b&#10;NP80Got72Rx8+cNSHKuHdgLUOBk40zbY7dlzAfbd6au50/gCxQKHg/Z96h8S3mFndQXcgcimQO6a&#10;CSPFya6eGqPNfuehNt1iqRoERFYRekzsN/SH9f3EsoeQc+7q0y30i+Vzap6gdmWGf7R3tz1f9K3N&#10;KYxjnTaix+2j397fBa/cXDMOlq5XszUjDVbjOocdDiYgNJKIHCcZJrEPflxl3eCUd4+LBV+B4d6X&#10;BV4lFCmYusHsEgAkuoEe31y/X/JumYZ5x4kOpXbOL9QQ9pvkDUfPtfFxpqUd7LufIFBmTWYL2GmM&#10;/G62Zox34s6do1jYIthus1mc5OZYIXX8GuqnuOcNJxEK01CRm2ZYvYDGb1GT6MBkghk9c3eXG5kV&#10;B1UaxwAII6CU58wJUjjO+kmdZ4EcVphtjAJ2HIheJNfNApAbpH5ZpJQyuQoJkwdZpQNab+hAR4VS&#10;zuTSD56PKhEF7Qa7iCcT5kHVcx/SooOhneS0XmGclrOAvwAVEC3ImKaPym0LDqUX/bLwd0RvGCZs&#10;nRD5XpASdvLdbTCxwtIKw3iqk6/QpHHILZnIcc3l85u16XCQaSNxd3zBUt5Qat9ks5kf4cAWSCTL&#10;tcbRgUd9weJAbxo0gMvRHvDtZqaTbuPpbJAv2Fod6lpOeEw+offQC8IK7GBwcvjV27dr6vMQdvlc&#10;lDwJXvpwZF/E4HRXauqawY+8C9m7bng6MLczfIwsYOXZW/41eDspoeUV65fqjWygTMxa2zQLmT1j&#10;Sue2F2ZP6nV14uSe8D6YgmURoxFTDiE8UHFNKXPuHNAnpvf+3RNb9e7SsCuiy/ik7s8yn1zeNbEV&#10;/Vo2Dp4A5sa+OhFyzfZPXyqq1Jk2kkMefJNRopQMv3Poje53497oNqpX/dZR4dJPiWFVaeC1O5VR&#10;Pse73tyzUMzPhRBCoJAKWUL21ZWmUZ98f8rNQODg6Lrt84FnJWInVHngqZDPVvwKEsXzvff9r5vH&#10;JONY7UOadUaz6eTaZf1PeMPQM9r4DoQPEpGIB31qp5MUC0bOqIz1CesdybKXRO2GZ0wmSUqjaP/1&#10;D/LUI3GSuPWC/8ukpQZLSHWAbzI36wosQJdAvPpt9R2Uz6pGE/Ed0UX/WtcoyGC62Y6U0gKVov27&#10;vhmWxPuGYUm/gsKomf4rLVbJjsgQkWvGX9w9gWZ18nUIo1bOg7pMl2Shvwx681hCIbazUIe5EjLM&#10;AVwP0HJGizCWWXedDHqcR65ap/G6bwnYhh8+v0TSt1LvbF+pMfeDvs4iYpY8zsd1IfZj++H6yRAn&#10;8qLqyjcVPNL1Ntv4DdJOF/UFwC5PWO4evI7HPGceb01qBklqPOhZDsrzWsW1wND1yasmyNxCzTib&#10;U+IXILenQQPAqdLxXiqrME3Aq8ueOdF9rRmaMLekFVRJ2kET29KmUdhKmViII+pi2CzQkw4ptdNf&#10;C8gBZKAYbSumZhfweTpafjwz3fn16IcHvhuStmZZf6wUtYO/rIrWozfQzalVJ+/8CA57YA04Er9B&#10;JfqKSzHOwYas08Nns1d44/2ODXAetLdIYHfWjwz6Aod8fyU5QIXaMhG8jRr5eSV9Zo9YIkXwtDia&#10;uE9geW6DGm0yHbeAX/CRK9dW2VHyLKxWhxaXuEaDUC4VXFph6ZmLDPZRBnB/PGzh8rRgz8R/6h4N&#10;0bu1rRRMkruoLKPSWgePmrmn1zMZLE9ZIXCclDSUMKisLzQPqMU8eVhoGGl1iOVyEe/ud/1OZURF&#10;BuzHDkM+SvvNWnq4wVMW96fAh03d+bzJysbyeRZjRLDiaEy08rCQb9VYbIL6MD3QzzvTGh26cWO6&#10;tFJjGUYrU4C/dDcPekGRDRUHRHybymITRly6rxnqncFTP6cyWNni7VGR/iuxpzqgkBaa8aDicM9X&#10;flpPkgta8p86zydIYLHXlF4QIgRhQW9KKpEIbzRp0rTG0kgqkyqNeRRNRD+leD8Pvk7bt4g4JhY6&#10;H1odIuWNOxWjn6DYvwxSrjEn2J1iAdicF3bVuZ73DdO/PNBfcpxOOZSrDJO91UBrdOiusxXdcKCm&#10;BSx5WaIjg2k/YjYuHlwCx3DHsY9AW08/4VlpBBxaP2pn43rK18ArLoI9A2lBiXXK9Tulp2KHZpzC&#10;yauZ+y5dkv/l1nicAc3+kCBJ4IjXdgVOWXAkcuSMPQMOnCvcYTSzdSUiJ1s3RJ70eH91F/nyPn0r&#10;EwQPmA3OunX9XFrrxMYL9BcfJjJJq7cC02T/I4OPqwQpg+kMthHkL1UpFe8ikwM0ybANboNjRbAN&#10;HfHTFnVuyMHT1d2h9NEYDS+D5uJBDfPy5k/U9wmAPhSebLfSUoMDND0nvSdvQfHPIhzaOCZ5YK+Y&#10;Ljik836AgrlOpWmNvM5Z+aakxUvvpk18d2+Nyv6pMkHXIsiNOuvRm/mqOyev5N++dV/1C+wEdYcR&#10;KHujeooP964bVQPZowQFBfrRWG6FMjHv3vKZzd10Z1CAdLuAZ2NB9rQdPn1vZ4L9T4XUU9ndYWOh&#10;Ccg9U3iEkuh3V+jWNfI3WGopw7FDxZ2syhorhbtDV6865wdTaIPoSGFYkGI7j1d9tuXoloSDMjFT&#10;YLULxRDMJnAZP4vrp3+PLzj2Y8LKa3sndG7dLPil0ED+DnBYINV3dLuVqf5x7b6/PlOBvfCgcukP&#10;pCaQEGuQsAxs++k7tQwZcXDD2BUYtDVoxZSU22Kd0TKK0J7gAMkOkmxw37r/ne2nFTJ+hs0h5JeW&#10;6ybQRODePcsr5Qt6cxzc0pKc+dSe8OHZXP7LZ/cql8tEu6nScPI+3pOkdBOnh28U9bXY+FEgvuFU&#10;nBndcdSWXlwGXcb8iNWFFTsh+tPqeQlnzuSviIuLNuGbMH892DRcgt+5ouF+9+NBU9Ae9itYgUf7&#10;7P3po7wi40K9kddtx85sojmP/k6WfxxNVAGPZ2jaMPilnu1jCo+cznr1QZ5hOfpUXlppjkCF0HY1&#10;Q/Jvd7saLc4WJJbVGyQvoC2acxBd/gm1AtYRSDJgrYE/YskXZz5g5sVVcO+f1fX9FScDdSceDCSZ&#10;LIRf9bvc2PJTx1FVuXdCMzrsjobQD2UMZn7rRWseUBudoLeuDiUUvMMI/Vi4r8bnkXY60xtYKL13&#10;BfpiFpswkVRmm/C5pd9f7I2HQ4F+PCvIBhs4dSKTiWwp1g400tr7ScPVRhRCll3H1m5Az1TkTXfo&#10;m7L1Qr5+nsMpkkIbgZb4P9+hlDm64PT1/Nw9a0YUpaSc+XJFcub4Cq2zVVGpYcm7iYf3f57Yv9Sz&#10;DmUqU4LDQYo4wMJ1TJxnW7iyQzvRpLbahHXO3iocgrjNnumfxf3VzJJ+wGfqoutwtkXYDIa3mnnm&#10;W2WqCFpdqCccxBNJeZIGp6vXFixJjwCLrD8anAn2F/3A2E2TWJvB/WNwD77kFLmUXwyeK6PSmCZT&#10;R0WEKdAQPBUGBDGW2noWyN3n5rASuFRuSc/Qc31Ay9vYuSmyHi9vmzhi+q4RaGsBB8tdlX4MIUQ4&#10;Y86SFn8lF/9Xrv7AJCh9QkKcKToq8J9iEUaXhYk6f0f1vme+xAWC7usw6rIgf9EO77agdhGJ7JMV&#10;clEWTQDYEJpAnC/PPP7qPQvjjxVq08s4ZwSeKP+6gDW7+4LrF6oXThEQEwU0qXkoR1K6PvJWvmqQ&#10;2S4Ikoocxpf6NPx45dye2b4q1WVMcitzhWM+MLz+Sz47HZY4s3vp80M33QSdFK012IZAgt5i/adD&#10;7nBpSZIy8OMdM6C62FgAAUVwoDKN3qlVTFhJuWETtN/1G1OvNkalyml00SAhK1w/p+UuwvELETBQ&#10;a6P64VdOcxk+vuY+UFsaNFXSt9Dkq0FueIJiIFkhIXEFvQ61eBz2jL26t9OqxkfKKx0vlVVapr65&#10;8JeN65cPvEGvT5wv6WW08mBOlbV1aFFnxfqV/WtxYwiu1yvbI40WywqTydFrxg2/JohycbVckgUC&#10;wM2MsXL7DBoZHmHI1B2DSlS2bs8/F7q66lBWFdaG1cDNpfpA1CNMb8p/kQQNQf6yb0+nvLLFIwv3&#10;7ZhZu3Ov36scAJo04sp9zSC82CKcv+y3gb+eLZgGW52MSCZQPcytULpTeNyg4fj9Xvu5sgzKPVgK&#10;gn67mp8Iyx+JpWrNGpgwH2Q0OcLO3iw/0nVs8iZ8QQa2S2W3FKZvuUYz2u4UMUF+7IUBbeoeOPI4&#10;TxD1Nr3R7vf5xuvHkkZszm5pthfFigSh7P7MLhAI1MPBF+gyCb/Z/Em/u1s+ra4I0V0Dp9YfcO+B&#10;Wk72BZQySddhb+/ZvTdpeFE1FMO8n3Q+5ODhu300euIX8IRNGkYMTJrPbqEDvkRTjntn74dag6o3&#10;eO7ya3fUq2DPYIHFZFdlFRjnwm4CTozztVq92c3a9Myb7sFt0ArAcURbSNCYCyfN3bfQAXOp9x+o&#10;mzOshU5zR3QaeXKfc/gWd0eR3rK5UNvO5hBFQLiQMm7W3oaXMsrCyCaDRCJpPmTaz027x0aUHzxZ&#10;+AEY9v7YzZywFkZWIATAMWoxPpSQVAhx6N5ocwYXluneHj1rr51/I8t4EOtzZzqVYrZJo29nqV/2&#10;rjw9T1tyWVpYoptDYiHaU8o1gun5jzTtD/VPONQgUr5YJhHoDRZeVFGZ7YNStf3HYpVtbbHKMZb4&#10;MEF+/GOd29SdMG9elSpouEKuC/KXHoeekRGod0uNQTjE4pBNNZhFo4wWfj2FlFcWFS5JxMmzBVii&#10;XTOxuk6LBeUq45d8oTyQjuSxQsVEq8HWu/p91d2ta4WxsKMxC7xPRiCSSc0m2yqr8oH7kM/2r4Zd&#10;Cg+SbBVBCKAxiXrfz9FOLS4zv6I1S17EgSkY4ZCG5D8ycOzlGtmjgUVFj3TvkW1EOi6hNYgmqc2O&#10;3hhk8VqTuC+VibMGUrVR2FdrEgzgfpUGwQCjVRiB7BllgNCWU6xdzBcqG9F3wFJqX4PBMfbCtTIc&#10;HRTO4sPWAiOQ8QtL9POYy5ddW2ONSuDhbqZqBr4xmPrOZBF2LipzbEUHmye3bRYY5KQZKpEwSrn8&#10;1I393kmxTN7OtuCA0Xy+UBSI89TQBuQzMXXkNwmJgTWEj8bN2Z8qFoleVWuMH4JBwAQHKZlmDfwP&#10;Yuau2r8u4Dcer5rxvfWbITAfmjjo9QVxDQvK9S31RnNMabkBHS8hox25sc2VFz/9+0tFvOTa9UCM&#10;PTpC8W5UpCSSRraAJ2RjosWnD3mBgpEA6yuCOWQFlo8/bN3lMKJhII42BVri57QN/iC/2HadgXTE&#10;YTOdkivFjrBQgc4G/E4kkjA4jHSllv4q0qamMs6mjYIXwuBjOLUF5c8Xi9LbNpH4a4zOOTZbLbaw&#10;q0zXP2wBZNQ2OkT6KA+my6PriA/ZoO5EB6OCgwRpZhOvrJnQinqLMFggKXLa8z3NHlRnxDAhgYo1&#10;MGF+jtJTgABB/f+B5bkISn8faAAAAABJRU5ErkJgglBLAwQUAAYACAAAACEAF0DpUtwAAAAFAQAA&#10;DwAAAGRycy9kb3ducmV2LnhtbEyPQUvDQBCF74L/YRnBm92kpRJjNqUU9VQEW0G8TZNpEpqdDdlt&#10;kv57Ry/18mB4j/e+yVaTbdVAvW8cG4hnESjiwpUNVwY+968PCSgfkEtsHZOBC3lY5bc3GaalG/mD&#10;hl2olJSwT9FAHUKXau2Lmiz6meuIxTu63mKQs6902eMo5bbV8yh61BYbloUaO9rUVJx2Z2vgbcRx&#10;vYhfhu3puLl875fvX9uYjLm/m9bPoAJN4RqGX3xBh1yYDu7MpVetAXkk/Kl4yXyxBHWQUPIUgc4z&#10;/Z8+/wE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QVxw8goEAADxDQAADgAAAAAAAAAAAAAAAAA6AgAAZHJzL2Uyb0RvYy54bWxQSwEC&#10;LQAKAAAAAAAAACEAwjl86lJSAABSUgAAFAAAAAAAAAAAAAAAAABwBgAAZHJzL21lZGlhL2ltYWdl&#10;MS5wbmdQSwECLQAKAAAAAAAAACEA6ZysPd9uAADfbgAAFAAAAAAAAAAAAAAAAAD0WAAAZHJzL21l&#10;ZGlhL2ltYWdlMi5wbmdQSwECLQAKAAAAAAAAACEAzu+/AlB6AABQegAAFAAAAAAAAAAAAAAAAAAF&#10;yAAAZHJzL21lZGlhL2ltYWdlMy5wbmdQSwECLQAUAAYACAAAACEAF0DpUtwAAAAFAQAADwAAAAAA&#10;AAAAAAAAAACHQgEAZHJzL2Rvd25yZXYueG1sUEsBAi0AFAAGAAgAAAAhADcnR2HMAAAAKQIAABkA&#10;AAAAAAAAAAAAAAAAkEMBAGRycy9fcmVscy9lMm9Eb2MueG1sLnJlbHNQSwUGAAAAAAgACAAAAgAA&#10;k0QBAAAA&#10;">
                <v:group id="Group 53" o:spid="_x0000_s1027" style="position:absolute;width:52292;height:12001" coordsize="2842,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o:lock v:ext="edit" aspectratio="t"/>
                  <v:rect id="AutoShape 3" o:spid="_x0000_s1028" style="position:absolute;width:2842;height: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8dyxgAAANwAAAAPAAAAZHJzL2Rvd25yZXYueG1sRI9Pa8JA&#10;EMXvhX6HZQq9FN3Ug0h0FRFKQylI45/zkB2TYHY2ZrdJ+u2dQ8HbDO/Ne79ZbUbXqJ66UHs28D5N&#10;QBEX3tZcGjgePiYLUCEiW2w8k4E/CrBZPz+tMLV+4B/q81gqCeGQooEqxjbVOhQVOQxT3xKLdvGd&#10;wyhrV2rb4SDhrtGzJJlrhzVLQ4Ut7SoqrvmvMzAU+/58+P7U+7dz5vmW3Xb56cuY15dxuwQVaYwP&#10;8/91ZgV/JvjyjEyg13cAAAD//wMAUEsBAi0AFAAGAAgAAAAhANvh9svuAAAAhQEAABMAAAAAAAAA&#10;AAAAAAAAAAAAAFtDb250ZW50X1R5cGVzXS54bWxQSwECLQAUAAYACAAAACEAWvQsW78AAAAVAQAA&#10;CwAAAAAAAAAAAAAAAAAfAQAAX3JlbHMvLnJlbHNQSwECLQAUAAYACAAAACEAZcfHcsYAAADcAAAA&#10;DwAAAAAAAAAAAAAAAAAHAgAAZHJzL2Rvd25yZXYueG1sUEsFBgAAAAADAAMAtwAAAPoCAAAAAA==&#10;" filled="f" stroked="f">
                    <o:lock v:ext="edit" aspectratio="t" text="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5" o:spid="_x0000_s1029" type="#_x0000_t75" style="position:absolute;left:1344;top:85;width:749;height: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x3/wgAAANwAAAAPAAAAZHJzL2Rvd25yZXYueG1sRE9Na8JA&#10;EL0L/odlBG9mYwqlpFmlCIqnaK2t1zE7TYLZ2ZDdJvHfdwsFb/N4n5OtR9OInjpXW1awjGIQxIXV&#10;NZcKzh/bxQsI55E1NpZJwZ0crFfTSYaptgO/U3/ypQgh7FJUUHnfplK6oiKDLrItceC+bWfQB9iV&#10;Unc4hHDTyCSOn6XBmkNDhS1tKipupx+j4Hor4rO9JEf69Prg8n6XP30lSs1n49srCE+jf4j/3Xsd&#10;5idL+HsmXCBXvwAAAP//AwBQSwECLQAUAAYACAAAACEA2+H2y+4AAACFAQAAEwAAAAAAAAAAAAAA&#10;AAAAAAAAW0NvbnRlbnRfVHlwZXNdLnhtbFBLAQItABQABgAIAAAAIQBa9CxbvwAAABUBAAALAAAA&#10;AAAAAAAAAAAAAB8BAABfcmVscy8ucmVsc1BLAQItABQABgAIAAAAIQDHax3/wgAAANwAAAAPAAAA&#10;AAAAAAAAAAAAAAcCAABkcnMvZG93bnJldi54bWxQSwUGAAAAAAMAAwC3AAAA9gIAAAAA&#10;">
                    <v:imagedata r:id="rId19" o:title=""/>
                  </v:shape>
                </v:group>
                <v:shape id="Picture 1043" o:spid="_x0000_s1030" type="#_x0000_t75" style="position:absolute;left:7381;top:928;width:17987;height:10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PBfxAAAANwAAAAPAAAAZHJzL2Rvd25yZXYueG1sRE9Na8JA&#10;EL0L/Q/LFLzpbnOQNrqKFAqNIFJtKd6G7JgEs7Npdqrx33cLhd7m8T5nsRp8qy7UxyawhYepAUVc&#10;BtdwZeH98DJ5BBUF2WEbmCzcKMJqeTdaYO7Cld/ospdKpRCOOVqoRbpc61jW5DFOQ0ecuFPoPUqC&#10;faVdj9cU7ludGTPTHhtODTV29FxTed5/ewuyLcxuczLnYi3bj/LzMDsWT1/Wju+H9RyU0CD/4j/3&#10;q0vzswx+n0kX6OUPAAAA//8DAFBLAQItABQABgAIAAAAIQDb4fbL7gAAAIUBAAATAAAAAAAAAAAA&#10;AAAAAAAAAABbQ29udGVudF9UeXBlc10ueG1sUEsBAi0AFAAGAAgAAAAhAFr0LFu/AAAAFQEAAAsA&#10;AAAAAAAAAAAAAAAAHwEAAF9yZWxzLy5yZWxzUEsBAi0AFAAGAAgAAAAhANQ48F/EAAAA3AAAAA8A&#10;AAAAAAAAAAAAAAAABwIAAGRycy9kb3ducmV2LnhtbFBLBQYAAAAAAwADALcAAAD4AgAAAAA=&#10;">
                  <v:imagedata r:id="rId20" o:title=""/>
                </v:shape>
                <v:shape id="Picture 1049" o:spid="_x0000_s1031" type="#_x0000_t75" alt="Logo&#10;&#10;Description automatically generated" style="position:absolute;left:40035;top:1881;width:4832;height: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G+swwAAANwAAAAPAAAAZHJzL2Rvd25yZXYueG1sRE9Na8JA&#10;EL0L/odlCr3ppgpFUjdBBK2UHjRKztPsNAnNzqa7a0z/fbdQ8DaP9znrfDSdGMj51rKCp3kCgriy&#10;uuVaweW8m61A+ICssbNMCn7IQ55NJ2tMtb3xiYYi1CKGsE9RQRNCn0rpq4YM+rntiSP3aZ3BEKGr&#10;pXZ4i+Gmk4skeZYGW44NDfa0baj6Kq5Gwf4wlG/da3n8Lsqj4ffeJfv6Q6nHh3HzAiLQGO7if/dB&#10;x/mLJfw9Ey+Q2S8AAAD//wMAUEsBAi0AFAAGAAgAAAAhANvh9svuAAAAhQEAABMAAAAAAAAAAAAA&#10;AAAAAAAAAFtDb250ZW50X1R5cGVzXS54bWxQSwECLQAUAAYACAAAACEAWvQsW78AAAAVAQAACwAA&#10;AAAAAAAAAAAAAAAfAQAAX3JlbHMvLnJlbHNQSwECLQAUAAYACAAAACEAb4BvrMMAAADcAAAADwAA&#10;AAAAAAAAAAAAAAAHAgAAZHJzL2Rvd25yZXYueG1sUEsFBgAAAAADAAMAtwAAAPcCAAAAAA==&#10;">
                  <v:imagedata r:id="rId21" o:title="Logo&#10;&#10;Description automatically generated"/>
                </v:shape>
                <w10:anchorlock/>
              </v:group>
            </w:pict>
          </mc:Fallback>
        </mc:AlternateContent>
      </w:r>
    </w:p>
    <w:p w14:paraId="1697136F" w14:textId="254C7C23" w:rsidR="005B0AA3" w:rsidRDefault="00996E8E" w:rsidP="005B0AA3">
      <w:pPr>
        <w:spacing w:line="240" w:lineRule="auto"/>
        <w:rPr>
          <w:rFonts w:cs="Arial"/>
          <w:bCs/>
          <w:sz w:val="20"/>
        </w:rPr>
      </w:pPr>
      <w:r w:rsidRPr="00996E8E">
        <w:rPr>
          <w:rFonts w:cs="Arial"/>
          <w:bCs/>
          <w:noProof/>
          <w:sz w:val="20"/>
        </w:rPr>
        <mc:AlternateContent>
          <mc:Choice Requires="wps">
            <w:drawing>
              <wp:anchor distT="45720" distB="45720" distL="114300" distR="114300" simplePos="0" relativeHeight="251658243" behindDoc="0" locked="0" layoutInCell="1" allowOverlap="1" wp14:anchorId="3F56A0B5" wp14:editId="4D7FED5D">
                <wp:simplePos x="0" y="0"/>
                <wp:positionH relativeFrom="column">
                  <wp:posOffset>1752600</wp:posOffset>
                </wp:positionH>
                <wp:positionV relativeFrom="paragraph">
                  <wp:posOffset>82550</wp:posOffset>
                </wp:positionV>
                <wp:extent cx="1524000" cy="485775"/>
                <wp:effectExtent l="0" t="0" r="0" b="9525"/>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485775"/>
                        </a:xfrm>
                        <a:prstGeom prst="rect">
                          <a:avLst/>
                        </a:prstGeom>
                        <a:solidFill>
                          <a:srgbClr val="FFFFFF"/>
                        </a:solidFill>
                        <a:ln w="9525">
                          <a:noFill/>
                          <a:miter lim="800000"/>
                          <a:headEnd/>
                          <a:tailEnd/>
                        </a:ln>
                      </wps:spPr>
                      <wps:txbx>
                        <w:txbxContent>
                          <w:p w14:paraId="0F331155" w14:textId="723862B8" w:rsidR="00996E8E" w:rsidRDefault="00996E8E">
                            <w:r>
                              <w:rPr>
                                <w:noProof/>
                              </w:rPr>
                              <w:drawing>
                                <wp:inline distT="0" distB="0" distL="0" distR="0" wp14:anchorId="67A46ED1" wp14:editId="6FE53BC7">
                                  <wp:extent cx="1304294" cy="291870"/>
                                  <wp:effectExtent l="0" t="0" r="0" b="0"/>
                                  <wp:docPr id="5" name="Picture 4">
                                    <a:extLst xmlns:a="http://schemas.openxmlformats.org/drawingml/2006/main">
                                      <a:ext uri="{FF2B5EF4-FFF2-40B4-BE49-F238E27FC236}">
                                        <a16:creationId xmlns:a16="http://schemas.microsoft.com/office/drawing/2014/main" id="{132A107A-8C32-4DC2-F3A8-0EBD0EEBE35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32A107A-8C32-4DC2-F3A8-0EBD0EEBE357}"/>
                                              </a:ext>
                                              <a:ext uri="{C183D7F6-B498-43B3-948B-1728B52AA6E4}">
                                                <adec:decorative xmlns:adec="http://schemas.microsoft.com/office/drawing/2017/decorative" val="1"/>
                                              </a:ext>
                                            </a:extLst>
                                          </pic:cNvPr>
                                          <pic:cNvPicPr>
                                            <a:picLocks noChangeAspect="1"/>
                                          </pic:cNvPicPr>
                                        </pic:nvPicPr>
                                        <pic:blipFill>
                                          <a:blip r:embed="rId22"/>
                                          <a:stretch>
                                            <a:fillRect/>
                                          </a:stretch>
                                        </pic:blipFill>
                                        <pic:spPr>
                                          <a:xfrm>
                                            <a:off x="0" y="0"/>
                                            <a:ext cx="1304294" cy="2918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56A0B5" id="_x0000_t202" coordsize="21600,21600" o:spt="202" path="m,l,21600r21600,l21600,xe">
                <v:stroke joinstyle="miter"/>
                <v:path gradientshapeok="t" o:connecttype="rect"/>
              </v:shapetype>
              <v:shape id="Text Box 2" o:spid="_x0000_s1026" type="#_x0000_t202" alt="&quot;&quot;" style="position:absolute;left:0;text-align:left;margin-left:138pt;margin-top:6.5pt;width:120pt;height:38.2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tOxDAIAAPYDAAAOAAAAZHJzL2Uyb0RvYy54bWysU1GP0zAMfkfiP0R5Z+2mje2qdadjxxDS&#10;cSAd/IA0TdeINA5Otnb8epystxvwhuhDZNfOZ/vzl/Xt0Bl2VOg12JJPJzlnykqotd2X/NvX3ZsV&#10;Zz4IWwsDVpX8pDy/3bx+te5doWbQgqkVMgKxvuhdydsQXJFlXraqE34CTlkKNoCdCOTiPqtR9ITe&#10;mWyW52+zHrB2CFJ5T3/vz0G+SfhNo2T43DReBWZKTr2FdGI6q3hmm7Uo9ihcq+XYhviHLjqhLRW9&#10;QN2LINgB9V9QnZYIHpowkdBl0DRaqjQDTTPN/5jmqRVOpVmIHO8uNPn/Bysfj0/uC7IwvIOBFpiG&#10;8O4B5HfPLGxbYffqDhH6VomaCk8jZVnvfDFejVT7wkeQqv8ENS1ZHAIkoKHBLrJCczJCpwWcLqSr&#10;ITAZSy5m8zynkKTYfLVYLhephCiebzv04YOCjkWj5EhLTeji+OBD7EYUzymxmAej6502Jjm4r7YG&#10;2VGQAHbpG9F/SzOW9SW/WcwWCdlCvJ+00elAAjW6K/mK2qRG0+/IxntbJzsIbc42dWLsSE9k5MxN&#10;GKqBEiNNFdQnIgrhLER6OGS0gD8560mEJfc/DgIVZ+ajJbJvpvN5VG1y5ovljBy8jlTXEWElQZU8&#10;cHY2tyEpPfJg4Y6W0ujE10snY68krkTj+BCieq/9lPXyXDe/AAAA//8DAFBLAwQUAAYACAAAACEA&#10;8gAMT90AAAAJAQAADwAAAGRycy9kb3ducmV2LnhtbEyPQU+DQBCF7yb+h82YeDF2aRVokaVRE43X&#10;1v6AAaZAZGcJuy303zs96Wky817efC/fzrZXZxp959jAchGBIq5c3XFj4PD98bgG5QNyjb1jMnAh&#10;D9vi9ibHrHYT7+i8D42SEPYZGmhDGDKtfdWSRb9wA7FoRzdaDLKOja5HnCTc9noVRYm22LF8aHGg&#10;95aqn/3JGjh+TQ/xZio/wyHdPSdv2KWluxhzfze/voAKNIc/M1zxBR0KYSrdiWuvegOrNJEuQYQn&#10;mWKIl9dDaWC9iUEXuf7foPgFAAD//wMAUEsBAi0AFAAGAAgAAAAhALaDOJL+AAAA4QEAABMAAAAA&#10;AAAAAAAAAAAAAAAAAFtDb250ZW50X1R5cGVzXS54bWxQSwECLQAUAAYACAAAACEAOP0h/9YAAACU&#10;AQAACwAAAAAAAAAAAAAAAAAvAQAAX3JlbHMvLnJlbHNQSwECLQAUAAYACAAAACEAEKrTsQwCAAD2&#10;AwAADgAAAAAAAAAAAAAAAAAuAgAAZHJzL2Uyb0RvYy54bWxQSwECLQAUAAYACAAAACEA8gAMT90A&#10;AAAJAQAADwAAAAAAAAAAAAAAAABmBAAAZHJzL2Rvd25yZXYueG1sUEsFBgAAAAAEAAQA8wAAAHAF&#10;AAAAAA==&#10;" stroked="f">
                <v:textbox>
                  <w:txbxContent>
                    <w:p w14:paraId="0F331155" w14:textId="723862B8" w:rsidR="00996E8E" w:rsidRDefault="00996E8E">
                      <w:r>
                        <w:rPr>
                          <w:noProof/>
                        </w:rPr>
                        <w:drawing>
                          <wp:inline distT="0" distB="0" distL="0" distR="0" wp14:anchorId="67A46ED1" wp14:editId="6FE53BC7">
                            <wp:extent cx="1304294" cy="291870"/>
                            <wp:effectExtent l="0" t="0" r="0" b="0"/>
                            <wp:docPr id="5" name="Picture 4">
                              <a:extLst xmlns:a="http://schemas.openxmlformats.org/drawingml/2006/main">
                                <a:ext uri="{FF2B5EF4-FFF2-40B4-BE49-F238E27FC236}">
                                  <a16:creationId xmlns:a16="http://schemas.microsoft.com/office/drawing/2014/main" id="{132A107A-8C32-4DC2-F3A8-0EBD0EEBE35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32A107A-8C32-4DC2-F3A8-0EBD0EEBE357}"/>
                                        </a:ext>
                                        <a:ext uri="{C183D7F6-B498-43B3-948B-1728B52AA6E4}">
                                          <adec:decorative xmlns:adec="http://schemas.microsoft.com/office/drawing/2017/decorative" val="1"/>
                                        </a:ext>
                                      </a:extLst>
                                    </pic:cNvPr>
                                    <pic:cNvPicPr>
                                      <a:picLocks noChangeAspect="1"/>
                                    </pic:cNvPicPr>
                                  </pic:nvPicPr>
                                  <pic:blipFill>
                                    <a:blip r:embed="rId22"/>
                                    <a:stretch>
                                      <a:fillRect/>
                                    </a:stretch>
                                  </pic:blipFill>
                                  <pic:spPr>
                                    <a:xfrm>
                                      <a:off x="0" y="0"/>
                                      <a:ext cx="1304294" cy="291870"/>
                                    </a:xfrm>
                                    <a:prstGeom prst="rect">
                                      <a:avLst/>
                                    </a:prstGeom>
                                  </pic:spPr>
                                </pic:pic>
                              </a:graphicData>
                            </a:graphic>
                          </wp:inline>
                        </w:drawing>
                      </w:r>
                    </w:p>
                  </w:txbxContent>
                </v:textbox>
                <w10:wrap type="square"/>
              </v:shape>
            </w:pict>
          </mc:Fallback>
        </mc:AlternateContent>
      </w:r>
      <w:r>
        <w:rPr>
          <w:noProof/>
          <w:lang w:eastAsia="en-AU"/>
        </w:rPr>
        <w:drawing>
          <wp:anchor distT="0" distB="0" distL="114300" distR="114300" simplePos="0" relativeHeight="251658240" behindDoc="0" locked="0" layoutInCell="1" allowOverlap="1" wp14:anchorId="2C892106" wp14:editId="48332878">
            <wp:simplePos x="0" y="0"/>
            <wp:positionH relativeFrom="margin">
              <wp:posOffset>3429000</wp:posOffset>
            </wp:positionH>
            <wp:positionV relativeFrom="paragraph">
              <wp:posOffset>140335</wp:posOffset>
            </wp:positionV>
            <wp:extent cx="1837426" cy="405022"/>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rotWithShape="1">
                    <a:blip r:embed="rId23" cstate="print">
                      <a:extLst>
                        <a:ext uri="{28A0092B-C50C-407E-A947-70E740481C1C}">
                          <a14:useLocalDpi xmlns:a14="http://schemas.microsoft.com/office/drawing/2010/main" val="0"/>
                        </a:ext>
                      </a:extLst>
                    </a:blip>
                    <a:srcRect l="8940" t="22462" r="8171" b="18869"/>
                    <a:stretch/>
                  </pic:blipFill>
                  <pic:spPr bwMode="auto">
                    <a:xfrm>
                      <a:off x="0" y="0"/>
                      <a:ext cx="1837426" cy="4050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300EE">
        <w:rPr>
          <w:rFonts w:cs="Arial"/>
          <w:bCs/>
          <w:noProof/>
          <w:sz w:val="20"/>
        </w:rPr>
        <w:drawing>
          <wp:anchor distT="0" distB="0" distL="114300" distR="114300" simplePos="0" relativeHeight="251658242" behindDoc="0" locked="0" layoutInCell="1" allowOverlap="1" wp14:anchorId="195B7927" wp14:editId="14C37C64">
            <wp:simplePos x="0" y="0"/>
            <wp:positionH relativeFrom="column">
              <wp:posOffset>1038393</wp:posOffset>
            </wp:positionH>
            <wp:positionV relativeFrom="paragraph">
              <wp:posOffset>82597</wp:posOffset>
            </wp:positionV>
            <wp:extent cx="504000" cy="504853"/>
            <wp:effectExtent l="0" t="0" r="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4000" cy="504853"/>
                    </a:xfrm>
                    <a:prstGeom prst="rect">
                      <a:avLst/>
                    </a:prstGeom>
                  </pic:spPr>
                </pic:pic>
              </a:graphicData>
            </a:graphic>
            <wp14:sizeRelH relativeFrom="page">
              <wp14:pctWidth>0</wp14:pctWidth>
            </wp14:sizeRelH>
            <wp14:sizeRelV relativeFrom="page">
              <wp14:pctHeight>0</wp14:pctHeight>
            </wp14:sizeRelV>
          </wp:anchor>
        </w:drawing>
      </w:r>
    </w:p>
    <w:p w14:paraId="3CD157D9" w14:textId="5D872F37" w:rsidR="005B0AA3" w:rsidRDefault="005B0AA3" w:rsidP="005B0AA3">
      <w:pPr>
        <w:spacing w:line="240" w:lineRule="auto"/>
        <w:rPr>
          <w:rFonts w:cs="Arial"/>
          <w:bCs/>
          <w:sz w:val="20"/>
        </w:rPr>
      </w:pPr>
    </w:p>
    <w:p w14:paraId="46240775" w14:textId="1E1283F9" w:rsidR="005B0AA3" w:rsidRDefault="005B0AA3" w:rsidP="005B0AA3">
      <w:pPr>
        <w:spacing w:line="240" w:lineRule="auto"/>
        <w:rPr>
          <w:rFonts w:cs="Arial"/>
          <w:bCs/>
          <w:sz w:val="20"/>
        </w:rPr>
      </w:pPr>
    </w:p>
    <w:p w14:paraId="5D57ACCD" w14:textId="79B1475C" w:rsidR="005B0AA3" w:rsidRPr="00AC1027" w:rsidRDefault="005B0AA3" w:rsidP="005B0AA3">
      <w:pPr>
        <w:pStyle w:val="ListBullet"/>
        <w:numPr>
          <w:ilvl w:val="0"/>
          <w:numId w:val="0"/>
        </w:numPr>
        <w:spacing w:line="240" w:lineRule="auto"/>
        <w:rPr>
          <w:bCs/>
          <w:sz w:val="20"/>
        </w:rPr>
      </w:pPr>
      <w:r w:rsidRPr="00C3442D">
        <w:rPr>
          <w:bCs/>
          <w:sz w:val="20"/>
        </w:rPr>
        <w:t xml:space="preserve">This project was commissioned and funded by </w:t>
      </w:r>
      <w:r w:rsidR="00061DDC">
        <w:rPr>
          <w:bCs/>
          <w:sz w:val="20"/>
        </w:rPr>
        <w:t xml:space="preserve">the </w:t>
      </w:r>
      <w:r w:rsidRPr="00C3442D">
        <w:rPr>
          <w:bCs/>
          <w:sz w:val="20"/>
        </w:rPr>
        <w:t xml:space="preserve">Commonwealth Environmental Water </w:t>
      </w:r>
      <w:r w:rsidR="005D3D3D">
        <w:rPr>
          <w:bCs/>
          <w:sz w:val="20"/>
        </w:rPr>
        <w:t>Holder</w:t>
      </w:r>
      <w:r w:rsidRPr="00C3442D">
        <w:rPr>
          <w:bCs/>
          <w:sz w:val="20"/>
        </w:rPr>
        <w:t xml:space="preserve"> (CEW</w:t>
      </w:r>
      <w:r w:rsidR="005D3D3D">
        <w:rPr>
          <w:bCs/>
          <w:sz w:val="20"/>
        </w:rPr>
        <w:t>H</w:t>
      </w:r>
      <w:r w:rsidRPr="00C3442D">
        <w:rPr>
          <w:bCs/>
          <w:sz w:val="20"/>
        </w:rPr>
        <w:t>) with additional in-kind support from</w:t>
      </w:r>
      <w:r w:rsidR="00FC3E96" w:rsidRPr="00C3442D">
        <w:rPr>
          <w:bCs/>
          <w:sz w:val="20"/>
        </w:rPr>
        <w:t xml:space="preserve"> the</w:t>
      </w:r>
      <w:r w:rsidRPr="00C3442D">
        <w:rPr>
          <w:bCs/>
          <w:sz w:val="20"/>
        </w:rPr>
        <w:t xml:space="preserve"> South Australian Research and Development Institute (SARDI)</w:t>
      </w:r>
      <w:r w:rsidR="00C3442D" w:rsidRPr="00C3442D">
        <w:rPr>
          <w:sz w:val="20"/>
          <w:szCs w:val="20"/>
        </w:rPr>
        <w:t xml:space="preserve"> and</w:t>
      </w:r>
      <w:r w:rsidRPr="00C3442D">
        <w:rPr>
          <w:bCs/>
          <w:sz w:val="20"/>
        </w:rPr>
        <w:t xml:space="preserve"> South Australian Department for Environment and Water (DEW).</w:t>
      </w:r>
      <w:r w:rsidRPr="00C3442D">
        <w:rPr>
          <w:bCs/>
          <w:sz w:val="20"/>
          <w:szCs w:val="20"/>
        </w:rPr>
        <w:t xml:space="preserve"> </w:t>
      </w:r>
      <w:r w:rsidRPr="00C3442D">
        <w:rPr>
          <w:bCs/>
          <w:sz w:val="20"/>
        </w:rPr>
        <w:t>The authors of this report as well as the CEW</w:t>
      </w:r>
      <w:r w:rsidR="00C91589">
        <w:rPr>
          <w:bCs/>
          <w:sz w:val="20"/>
        </w:rPr>
        <w:t>H</w:t>
      </w:r>
      <w:r w:rsidRPr="00C3442D">
        <w:rPr>
          <w:bCs/>
          <w:sz w:val="20"/>
        </w:rPr>
        <w:t xml:space="preserve"> respectfully acknowledge the traditional owners</w:t>
      </w:r>
      <w:r w:rsidRPr="00C8209D">
        <w:rPr>
          <w:bCs/>
          <w:sz w:val="20"/>
        </w:rPr>
        <w:t xml:space="preserve"> of Country in the Murray</w:t>
      </w:r>
      <w:r w:rsidR="00494246">
        <w:rPr>
          <w:bCs/>
          <w:sz w:val="20"/>
        </w:rPr>
        <w:t>–</w:t>
      </w:r>
      <w:r w:rsidRPr="00C8209D">
        <w:rPr>
          <w:bCs/>
          <w:sz w:val="20"/>
        </w:rPr>
        <w:t>Darling Basin, their Elders past and present, their Nations, and their cultural, social, environmental, spiritual and economic connection to their lands and waters</w:t>
      </w:r>
      <w:r w:rsidRPr="0008149F">
        <w:rPr>
          <w:bCs/>
          <w:sz w:val="20"/>
        </w:rPr>
        <w:t>. In particular</w:t>
      </w:r>
      <w:r>
        <w:rPr>
          <w:bCs/>
          <w:sz w:val="20"/>
        </w:rPr>
        <w:t>,</w:t>
      </w:r>
      <w:r w:rsidRPr="0008149F">
        <w:rPr>
          <w:bCs/>
          <w:sz w:val="20"/>
        </w:rPr>
        <w:t xml:space="preserve"> the Ngarrindjeri Nation and the First Peoples of the River Murray and Mallee as </w:t>
      </w:r>
      <w:r w:rsidRPr="00AC1027">
        <w:rPr>
          <w:bCs/>
          <w:sz w:val="20"/>
        </w:rPr>
        <w:t>traditional owners of the land and water on which this publication is focused.</w:t>
      </w:r>
    </w:p>
    <w:p w14:paraId="0FEAFE7E" w14:textId="25859E93" w:rsidR="00A340A8" w:rsidRDefault="00A340A8" w:rsidP="00A340A8">
      <w:pPr>
        <w:pStyle w:val="ListBullet"/>
        <w:numPr>
          <w:ilvl w:val="0"/>
          <w:numId w:val="0"/>
        </w:numPr>
        <w:spacing w:line="240" w:lineRule="auto"/>
        <w:rPr>
          <w:bCs/>
          <w:sz w:val="20"/>
        </w:rPr>
      </w:pPr>
      <w:r w:rsidRPr="004E3C09">
        <w:rPr>
          <w:bCs/>
          <w:sz w:val="20"/>
        </w:rPr>
        <w:t xml:space="preserve">Cover photo: SARDI Aquatic </w:t>
      </w:r>
      <w:r w:rsidR="00AE217B">
        <w:rPr>
          <w:bCs/>
          <w:sz w:val="20"/>
        </w:rPr>
        <w:t xml:space="preserve">and Livestock </w:t>
      </w:r>
      <w:r w:rsidRPr="004E3C09">
        <w:rPr>
          <w:bCs/>
          <w:sz w:val="20"/>
        </w:rPr>
        <w:t>Sciences</w:t>
      </w:r>
      <w:r>
        <w:rPr>
          <w:bCs/>
          <w:sz w:val="20"/>
        </w:rPr>
        <w:t>.</w:t>
      </w:r>
    </w:p>
    <w:p w14:paraId="078D2159" w14:textId="655F0C2E" w:rsidR="005B0AA3" w:rsidRPr="005407E1" w:rsidRDefault="005B0AA3" w:rsidP="005B0AA3">
      <w:pPr>
        <w:spacing w:line="240" w:lineRule="auto"/>
        <w:rPr>
          <w:rFonts w:eastAsiaTheme="majorEastAsia"/>
          <w:b/>
          <w:sz w:val="20"/>
        </w:rPr>
      </w:pPr>
      <w:r w:rsidRPr="005407E1">
        <w:rPr>
          <w:rFonts w:eastAsiaTheme="majorEastAsia"/>
          <w:b/>
          <w:sz w:val="20"/>
        </w:rPr>
        <w:t>D</w:t>
      </w:r>
      <w:r>
        <w:rPr>
          <w:rFonts w:eastAsiaTheme="majorEastAsia"/>
          <w:b/>
          <w:sz w:val="20"/>
        </w:rPr>
        <w:t>isclaimer</w:t>
      </w:r>
    </w:p>
    <w:p w14:paraId="4C4503E3" w14:textId="6F729E39" w:rsidR="005B0AA3" w:rsidRPr="005407E1" w:rsidRDefault="005B0AA3" w:rsidP="005B0AA3">
      <w:pPr>
        <w:autoSpaceDE w:val="0"/>
        <w:autoSpaceDN w:val="0"/>
        <w:adjustRightInd w:val="0"/>
        <w:spacing w:line="240" w:lineRule="auto"/>
        <w:rPr>
          <w:rFonts w:eastAsiaTheme="majorEastAsia"/>
          <w:b/>
          <w:sz w:val="20"/>
        </w:rPr>
      </w:pPr>
      <w:r w:rsidRPr="005407E1">
        <w:rPr>
          <w:rFonts w:eastAsiaTheme="minorHAnsi" w:cs="Century Gothic"/>
          <w:kern w:val="0"/>
          <w:sz w:val="20"/>
          <w:lang w:val="en-US"/>
        </w:rPr>
        <w:t xml:space="preserve">The views and opinions expressed in this publication are those of the authors and do not necessarily reflect those of the </w:t>
      </w:r>
      <w:bookmarkStart w:id="1" w:name="_Hlk69300183"/>
      <w:r w:rsidRPr="005407E1">
        <w:rPr>
          <w:rFonts w:eastAsiaTheme="minorHAnsi" w:cs="Century Gothic"/>
          <w:kern w:val="0"/>
          <w:sz w:val="20"/>
          <w:lang w:val="en-US"/>
        </w:rPr>
        <w:t xml:space="preserve">Australian Government </w:t>
      </w:r>
      <w:r w:rsidR="00A40048" w:rsidRPr="005407E1">
        <w:rPr>
          <w:rFonts w:eastAsiaTheme="minorHAnsi" w:cs="Century Gothic"/>
          <w:kern w:val="0"/>
          <w:sz w:val="20"/>
          <w:lang w:val="en-US"/>
        </w:rPr>
        <w:t xml:space="preserve">or </w:t>
      </w:r>
      <w:r w:rsidR="00A40048" w:rsidRPr="00EC1DEA">
        <w:rPr>
          <w:rFonts w:eastAsiaTheme="minorHAnsi" w:cs="Century Gothic"/>
          <w:kern w:val="0"/>
          <w:sz w:val="20"/>
          <w:lang w:val="en-US"/>
        </w:rPr>
        <w:t>the Minister for the Environment</w:t>
      </w:r>
      <w:bookmarkEnd w:id="1"/>
      <w:r w:rsidR="00A40048" w:rsidRPr="00EC1DEA">
        <w:rPr>
          <w:rFonts w:eastAsiaTheme="minorHAnsi" w:cs="Century Gothic"/>
          <w:kern w:val="0"/>
          <w:sz w:val="20"/>
          <w:lang w:val="en-US"/>
        </w:rPr>
        <w:t>.</w:t>
      </w:r>
      <w:r w:rsidR="00A40048" w:rsidRPr="005407E1">
        <w:rPr>
          <w:rFonts w:eastAsiaTheme="minorHAnsi" w:cs="Century Gothic"/>
          <w:kern w:val="0"/>
          <w:sz w:val="20"/>
          <w:lang w:val="en-US"/>
        </w:rPr>
        <w:t xml:space="preserve"> </w:t>
      </w:r>
      <w:r w:rsidRPr="005407E1">
        <w:rPr>
          <w:rFonts w:eastAsiaTheme="minorHAnsi" w:cs="Century Gothic"/>
          <w:kern w:val="0"/>
          <w:sz w:val="20"/>
          <w:lang w:val="en-US"/>
        </w:rPr>
        <w:t xml:space="preserve"> While reasonable efforts have been made to ensure that the contents of this publication are factually correct, the Commonwealth does not accept responsibility for the accuracy or completeness of the </w:t>
      </w:r>
      <w:r w:rsidR="005F57EE" w:rsidRPr="005407E1">
        <w:rPr>
          <w:rFonts w:eastAsiaTheme="minorHAnsi" w:cs="Century Gothic"/>
          <w:kern w:val="0"/>
          <w:sz w:val="20"/>
          <w:lang w:val="en-US"/>
        </w:rPr>
        <w:t>contents, and</w:t>
      </w:r>
      <w:r w:rsidRPr="005407E1">
        <w:rPr>
          <w:rFonts w:eastAsiaTheme="minorHAnsi" w:cs="Century Gothic"/>
          <w:kern w:val="0"/>
          <w:sz w:val="20"/>
          <w:lang w:val="en-US"/>
        </w:rPr>
        <w:t xml:space="preserve"> shall not be liable for any loss or damage that may be occasioned directly or indirectly through the use of, or reliance on, the contents of this publication. </w:t>
      </w:r>
    </w:p>
    <w:p w14:paraId="0EB2E9EB" w14:textId="1885A405" w:rsidR="005B0AA3" w:rsidRPr="005407E1" w:rsidRDefault="005B0AA3" w:rsidP="005B0AA3">
      <w:pPr>
        <w:rPr>
          <w:rFonts w:eastAsiaTheme="minorHAnsi"/>
          <w:color w:val="auto"/>
          <w:kern w:val="0"/>
          <w:sz w:val="18"/>
          <w:szCs w:val="18"/>
          <w:lang w:eastAsia="en-AU"/>
        </w:rPr>
      </w:pPr>
      <w:r w:rsidRPr="005407E1">
        <w:rPr>
          <w:rFonts w:eastAsiaTheme="minorHAnsi"/>
          <w:noProof/>
          <w:color w:val="auto"/>
          <w:kern w:val="0"/>
          <w:sz w:val="18"/>
          <w:szCs w:val="18"/>
          <w:lang w:eastAsia="en-AU"/>
        </w:rPr>
        <w:drawing>
          <wp:inline distT="0" distB="0" distL="0" distR="0" wp14:anchorId="240EECDD" wp14:editId="6DA46213">
            <wp:extent cx="1247775" cy="433438"/>
            <wp:effectExtent l="0" t="0" r="0" b="5080"/>
            <wp:docPr id="12"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8">
                      <a:extLst>
                        <a:ext uri="{C183D7F6-B498-43B3-948B-1728B52AA6E4}">
                          <adec:decorative xmlns:adec="http://schemas.microsoft.com/office/drawing/2017/decorative" val="1"/>
                        </a:ext>
                      </a:extLst>
                    </pic:cNvPr>
                    <pic:cNvPicPr>
                      <a:picLocks noChangeAspect="1" noChangeArrowheads="1"/>
                    </pic:cNvPicPr>
                  </pic:nvPicPr>
                  <pic:blipFill>
                    <a:blip r:embed="rId25" r:link="rId26" cstate="print"/>
                    <a:srcRect/>
                    <a:stretch>
                      <a:fillRect/>
                    </a:stretch>
                  </pic:blipFill>
                  <pic:spPr bwMode="auto">
                    <a:xfrm>
                      <a:off x="0" y="0"/>
                      <a:ext cx="1277489" cy="443760"/>
                    </a:xfrm>
                    <a:prstGeom prst="rect">
                      <a:avLst/>
                    </a:prstGeom>
                    <a:noFill/>
                    <a:ln w="9525">
                      <a:noFill/>
                      <a:miter lim="800000"/>
                      <a:headEnd/>
                      <a:tailEnd/>
                    </a:ln>
                  </pic:spPr>
                </pic:pic>
              </a:graphicData>
            </a:graphic>
          </wp:inline>
        </w:drawing>
      </w:r>
      <w:r>
        <w:rPr>
          <w:rFonts w:eastAsiaTheme="minorHAnsi"/>
          <w:b/>
          <w:color w:val="auto"/>
          <w:kern w:val="0"/>
          <w:sz w:val="20"/>
          <w:lang w:eastAsia="en-AU"/>
        </w:rPr>
        <w:t xml:space="preserve">  </w:t>
      </w:r>
      <w:r w:rsidRPr="001F65AB">
        <w:rPr>
          <w:rFonts w:eastAsiaTheme="minorHAnsi"/>
          <w:b/>
          <w:color w:val="auto"/>
          <w:kern w:val="0"/>
          <w:sz w:val="20"/>
          <w:lang w:eastAsia="en-AU"/>
        </w:rPr>
        <w:t>© Copyright</w:t>
      </w:r>
      <w:r w:rsidR="00AA0560">
        <w:rPr>
          <w:rFonts w:eastAsiaTheme="minorHAnsi"/>
          <w:b/>
          <w:color w:val="auto"/>
          <w:kern w:val="0"/>
          <w:sz w:val="20"/>
          <w:lang w:eastAsia="en-AU"/>
        </w:rPr>
        <w:t xml:space="preserve"> Commonwealth of Australia, 202</w:t>
      </w:r>
      <w:r w:rsidR="005533F7">
        <w:rPr>
          <w:rFonts w:eastAsiaTheme="minorHAnsi"/>
          <w:b/>
          <w:color w:val="auto"/>
          <w:kern w:val="0"/>
          <w:sz w:val="20"/>
          <w:lang w:eastAsia="en-AU"/>
        </w:rPr>
        <w:t>5</w:t>
      </w:r>
    </w:p>
    <w:p w14:paraId="10D4DDBD" w14:textId="1A36F02E" w:rsidR="005B0AA3" w:rsidRPr="00AE217B" w:rsidRDefault="005B0AA3" w:rsidP="00AE217B">
      <w:pPr>
        <w:rPr>
          <w:rFonts w:eastAsiaTheme="majorEastAsia"/>
          <w:b/>
          <w:sz w:val="20"/>
        </w:rPr>
        <w:sectPr w:rsidR="005B0AA3" w:rsidRPr="00AE217B" w:rsidSect="00A340A8">
          <w:headerReference w:type="even" r:id="rId27"/>
          <w:headerReference w:type="default" r:id="rId28"/>
          <w:footerReference w:type="even" r:id="rId29"/>
          <w:footerReference w:type="default" r:id="rId30"/>
          <w:headerReference w:type="first" r:id="rId31"/>
          <w:footnotePr>
            <w:numFmt w:val="lowerLetter"/>
          </w:footnotePr>
          <w:pgSz w:w="11900" w:h="16840"/>
          <w:pgMar w:top="1440" w:right="1440" w:bottom="1440" w:left="1440" w:header="708" w:footer="708" w:gutter="0"/>
          <w:pgNumType w:fmt="lowerRoman" w:start="1"/>
          <w:cols w:space="708"/>
          <w:titlePg/>
          <w:docGrid w:linePitch="360"/>
        </w:sectPr>
      </w:pPr>
      <w:r w:rsidRPr="005407E1">
        <w:rPr>
          <w:rFonts w:cs="Arial"/>
          <w:bCs/>
          <w:color w:val="auto"/>
          <w:sz w:val="20"/>
        </w:rPr>
        <w:t>‘</w:t>
      </w:r>
      <w:r w:rsidR="00C209E0" w:rsidRPr="00C209E0">
        <w:rPr>
          <w:rFonts w:cs="Arial"/>
          <w:bCs/>
          <w:color w:val="auto"/>
          <w:sz w:val="20"/>
        </w:rPr>
        <w:t xml:space="preserve">Commonwealth Environmental Water </w:t>
      </w:r>
      <w:r w:rsidR="00E7627F">
        <w:rPr>
          <w:rFonts w:cs="Arial"/>
          <w:bCs/>
          <w:color w:val="auto"/>
          <w:sz w:val="20"/>
        </w:rPr>
        <w:t>Holder</w:t>
      </w:r>
      <w:r w:rsidR="006E45CD">
        <w:rPr>
          <w:rFonts w:cs="Arial"/>
          <w:bCs/>
          <w:color w:val="auto"/>
          <w:sz w:val="20"/>
        </w:rPr>
        <w:t>’s</w:t>
      </w:r>
      <w:r w:rsidR="00C209E0" w:rsidRPr="00C209E0">
        <w:rPr>
          <w:rFonts w:cs="Arial"/>
          <w:bCs/>
          <w:color w:val="auto"/>
          <w:sz w:val="20"/>
        </w:rPr>
        <w:t xml:space="preserve"> </w:t>
      </w:r>
      <w:r w:rsidR="00636414">
        <w:rPr>
          <w:rFonts w:cs="Arial"/>
          <w:bCs/>
          <w:color w:val="auto"/>
          <w:sz w:val="20"/>
        </w:rPr>
        <w:t>Flow</w:t>
      </w:r>
      <w:r w:rsidR="006E45CD">
        <w:rPr>
          <w:rFonts w:cs="Arial"/>
          <w:bCs/>
          <w:color w:val="auto"/>
          <w:sz w:val="20"/>
        </w:rPr>
        <w:t xml:space="preserve"> </w:t>
      </w:r>
      <w:r w:rsidR="00C209E0" w:rsidRPr="00C209E0">
        <w:rPr>
          <w:rFonts w:cs="Arial"/>
          <w:bCs/>
          <w:color w:val="auto"/>
          <w:sz w:val="20"/>
        </w:rPr>
        <w:t>Monitoring, Evaluation and Research Project</w:t>
      </w:r>
      <w:r w:rsidR="007C5F5C">
        <w:rPr>
          <w:rFonts w:cs="Arial"/>
          <w:bCs/>
          <w:color w:val="auto"/>
          <w:sz w:val="20"/>
        </w:rPr>
        <w:t xml:space="preserve"> 2019–2024</w:t>
      </w:r>
      <w:r w:rsidR="00C209E0" w:rsidRPr="00C209E0">
        <w:rPr>
          <w:rFonts w:cs="Arial"/>
          <w:bCs/>
          <w:color w:val="auto"/>
          <w:sz w:val="20"/>
        </w:rPr>
        <w:t>: Lower Murray Technical Report</w:t>
      </w:r>
      <w:r>
        <w:rPr>
          <w:rFonts w:cs="Arial"/>
          <w:bCs/>
          <w:color w:val="auto"/>
          <w:sz w:val="20"/>
        </w:rPr>
        <w:t xml:space="preserve">’ – this report </w:t>
      </w:r>
      <w:r w:rsidRPr="005407E1">
        <w:rPr>
          <w:rFonts w:eastAsiaTheme="minorHAnsi" w:cs="Century Gothic"/>
          <w:kern w:val="0"/>
          <w:sz w:val="20"/>
          <w:lang w:val="en-US"/>
        </w:rPr>
        <w:t xml:space="preserve">is licensed by the Commonwealth of Australia for use under a Creative Commons By Attribution 3.0 Australia </w:t>
      </w:r>
      <w:r w:rsidRPr="005F4147">
        <w:rPr>
          <w:rFonts w:eastAsiaTheme="minorHAnsi" w:cs="Century Gothic"/>
          <w:kern w:val="0"/>
          <w:sz w:val="20"/>
        </w:rPr>
        <w:t>licence with the exception of the Coat of Arms of the Commonwealth of Australia, the logo of the agency responsible for publishing the report, content supplied by third parties, and any images depicting people. For licence conditions see: http://creativec</w:t>
      </w:r>
      <w:r>
        <w:rPr>
          <w:rFonts w:eastAsiaTheme="minorHAnsi" w:cs="Century Gothic"/>
          <w:kern w:val="0"/>
          <w:sz w:val="20"/>
        </w:rPr>
        <w:t>ommons.org/licenses/by/3.0/au</w:t>
      </w:r>
      <w:r w:rsidR="00AE217B">
        <w:rPr>
          <w:rFonts w:eastAsiaTheme="minorHAnsi" w:cs="Century Gothic"/>
          <w:kern w:val="0"/>
          <w:sz w:val="20"/>
        </w:rPr>
        <w:t>/.</w:t>
      </w:r>
    </w:p>
    <w:bookmarkStart w:id="2" w:name="_Toc200467846" w:displacedByCustomXml="next"/>
    <w:sdt>
      <w:sdtPr>
        <w:rPr>
          <w:rFonts w:cs="Times New Roman"/>
          <w:b w:val="0"/>
          <w:bCs w:val="0"/>
          <w:caps w:val="0"/>
          <w:spacing w:val="0"/>
          <w:sz w:val="22"/>
          <w:szCs w:val="22"/>
          <w:lang w:eastAsia="en-US"/>
        </w:rPr>
        <w:id w:val="-407615464"/>
        <w:docPartObj>
          <w:docPartGallery w:val="Table of Contents"/>
          <w:docPartUnique/>
        </w:docPartObj>
      </w:sdtPr>
      <w:sdtEndPr>
        <w:rPr>
          <w:noProof/>
          <w:sz w:val="21"/>
          <w:szCs w:val="21"/>
        </w:rPr>
      </w:sdtEndPr>
      <w:sdtContent>
        <w:p w14:paraId="514B574E" w14:textId="10FD846A" w:rsidR="005B0AA3" w:rsidRDefault="005B0AA3" w:rsidP="005B0AA3">
          <w:pPr>
            <w:pStyle w:val="H1anotincinTOC"/>
            <w:outlineLvl w:val="0"/>
          </w:pPr>
          <w:r w:rsidRPr="00A67C76">
            <w:rPr>
              <w:color w:val="44546A" w:themeColor="text2"/>
            </w:rPr>
            <w:t xml:space="preserve">Table of </w:t>
          </w:r>
          <w:r w:rsidR="00FB5EF1" w:rsidRPr="00A67C76">
            <w:rPr>
              <w:color w:val="44546A" w:themeColor="text2"/>
            </w:rPr>
            <w:t>contents</w:t>
          </w:r>
          <w:bookmarkEnd w:id="2"/>
        </w:p>
        <w:p w14:paraId="2D96D1F8" w14:textId="529FEBE7" w:rsidR="006E45CD" w:rsidRDefault="005B0AA3">
          <w:pPr>
            <w:pStyle w:val="TOC1"/>
            <w:rPr>
              <w:rFonts w:asciiTheme="minorHAnsi" w:eastAsiaTheme="minorEastAsia" w:hAnsiTheme="minorHAnsi" w:cstheme="minorBidi"/>
              <w:b w:val="0"/>
              <w:caps w:val="0"/>
              <w:noProof/>
              <w:color w:val="auto"/>
              <w:kern w:val="2"/>
              <w:sz w:val="24"/>
              <w:szCs w:val="24"/>
              <w:lang w:eastAsia="en-AU"/>
              <w14:ligatures w14:val="standardContextual"/>
            </w:rPr>
          </w:pPr>
          <w:r>
            <w:rPr>
              <w:highlight w:val="yellow"/>
            </w:rPr>
            <w:fldChar w:fldCharType="begin"/>
          </w:r>
          <w:r>
            <w:rPr>
              <w:highlight w:val="yellow"/>
            </w:rPr>
            <w:instrText xml:space="preserve"> TOC \o "1-2" \h \z \u </w:instrText>
          </w:r>
          <w:r>
            <w:rPr>
              <w:highlight w:val="yellow"/>
            </w:rPr>
            <w:fldChar w:fldCharType="separate"/>
          </w:r>
          <w:hyperlink w:anchor="_Toc200467846" w:history="1">
            <w:r w:rsidR="006E45CD" w:rsidRPr="00515750">
              <w:rPr>
                <w:rStyle w:val="Hyperlink"/>
                <w:noProof/>
              </w:rPr>
              <w:t>Table of contents</w:t>
            </w:r>
            <w:r w:rsidR="006E45CD">
              <w:rPr>
                <w:noProof/>
                <w:webHidden/>
              </w:rPr>
              <w:tab/>
            </w:r>
            <w:r w:rsidR="006E45CD">
              <w:rPr>
                <w:noProof/>
                <w:webHidden/>
              </w:rPr>
              <w:fldChar w:fldCharType="begin"/>
            </w:r>
            <w:r w:rsidR="006E45CD">
              <w:rPr>
                <w:noProof/>
                <w:webHidden/>
              </w:rPr>
              <w:instrText xml:space="preserve"> PAGEREF _Toc200467846 \h </w:instrText>
            </w:r>
            <w:r w:rsidR="006E45CD">
              <w:rPr>
                <w:noProof/>
                <w:webHidden/>
              </w:rPr>
            </w:r>
            <w:r w:rsidR="006E45CD">
              <w:rPr>
                <w:noProof/>
                <w:webHidden/>
              </w:rPr>
              <w:fldChar w:fldCharType="separate"/>
            </w:r>
            <w:r w:rsidR="00102828">
              <w:rPr>
                <w:noProof/>
                <w:webHidden/>
              </w:rPr>
              <w:t>i</w:t>
            </w:r>
            <w:r w:rsidR="006E45CD">
              <w:rPr>
                <w:noProof/>
                <w:webHidden/>
              </w:rPr>
              <w:fldChar w:fldCharType="end"/>
            </w:r>
          </w:hyperlink>
        </w:p>
        <w:p w14:paraId="0E01DB0F" w14:textId="5D0F6BF9" w:rsidR="006E45CD" w:rsidRDefault="006E45CD">
          <w:pPr>
            <w:pStyle w:val="TOC1"/>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47" w:history="1">
            <w:r w:rsidRPr="00515750">
              <w:rPr>
                <w:rStyle w:val="Hyperlink"/>
                <w:noProof/>
              </w:rPr>
              <w:t>List of figures</w:t>
            </w:r>
            <w:r>
              <w:rPr>
                <w:noProof/>
                <w:webHidden/>
              </w:rPr>
              <w:tab/>
            </w:r>
            <w:r>
              <w:rPr>
                <w:noProof/>
                <w:webHidden/>
              </w:rPr>
              <w:fldChar w:fldCharType="begin"/>
            </w:r>
            <w:r>
              <w:rPr>
                <w:noProof/>
                <w:webHidden/>
              </w:rPr>
              <w:instrText xml:space="preserve"> PAGEREF _Toc200467847 \h </w:instrText>
            </w:r>
            <w:r>
              <w:rPr>
                <w:noProof/>
                <w:webHidden/>
              </w:rPr>
            </w:r>
            <w:r>
              <w:rPr>
                <w:noProof/>
                <w:webHidden/>
              </w:rPr>
              <w:fldChar w:fldCharType="separate"/>
            </w:r>
            <w:r w:rsidR="00102828">
              <w:rPr>
                <w:noProof/>
                <w:webHidden/>
              </w:rPr>
              <w:t>ii</w:t>
            </w:r>
            <w:r>
              <w:rPr>
                <w:noProof/>
                <w:webHidden/>
              </w:rPr>
              <w:fldChar w:fldCharType="end"/>
            </w:r>
          </w:hyperlink>
        </w:p>
        <w:p w14:paraId="783D7842" w14:textId="36EC772E" w:rsidR="006E45CD" w:rsidRDefault="006E45CD">
          <w:pPr>
            <w:pStyle w:val="TOC1"/>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48" w:history="1">
            <w:r w:rsidRPr="00515750">
              <w:rPr>
                <w:rStyle w:val="Hyperlink"/>
                <w:noProof/>
              </w:rPr>
              <w:t>List of tables</w:t>
            </w:r>
            <w:r>
              <w:rPr>
                <w:noProof/>
                <w:webHidden/>
              </w:rPr>
              <w:tab/>
            </w:r>
            <w:r>
              <w:rPr>
                <w:noProof/>
                <w:webHidden/>
              </w:rPr>
              <w:fldChar w:fldCharType="begin"/>
            </w:r>
            <w:r>
              <w:rPr>
                <w:noProof/>
                <w:webHidden/>
              </w:rPr>
              <w:instrText xml:space="preserve"> PAGEREF _Toc200467848 \h </w:instrText>
            </w:r>
            <w:r>
              <w:rPr>
                <w:noProof/>
                <w:webHidden/>
              </w:rPr>
            </w:r>
            <w:r>
              <w:rPr>
                <w:noProof/>
                <w:webHidden/>
              </w:rPr>
              <w:fldChar w:fldCharType="separate"/>
            </w:r>
            <w:r w:rsidR="00102828">
              <w:rPr>
                <w:noProof/>
                <w:webHidden/>
              </w:rPr>
              <w:t>viii</w:t>
            </w:r>
            <w:r>
              <w:rPr>
                <w:noProof/>
                <w:webHidden/>
              </w:rPr>
              <w:fldChar w:fldCharType="end"/>
            </w:r>
          </w:hyperlink>
        </w:p>
        <w:p w14:paraId="693B6373" w14:textId="58A24EF3" w:rsidR="006E45CD" w:rsidRDefault="006E45CD">
          <w:pPr>
            <w:pStyle w:val="TOC1"/>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49" w:history="1">
            <w:r w:rsidRPr="00515750">
              <w:rPr>
                <w:rStyle w:val="Hyperlink"/>
                <w:noProof/>
              </w:rPr>
              <w:t>Acknowledgements</w:t>
            </w:r>
            <w:r>
              <w:rPr>
                <w:noProof/>
                <w:webHidden/>
              </w:rPr>
              <w:tab/>
            </w:r>
            <w:r>
              <w:rPr>
                <w:noProof/>
                <w:webHidden/>
              </w:rPr>
              <w:fldChar w:fldCharType="begin"/>
            </w:r>
            <w:r>
              <w:rPr>
                <w:noProof/>
                <w:webHidden/>
              </w:rPr>
              <w:instrText xml:space="preserve"> PAGEREF _Toc200467849 \h </w:instrText>
            </w:r>
            <w:r>
              <w:rPr>
                <w:noProof/>
                <w:webHidden/>
              </w:rPr>
            </w:r>
            <w:r>
              <w:rPr>
                <w:noProof/>
                <w:webHidden/>
              </w:rPr>
              <w:fldChar w:fldCharType="separate"/>
            </w:r>
            <w:r w:rsidR="00102828">
              <w:rPr>
                <w:noProof/>
                <w:webHidden/>
              </w:rPr>
              <w:t>x</w:t>
            </w:r>
            <w:r>
              <w:rPr>
                <w:noProof/>
                <w:webHidden/>
              </w:rPr>
              <w:fldChar w:fldCharType="end"/>
            </w:r>
          </w:hyperlink>
        </w:p>
        <w:p w14:paraId="26632D23" w14:textId="6B8CA61E" w:rsidR="006E45CD" w:rsidRDefault="006E45CD">
          <w:pPr>
            <w:pStyle w:val="TOC1"/>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50" w:history="1">
            <w:r w:rsidRPr="00515750">
              <w:rPr>
                <w:rStyle w:val="Hyperlink"/>
                <w:noProof/>
              </w:rPr>
              <w:t>Executive summary</w:t>
            </w:r>
            <w:r>
              <w:rPr>
                <w:noProof/>
                <w:webHidden/>
              </w:rPr>
              <w:tab/>
            </w:r>
            <w:r>
              <w:rPr>
                <w:noProof/>
                <w:webHidden/>
              </w:rPr>
              <w:fldChar w:fldCharType="begin"/>
            </w:r>
            <w:r>
              <w:rPr>
                <w:noProof/>
                <w:webHidden/>
              </w:rPr>
              <w:instrText xml:space="preserve"> PAGEREF _Toc200467850 \h </w:instrText>
            </w:r>
            <w:r>
              <w:rPr>
                <w:noProof/>
                <w:webHidden/>
              </w:rPr>
            </w:r>
            <w:r>
              <w:rPr>
                <w:noProof/>
                <w:webHidden/>
              </w:rPr>
              <w:fldChar w:fldCharType="separate"/>
            </w:r>
            <w:r w:rsidR="00102828">
              <w:rPr>
                <w:noProof/>
                <w:webHidden/>
              </w:rPr>
              <w:t>xi</w:t>
            </w:r>
            <w:r>
              <w:rPr>
                <w:noProof/>
                <w:webHidden/>
              </w:rPr>
              <w:fldChar w:fldCharType="end"/>
            </w:r>
          </w:hyperlink>
        </w:p>
        <w:p w14:paraId="45C762F1" w14:textId="278D9ADF" w:rsidR="006E45CD" w:rsidRDefault="006E45CD">
          <w:pPr>
            <w:pStyle w:val="TOC1"/>
            <w:tabs>
              <w:tab w:val="left" w:pos="660"/>
            </w:tabs>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51" w:history="1">
            <w:r w:rsidRPr="00515750">
              <w:rPr>
                <w:rStyle w:val="Hyperlink"/>
                <w:noProof/>
              </w:rPr>
              <w:t>1</w:t>
            </w:r>
            <w:r>
              <w:rPr>
                <w:rFonts w:asciiTheme="minorHAnsi" w:eastAsiaTheme="minorEastAsia" w:hAnsiTheme="minorHAnsi" w:cstheme="minorBidi"/>
                <w:b w:val="0"/>
                <w:caps w:val="0"/>
                <w:noProof/>
                <w:color w:val="auto"/>
                <w:kern w:val="2"/>
                <w:sz w:val="24"/>
                <w:szCs w:val="24"/>
                <w:lang w:eastAsia="en-AU"/>
                <w14:ligatures w14:val="standardContextual"/>
              </w:rPr>
              <w:tab/>
            </w:r>
            <w:r w:rsidRPr="00515750">
              <w:rPr>
                <w:rStyle w:val="Hyperlink"/>
                <w:noProof/>
              </w:rPr>
              <w:t>Introduction</w:t>
            </w:r>
            <w:r>
              <w:rPr>
                <w:noProof/>
                <w:webHidden/>
              </w:rPr>
              <w:tab/>
            </w:r>
            <w:r>
              <w:rPr>
                <w:noProof/>
                <w:webHidden/>
              </w:rPr>
              <w:fldChar w:fldCharType="begin"/>
            </w:r>
            <w:r>
              <w:rPr>
                <w:noProof/>
                <w:webHidden/>
              </w:rPr>
              <w:instrText xml:space="preserve"> PAGEREF _Toc200467851 \h </w:instrText>
            </w:r>
            <w:r>
              <w:rPr>
                <w:noProof/>
                <w:webHidden/>
              </w:rPr>
            </w:r>
            <w:r>
              <w:rPr>
                <w:noProof/>
                <w:webHidden/>
              </w:rPr>
              <w:fldChar w:fldCharType="separate"/>
            </w:r>
            <w:r w:rsidR="00102828">
              <w:rPr>
                <w:noProof/>
                <w:webHidden/>
              </w:rPr>
              <w:t>1</w:t>
            </w:r>
            <w:r>
              <w:rPr>
                <w:noProof/>
                <w:webHidden/>
              </w:rPr>
              <w:fldChar w:fldCharType="end"/>
            </w:r>
          </w:hyperlink>
        </w:p>
        <w:p w14:paraId="0D2B9F7B" w14:textId="55C39416"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52" w:history="1">
            <w:r w:rsidRPr="00515750">
              <w:rPr>
                <w:rStyle w:val="Hyperlink"/>
                <w:iCs/>
              </w:rPr>
              <w:t>1.1</w:t>
            </w:r>
            <w:r>
              <w:rPr>
                <w:rFonts w:asciiTheme="minorHAnsi" w:eastAsiaTheme="minorEastAsia" w:hAnsiTheme="minorHAnsi" w:cstheme="minorBidi"/>
                <w:color w:val="auto"/>
                <w:kern w:val="2"/>
                <w:sz w:val="24"/>
                <w:szCs w:val="24"/>
                <w:lang w:eastAsia="en-AU"/>
                <w14:ligatures w14:val="standardContextual"/>
              </w:rPr>
              <w:tab/>
            </w:r>
            <w:r w:rsidRPr="00515750">
              <w:rPr>
                <w:rStyle w:val="Hyperlink"/>
              </w:rPr>
              <w:t>Flow regimes and riverine ecology</w:t>
            </w:r>
            <w:r>
              <w:rPr>
                <w:webHidden/>
              </w:rPr>
              <w:tab/>
            </w:r>
            <w:r>
              <w:rPr>
                <w:webHidden/>
              </w:rPr>
              <w:fldChar w:fldCharType="begin"/>
            </w:r>
            <w:r>
              <w:rPr>
                <w:webHidden/>
              </w:rPr>
              <w:instrText xml:space="preserve"> PAGEREF _Toc200467852 \h </w:instrText>
            </w:r>
            <w:r>
              <w:rPr>
                <w:webHidden/>
              </w:rPr>
            </w:r>
            <w:r>
              <w:rPr>
                <w:webHidden/>
              </w:rPr>
              <w:fldChar w:fldCharType="separate"/>
            </w:r>
            <w:r w:rsidR="00102828">
              <w:rPr>
                <w:webHidden/>
              </w:rPr>
              <w:t>1</w:t>
            </w:r>
            <w:r>
              <w:rPr>
                <w:webHidden/>
              </w:rPr>
              <w:fldChar w:fldCharType="end"/>
            </w:r>
          </w:hyperlink>
        </w:p>
        <w:p w14:paraId="5D91E2AF" w14:textId="7BFF6630"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53" w:history="1">
            <w:r w:rsidRPr="00515750">
              <w:rPr>
                <w:rStyle w:val="Hyperlink"/>
                <w:iCs/>
              </w:rPr>
              <w:t>1.2</w:t>
            </w:r>
            <w:r>
              <w:rPr>
                <w:rFonts w:asciiTheme="minorHAnsi" w:eastAsiaTheme="minorEastAsia" w:hAnsiTheme="minorHAnsi" w:cstheme="minorBidi"/>
                <w:color w:val="auto"/>
                <w:kern w:val="2"/>
                <w:sz w:val="24"/>
                <w:szCs w:val="24"/>
                <w:lang w:eastAsia="en-AU"/>
                <w14:ligatures w14:val="standardContextual"/>
              </w:rPr>
              <w:tab/>
            </w:r>
            <w:r w:rsidRPr="00515750">
              <w:rPr>
                <w:rStyle w:val="Hyperlink"/>
              </w:rPr>
              <w:t>CEWH’s Flow Monitoring, Evaluation and Research Project</w:t>
            </w:r>
            <w:r>
              <w:rPr>
                <w:webHidden/>
              </w:rPr>
              <w:tab/>
            </w:r>
            <w:r>
              <w:rPr>
                <w:webHidden/>
              </w:rPr>
              <w:fldChar w:fldCharType="begin"/>
            </w:r>
            <w:r>
              <w:rPr>
                <w:webHidden/>
              </w:rPr>
              <w:instrText xml:space="preserve"> PAGEREF _Toc200467853 \h </w:instrText>
            </w:r>
            <w:r>
              <w:rPr>
                <w:webHidden/>
              </w:rPr>
            </w:r>
            <w:r>
              <w:rPr>
                <w:webHidden/>
              </w:rPr>
              <w:fldChar w:fldCharType="separate"/>
            </w:r>
            <w:r w:rsidR="00102828">
              <w:rPr>
                <w:webHidden/>
              </w:rPr>
              <w:t>1</w:t>
            </w:r>
            <w:r>
              <w:rPr>
                <w:webHidden/>
              </w:rPr>
              <w:fldChar w:fldCharType="end"/>
            </w:r>
          </w:hyperlink>
        </w:p>
        <w:p w14:paraId="40B24BD6" w14:textId="71492E58"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54" w:history="1">
            <w:r w:rsidRPr="00515750">
              <w:rPr>
                <w:rStyle w:val="Hyperlink"/>
                <w:iCs/>
              </w:rPr>
              <w:t>1.3</w:t>
            </w:r>
            <w:r>
              <w:rPr>
                <w:rFonts w:asciiTheme="minorHAnsi" w:eastAsiaTheme="minorEastAsia" w:hAnsiTheme="minorHAnsi" w:cstheme="minorBidi"/>
                <w:color w:val="auto"/>
                <w:kern w:val="2"/>
                <w:sz w:val="24"/>
                <w:szCs w:val="24"/>
                <w:lang w:eastAsia="en-AU"/>
                <w14:ligatures w14:val="standardContextual"/>
              </w:rPr>
              <w:tab/>
            </w:r>
            <w:r w:rsidRPr="00515750">
              <w:rPr>
                <w:rStyle w:val="Hyperlink"/>
              </w:rPr>
              <w:t>Expected outcomes in the Lower Murray</w:t>
            </w:r>
            <w:r>
              <w:rPr>
                <w:webHidden/>
              </w:rPr>
              <w:tab/>
            </w:r>
            <w:r>
              <w:rPr>
                <w:webHidden/>
              </w:rPr>
              <w:fldChar w:fldCharType="begin"/>
            </w:r>
            <w:r>
              <w:rPr>
                <w:webHidden/>
              </w:rPr>
              <w:instrText xml:space="preserve"> PAGEREF _Toc200467854 \h </w:instrText>
            </w:r>
            <w:r>
              <w:rPr>
                <w:webHidden/>
              </w:rPr>
            </w:r>
            <w:r>
              <w:rPr>
                <w:webHidden/>
              </w:rPr>
              <w:fldChar w:fldCharType="separate"/>
            </w:r>
            <w:r w:rsidR="00102828">
              <w:rPr>
                <w:webHidden/>
              </w:rPr>
              <w:t>3</w:t>
            </w:r>
            <w:r>
              <w:rPr>
                <w:webHidden/>
              </w:rPr>
              <w:fldChar w:fldCharType="end"/>
            </w:r>
          </w:hyperlink>
        </w:p>
        <w:p w14:paraId="131418AD" w14:textId="20B4E815"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55" w:history="1">
            <w:r w:rsidRPr="00515750">
              <w:rPr>
                <w:rStyle w:val="Hyperlink"/>
                <w:iCs/>
              </w:rPr>
              <w:t>1.4</w:t>
            </w:r>
            <w:r>
              <w:rPr>
                <w:rFonts w:asciiTheme="minorHAnsi" w:eastAsiaTheme="minorEastAsia" w:hAnsiTheme="minorHAnsi" w:cstheme="minorBidi"/>
                <w:color w:val="auto"/>
                <w:kern w:val="2"/>
                <w:sz w:val="24"/>
                <w:szCs w:val="24"/>
                <w:lang w:eastAsia="en-AU"/>
                <w14:ligatures w14:val="standardContextual"/>
              </w:rPr>
              <w:tab/>
            </w:r>
            <w:r w:rsidRPr="00515750">
              <w:rPr>
                <w:rStyle w:val="Hyperlink"/>
              </w:rPr>
              <w:t>Environmental water delivery</w:t>
            </w:r>
            <w:r>
              <w:rPr>
                <w:webHidden/>
              </w:rPr>
              <w:tab/>
            </w:r>
            <w:r>
              <w:rPr>
                <w:webHidden/>
              </w:rPr>
              <w:fldChar w:fldCharType="begin"/>
            </w:r>
            <w:r>
              <w:rPr>
                <w:webHidden/>
              </w:rPr>
              <w:instrText xml:space="preserve"> PAGEREF _Toc200467855 \h </w:instrText>
            </w:r>
            <w:r>
              <w:rPr>
                <w:webHidden/>
              </w:rPr>
            </w:r>
            <w:r>
              <w:rPr>
                <w:webHidden/>
              </w:rPr>
              <w:fldChar w:fldCharType="separate"/>
            </w:r>
            <w:r w:rsidR="00102828">
              <w:rPr>
                <w:webHidden/>
              </w:rPr>
              <w:t>6</w:t>
            </w:r>
            <w:r>
              <w:rPr>
                <w:webHidden/>
              </w:rPr>
              <w:fldChar w:fldCharType="end"/>
            </w:r>
          </w:hyperlink>
        </w:p>
        <w:p w14:paraId="050366B7" w14:textId="22FB50B6"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56" w:history="1">
            <w:r w:rsidRPr="00515750">
              <w:rPr>
                <w:rStyle w:val="Hyperlink"/>
                <w:iCs/>
              </w:rPr>
              <w:t>1.5</w:t>
            </w:r>
            <w:r>
              <w:rPr>
                <w:rFonts w:asciiTheme="minorHAnsi" w:eastAsiaTheme="minorEastAsia" w:hAnsiTheme="minorHAnsi" w:cstheme="minorBidi"/>
                <w:color w:val="auto"/>
                <w:kern w:val="2"/>
                <w:sz w:val="24"/>
                <w:szCs w:val="24"/>
                <w:lang w:eastAsia="en-AU"/>
                <w14:ligatures w14:val="standardContextual"/>
              </w:rPr>
              <w:tab/>
            </w:r>
            <w:r w:rsidRPr="00515750">
              <w:rPr>
                <w:rStyle w:val="Hyperlink"/>
              </w:rPr>
              <w:t>Purpose of the CEWH Flow-MER report for 2019–2024</w:t>
            </w:r>
            <w:r>
              <w:rPr>
                <w:webHidden/>
              </w:rPr>
              <w:tab/>
            </w:r>
            <w:r>
              <w:rPr>
                <w:webHidden/>
              </w:rPr>
              <w:fldChar w:fldCharType="begin"/>
            </w:r>
            <w:r>
              <w:rPr>
                <w:webHidden/>
              </w:rPr>
              <w:instrText xml:space="preserve"> PAGEREF _Toc200467856 \h </w:instrText>
            </w:r>
            <w:r>
              <w:rPr>
                <w:webHidden/>
              </w:rPr>
            </w:r>
            <w:r>
              <w:rPr>
                <w:webHidden/>
              </w:rPr>
              <w:fldChar w:fldCharType="separate"/>
            </w:r>
            <w:r w:rsidR="00102828">
              <w:rPr>
                <w:webHidden/>
              </w:rPr>
              <w:t>13</w:t>
            </w:r>
            <w:r>
              <w:rPr>
                <w:webHidden/>
              </w:rPr>
              <w:fldChar w:fldCharType="end"/>
            </w:r>
          </w:hyperlink>
        </w:p>
        <w:p w14:paraId="6E8820FE" w14:textId="1AAD2AA0" w:rsidR="006E45CD" w:rsidRDefault="006E45CD">
          <w:pPr>
            <w:pStyle w:val="TOC1"/>
            <w:tabs>
              <w:tab w:val="left" w:pos="660"/>
            </w:tabs>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57" w:history="1">
            <w:r w:rsidRPr="00515750">
              <w:rPr>
                <w:rStyle w:val="Hyperlink"/>
                <w:noProof/>
              </w:rPr>
              <w:t>2</w:t>
            </w:r>
            <w:r>
              <w:rPr>
                <w:rFonts w:asciiTheme="minorHAnsi" w:eastAsiaTheme="minorEastAsia" w:hAnsiTheme="minorHAnsi" w:cstheme="minorBidi"/>
                <w:b w:val="0"/>
                <w:caps w:val="0"/>
                <w:noProof/>
                <w:color w:val="auto"/>
                <w:kern w:val="2"/>
                <w:sz w:val="24"/>
                <w:szCs w:val="24"/>
                <w:lang w:eastAsia="en-AU"/>
                <w14:ligatures w14:val="standardContextual"/>
              </w:rPr>
              <w:tab/>
            </w:r>
            <w:r w:rsidRPr="00515750">
              <w:rPr>
                <w:rStyle w:val="Hyperlink"/>
                <w:noProof/>
              </w:rPr>
              <w:t>Indicators</w:t>
            </w:r>
            <w:r>
              <w:rPr>
                <w:noProof/>
                <w:webHidden/>
              </w:rPr>
              <w:tab/>
            </w:r>
            <w:r>
              <w:rPr>
                <w:noProof/>
                <w:webHidden/>
              </w:rPr>
              <w:fldChar w:fldCharType="begin"/>
            </w:r>
            <w:r>
              <w:rPr>
                <w:noProof/>
                <w:webHidden/>
              </w:rPr>
              <w:instrText xml:space="preserve"> PAGEREF _Toc200467857 \h </w:instrText>
            </w:r>
            <w:r>
              <w:rPr>
                <w:noProof/>
                <w:webHidden/>
              </w:rPr>
            </w:r>
            <w:r>
              <w:rPr>
                <w:noProof/>
                <w:webHidden/>
              </w:rPr>
              <w:fldChar w:fldCharType="separate"/>
            </w:r>
            <w:r w:rsidR="00102828">
              <w:rPr>
                <w:noProof/>
                <w:webHidden/>
              </w:rPr>
              <w:t>14</w:t>
            </w:r>
            <w:r>
              <w:rPr>
                <w:noProof/>
                <w:webHidden/>
              </w:rPr>
              <w:fldChar w:fldCharType="end"/>
            </w:r>
          </w:hyperlink>
        </w:p>
        <w:p w14:paraId="7766980C" w14:textId="0902D9C9"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58" w:history="1">
            <w:r w:rsidRPr="00515750">
              <w:rPr>
                <w:rStyle w:val="Hyperlink"/>
                <w:iCs/>
              </w:rPr>
              <w:t>2.1</w:t>
            </w:r>
            <w:r>
              <w:rPr>
                <w:rFonts w:asciiTheme="minorHAnsi" w:eastAsiaTheme="minorEastAsia" w:hAnsiTheme="minorHAnsi" w:cstheme="minorBidi"/>
                <w:color w:val="auto"/>
                <w:kern w:val="2"/>
                <w:sz w:val="24"/>
                <w:szCs w:val="24"/>
                <w:lang w:eastAsia="en-AU"/>
                <w14:ligatures w14:val="standardContextual"/>
              </w:rPr>
              <w:tab/>
            </w:r>
            <w:r w:rsidRPr="00515750">
              <w:rPr>
                <w:rStyle w:val="Hyperlink"/>
              </w:rPr>
              <w:t>Hydraulic Regime</w:t>
            </w:r>
            <w:r>
              <w:rPr>
                <w:webHidden/>
              </w:rPr>
              <w:tab/>
            </w:r>
            <w:r>
              <w:rPr>
                <w:webHidden/>
              </w:rPr>
              <w:fldChar w:fldCharType="begin"/>
            </w:r>
            <w:r>
              <w:rPr>
                <w:webHidden/>
              </w:rPr>
              <w:instrText xml:space="preserve"> PAGEREF _Toc200467858 \h </w:instrText>
            </w:r>
            <w:r>
              <w:rPr>
                <w:webHidden/>
              </w:rPr>
            </w:r>
            <w:r>
              <w:rPr>
                <w:webHidden/>
              </w:rPr>
              <w:fldChar w:fldCharType="separate"/>
            </w:r>
            <w:r w:rsidR="00102828">
              <w:rPr>
                <w:webHidden/>
              </w:rPr>
              <w:t>14</w:t>
            </w:r>
            <w:r>
              <w:rPr>
                <w:webHidden/>
              </w:rPr>
              <w:fldChar w:fldCharType="end"/>
            </w:r>
          </w:hyperlink>
        </w:p>
        <w:p w14:paraId="35E3F43A" w14:textId="69097628"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59" w:history="1">
            <w:r w:rsidRPr="00515750">
              <w:rPr>
                <w:rStyle w:val="Hyperlink"/>
                <w:iCs/>
              </w:rPr>
              <w:t>2.2</w:t>
            </w:r>
            <w:r>
              <w:rPr>
                <w:rFonts w:asciiTheme="minorHAnsi" w:eastAsiaTheme="minorEastAsia" w:hAnsiTheme="minorHAnsi" w:cstheme="minorBidi"/>
                <w:color w:val="auto"/>
                <w:kern w:val="2"/>
                <w:sz w:val="24"/>
                <w:szCs w:val="24"/>
                <w:lang w:eastAsia="en-AU"/>
                <w14:ligatures w14:val="standardContextual"/>
              </w:rPr>
              <w:tab/>
            </w:r>
            <w:r w:rsidRPr="00515750">
              <w:rPr>
                <w:rStyle w:val="Hyperlink"/>
              </w:rPr>
              <w:t>Stream Metabolism and Water Quality</w:t>
            </w:r>
            <w:r>
              <w:rPr>
                <w:webHidden/>
              </w:rPr>
              <w:tab/>
            </w:r>
            <w:r>
              <w:rPr>
                <w:webHidden/>
              </w:rPr>
              <w:fldChar w:fldCharType="begin"/>
            </w:r>
            <w:r>
              <w:rPr>
                <w:webHidden/>
              </w:rPr>
              <w:instrText xml:space="preserve"> PAGEREF _Toc200467859 \h </w:instrText>
            </w:r>
            <w:r>
              <w:rPr>
                <w:webHidden/>
              </w:rPr>
            </w:r>
            <w:r>
              <w:rPr>
                <w:webHidden/>
              </w:rPr>
              <w:fldChar w:fldCharType="separate"/>
            </w:r>
            <w:r w:rsidR="00102828">
              <w:rPr>
                <w:webHidden/>
              </w:rPr>
              <w:t>32</w:t>
            </w:r>
            <w:r>
              <w:rPr>
                <w:webHidden/>
              </w:rPr>
              <w:fldChar w:fldCharType="end"/>
            </w:r>
          </w:hyperlink>
        </w:p>
        <w:p w14:paraId="051D3642" w14:textId="40F00E3D"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60" w:history="1">
            <w:r w:rsidRPr="00515750">
              <w:rPr>
                <w:rStyle w:val="Hyperlink"/>
                <w:iCs/>
              </w:rPr>
              <w:t>2.3</w:t>
            </w:r>
            <w:r>
              <w:rPr>
                <w:rFonts w:asciiTheme="minorHAnsi" w:eastAsiaTheme="minorEastAsia" w:hAnsiTheme="minorHAnsi" w:cstheme="minorBidi"/>
                <w:color w:val="auto"/>
                <w:kern w:val="2"/>
                <w:sz w:val="24"/>
                <w:szCs w:val="24"/>
                <w:lang w:eastAsia="en-AU"/>
                <w14:ligatures w14:val="standardContextual"/>
              </w:rPr>
              <w:tab/>
            </w:r>
            <w:r w:rsidRPr="00515750">
              <w:rPr>
                <w:rStyle w:val="Hyperlink"/>
              </w:rPr>
              <w:t>Matter Transport and Coorong Habitat</w:t>
            </w:r>
            <w:r>
              <w:rPr>
                <w:webHidden/>
              </w:rPr>
              <w:tab/>
            </w:r>
            <w:r>
              <w:rPr>
                <w:webHidden/>
              </w:rPr>
              <w:fldChar w:fldCharType="begin"/>
            </w:r>
            <w:r>
              <w:rPr>
                <w:webHidden/>
              </w:rPr>
              <w:instrText xml:space="preserve"> PAGEREF _Toc200467860 \h </w:instrText>
            </w:r>
            <w:r>
              <w:rPr>
                <w:webHidden/>
              </w:rPr>
            </w:r>
            <w:r>
              <w:rPr>
                <w:webHidden/>
              </w:rPr>
              <w:fldChar w:fldCharType="separate"/>
            </w:r>
            <w:r w:rsidR="00102828">
              <w:rPr>
                <w:webHidden/>
              </w:rPr>
              <w:t>61</w:t>
            </w:r>
            <w:r>
              <w:rPr>
                <w:webHidden/>
              </w:rPr>
              <w:fldChar w:fldCharType="end"/>
            </w:r>
          </w:hyperlink>
        </w:p>
        <w:p w14:paraId="4CB725A4" w14:textId="5BE01494"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61" w:history="1">
            <w:r w:rsidRPr="00515750">
              <w:rPr>
                <w:rStyle w:val="Hyperlink"/>
              </w:rPr>
              <w:t>2.3.1   Matter Transport</w:t>
            </w:r>
            <w:r>
              <w:rPr>
                <w:webHidden/>
              </w:rPr>
              <w:tab/>
            </w:r>
            <w:r>
              <w:rPr>
                <w:webHidden/>
              </w:rPr>
              <w:fldChar w:fldCharType="begin"/>
            </w:r>
            <w:r>
              <w:rPr>
                <w:webHidden/>
              </w:rPr>
              <w:instrText xml:space="preserve"> PAGEREF _Toc200467861 \h </w:instrText>
            </w:r>
            <w:r>
              <w:rPr>
                <w:webHidden/>
              </w:rPr>
            </w:r>
            <w:r>
              <w:rPr>
                <w:webHidden/>
              </w:rPr>
              <w:fldChar w:fldCharType="separate"/>
            </w:r>
            <w:r w:rsidR="00102828">
              <w:rPr>
                <w:webHidden/>
              </w:rPr>
              <w:t>61</w:t>
            </w:r>
            <w:r>
              <w:rPr>
                <w:webHidden/>
              </w:rPr>
              <w:fldChar w:fldCharType="end"/>
            </w:r>
          </w:hyperlink>
        </w:p>
        <w:p w14:paraId="292BF01A" w14:textId="2B69BF24"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62" w:history="1">
            <w:r w:rsidRPr="00515750">
              <w:rPr>
                <w:rStyle w:val="Hyperlink"/>
              </w:rPr>
              <w:t>2.3.2  Coorong Habitat</w:t>
            </w:r>
            <w:r>
              <w:rPr>
                <w:webHidden/>
              </w:rPr>
              <w:tab/>
            </w:r>
            <w:r>
              <w:rPr>
                <w:webHidden/>
              </w:rPr>
              <w:fldChar w:fldCharType="begin"/>
            </w:r>
            <w:r>
              <w:rPr>
                <w:webHidden/>
              </w:rPr>
              <w:instrText xml:space="preserve"> PAGEREF _Toc200467862 \h </w:instrText>
            </w:r>
            <w:r>
              <w:rPr>
                <w:webHidden/>
              </w:rPr>
            </w:r>
            <w:r>
              <w:rPr>
                <w:webHidden/>
              </w:rPr>
              <w:fldChar w:fldCharType="separate"/>
            </w:r>
            <w:r w:rsidR="00102828">
              <w:rPr>
                <w:webHidden/>
              </w:rPr>
              <w:t>81</w:t>
            </w:r>
            <w:r>
              <w:rPr>
                <w:webHidden/>
              </w:rPr>
              <w:fldChar w:fldCharType="end"/>
            </w:r>
          </w:hyperlink>
        </w:p>
        <w:p w14:paraId="15A6E206" w14:textId="4C99025D"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63" w:history="1">
            <w:r w:rsidRPr="00515750">
              <w:rPr>
                <w:rStyle w:val="Hyperlink"/>
                <w:iCs/>
              </w:rPr>
              <w:t>2.4</w:t>
            </w:r>
            <w:r>
              <w:rPr>
                <w:rFonts w:asciiTheme="minorHAnsi" w:eastAsiaTheme="minorEastAsia" w:hAnsiTheme="minorHAnsi" w:cstheme="minorBidi"/>
                <w:color w:val="auto"/>
                <w:kern w:val="2"/>
                <w:sz w:val="24"/>
                <w:szCs w:val="24"/>
                <w:lang w:eastAsia="en-AU"/>
                <w14:ligatures w14:val="standardContextual"/>
              </w:rPr>
              <w:tab/>
            </w:r>
            <w:r w:rsidRPr="00515750">
              <w:rPr>
                <w:rStyle w:val="Hyperlink"/>
              </w:rPr>
              <w:t>Littoral Vegetation Diversity and Productivity</w:t>
            </w:r>
            <w:r>
              <w:rPr>
                <w:webHidden/>
              </w:rPr>
              <w:tab/>
            </w:r>
            <w:r>
              <w:rPr>
                <w:webHidden/>
              </w:rPr>
              <w:fldChar w:fldCharType="begin"/>
            </w:r>
            <w:r>
              <w:rPr>
                <w:webHidden/>
              </w:rPr>
              <w:instrText xml:space="preserve"> PAGEREF _Toc200467863 \h </w:instrText>
            </w:r>
            <w:r>
              <w:rPr>
                <w:webHidden/>
              </w:rPr>
            </w:r>
            <w:r>
              <w:rPr>
                <w:webHidden/>
              </w:rPr>
              <w:fldChar w:fldCharType="separate"/>
            </w:r>
            <w:r w:rsidR="00102828">
              <w:rPr>
                <w:webHidden/>
              </w:rPr>
              <w:t>95</w:t>
            </w:r>
            <w:r>
              <w:rPr>
                <w:webHidden/>
              </w:rPr>
              <w:fldChar w:fldCharType="end"/>
            </w:r>
          </w:hyperlink>
        </w:p>
        <w:p w14:paraId="3E39CC15" w14:textId="094660CA"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64" w:history="1">
            <w:r w:rsidRPr="00515750">
              <w:rPr>
                <w:rStyle w:val="Hyperlink"/>
                <w:iCs/>
              </w:rPr>
              <w:t>2.5</w:t>
            </w:r>
            <w:r>
              <w:rPr>
                <w:rFonts w:asciiTheme="minorHAnsi" w:eastAsiaTheme="minorEastAsia" w:hAnsiTheme="minorHAnsi" w:cstheme="minorBidi"/>
                <w:color w:val="auto"/>
                <w:kern w:val="2"/>
                <w:sz w:val="24"/>
                <w:szCs w:val="24"/>
                <w:lang w:eastAsia="en-AU"/>
                <w14:ligatures w14:val="standardContextual"/>
              </w:rPr>
              <w:tab/>
            </w:r>
            <w:r w:rsidRPr="00515750">
              <w:rPr>
                <w:rStyle w:val="Hyperlink"/>
              </w:rPr>
              <w:t>Microinvertebrate Assemblage</w:t>
            </w:r>
            <w:r>
              <w:rPr>
                <w:webHidden/>
              </w:rPr>
              <w:tab/>
            </w:r>
            <w:r>
              <w:rPr>
                <w:webHidden/>
              </w:rPr>
              <w:fldChar w:fldCharType="begin"/>
            </w:r>
            <w:r>
              <w:rPr>
                <w:webHidden/>
              </w:rPr>
              <w:instrText xml:space="preserve"> PAGEREF _Toc200467864 \h </w:instrText>
            </w:r>
            <w:r>
              <w:rPr>
                <w:webHidden/>
              </w:rPr>
            </w:r>
            <w:r>
              <w:rPr>
                <w:webHidden/>
              </w:rPr>
              <w:fldChar w:fldCharType="separate"/>
            </w:r>
            <w:r w:rsidR="00102828">
              <w:rPr>
                <w:webHidden/>
              </w:rPr>
              <w:t>110</w:t>
            </w:r>
            <w:r>
              <w:rPr>
                <w:webHidden/>
              </w:rPr>
              <w:fldChar w:fldCharType="end"/>
            </w:r>
          </w:hyperlink>
        </w:p>
        <w:p w14:paraId="4A571B8B" w14:textId="3637330E"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65" w:history="1">
            <w:r w:rsidRPr="00515750">
              <w:rPr>
                <w:rStyle w:val="Hyperlink"/>
                <w:iCs/>
              </w:rPr>
              <w:t>2.6</w:t>
            </w:r>
            <w:r>
              <w:rPr>
                <w:rFonts w:asciiTheme="minorHAnsi" w:eastAsiaTheme="minorEastAsia" w:hAnsiTheme="minorHAnsi" w:cstheme="minorBidi"/>
                <w:color w:val="auto"/>
                <w:kern w:val="2"/>
                <w:sz w:val="24"/>
                <w:szCs w:val="24"/>
                <w:lang w:eastAsia="en-AU"/>
                <w14:ligatures w14:val="standardContextual"/>
              </w:rPr>
              <w:tab/>
            </w:r>
            <w:r w:rsidRPr="00515750">
              <w:rPr>
                <w:rStyle w:val="Hyperlink"/>
              </w:rPr>
              <w:t>Flow-cued Spawning Fish Reproduction</w:t>
            </w:r>
            <w:r>
              <w:rPr>
                <w:webHidden/>
              </w:rPr>
              <w:tab/>
            </w:r>
            <w:r>
              <w:rPr>
                <w:webHidden/>
              </w:rPr>
              <w:fldChar w:fldCharType="begin"/>
            </w:r>
            <w:r>
              <w:rPr>
                <w:webHidden/>
              </w:rPr>
              <w:instrText xml:space="preserve"> PAGEREF _Toc200467865 \h </w:instrText>
            </w:r>
            <w:r>
              <w:rPr>
                <w:webHidden/>
              </w:rPr>
            </w:r>
            <w:r>
              <w:rPr>
                <w:webHidden/>
              </w:rPr>
              <w:fldChar w:fldCharType="separate"/>
            </w:r>
            <w:r w:rsidR="00102828">
              <w:rPr>
                <w:webHidden/>
              </w:rPr>
              <w:t>130</w:t>
            </w:r>
            <w:r>
              <w:rPr>
                <w:webHidden/>
              </w:rPr>
              <w:fldChar w:fldCharType="end"/>
            </w:r>
          </w:hyperlink>
        </w:p>
        <w:p w14:paraId="0AC87C24" w14:textId="039CEC66"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66" w:history="1">
            <w:r w:rsidRPr="00515750">
              <w:rPr>
                <w:rStyle w:val="Hyperlink"/>
                <w:iCs/>
              </w:rPr>
              <w:t>2.7</w:t>
            </w:r>
            <w:r>
              <w:rPr>
                <w:rFonts w:asciiTheme="minorHAnsi" w:eastAsiaTheme="minorEastAsia" w:hAnsiTheme="minorHAnsi" w:cstheme="minorBidi"/>
                <w:color w:val="auto"/>
                <w:kern w:val="2"/>
                <w:sz w:val="24"/>
                <w:szCs w:val="24"/>
                <w:lang w:eastAsia="en-AU"/>
                <w14:ligatures w14:val="standardContextual"/>
              </w:rPr>
              <w:tab/>
            </w:r>
            <w:r w:rsidRPr="00515750">
              <w:rPr>
                <w:rStyle w:val="Hyperlink"/>
              </w:rPr>
              <w:t>Murray Cod Recruitment</w:t>
            </w:r>
            <w:r>
              <w:rPr>
                <w:webHidden/>
              </w:rPr>
              <w:tab/>
            </w:r>
            <w:r>
              <w:rPr>
                <w:webHidden/>
              </w:rPr>
              <w:fldChar w:fldCharType="begin"/>
            </w:r>
            <w:r>
              <w:rPr>
                <w:webHidden/>
              </w:rPr>
              <w:instrText xml:space="preserve"> PAGEREF _Toc200467866 \h </w:instrText>
            </w:r>
            <w:r>
              <w:rPr>
                <w:webHidden/>
              </w:rPr>
            </w:r>
            <w:r>
              <w:rPr>
                <w:webHidden/>
              </w:rPr>
              <w:fldChar w:fldCharType="separate"/>
            </w:r>
            <w:r w:rsidR="00102828">
              <w:rPr>
                <w:webHidden/>
              </w:rPr>
              <w:t>149</w:t>
            </w:r>
            <w:r>
              <w:rPr>
                <w:webHidden/>
              </w:rPr>
              <w:fldChar w:fldCharType="end"/>
            </w:r>
          </w:hyperlink>
        </w:p>
        <w:p w14:paraId="484F1FFC" w14:textId="5FB21040" w:rsidR="006E45CD" w:rsidRDefault="006E45CD">
          <w:pPr>
            <w:pStyle w:val="TOC2"/>
            <w:rPr>
              <w:rFonts w:asciiTheme="minorHAnsi" w:eastAsiaTheme="minorEastAsia" w:hAnsiTheme="minorHAnsi" w:cstheme="minorBidi"/>
              <w:color w:val="auto"/>
              <w:kern w:val="2"/>
              <w:sz w:val="24"/>
              <w:szCs w:val="24"/>
              <w:lang w:eastAsia="en-AU"/>
              <w14:ligatures w14:val="standardContextual"/>
            </w:rPr>
          </w:pPr>
          <w:hyperlink w:anchor="_Toc200467867" w:history="1">
            <w:r w:rsidRPr="00515750">
              <w:rPr>
                <w:rStyle w:val="Hyperlink"/>
                <w:iCs/>
              </w:rPr>
              <w:t>2.8</w:t>
            </w:r>
            <w:r>
              <w:rPr>
                <w:rFonts w:asciiTheme="minorHAnsi" w:eastAsiaTheme="minorEastAsia" w:hAnsiTheme="minorHAnsi" w:cstheme="minorBidi"/>
                <w:color w:val="auto"/>
                <w:kern w:val="2"/>
                <w:sz w:val="24"/>
                <w:szCs w:val="24"/>
                <w:lang w:eastAsia="en-AU"/>
                <w14:ligatures w14:val="standardContextual"/>
              </w:rPr>
              <w:tab/>
            </w:r>
            <w:r w:rsidRPr="00515750">
              <w:rPr>
                <w:rStyle w:val="Hyperlink"/>
              </w:rPr>
              <w:t>Fish Assemblage</w:t>
            </w:r>
            <w:r>
              <w:rPr>
                <w:webHidden/>
              </w:rPr>
              <w:tab/>
            </w:r>
            <w:r>
              <w:rPr>
                <w:webHidden/>
              </w:rPr>
              <w:fldChar w:fldCharType="begin"/>
            </w:r>
            <w:r>
              <w:rPr>
                <w:webHidden/>
              </w:rPr>
              <w:instrText xml:space="preserve"> PAGEREF _Toc200467867 \h </w:instrText>
            </w:r>
            <w:r>
              <w:rPr>
                <w:webHidden/>
              </w:rPr>
            </w:r>
            <w:r>
              <w:rPr>
                <w:webHidden/>
              </w:rPr>
              <w:fldChar w:fldCharType="separate"/>
            </w:r>
            <w:r w:rsidR="00102828">
              <w:rPr>
                <w:webHidden/>
              </w:rPr>
              <w:t>164</w:t>
            </w:r>
            <w:r>
              <w:rPr>
                <w:webHidden/>
              </w:rPr>
              <w:fldChar w:fldCharType="end"/>
            </w:r>
          </w:hyperlink>
        </w:p>
        <w:p w14:paraId="1E8AD526" w14:textId="513F8E25" w:rsidR="006E45CD" w:rsidRDefault="006E45CD">
          <w:pPr>
            <w:pStyle w:val="TOC1"/>
            <w:tabs>
              <w:tab w:val="left" w:pos="660"/>
            </w:tabs>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68" w:history="1">
            <w:r w:rsidRPr="00515750">
              <w:rPr>
                <w:rStyle w:val="Hyperlink"/>
                <w:noProof/>
              </w:rPr>
              <w:t>3</w:t>
            </w:r>
            <w:r>
              <w:rPr>
                <w:rFonts w:asciiTheme="minorHAnsi" w:eastAsiaTheme="minorEastAsia" w:hAnsiTheme="minorHAnsi" w:cstheme="minorBidi"/>
                <w:b w:val="0"/>
                <w:caps w:val="0"/>
                <w:noProof/>
                <w:color w:val="auto"/>
                <w:kern w:val="2"/>
                <w:sz w:val="24"/>
                <w:szCs w:val="24"/>
                <w:lang w:eastAsia="en-AU"/>
                <w14:ligatures w14:val="standardContextual"/>
              </w:rPr>
              <w:tab/>
            </w:r>
            <w:r w:rsidRPr="00515750">
              <w:rPr>
                <w:rStyle w:val="Hyperlink"/>
                <w:noProof/>
              </w:rPr>
              <w:t>Synthesis and Evaluation</w:t>
            </w:r>
            <w:r>
              <w:rPr>
                <w:noProof/>
                <w:webHidden/>
              </w:rPr>
              <w:tab/>
            </w:r>
            <w:r>
              <w:rPr>
                <w:noProof/>
                <w:webHidden/>
              </w:rPr>
              <w:fldChar w:fldCharType="begin"/>
            </w:r>
            <w:r>
              <w:rPr>
                <w:noProof/>
                <w:webHidden/>
              </w:rPr>
              <w:instrText xml:space="preserve"> PAGEREF _Toc200467868 \h </w:instrText>
            </w:r>
            <w:r>
              <w:rPr>
                <w:noProof/>
                <w:webHidden/>
              </w:rPr>
            </w:r>
            <w:r>
              <w:rPr>
                <w:noProof/>
                <w:webHidden/>
              </w:rPr>
              <w:fldChar w:fldCharType="separate"/>
            </w:r>
            <w:r w:rsidR="00102828">
              <w:rPr>
                <w:noProof/>
                <w:webHidden/>
              </w:rPr>
              <w:t>173</w:t>
            </w:r>
            <w:r>
              <w:rPr>
                <w:noProof/>
                <w:webHidden/>
              </w:rPr>
              <w:fldChar w:fldCharType="end"/>
            </w:r>
          </w:hyperlink>
        </w:p>
        <w:p w14:paraId="4F1FDB09" w14:textId="564136A7" w:rsidR="006E45CD" w:rsidRDefault="006E45CD">
          <w:pPr>
            <w:pStyle w:val="TOC1"/>
            <w:tabs>
              <w:tab w:val="left" w:pos="660"/>
            </w:tabs>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69" w:history="1">
            <w:r w:rsidRPr="00515750">
              <w:rPr>
                <w:rStyle w:val="Hyperlink"/>
                <w:noProof/>
              </w:rPr>
              <w:t>4</w:t>
            </w:r>
            <w:r>
              <w:rPr>
                <w:rFonts w:asciiTheme="minorHAnsi" w:eastAsiaTheme="minorEastAsia" w:hAnsiTheme="minorHAnsi" w:cstheme="minorBidi"/>
                <w:b w:val="0"/>
                <w:caps w:val="0"/>
                <w:noProof/>
                <w:color w:val="auto"/>
                <w:kern w:val="2"/>
                <w:sz w:val="24"/>
                <w:szCs w:val="24"/>
                <w:lang w:eastAsia="en-AU"/>
                <w14:ligatures w14:val="standardContextual"/>
              </w:rPr>
              <w:tab/>
            </w:r>
            <w:r w:rsidRPr="00515750">
              <w:rPr>
                <w:rStyle w:val="Hyperlink"/>
                <w:noProof/>
              </w:rPr>
              <w:t>General Management Recommendations</w:t>
            </w:r>
            <w:r>
              <w:rPr>
                <w:noProof/>
                <w:webHidden/>
              </w:rPr>
              <w:tab/>
            </w:r>
            <w:r>
              <w:rPr>
                <w:noProof/>
                <w:webHidden/>
              </w:rPr>
              <w:fldChar w:fldCharType="begin"/>
            </w:r>
            <w:r>
              <w:rPr>
                <w:noProof/>
                <w:webHidden/>
              </w:rPr>
              <w:instrText xml:space="preserve"> PAGEREF _Toc200467869 \h </w:instrText>
            </w:r>
            <w:r>
              <w:rPr>
                <w:noProof/>
                <w:webHidden/>
              </w:rPr>
            </w:r>
            <w:r>
              <w:rPr>
                <w:noProof/>
                <w:webHidden/>
              </w:rPr>
              <w:fldChar w:fldCharType="separate"/>
            </w:r>
            <w:r w:rsidR="00102828">
              <w:rPr>
                <w:noProof/>
                <w:webHidden/>
              </w:rPr>
              <w:t>181</w:t>
            </w:r>
            <w:r>
              <w:rPr>
                <w:noProof/>
                <w:webHidden/>
              </w:rPr>
              <w:fldChar w:fldCharType="end"/>
            </w:r>
          </w:hyperlink>
        </w:p>
        <w:p w14:paraId="1422C602" w14:textId="408743A3" w:rsidR="006E45CD" w:rsidRDefault="006E45CD">
          <w:pPr>
            <w:pStyle w:val="TOC1"/>
            <w:tabs>
              <w:tab w:val="left" w:pos="660"/>
            </w:tabs>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70" w:history="1">
            <w:r w:rsidRPr="00515750">
              <w:rPr>
                <w:rStyle w:val="Hyperlink"/>
                <w:noProof/>
              </w:rPr>
              <w:t>5</w:t>
            </w:r>
            <w:r>
              <w:rPr>
                <w:rFonts w:asciiTheme="minorHAnsi" w:eastAsiaTheme="minorEastAsia" w:hAnsiTheme="minorHAnsi" w:cstheme="minorBidi"/>
                <w:b w:val="0"/>
                <w:caps w:val="0"/>
                <w:noProof/>
                <w:color w:val="auto"/>
                <w:kern w:val="2"/>
                <w:sz w:val="24"/>
                <w:szCs w:val="24"/>
                <w:lang w:eastAsia="en-AU"/>
                <w14:ligatures w14:val="standardContextual"/>
              </w:rPr>
              <w:tab/>
            </w:r>
            <w:r w:rsidRPr="00515750">
              <w:rPr>
                <w:rStyle w:val="Hyperlink"/>
                <w:noProof/>
              </w:rPr>
              <w:t>References</w:t>
            </w:r>
            <w:r>
              <w:rPr>
                <w:noProof/>
                <w:webHidden/>
              </w:rPr>
              <w:tab/>
            </w:r>
            <w:r>
              <w:rPr>
                <w:noProof/>
                <w:webHidden/>
              </w:rPr>
              <w:fldChar w:fldCharType="begin"/>
            </w:r>
            <w:r>
              <w:rPr>
                <w:noProof/>
                <w:webHidden/>
              </w:rPr>
              <w:instrText xml:space="preserve"> PAGEREF _Toc200467870 \h </w:instrText>
            </w:r>
            <w:r>
              <w:rPr>
                <w:noProof/>
                <w:webHidden/>
              </w:rPr>
            </w:r>
            <w:r>
              <w:rPr>
                <w:noProof/>
                <w:webHidden/>
              </w:rPr>
              <w:fldChar w:fldCharType="separate"/>
            </w:r>
            <w:r w:rsidR="00102828">
              <w:rPr>
                <w:noProof/>
                <w:webHidden/>
              </w:rPr>
              <w:t>187</w:t>
            </w:r>
            <w:r>
              <w:rPr>
                <w:noProof/>
                <w:webHidden/>
              </w:rPr>
              <w:fldChar w:fldCharType="end"/>
            </w:r>
          </w:hyperlink>
        </w:p>
        <w:p w14:paraId="1512F71F" w14:textId="059A3C12" w:rsidR="006E45CD" w:rsidRDefault="006E45CD">
          <w:pPr>
            <w:pStyle w:val="TOC1"/>
            <w:tabs>
              <w:tab w:val="left" w:pos="660"/>
            </w:tabs>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71" w:history="1">
            <w:r w:rsidRPr="00515750">
              <w:rPr>
                <w:rStyle w:val="Hyperlink"/>
                <w:noProof/>
              </w:rPr>
              <w:t>6</w:t>
            </w:r>
            <w:r>
              <w:rPr>
                <w:rFonts w:asciiTheme="minorHAnsi" w:eastAsiaTheme="minorEastAsia" w:hAnsiTheme="minorHAnsi" w:cstheme="minorBidi"/>
                <w:b w:val="0"/>
                <w:caps w:val="0"/>
                <w:noProof/>
                <w:color w:val="auto"/>
                <w:kern w:val="2"/>
                <w:sz w:val="24"/>
                <w:szCs w:val="24"/>
                <w:lang w:eastAsia="en-AU"/>
                <w14:ligatures w14:val="standardContextual"/>
              </w:rPr>
              <w:tab/>
            </w:r>
            <w:r w:rsidRPr="00515750">
              <w:rPr>
                <w:rStyle w:val="Hyperlink"/>
                <w:noProof/>
              </w:rPr>
              <w:t>Appendices</w:t>
            </w:r>
            <w:r>
              <w:rPr>
                <w:noProof/>
                <w:webHidden/>
              </w:rPr>
              <w:tab/>
            </w:r>
            <w:r>
              <w:rPr>
                <w:noProof/>
                <w:webHidden/>
              </w:rPr>
              <w:fldChar w:fldCharType="begin"/>
            </w:r>
            <w:r>
              <w:rPr>
                <w:noProof/>
                <w:webHidden/>
              </w:rPr>
              <w:instrText xml:space="preserve"> PAGEREF _Toc200467871 \h </w:instrText>
            </w:r>
            <w:r>
              <w:rPr>
                <w:noProof/>
                <w:webHidden/>
              </w:rPr>
            </w:r>
            <w:r>
              <w:rPr>
                <w:noProof/>
                <w:webHidden/>
              </w:rPr>
              <w:fldChar w:fldCharType="separate"/>
            </w:r>
            <w:r w:rsidR="00102828">
              <w:rPr>
                <w:noProof/>
                <w:webHidden/>
              </w:rPr>
              <w:t>203</w:t>
            </w:r>
            <w:r>
              <w:rPr>
                <w:noProof/>
                <w:webHidden/>
              </w:rPr>
              <w:fldChar w:fldCharType="end"/>
            </w:r>
          </w:hyperlink>
        </w:p>
        <w:p w14:paraId="139F232D" w14:textId="40096251" w:rsidR="006E45CD" w:rsidRDefault="006E45CD">
          <w:pPr>
            <w:pStyle w:val="TOC1"/>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72" w:history="1">
            <w:r w:rsidRPr="00515750">
              <w:rPr>
                <w:rStyle w:val="Hyperlink"/>
                <w:noProof/>
              </w:rPr>
              <w:t>Appendix A: Expected outcomes of Commonwealth environmental water in the LOWER MURRAY RIVER, Lower Lakes and Coorong</w:t>
            </w:r>
            <w:r>
              <w:rPr>
                <w:noProof/>
                <w:webHidden/>
              </w:rPr>
              <w:tab/>
            </w:r>
            <w:r>
              <w:rPr>
                <w:noProof/>
                <w:webHidden/>
              </w:rPr>
              <w:fldChar w:fldCharType="begin"/>
            </w:r>
            <w:r>
              <w:rPr>
                <w:noProof/>
                <w:webHidden/>
              </w:rPr>
              <w:instrText xml:space="preserve"> PAGEREF _Toc200467872 \h </w:instrText>
            </w:r>
            <w:r>
              <w:rPr>
                <w:noProof/>
                <w:webHidden/>
              </w:rPr>
            </w:r>
            <w:r>
              <w:rPr>
                <w:noProof/>
                <w:webHidden/>
              </w:rPr>
              <w:fldChar w:fldCharType="separate"/>
            </w:r>
            <w:r w:rsidR="00102828">
              <w:rPr>
                <w:noProof/>
                <w:webHidden/>
              </w:rPr>
              <w:t>203</w:t>
            </w:r>
            <w:r>
              <w:rPr>
                <w:noProof/>
                <w:webHidden/>
              </w:rPr>
              <w:fldChar w:fldCharType="end"/>
            </w:r>
          </w:hyperlink>
        </w:p>
        <w:p w14:paraId="5B1530B1" w14:textId="7B2060FE" w:rsidR="006E45CD" w:rsidRDefault="006E45CD">
          <w:pPr>
            <w:pStyle w:val="TOC1"/>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73" w:history="1">
            <w:r w:rsidRPr="00515750">
              <w:rPr>
                <w:rStyle w:val="Hyperlink"/>
                <w:noProof/>
              </w:rPr>
              <w:t>Appendix B: Overview of other management activities from 2019–2024</w:t>
            </w:r>
            <w:r>
              <w:rPr>
                <w:noProof/>
                <w:webHidden/>
              </w:rPr>
              <w:tab/>
            </w:r>
            <w:r>
              <w:rPr>
                <w:noProof/>
                <w:webHidden/>
              </w:rPr>
              <w:fldChar w:fldCharType="begin"/>
            </w:r>
            <w:r>
              <w:rPr>
                <w:noProof/>
                <w:webHidden/>
              </w:rPr>
              <w:instrText xml:space="preserve"> PAGEREF _Toc200467873 \h </w:instrText>
            </w:r>
            <w:r>
              <w:rPr>
                <w:noProof/>
                <w:webHidden/>
              </w:rPr>
            </w:r>
            <w:r>
              <w:rPr>
                <w:noProof/>
                <w:webHidden/>
              </w:rPr>
              <w:fldChar w:fldCharType="separate"/>
            </w:r>
            <w:r w:rsidR="00102828">
              <w:rPr>
                <w:noProof/>
                <w:webHidden/>
              </w:rPr>
              <w:t>207</w:t>
            </w:r>
            <w:r>
              <w:rPr>
                <w:noProof/>
                <w:webHidden/>
              </w:rPr>
              <w:fldChar w:fldCharType="end"/>
            </w:r>
          </w:hyperlink>
        </w:p>
        <w:p w14:paraId="56F9CABE" w14:textId="44518A53" w:rsidR="006E45CD" w:rsidRDefault="006E45CD">
          <w:pPr>
            <w:pStyle w:val="TOC1"/>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74" w:history="1">
            <w:r w:rsidRPr="00515750">
              <w:rPr>
                <w:rStyle w:val="Hyperlink"/>
                <w:noProof/>
              </w:rPr>
              <w:t>Appendix C: Supplementary information for indicators</w:t>
            </w:r>
            <w:r>
              <w:rPr>
                <w:noProof/>
                <w:webHidden/>
              </w:rPr>
              <w:tab/>
            </w:r>
            <w:r>
              <w:rPr>
                <w:noProof/>
                <w:webHidden/>
              </w:rPr>
              <w:fldChar w:fldCharType="begin"/>
            </w:r>
            <w:r>
              <w:rPr>
                <w:noProof/>
                <w:webHidden/>
              </w:rPr>
              <w:instrText xml:space="preserve"> PAGEREF _Toc200467874 \h </w:instrText>
            </w:r>
            <w:r>
              <w:rPr>
                <w:noProof/>
                <w:webHidden/>
              </w:rPr>
            </w:r>
            <w:r>
              <w:rPr>
                <w:noProof/>
                <w:webHidden/>
              </w:rPr>
              <w:fldChar w:fldCharType="separate"/>
            </w:r>
            <w:r w:rsidR="00102828">
              <w:rPr>
                <w:noProof/>
                <w:webHidden/>
              </w:rPr>
              <w:t>238</w:t>
            </w:r>
            <w:r>
              <w:rPr>
                <w:noProof/>
                <w:webHidden/>
              </w:rPr>
              <w:fldChar w:fldCharType="end"/>
            </w:r>
          </w:hyperlink>
        </w:p>
        <w:p w14:paraId="47E3D010" w14:textId="03560779" w:rsidR="006E45CD" w:rsidRDefault="006E45CD">
          <w:pPr>
            <w:pStyle w:val="TOC1"/>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75" w:history="1">
            <w:r w:rsidRPr="00515750">
              <w:rPr>
                <w:rStyle w:val="Hyperlink"/>
                <w:noProof/>
              </w:rPr>
              <w:t>Appendix D: DEW evaluation questions</w:t>
            </w:r>
            <w:r>
              <w:rPr>
                <w:noProof/>
                <w:webHidden/>
              </w:rPr>
              <w:tab/>
            </w:r>
            <w:r>
              <w:rPr>
                <w:noProof/>
                <w:webHidden/>
              </w:rPr>
              <w:fldChar w:fldCharType="begin"/>
            </w:r>
            <w:r>
              <w:rPr>
                <w:noProof/>
                <w:webHidden/>
              </w:rPr>
              <w:instrText xml:space="preserve"> PAGEREF _Toc200467875 \h </w:instrText>
            </w:r>
            <w:r>
              <w:rPr>
                <w:noProof/>
                <w:webHidden/>
              </w:rPr>
            </w:r>
            <w:r>
              <w:rPr>
                <w:noProof/>
                <w:webHidden/>
              </w:rPr>
              <w:fldChar w:fldCharType="separate"/>
            </w:r>
            <w:r w:rsidR="00102828">
              <w:rPr>
                <w:noProof/>
                <w:webHidden/>
              </w:rPr>
              <w:t>276</w:t>
            </w:r>
            <w:r>
              <w:rPr>
                <w:noProof/>
                <w:webHidden/>
              </w:rPr>
              <w:fldChar w:fldCharType="end"/>
            </w:r>
          </w:hyperlink>
        </w:p>
        <w:p w14:paraId="09B1C504" w14:textId="62A57F81" w:rsidR="006E45CD" w:rsidRDefault="006E45CD">
          <w:pPr>
            <w:pStyle w:val="TOC1"/>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76" w:history="1">
            <w:r w:rsidRPr="00515750">
              <w:rPr>
                <w:rStyle w:val="Hyperlink"/>
                <w:noProof/>
              </w:rPr>
              <w:t>Acronyms</w:t>
            </w:r>
            <w:r>
              <w:rPr>
                <w:noProof/>
                <w:webHidden/>
              </w:rPr>
              <w:tab/>
            </w:r>
            <w:r>
              <w:rPr>
                <w:noProof/>
                <w:webHidden/>
              </w:rPr>
              <w:fldChar w:fldCharType="begin"/>
            </w:r>
            <w:r>
              <w:rPr>
                <w:noProof/>
                <w:webHidden/>
              </w:rPr>
              <w:instrText xml:space="preserve"> PAGEREF _Toc200467876 \h </w:instrText>
            </w:r>
            <w:r>
              <w:rPr>
                <w:noProof/>
                <w:webHidden/>
              </w:rPr>
            </w:r>
            <w:r>
              <w:rPr>
                <w:noProof/>
                <w:webHidden/>
              </w:rPr>
              <w:fldChar w:fldCharType="separate"/>
            </w:r>
            <w:r w:rsidR="00102828">
              <w:rPr>
                <w:noProof/>
                <w:webHidden/>
              </w:rPr>
              <w:t>283</w:t>
            </w:r>
            <w:r>
              <w:rPr>
                <w:noProof/>
                <w:webHidden/>
              </w:rPr>
              <w:fldChar w:fldCharType="end"/>
            </w:r>
          </w:hyperlink>
        </w:p>
        <w:p w14:paraId="03DFDDB5" w14:textId="2387F3B9" w:rsidR="006E45CD" w:rsidRDefault="006E45CD">
          <w:pPr>
            <w:pStyle w:val="TOC1"/>
            <w:rPr>
              <w:rFonts w:asciiTheme="minorHAnsi" w:eastAsiaTheme="minorEastAsia" w:hAnsiTheme="minorHAnsi" w:cstheme="minorBidi"/>
              <w:b w:val="0"/>
              <w:caps w:val="0"/>
              <w:noProof/>
              <w:color w:val="auto"/>
              <w:kern w:val="2"/>
              <w:sz w:val="24"/>
              <w:szCs w:val="24"/>
              <w:lang w:eastAsia="en-AU"/>
              <w14:ligatures w14:val="standardContextual"/>
            </w:rPr>
          </w:pPr>
          <w:hyperlink w:anchor="_Toc200467877" w:history="1">
            <w:r w:rsidRPr="00515750">
              <w:rPr>
                <w:rStyle w:val="Hyperlink"/>
                <w:noProof/>
              </w:rPr>
              <w:t>Glossary</w:t>
            </w:r>
            <w:r>
              <w:rPr>
                <w:noProof/>
                <w:webHidden/>
              </w:rPr>
              <w:tab/>
            </w:r>
            <w:r>
              <w:rPr>
                <w:noProof/>
                <w:webHidden/>
              </w:rPr>
              <w:fldChar w:fldCharType="begin"/>
            </w:r>
            <w:r>
              <w:rPr>
                <w:noProof/>
                <w:webHidden/>
              </w:rPr>
              <w:instrText xml:space="preserve"> PAGEREF _Toc200467877 \h </w:instrText>
            </w:r>
            <w:r>
              <w:rPr>
                <w:noProof/>
                <w:webHidden/>
              </w:rPr>
            </w:r>
            <w:r>
              <w:rPr>
                <w:noProof/>
                <w:webHidden/>
              </w:rPr>
              <w:fldChar w:fldCharType="separate"/>
            </w:r>
            <w:r w:rsidR="00102828">
              <w:rPr>
                <w:noProof/>
                <w:webHidden/>
              </w:rPr>
              <w:t>284</w:t>
            </w:r>
            <w:r>
              <w:rPr>
                <w:noProof/>
                <w:webHidden/>
              </w:rPr>
              <w:fldChar w:fldCharType="end"/>
            </w:r>
          </w:hyperlink>
        </w:p>
        <w:p w14:paraId="63ECBC03" w14:textId="3E492585" w:rsidR="005B0AA3" w:rsidRDefault="005B0AA3" w:rsidP="005B0AA3">
          <w:r>
            <w:rPr>
              <w:b/>
              <w:caps/>
              <w:highlight w:val="yellow"/>
            </w:rPr>
            <w:fldChar w:fldCharType="end"/>
          </w:r>
        </w:p>
      </w:sdtContent>
    </w:sdt>
    <w:p w14:paraId="6974230F" w14:textId="77777777" w:rsidR="005B0AA3" w:rsidRPr="00A67C76" w:rsidRDefault="005B0AA3" w:rsidP="005B0AA3">
      <w:pPr>
        <w:pStyle w:val="H1anotincinTOC"/>
        <w:outlineLvl w:val="0"/>
        <w:rPr>
          <w:color w:val="44546A" w:themeColor="text2"/>
        </w:rPr>
      </w:pPr>
      <w:bookmarkStart w:id="3" w:name="_Toc441838720"/>
      <w:bookmarkStart w:id="4" w:name="_Toc200467847"/>
      <w:r w:rsidRPr="00A67C76">
        <w:rPr>
          <w:color w:val="44546A" w:themeColor="text2"/>
        </w:rPr>
        <w:lastRenderedPageBreak/>
        <w:t>List of figures</w:t>
      </w:r>
      <w:bookmarkEnd w:id="3"/>
      <w:bookmarkEnd w:id="4"/>
    </w:p>
    <w:p w14:paraId="349A9469" w14:textId="10DFFA94" w:rsidR="00A32E2D" w:rsidRDefault="003F2408">
      <w:pPr>
        <w:pStyle w:val="TableofFigures"/>
        <w:rPr>
          <w:rFonts w:asciiTheme="minorHAnsi" w:eastAsiaTheme="minorEastAsia" w:hAnsiTheme="minorHAnsi" w:cstheme="minorBidi"/>
          <w:noProof/>
          <w:color w:val="auto"/>
          <w:kern w:val="2"/>
          <w:sz w:val="24"/>
          <w:szCs w:val="24"/>
          <w14:ligatures w14:val="standardContextual"/>
        </w:rPr>
      </w:pPr>
      <w:r>
        <w:rPr>
          <w:rStyle w:val="Hyperlink"/>
          <w:rFonts w:eastAsiaTheme="majorEastAsia"/>
          <w:noProof/>
          <w:color w:val="auto"/>
          <w:u w:val="none"/>
        </w:rPr>
        <w:fldChar w:fldCharType="begin"/>
      </w:r>
      <w:r>
        <w:rPr>
          <w:rStyle w:val="Hyperlink"/>
          <w:rFonts w:eastAsiaTheme="majorEastAsia"/>
          <w:noProof/>
          <w:color w:val="auto"/>
          <w:u w:val="none"/>
        </w:rPr>
        <w:instrText xml:space="preserve"> TOC \h \z \c "Figure" </w:instrText>
      </w:r>
      <w:r>
        <w:rPr>
          <w:rStyle w:val="Hyperlink"/>
          <w:rFonts w:eastAsiaTheme="majorEastAsia"/>
          <w:noProof/>
          <w:color w:val="auto"/>
          <w:u w:val="none"/>
        </w:rPr>
        <w:fldChar w:fldCharType="separate"/>
      </w:r>
      <w:hyperlink w:anchor="_Toc200464452" w:history="1">
        <w:r w:rsidR="00A32E2D" w:rsidRPr="00DE2B09">
          <w:rPr>
            <w:rStyle w:val="Hyperlink"/>
            <w:rFonts w:eastAsiaTheme="majorEastAsia"/>
            <w:noProof/>
          </w:rPr>
          <w:t>Figure 1. Map of the Lower Murray Selected Area showing the Lower Murray River floodplain (blue), gorge (green) and swamplands (orange) geomorphic zones, and the Lower Lakes and Coorong (yellow).</w:t>
        </w:r>
        <w:r w:rsidR="00A32E2D">
          <w:rPr>
            <w:noProof/>
            <w:webHidden/>
          </w:rPr>
          <w:tab/>
        </w:r>
        <w:r w:rsidR="00A32E2D">
          <w:rPr>
            <w:noProof/>
            <w:webHidden/>
          </w:rPr>
          <w:fldChar w:fldCharType="begin"/>
        </w:r>
        <w:r w:rsidR="00A32E2D">
          <w:rPr>
            <w:noProof/>
            <w:webHidden/>
          </w:rPr>
          <w:instrText xml:space="preserve"> PAGEREF _Toc200464452 \h </w:instrText>
        </w:r>
        <w:r w:rsidR="00A32E2D">
          <w:rPr>
            <w:noProof/>
            <w:webHidden/>
          </w:rPr>
        </w:r>
        <w:r w:rsidR="00A32E2D">
          <w:rPr>
            <w:noProof/>
            <w:webHidden/>
          </w:rPr>
          <w:fldChar w:fldCharType="separate"/>
        </w:r>
        <w:r w:rsidR="00102828">
          <w:rPr>
            <w:noProof/>
            <w:webHidden/>
          </w:rPr>
          <w:t>3</w:t>
        </w:r>
        <w:r w:rsidR="00A32E2D">
          <w:rPr>
            <w:noProof/>
            <w:webHidden/>
          </w:rPr>
          <w:fldChar w:fldCharType="end"/>
        </w:r>
      </w:hyperlink>
    </w:p>
    <w:p w14:paraId="293C59C3" w14:textId="46DCD474"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53" w:history="1">
        <w:r w:rsidRPr="00DE2B09">
          <w:rPr>
            <w:rStyle w:val="Hyperlink"/>
            <w:rFonts w:eastAsiaTheme="majorEastAsia"/>
            <w:noProof/>
          </w:rPr>
          <w:t>Figure 2. The various flow types of the Lower Murray River (LMR) as described in the Murray–Darling Basin Plan (MDBA 2011) and how flow volumes translate to lotic habitat in the contemporary LMR (Lock 1 to Lock 6 reach).</w:t>
        </w:r>
        <w:r>
          <w:rPr>
            <w:noProof/>
            <w:webHidden/>
          </w:rPr>
          <w:tab/>
        </w:r>
        <w:r>
          <w:rPr>
            <w:noProof/>
            <w:webHidden/>
          </w:rPr>
          <w:fldChar w:fldCharType="begin"/>
        </w:r>
        <w:r>
          <w:rPr>
            <w:noProof/>
            <w:webHidden/>
          </w:rPr>
          <w:instrText xml:space="preserve"> PAGEREF _Toc200464453 \h </w:instrText>
        </w:r>
        <w:r>
          <w:rPr>
            <w:noProof/>
            <w:webHidden/>
          </w:rPr>
        </w:r>
        <w:r>
          <w:rPr>
            <w:noProof/>
            <w:webHidden/>
          </w:rPr>
          <w:fldChar w:fldCharType="separate"/>
        </w:r>
        <w:r w:rsidR="00102828">
          <w:rPr>
            <w:noProof/>
            <w:webHidden/>
          </w:rPr>
          <w:t>4</w:t>
        </w:r>
        <w:r>
          <w:rPr>
            <w:noProof/>
            <w:webHidden/>
          </w:rPr>
          <w:fldChar w:fldCharType="end"/>
        </w:r>
      </w:hyperlink>
    </w:p>
    <w:p w14:paraId="0B4C4A9C" w14:textId="485AE2ED"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54" w:history="1">
        <w:r w:rsidRPr="00DE2B09">
          <w:rPr>
            <w:rStyle w:val="Hyperlink"/>
            <w:rFonts w:eastAsiaTheme="majorEastAsia"/>
            <w:noProof/>
          </w:rPr>
          <w:t xml:space="preserve">Figure 3. </w:t>
        </w:r>
        <w:r w:rsidRPr="00DE2B09">
          <w:rPr>
            <w:rStyle w:val="Hyperlink"/>
            <w:rFonts w:eastAsiaTheme="majorEastAsia"/>
            <w:noProof/>
            <w:kern w:val="24"/>
            <w:lang w:val="en-US"/>
          </w:rPr>
          <w:t>Cause and effect diagram of flow for the main channel of the Lower Murray with respect to the proposed indicators. Magnitude, timing and duration are factors of flow (in black).</w:t>
        </w:r>
        <w:r>
          <w:rPr>
            <w:noProof/>
            <w:webHidden/>
          </w:rPr>
          <w:tab/>
        </w:r>
        <w:r>
          <w:rPr>
            <w:noProof/>
            <w:webHidden/>
          </w:rPr>
          <w:fldChar w:fldCharType="begin"/>
        </w:r>
        <w:r>
          <w:rPr>
            <w:noProof/>
            <w:webHidden/>
          </w:rPr>
          <w:instrText xml:space="preserve"> PAGEREF _Toc200464454 \h </w:instrText>
        </w:r>
        <w:r>
          <w:rPr>
            <w:noProof/>
            <w:webHidden/>
          </w:rPr>
        </w:r>
        <w:r>
          <w:rPr>
            <w:noProof/>
            <w:webHidden/>
          </w:rPr>
          <w:fldChar w:fldCharType="separate"/>
        </w:r>
        <w:r w:rsidR="00102828">
          <w:rPr>
            <w:noProof/>
            <w:webHidden/>
          </w:rPr>
          <w:t>5</w:t>
        </w:r>
        <w:r>
          <w:rPr>
            <w:noProof/>
            <w:webHidden/>
          </w:rPr>
          <w:fldChar w:fldCharType="end"/>
        </w:r>
      </w:hyperlink>
    </w:p>
    <w:p w14:paraId="08D70211" w14:textId="30BD38BD"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55" w:history="1">
        <w:r w:rsidRPr="00DE2B09">
          <w:rPr>
            <w:rStyle w:val="Hyperlink"/>
            <w:rFonts w:eastAsiaTheme="majorEastAsia"/>
            <w:noProof/>
          </w:rPr>
          <w:t>Figure 4. Daily flow (ML/d) in the Lower Murray River (LMR) at the South Australian border (blue solid line) from July 1996 to July 2024, compared to modelled flow under natural conditions (grey dashed line).</w:t>
        </w:r>
        <w:r>
          <w:rPr>
            <w:noProof/>
            <w:webHidden/>
          </w:rPr>
          <w:tab/>
        </w:r>
        <w:r>
          <w:rPr>
            <w:noProof/>
            <w:webHidden/>
          </w:rPr>
          <w:fldChar w:fldCharType="begin"/>
        </w:r>
        <w:r>
          <w:rPr>
            <w:noProof/>
            <w:webHidden/>
          </w:rPr>
          <w:instrText xml:space="preserve"> PAGEREF _Toc200464455 \h </w:instrText>
        </w:r>
        <w:r>
          <w:rPr>
            <w:noProof/>
            <w:webHidden/>
          </w:rPr>
        </w:r>
        <w:r>
          <w:rPr>
            <w:noProof/>
            <w:webHidden/>
          </w:rPr>
          <w:fldChar w:fldCharType="separate"/>
        </w:r>
        <w:r w:rsidR="00102828">
          <w:rPr>
            <w:noProof/>
            <w:webHidden/>
          </w:rPr>
          <w:t>6</w:t>
        </w:r>
        <w:r>
          <w:rPr>
            <w:noProof/>
            <w:webHidden/>
          </w:rPr>
          <w:fldChar w:fldCharType="end"/>
        </w:r>
      </w:hyperlink>
    </w:p>
    <w:p w14:paraId="3B76ECEA" w14:textId="531604BA"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56" w:history="1">
        <w:r w:rsidRPr="00DE2B09">
          <w:rPr>
            <w:rStyle w:val="Hyperlink"/>
            <w:rFonts w:eastAsiaTheme="majorEastAsia"/>
            <w:noProof/>
          </w:rPr>
          <w:t>Figure 5. Flow to South Australia from 1 July 2019 to 30 June 2024 showing the contribution of environmental water (eWater).</w:t>
        </w:r>
        <w:r>
          <w:rPr>
            <w:noProof/>
            <w:webHidden/>
          </w:rPr>
          <w:tab/>
        </w:r>
        <w:r>
          <w:rPr>
            <w:noProof/>
            <w:webHidden/>
          </w:rPr>
          <w:fldChar w:fldCharType="begin"/>
        </w:r>
        <w:r>
          <w:rPr>
            <w:noProof/>
            <w:webHidden/>
          </w:rPr>
          <w:instrText xml:space="preserve"> PAGEREF _Toc200464456 \h </w:instrText>
        </w:r>
        <w:r>
          <w:rPr>
            <w:noProof/>
            <w:webHidden/>
          </w:rPr>
        </w:r>
        <w:r>
          <w:rPr>
            <w:noProof/>
            <w:webHidden/>
          </w:rPr>
          <w:fldChar w:fldCharType="separate"/>
        </w:r>
        <w:r w:rsidR="00102828">
          <w:rPr>
            <w:noProof/>
            <w:webHidden/>
          </w:rPr>
          <w:t>9</w:t>
        </w:r>
        <w:r>
          <w:rPr>
            <w:noProof/>
            <w:webHidden/>
          </w:rPr>
          <w:fldChar w:fldCharType="end"/>
        </w:r>
      </w:hyperlink>
    </w:p>
    <w:p w14:paraId="5C6BA353" w14:textId="7C19B825"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57" w:history="1">
        <w:r w:rsidRPr="00DE2B09">
          <w:rPr>
            <w:rStyle w:val="Hyperlink"/>
            <w:rFonts w:eastAsiaTheme="majorEastAsia"/>
            <w:noProof/>
          </w:rPr>
          <w:t>Figure 6. Flow to South Australia from 1 July 2019 to 30 June 2024 showing the source of all (environmental and consumptive) water (MDBA).</w:t>
        </w:r>
        <w:r>
          <w:rPr>
            <w:noProof/>
            <w:webHidden/>
          </w:rPr>
          <w:tab/>
        </w:r>
        <w:r>
          <w:rPr>
            <w:noProof/>
            <w:webHidden/>
          </w:rPr>
          <w:fldChar w:fldCharType="begin"/>
        </w:r>
        <w:r>
          <w:rPr>
            <w:noProof/>
            <w:webHidden/>
          </w:rPr>
          <w:instrText xml:space="preserve"> PAGEREF _Toc200464457 \h </w:instrText>
        </w:r>
        <w:r>
          <w:rPr>
            <w:noProof/>
            <w:webHidden/>
          </w:rPr>
        </w:r>
        <w:r>
          <w:rPr>
            <w:noProof/>
            <w:webHidden/>
          </w:rPr>
          <w:fldChar w:fldCharType="separate"/>
        </w:r>
        <w:r w:rsidR="00102828">
          <w:rPr>
            <w:noProof/>
            <w:webHidden/>
          </w:rPr>
          <w:t>12</w:t>
        </w:r>
        <w:r>
          <w:rPr>
            <w:noProof/>
            <w:webHidden/>
          </w:rPr>
          <w:fldChar w:fldCharType="end"/>
        </w:r>
      </w:hyperlink>
    </w:p>
    <w:p w14:paraId="28658A95" w14:textId="63012B8E"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58" w:history="1">
        <w:r w:rsidRPr="00DE2B09">
          <w:rPr>
            <w:rStyle w:val="Hyperlink"/>
            <w:rFonts w:eastAsiaTheme="majorEastAsia"/>
            <w:noProof/>
          </w:rPr>
          <w:t>Figure 7. a) Discharge (flow at the South Australian border), b) inundated area between Wellington and Lock 6, and length of river with faster flowing velocities (c) v&gt;0.2 m/s and d) v&gt;0.3 m/s) for the Lower Murray River (LMR) between Locks 1 and 6 (excluding anabranches).</w:t>
        </w:r>
        <w:r>
          <w:rPr>
            <w:noProof/>
            <w:webHidden/>
          </w:rPr>
          <w:tab/>
        </w:r>
        <w:r>
          <w:rPr>
            <w:noProof/>
            <w:webHidden/>
          </w:rPr>
          <w:fldChar w:fldCharType="begin"/>
        </w:r>
        <w:r>
          <w:rPr>
            <w:noProof/>
            <w:webHidden/>
          </w:rPr>
          <w:instrText xml:space="preserve"> PAGEREF _Toc200464458 \h </w:instrText>
        </w:r>
        <w:r>
          <w:rPr>
            <w:noProof/>
            <w:webHidden/>
          </w:rPr>
        </w:r>
        <w:r>
          <w:rPr>
            <w:noProof/>
            <w:webHidden/>
          </w:rPr>
          <w:fldChar w:fldCharType="separate"/>
        </w:r>
        <w:r w:rsidR="00102828">
          <w:rPr>
            <w:noProof/>
            <w:webHidden/>
          </w:rPr>
          <w:t>18</w:t>
        </w:r>
        <w:r>
          <w:rPr>
            <w:noProof/>
            <w:webHidden/>
          </w:rPr>
          <w:fldChar w:fldCharType="end"/>
        </w:r>
      </w:hyperlink>
    </w:p>
    <w:p w14:paraId="5A825164" w14:textId="35BC96A5"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59" w:history="1">
        <w:r w:rsidRPr="00DE2B09">
          <w:rPr>
            <w:rStyle w:val="Hyperlink"/>
            <w:rFonts w:eastAsiaTheme="majorEastAsia"/>
            <w:noProof/>
          </w:rPr>
          <w:t>Figure 8. Median modelled velocity in each weir pool (line), with the range in velocities within the weir pool (the shaded</w:t>
        </w:r>
        <w:r w:rsidRPr="00DE2B09">
          <w:rPr>
            <w:rStyle w:val="Hyperlink"/>
            <w:rFonts w:eastAsiaTheme="minorHAnsi" w:cs="CenturyGothic"/>
            <w:noProof/>
          </w:rPr>
          <w:t xml:space="preserve"> area</w:t>
        </w:r>
        <w:r w:rsidRPr="00DE2B09">
          <w:rPr>
            <w:rStyle w:val="Hyperlink"/>
            <w:rFonts w:ascii="CenturyGothic" w:eastAsiaTheme="minorHAnsi" w:hAnsi="CenturyGothic" w:cs="CenturyGothic"/>
            <w:noProof/>
          </w:rPr>
          <w:t>)</w:t>
        </w:r>
        <w:r w:rsidRPr="00DE2B09">
          <w:rPr>
            <w:rStyle w:val="Hyperlink"/>
            <w:rFonts w:eastAsiaTheme="majorEastAsia"/>
            <w:noProof/>
          </w:rPr>
          <w:t>, defined by the 10</w:t>
        </w:r>
        <w:r w:rsidRPr="00DE2B09">
          <w:rPr>
            <w:rStyle w:val="Hyperlink"/>
            <w:rFonts w:eastAsiaTheme="majorEastAsia"/>
            <w:noProof/>
            <w:vertAlign w:val="superscript"/>
          </w:rPr>
          <w:t>th</w:t>
        </w:r>
        <w:r w:rsidRPr="00DE2B09">
          <w:rPr>
            <w:rStyle w:val="Hyperlink"/>
            <w:rFonts w:eastAsiaTheme="majorEastAsia"/>
            <w:noProof/>
          </w:rPr>
          <w:t xml:space="preserve"> and 90</w:t>
        </w:r>
        <w:r w:rsidRPr="00DE2B09">
          <w:rPr>
            <w:rStyle w:val="Hyperlink"/>
            <w:rFonts w:eastAsiaTheme="majorEastAsia"/>
            <w:noProof/>
            <w:vertAlign w:val="superscript"/>
          </w:rPr>
          <w:t>th</w:t>
        </w:r>
        <w:r w:rsidRPr="00DE2B09">
          <w:rPr>
            <w:rStyle w:val="Hyperlink"/>
            <w:rFonts w:eastAsiaTheme="majorEastAsia"/>
            <w:noProof/>
          </w:rPr>
          <w:t xml:space="preserve"> percentiles, in the Lower Murray River.</w:t>
        </w:r>
        <w:r>
          <w:rPr>
            <w:noProof/>
            <w:webHidden/>
          </w:rPr>
          <w:tab/>
        </w:r>
        <w:r>
          <w:rPr>
            <w:noProof/>
            <w:webHidden/>
          </w:rPr>
          <w:fldChar w:fldCharType="begin"/>
        </w:r>
        <w:r>
          <w:rPr>
            <w:noProof/>
            <w:webHidden/>
          </w:rPr>
          <w:instrText xml:space="preserve"> PAGEREF _Toc200464459 \h </w:instrText>
        </w:r>
        <w:r>
          <w:rPr>
            <w:noProof/>
            <w:webHidden/>
          </w:rPr>
        </w:r>
        <w:r>
          <w:rPr>
            <w:noProof/>
            <w:webHidden/>
          </w:rPr>
          <w:fldChar w:fldCharType="separate"/>
        </w:r>
        <w:r w:rsidR="00102828">
          <w:rPr>
            <w:noProof/>
            <w:webHidden/>
          </w:rPr>
          <w:t>19</w:t>
        </w:r>
        <w:r>
          <w:rPr>
            <w:noProof/>
            <w:webHidden/>
          </w:rPr>
          <w:fldChar w:fldCharType="end"/>
        </w:r>
      </w:hyperlink>
    </w:p>
    <w:p w14:paraId="54794C4F" w14:textId="5E149E20"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60" w:history="1">
        <w:r w:rsidRPr="00DE2B09">
          <w:rPr>
            <w:rStyle w:val="Hyperlink"/>
            <w:rFonts w:eastAsiaTheme="majorEastAsia"/>
            <w:noProof/>
          </w:rPr>
          <w:t>Figure 9. Modelled upper weir pool water level (i.e. downstream of each lock, e.g. Lock 2 for Weir Pool 1) in the Lower Murray River.</w:t>
        </w:r>
        <w:r>
          <w:rPr>
            <w:noProof/>
            <w:webHidden/>
          </w:rPr>
          <w:tab/>
        </w:r>
        <w:r>
          <w:rPr>
            <w:noProof/>
            <w:webHidden/>
          </w:rPr>
          <w:fldChar w:fldCharType="begin"/>
        </w:r>
        <w:r>
          <w:rPr>
            <w:noProof/>
            <w:webHidden/>
          </w:rPr>
          <w:instrText xml:space="preserve"> PAGEREF _Toc200464460 \h </w:instrText>
        </w:r>
        <w:r>
          <w:rPr>
            <w:noProof/>
            <w:webHidden/>
          </w:rPr>
        </w:r>
        <w:r>
          <w:rPr>
            <w:noProof/>
            <w:webHidden/>
          </w:rPr>
          <w:fldChar w:fldCharType="separate"/>
        </w:r>
        <w:r w:rsidR="00102828">
          <w:rPr>
            <w:noProof/>
            <w:webHidden/>
          </w:rPr>
          <w:t>20</w:t>
        </w:r>
        <w:r>
          <w:rPr>
            <w:noProof/>
            <w:webHidden/>
          </w:rPr>
          <w:fldChar w:fldCharType="end"/>
        </w:r>
      </w:hyperlink>
    </w:p>
    <w:p w14:paraId="4C714A84" w14:textId="0917D7AE"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61" w:history="1">
        <w:r w:rsidRPr="00DE2B09">
          <w:rPr>
            <w:rStyle w:val="Hyperlink"/>
            <w:rFonts w:eastAsiaTheme="majorEastAsia"/>
            <w:noProof/>
          </w:rPr>
          <w:t>Figure 10. Lower weir pool water level (i.e. above the locks/weirs, e.g. above the Lock and Weir 1 for Weir Pool 1, and at Wellington for below Lock 1) of each weir pool in the Lower Murray River.</w:t>
        </w:r>
        <w:r>
          <w:rPr>
            <w:noProof/>
            <w:webHidden/>
          </w:rPr>
          <w:tab/>
        </w:r>
        <w:r>
          <w:rPr>
            <w:noProof/>
            <w:webHidden/>
          </w:rPr>
          <w:fldChar w:fldCharType="begin"/>
        </w:r>
        <w:r>
          <w:rPr>
            <w:noProof/>
            <w:webHidden/>
          </w:rPr>
          <w:instrText xml:space="preserve"> PAGEREF _Toc200464461 \h </w:instrText>
        </w:r>
        <w:r>
          <w:rPr>
            <w:noProof/>
            <w:webHidden/>
          </w:rPr>
        </w:r>
        <w:r>
          <w:rPr>
            <w:noProof/>
            <w:webHidden/>
          </w:rPr>
          <w:fldChar w:fldCharType="separate"/>
        </w:r>
        <w:r w:rsidR="00102828">
          <w:rPr>
            <w:noProof/>
            <w:webHidden/>
          </w:rPr>
          <w:t>21</w:t>
        </w:r>
        <w:r>
          <w:rPr>
            <w:noProof/>
            <w:webHidden/>
          </w:rPr>
          <w:fldChar w:fldCharType="end"/>
        </w:r>
      </w:hyperlink>
    </w:p>
    <w:p w14:paraId="31447F4C" w14:textId="6110E33A"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62" w:history="1">
        <w:r w:rsidRPr="00DE2B09">
          <w:rPr>
            <w:rStyle w:val="Hyperlink"/>
            <w:rFonts w:eastAsiaTheme="majorEastAsia"/>
            <w:noProof/>
          </w:rPr>
          <w:t>Figure 11. Percentage of river between Lock 6 and Wellington with lotic habitat (v&gt;0.3 m/s) for a given flow</w:t>
        </w:r>
        <w:r w:rsidR="00257C05">
          <w:rPr>
            <w:rStyle w:val="Hyperlink"/>
            <w:rFonts w:eastAsiaTheme="majorEastAsia"/>
            <w:noProof/>
          </w:rPr>
          <w:t xml:space="preserve"> discharge</w:t>
        </w:r>
        <w:r w:rsidRPr="00DE2B09">
          <w:rPr>
            <w:rStyle w:val="Hyperlink"/>
            <w:rFonts w:eastAsiaTheme="majorEastAsia"/>
            <w:noProof/>
          </w:rPr>
          <w:t xml:space="preserve"> to </w:t>
        </w:r>
        <w:r w:rsidR="00257C05">
          <w:rPr>
            <w:rStyle w:val="Hyperlink"/>
            <w:rFonts w:eastAsiaTheme="majorEastAsia"/>
            <w:noProof/>
          </w:rPr>
          <w:t>South Australia (</w:t>
        </w:r>
        <w:r w:rsidRPr="00DE2B09">
          <w:rPr>
            <w:rStyle w:val="Hyperlink"/>
            <w:rFonts w:eastAsiaTheme="majorEastAsia"/>
            <w:noProof/>
          </w:rPr>
          <w:t>SA</w:t>
        </w:r>
        <w:r w:rsidR="00257C05">
          <w:rPr>
            <w:rStyle w:val="Hyperlink"/>
            <w:rFonts w:eastAsiaTheme="majorEastAsia"/>
            <w:noProof/>
          </w:rPr>
          <w:t>)</w:t>
        </w:r>
        <w:r w:rsidRPr="00DE2B09">
          <w:rPr>
            <w:rStyle w:val="Hyperlink"/>
            <w:rFonts w:eastAsiaTheme="majorEastAsia"/>
            <w:noProof/>
          </w:rPr>
          <w:t>.</w:t>
        </w:r>
        <w:r>
          <w:rPr>
            <w:noProof/>
            <w:webHidden/>
          </w:rPr>
          <w:tab/>
        </w:r>
        <w:r>
          <w:rPr>
            <w:noProof/>
            <w:webHidden/>
          </w:rPr>
          <w:fldChar w:fldCharType="begin"/>
        </w:r>
        <w:r>
          <w:rPr>
            <w:noProof/>
            <w:webHidden/>
          </w:rPr>
          <w:instrText xml:space="preserve"> PAGEREF _Toc200464462 \h </w:instrText>
        </w:r>
        <w:r>
          <w:rPr>
            <w:noProof/>
            <w:webHidden/>
          </w:rPr>
        </w:r>
        <w:r>
          <w:rPr>
            <w:noProof/>
            <w:webHidden/>
          </w:rPr>
          <w:fldChar w:fldCharType="separate"/>
        </w:r>
        <w:r w:rsidR="00102828">
          <w:rPr>
            <w:noProof/>
            <w:webHidden/>
          </w:rPr>
          <w:t>26</w:t>
        </w:r>
        <w:r>
          <w:rPr>
            <w:noProof/>
            <w:webHidden/>
          </w:rPr>
          <w:fldChar w:fldCharType="end"/>
        </w:r>
      </w:hyperlink>
    </w:p>
    <w:p w14:paraId="2BD45C2E" w14:textId="327175A0"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63" w:history="1">
        <w:r w:rsidRPr="00DE2B09">
          <w:rPr>
            <w:rStyle w:val="Hyperlink"/>
            <w:rFonts w:eastAsiaTheme="majorEastAsia"/>
            <w:noProof/>
          </w:rPr>
          <w:t>Figure 12. Flow at the South Australian border over the 10 years of LTIM and Flow-MER reporting.</w:t>
        </w:r>
        <w:r>
          <w:rPr>
            <w:noProof/>
            <w:webHidden/>
          </w:rPr>
          <w:tab/>
        </w:r>
        <w:r>
          <w:rPr>
            <w:noProof/>
            <w:webHidden/>
          </w:rPr>
          <w:fldChar w:fldCharType="begin"/>
        </w:r>
        <w:r>
          <w:rPr>
            <w:noProof/>
            <w:webHidden/>
          </w:rPr>
          <w:instrText xml:space="preserve"> PAGEREF _Toc200464463 \h </w:instrText>
        </w:r>
        <w:r>
          <w:rPr>
            <w:noProof/>
            <w:webHidden/>
          </w:rPr>
        </w:r>
        <w:r>
          <w:rPr>
            <w:noProof/>
            <w:webHidden/>
          </w:rPr>
          <w:fldChar w:fldCharType="separate"/>
        </w:r>
        <w:r w:rsidR="00102828">
          <w:rPr>
            <w:noProof/>
            <w:webHidden/>
          </w:rPr>
          <w:t>27</w:t>
        </w:r>
        <w:r>
          <w:rPr>
            <w:noProof/>
            <w:webHidden/>
          </w:rPr>
          <w:fldChar w:fldCharType="end"/>
        </w:r>
      </w:hyperlink>
    </w:p>
    <w:p w14:paraId="0CE114D3" w14:textId="148EC51E"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64" w:history="1">
        <w:r w:rsidRPr="00DE2B09">
          <w:rPr>
            <w:rStyle w:val="Hyperlink"/>
            <w:rFonts w:eastAsiaTheme="majorEastAsia"/>
            <w:noProof/>
          </w:rPr>
          <w:t>Figure 13. Baseflow requirement for the Basin-wide Environmental Watering Strategy expected environmental outcome at flow to SA, compared to the flow delivered (all water) and that expected without Commonwealth environmental water.</w:t>
        </w:r>
        <w:r>
          <w:rPr>
            <w:noProof/>
            <w:webHidden/>
          </w:rPr>
          <w:tab/>
        </w:r>
        <w:r>
          <w:rPr>
            <w:noProof/>
            <w:webHidden/>
          </w:rPr>
          <w:fldChar w:fldCharType="begin"/>
        </w:r>
        <w:r>
          <w:rPr>
            <w:noProof/>
            <w:webHidden/>
          </w:rPr>
          <w:instrText xml:space="preserve"> PAGEREF _Toc200464464 \h </w:instrText>
        </w:r>
        <w:r>
          <w:rPr>
            <w:noProof/>
            <w:webHidden/>
          </w:rPr>
        </w:r>
        <w:r>
          <w:rPr>
            <w:noProof/>
            <w:webHidden/>
          </w:rPr>
          <w:fldChar w:fldCharType="separate"/>
        </w:r>
        <w:r w:rsidR="00102828">
          <w:rPr>
            <w:noProof/>
            <w:webHidden/>
          </w:rPr>
          <w:t>29</w:t>
        </w:r>
        <w:r>
          <w:rPr>
            <w:noProof/>
            <w:webHidden/>
          </w:rPr>
          <w:fldChar w:fldCharType="end"/>
        </w:r>
      </w:hyperlink>
    </w:p>
    <w:p w14:paraId="0D61B3B4" w14:textId="77777777" w:rsidR="0020787B" w:rsidRDefault="0020787B">
      <w:pPr>
        <w:spacing w:before="0" w:after="160" w:line="259" w:lineRule="auto"/>
        <w:jc w:val="left"/>
        <w:rPr>
          <w:noProof/>
          <w:kern w:val="0"/>
          <w:lang w:eastAsia="en-AU"/>
        </w:rPr>
      </w:pPr>
      <w:r>
        <w:rPr>
          <w:noProof/>
        </w:rPr>
        <w:br w:type="page"/>
      </w:r>
    </w:p>
    <w:p w14:paraId="31E89A66" w14:textId="0604F7E5"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65" w:history="1">
        <w:r w:rsidRPr="00DE2B09">
          <w:rPr>
            <w:rStyle w:val="Hyperlink"/>
            <w:rFonts w:eastAsiaTheme="majorEastAsia"/>
            <w:noProof/>
          </w:rPr>
          <w:t>Figure 14. a) Discharge (flow at the South Australian border), b) inundated area between Wellington and Lock 6, and length of river with faster flowing velocities (c) v&gt;0.2 m/s and d) v&gt;0.3 m/s) for the Lower Murray River (LMR) between Locks 1 and 6 (excluding anabranches) over the 10 years of LTIM and Flow-MER evaluation.</w:t>
        </w:r>
        <w:r>
          <w:rPr>
            <w:noProof/>
            <w:webHidden/>
          </w:rPr>
          <w:tab/>
        </w:r>
        <w:r>
          <w:rPr>
            <w:noProof/>
            <w:webHidden/>
          </w:rPr>
          <w:fldChar w:fldCharType="begin"/>
        </w:r>
        <w:r>
          <w:rPr>
            <w:noProof/>
            <w:webHidden/>
          </w:rPr>
          <w:instrText xml:space="preserve"> PAGEREF _Toc200464465 \h </w:instrText>
        </w:r>
        <w:r>
          <w:rPr>
            <w:noProof/>
            <w:webHidden/>
          </w:rPr>
        </w:r>
        <w:r>
          <w:rPr>
            <w:noProof/>
            <w:webHidden/>
          </w:rPr>
          <w:fldChar w:fldCharType="separate"/>
        </w:r>
        <w:r w:rsidR="00102828">
          <w:rPr>
            <w:noProof/>
            <w:webHidden/>
          </w:rPr>
          <w:t>30</w:t>
        </w:r>
        <w:r>
          <w:rPr>
            <w:noProof/>
            <w:webHidden/>
          </w:rPr>
          <w:fldChar w:fldCharType="end"/>
        </w:r>
      </w:hyperlink>
    </w:p>
    <w:p w14:paraId="43781A4A" w14:textId="211FAB4C"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66" w:history="1">
        <w:r w:rsidRPr="00DE2B09">
          <w:rPr>
            <w:rStyle w:val="Hyperlink"/>
            <w:rFonts w:eastAsiaTheme="majorEastAsia"/>
            <w:noProof/>
          </w:rPr>
          <w:t>Figure 15. Water discharge at sites below Lock 6, Lock 4 and Lock 1 for each monitoring period from 2014 to 2024.</w:t>
        </w:r>
        <w:r>
          <w:rPr>
            <w:noProof/>
            <w:webHidden/>
          </w:rPr>
          <w:tab/>
        </w:r>
        <w:r>
          <w:rPr>
            <w:noProof/>
            <w:webHidden/>
          </w:rPr>
          <w:fldChar w:fldCharType="begin"/>
        </w:r>
        <w:r>
          <w:rPr>
            <w:noProof/>
            <w:webHidden/>
          </w:rPr>
          <w:instrText xml:space="preserve"> PAGEREF _Toc200464466 \h </w:instrText>
        </w:r>
        <w:r>
          <w:rPr>
            <w:noProof/>
            <w:webHidden/>
          </w:rPr>
        </w:r>
        <w:r>
          <w:rPr>
            <w:noProof/>
            <w:webHidden/>
          </w:rPr>
          <w:fldChar w:fldCharType="separate"/>
        </w:r>
        <w:r w:rsidR="00102828">
          <w:rPr>
            <w:noProof/>
            <w:webHidden/>
          </w:rPr>
          <w:t>36</w:t>
        </w:r>
        <w:r>
          <w:rPr>
            <w:noProof/>
            <w:webHidden/>
          </w:rPr>
          <w:fldChar w:fldCharType="end"/>
        </w:r>
      </w:hyperlink>
    </w:p>
    <w:p w14:paraId="71955D8D" w14:textId="023F0EAA"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67" w:history="1">
        <w:r w:rsidRPr="00DE2B09">
          <w:rPr>
            <w:rStyle w:val="Hyperlink"/>
            <w:rFonts w:eastAsiaTheme="majorEastAsia"/>
            <w:noProof/>
          </w:rPr>
          <w:t xml:space="preserve">Figure 16. </w:t>
        </w:r>
        <w:r w:rsidRPr="00DE2B09">
          <w:rPr>
            <w:rStyle w:val="Hyperlink"/>
            <w:rFonts w:eastAsia="MS Mincho" w:cs="Arial"/>
            <w:noProof/>
            <w:lang w:val="en-US"/>
          </w:rPr>
          <w:t xml:space="preserve"> Average depth and average cross-sectional area downstream Lock 6, Lock 4 and Lock 1 for each monitoring period from 2014 to 2024.</w:t>
        </w:r>
        <w:r>
          <w:rPr>
            <w:noProof/>
            <w:webHidden/>
          </w:rPr>
          <w:tab/>
        </w:r>
        <w:r>
          <w:rPr>
            <w:noProof/>
            <w:webHidden/>
          </w:rPr>
          <w:fldChar w:fldCharType="begin"/>
        </w:r>
        <w:r>
          <w:rPr>
            <w:noProof/>
            <w:webHidden/>
          </w:rPr>
          <w:instrText xml:space="preserve"> PAGEREF _Toc200464467 \h </w:instrText>
        </w:r>
        <w:r>
          <w:rPr>
            <w:noProof/>
            <w:webHidden/>
          </w:rPr>
        </w:r>
        <w:r>
          <w:rPr>
            <w:noProof/>
            <w:webHidden/>
          </w:rPr>
          <w:fldChar w:fldCharType="separate"/>
        </w:r>
        <w:r w:rsidR="00102828">
          <w:rPr>
            <w:noProof/>
            <w:webHidden/>
          </w:rPr>
          <w:t>37</w:t>
        </w:r>
        <w:r>
          <w:rPr>
            <w:noProof/>
            <w:webHidden/>
          </w:rPr>
          <w:fldChar w:fldCharType="end"/>
        </w:r>
      </w:hyperlink>
    </w:p>
    <w:p w14:paraId="0A32CDCE" w14:textId="63358098"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68" w:history="1">
        <w:r w:rsidRPr="00DE2B09">
          <w:rPr>
            <w:rStyle w:val="Hyperlink"/>
            <w:rFonts w:eastAsiaTheme="majorEastAsia"/>
            <w:noProof/>
          </w:rPr>
          <w:t xml:space="preserve">Figure 17. </w:t>
        </w:r>
        <w:r w:rsidRPr="00DE2B09">
          <w:rPr>
            <w:rStyle w:val="Hyperlink"/>
            <w:rFonts w:eastAsia="MS Mincho" w:cs="Arial"/>
            <w:noProof/>
            <w:lang w:val="en-US"/>
          </w:rPr>
          <w:t>Incident PAR dose, mean PAR irradiance in the water column and average water temperature below Lock 6, representative of all sites, for each monitoring period from 2014 to 2024.</w:t>
        </w:r>
        <w:r>
          <w:rPr>
            <w:noProof/>
            <w:webHidden/>
          </w:rPr>
          <w:tab/>
        </w:r>
        <w:r>
          <w:rPr>
            <w:noProof/>
            <w:webHidden/>
          </w:rPr>
          <w:fldChar w:fldCharType="begin"/>
        </w:r>
        <w:r>
          <w:rPr>
            <w:noProof/>
            <w:webHidden/>
          </w:rPr>
          <w:instrText xml:space="preserve"> PAGEREF _Toc200464468 \h </w:instrText>
        </w:r>
        <w:r>
          <w:rPr>
            <w:noProof/>
            <w:webHidden/>
          </w:rPr>
        </w:r>
        <w:r>
          <w:rPr>
            <w:noProof/>
            <w:webHidden/>
          </w:rPr>
          <w:fldChar w:fldCharType="separate"/>
        </w:r>
        <w:r w:rsidR="00102828">
          <w:rPr>
            <w:noProof/>
            <w:webHidden/>
          </w:rPr>
          <w:t>38</w:t>
        </w:r>
        <w:r>
          <w:rPr>
            <w:noProof/>
            <w:webHidden/>
          </w:rPr>
          <w:fldChar w:fldCharType="end"/>
        </w:r>
      </w:hyperlink>
    </w:p>
    <w:p w14:paraId="5A0E1ABF" w14:textId="270E9B1D"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69" w:history="1">
        <w:r w:rsidRPr="00DE2B09">
          <w:rPr>
            <w:rStyle w:val="Hyperlink"/>
            <w:rFonts w:eastAsiaTheme="majorEastAsia"/>
            <w:noProof/>
          </w:rPr>
          <w:t>Figure 18. Dissolved oxygen concentrations and percent saturation at sites downstream of Lock 6, Lock 4, and Lock 1 for each monitoring period from 2014 to 2024.</w:t>
        </w:r>
        <w:r>
          <w:rPr>
            <w:noProof/>
            <w:webHidden/>
          </w:rPr>
          <w:tab/>
        </w:r>
        <w:r>
          <w:rPr>
            <w:noProof/>
            <w:webHidden/>
          </w:rPr>
          <w:fldChar w:fldCharType="begin"/>
        </w:r>
        <w:r>
          <w:rPr>
            <w:noProof/>
            <w:webHidden/>
          </w:rPr>
          <w:instrText xml:space="preserve"> PAGEREF _Toc200464469 \h </w:instrText>
        </w:r>
        <w:r>
          <w:rPr>
            <w:noProof/>
            <w:webHidden/>
          </w:rPr>
        </w:r>
        <w:r>
          <w:rPr>
            <w:noProof/>
            <w:webHidden/>
          </w:rPr>
          <w:fldChar w:fldCharType="separate"/>
        </w:r>
        <w:r w:rsidR="00102828">
          <w:rPr>
            <w:noProof/>
            <w:webHidden/>
          </w:rPr>
          <w:t>39</w:t>
        </w:r>
        <w:r>
          <w:rPr>
            <w:noProof/>
            <w:webHidden/>
          </w:rPr>
          <w:fldChar w:fldCharType="end"/>
        </w:r>
      </w:hyperlink>
    </w:p>
    <w:p w14:paraId="6A24F317" w14:textId="110FA6B4"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70" w:history="1">
        <w:r w:rsidRPr="00DE2B09">
          <w:rPr>
            <w:rStyle w:val="Hyperlink"/>
            <w:rFonts w:eastAsiaTheme="majorEastAsia"/>
            <w:noProof/>
          </w:rPr>
          <w:t>Figure 19. Daily gross photosynthesis (GPP, positive rates) and ecosystem respiration (ER, negative rates) at sampling sites downstream of (a) Lock 6, (b) Lock 4 and (c) Lock 1, on day number from July 1 for each monitoring period.</w:t>
        </w:r>
        <w:r>
          <w:rPr>
            <w:noProof/>
            <w:webHidden/>
          </w:rPr>
          <w:tab/>
        </w:r>
        <w:r>
          <w:rPr>
            <w:noProof/>
            <w:webHidden/>
          </w:rPr>
          <w:fldChar w:fldCharType="begin"/>
        </w:r>
        <w:r>
          <w:rPr>
            <w:noProof/>
            <w:webHidden/>
          </w:rPr>
          <w:instrText xml:space="preserve"> PAGEREF _Toc200464470 \h </w:instrText>
        </w:r>
        <w:r>
          <w:rPr>
            <w:noProof/>
            <w:webHidden/>
          </w:rPr>
        </w:r>
        <w:r>
          <w:rPr>
            <w:noProof/>
            <w:webHidden/>
          </w:rPr>
          <w:fldChar w:fldCharType="separate"/>
        </w:r>
        <w:r w:rsidR="00102828">
          <w:rPr>
            <w:noProof/>
            <w:webHidden/>
          </w:rPr>
          <w:t>40</w:t>
        </w:r>
        <w:r>
          <w:rPr>
            <w:noProof/>
            <w:webHidden/>
          </w:rPr>
          <w:fldChar w:fldCharType="end"/>
        </w:r>
      </w:hyperlink>
    </w:p>
    <w:p w14:paraId="268EB42A" w14:textId="29C5DF03"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71" w:history="1">
        <w:r w:rsidRPr="00DE2B09">
          <w:rPr>
            <w:rStyle w:val="Hyperlink"/>
            <w:rFonts w:eastAsiaTheme="majorEastAsia"/>
            <w:noProof/>
          </w:rPr>
          <w:t>Figure 20. Annual time series of daily gross photosynthesis (GPP, positive rates) and ecosystem respiration (ER, negative rates) at sampling sites downstream of Lock 6, Lock 4 and Lock 1, for each monitoring period from 2014 to 2024.</w:t>
        </w:r>
        <w:r>
          <w:rPr>
            <w:noProof/>
            <w:webHidden/>
          </w:rPr>
          <w:tab/>
        </w:r>
        <w:r>
          <w:rPr>
            <w:noProof/>
            <w:webHidden/>
          </w:rPr>
          <w:fldChar w:fldCharType="begin"/>
        </w:r>
        <w:r>
          <w:rPr>
            <w:noProof/>
            <w:webHidden/>
          </w:rPr>
          <w:instrText xml:space="preserve"> PAGEREF _Toc200464471 \h </w:instrText>
        </w:r>
        <w:r>
          <w:rPr>
            <w:noProof/>
            <w:webHidden/>
          </w:rPr>
        </w:r>
        <w:r>
          <w:rPr>
            <w:noProof/>
            <w:webHidden/>
          </w:rPr>
          <w:fldChar w:fldCharType="separate"/>
        </w:r>
        <w:r w:rsidR="00102828">
          <w:rPr>
            <w:noProof/>
            <w:webHidden/>
          </w:rPr>
          <w:t>41</w:t>
        </w:r>
        <w:r>
          <w:rPr>
            <w:noProof/>
            <w:webHidden/>
          </w:rPr>
          <w:fldChar w:fldCharType="end"/>
        </w:r>
      </w:hyperlink>
    </w:p>
    <w:p w14:paraId="4BA27DEF" w14:textId="27022089"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72" w:history="1">
        <w:r w:rsidRPr="00DE2B09">
          <w:rPr>
            <w:rStyle w:val="Hyperlink"/>
            <w:rFonts w:eastAsiaTheme="majorEastAsia"/>
            <w:noProof/>
          </w:rPr>
          <w:t>Figure 21. The relationship between the gas exchange coefficient (K) and water velocity at sampling sites downstream of Lock 6, Lock 4 and Lock 1 for all monitoring periods from 2014 to 2024.</w:t>
        </w:r>
        <w:r>
          <w:rPr>
            <w:noProof/>
            <w:webHidden/>
          </w:rPr>
          <w:tab/>
        </w:r>
        <w:r>
          <w:rPr>
            <w:noProof/>
            <w:webHidden/>
          </w:rPr>
          <w:fldChar w:fldCharType="begin"/>
        </w:r>
        <w:r>
          <w:rPr>
            <w:noProof/>
            <w:webHidden/>
          </w:rPr>
          <w:instrText xml:space="preserve"> PAGEREF _Toc200464472 \h </w:instrText>
        </w:r>
        <w:r>
          <w:rPr>
            <w:noProof/>
            <w:webHidden/>
          </w:rPr>
        </w:r>
        <w:r>
          <w:rPr>
            <w:noProof/>
            <w:webHidden/>
          </w:rPr>
          <w:fldChar w:fldCharType="separate"/>
        </w:r>
        <w:r w:rsidR="00102828">
          <w:rPr>
            <w:noProof/>
            <w:webHidden/>
          </w:rPr>
          <w:t>42</w:t>
        </w:r>
        <w:r>
          <w:rPr>
            <w:noProof/>
            <w:webHidden/>
          </w:rPr>
          <w:fldChar w:fldCharType="end"/>
        </w:r>
      </w:hyperlink>
    </w:p>
    <w:p w14:paraId="33C60906" w14:textId="7D180DCA"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73" w:history="1">
        <w:r w:rsidRPr="00DE2B09">
          <w:rPr>
            <w:rStyle w:val="Hyperlink"/>
            <w:rFonts w:eastAsiaTheme="majorEastAsia"/>
            <w:noProof/>
          </w:rPr>
          <w:t>Figure 22. The relationship between gross primary production per unit chlorophyll (GPP(b)) and the mean irradiance (</w:t>
        </w:r>
        <w:r w:rsidRPr="00DE2B09">
          <w:rPr>
            <w:rStyle w:val="Hyperlink"/>
            <w:rFonts w:eastAsiaTheme="majorEastAsia"/>
            <w:i/>
            <w:iCs/>
            <w:noProof/>
          </w:rPr>
          <w:t>lm</w:t>
        </w:r>
        <w:r w:rsidRPr="00DE2B09">
          <w:rPr>
            <w:rStyle w:val="Hyperlink"/>
            <w:rFonts w:eastAsiaTheme="majorEastAsia"/>
            <w:noProof/>
          </w:rPr>
          <w:t>) of the water column for all monitoring periods from 2014 to 2024.</w:t>
        </w:r>
        <w:r>
          <w:rPr>
            <w:noProof/>
            <w:webHidden/>
          </w:rPr>
          <w:tab/>
        </w:r>
        <w:r>
          <w:rPr>
            <w:noProof/>
            <w:webHidden/>
          </w:rPr>
          <w:fldChar w:fldCharType="begin"/>
        </w:r>
        <w:r>
          <w:rPr>
            <w:noProof/>
            <w:webHidden/>
          </w:rPr>
          <w:instrText xml:space="preserve"> PAGEREF _Toc200464473 \h </w:instrText>
        </w:r>
        <w:r>
          <w:rPr>
            <w:noProof/>
            <w:webHidden/>
          </w:rPr>
        </w:r>
        <w:r>
          <w:rPr>
            <w:noProof/>
            <w:webHidden/>
          </w:rPr>
          <w:fldChar w:fldCharType="separate"/>
        </w:r>
        <w:r w:rsidR="00102828">
          <w:rPr>
            <w:noProof/>
            <w:webHidden/>
          </w:rPr>
          <w:t>42</w:t>
        </w:r>
        <w:r>
          <w:rPr>
            <w:noProof/>
            <w:webHidden/>
          </w:rPr>
          <w:fldChar w:fldCharType="end"/>
        </w:r>
      </w:hyperlink>
    </w:p>
    <w:p w14:paraId="4F5504CB" w14:textId="10D9E629"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74" w:history="1">
        <w:r w:rsidRPr="00DE2B09">
          <w:rPr>
            <w:rStyle w:val="Hyperlink"/>
            <w:rFonts w:eastAsiaTheme="majorEastAsia"/>
            <w:noProof/>
          </w:rPr>
          <w:t>Figure 23. Fractional changes in volumetric GPP cross-sectional area and cross-sectional GPP and the number of days each season that the decrease in volumetric GPP due to Commonwealth environmental water was greater than 10%.</w:t>
        </w:r>
        <w:r>
          <w:rPr>
            <w:noProof/>
            <w:webHidden/>
          </w:rPr>
          <w:tab/>
        </w:r>
        <w:r>
          <w:rPr>
            <w:noProof/>
            <w:webHidden/>
          </w:rPr>
          <w:fldChar w:fldCharType="begin"/>
        </w:r>
        <w:r>
          <w:rPr>
            <w:noProof/>
            <w:webHidden/>
          </w:rPr>
          <w:instrText xml:space="preserve"> PAGEREF _Toc200464474 \h </w:instrText>
        </w:r>
        <w:r>
          <w:rPr>
            <w:noProof/>
            <w:webHidden/>
          </w:rPr>
        </w:r>
        <w:r>
          <w:rPr>
            <w:noProof/>
            <w:webHidden/>
          </w:rPr>
          <w:fldChar w:fldCharType="separate"/>
        </w:r>
        <w:r w:rsidR="00102828">
          <w:rPr>
            <w:noProof/>
            <w:webHidden/>
          </w:rPr>
          <w:t>44</w:t>
        </w:r>
        <w:r>
          <w:rPr>
            <w:noProof/>
            <w:webHidden/>
          </w:rPr>
          <w:fldChar w:fldCharType="end"/>
        </w:r>
      </w:hyperlink>
    </w:p>
    <w:p w14:paraId="0BA5C2E1" w14:textId="6F408F31"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75" w:history="1">
        <w:r w:rsidRPr="00DE2B09">
          <w:rPr>
            <w:rStyle w:val="Hyperlink"/>
            <w:rFonts w:eastAsiaTheme="majorEastAsia"/>
            <w:noProof/>
          </w:rPr>
          <w:t>Figure 24. Integrated volumetric and cross-sectional GPP with and without Commonwealth environmental water, and the difference due to the additional flow, below Lock 6 (a) and Lock 4 (b).</w:t>
        </w:r>
        <w:r>
          <w:rPr>
            <w:noProof/>
            <w:webHidden/>
          </w:rPr>
          <w:tab/>
        </w:r>
        <w:r>
          <w:rPr>
            <w:noProof/>
            <w:webHidden/>
          </w:rPr>
          <w:fldChar w:fldCharType="begin"/>
        </w:r>
        <w:r>
          <w:rPr>
            <w:noProof/>
            <w:webHidden/>
          </w:rPr>
          <w:instrText xml:space="preserve"> PAGEREF _Toc200464475 \h </w:instrText>
        </w:r>
        <w:r>
          <w:rPr>
            <w:noProof/>
            <w:webHidden/>
          </w:rPr>
        </w:r>
        <w:r>
          <w:rPr>
            <w:noProof/>
            <w:webHidden/>
          </w:rPr>
          <w:fldChar w:fldCharType="separate"/>
        </w:r>
        <w:r w:rsidR="00102828">
          <w:rPr>
            <w:noProof/>
            <w:webHidden/>
          </w:rPr>
          <w:t>46</w:t>
        </w:r>
        <w:r>
          <w:rPr>
            <w:noProof/>
            <w:webHidden/>
          </w:rPr>
          <w:fldChar w:fldCharType="end"/>
        </w:r>
      </w:hyperlink>
    </w:p>
    <w:p w14:paraId="7131F120" w14:textId="297F65CD"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76" w:history="1">
        <w:r w:rsidRPr="00DE2B09">
          <w:rPr>
            <w:rStyle w:val="Hyperlink"/>
            <w:rFonts w:eastAsiaTheme="majorEastAsia"/>
            <w:noProof/>
          </w:rPr>
          <w:t>Figure 25. Reliance of ecosystem respiration (ER) on gross primary productivity (GPP) within the river channel for all monitored periods from 2014 to 2024, with velocities downstream of Lock 1 ≥ 0.18 m/s.</w:t>
        </w:r>
        <w:r>
          <w:rPr>
            <w:noProof/>
            <w:webHidden/>
          </w:rPr>
          <w:tab/>
        </w:r>
        <w:r>
          <w:rPr>
            <w:noProof/>
            <w:webHidden/>
          </w:rPr>
          <w:fldChar w:fldCharType="begin"/>
        </w:r>
        <w:r>
          <w:rPr>
            <w:noProof/>
            <w:webHidden/>
          </w:rPr>
          <w:instrText xml:space="preserve"> PAGEREF _Toc200464476 \h </w:instrText>
        </w:r>
        <w:r>
          <w:rPr>
            <w:noProof/>
            <w:webHidden/>
          </w:rPr>
        </w:r>
        <w:r>
          <w:rPr>
            <w:noProof/>
            <w:webHidden/>
          </w:rPr>
          <w:fldChar w:fldCharType="separate"/>
        </w:r>
        <w:r w:rsidR="00102828">
          <w:rPr>
            <w:noProof/>
            <w:webHidden/>
          </w:rPr>
          <w:t>47</w:t>
        </w:r>
        <w:r>
          <w:rPr>
            <w:noProof/>
            <w:webHidden/>
          </w:rPr>
          <w:fldChar w:fldCharType="end"/>
        </w:r>
      </w:hyperlink>
    </w:p>
    <w:p w14:paraId="23FC4C17" w14:textId="6C41E77C"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77" w:history="1">
        <w:r w:rsidRPr="00DE2B09">
          <w:rPr>
            <w:rStyle w:val="Hyperlink"/>
            <w:rFonts w:eastAsiaTheme="majorEastAsia"/>
            <w:noProof/>
          </w:rPr>
          <w:t>Figure 26. Net production rates of phytoplankton (PNP), bacteria (BNP), the combined total (CNP), and the fraction of combined due to phytoplankton</w:t>
        </w:r>
        <w:r>
          <w:rPr>
            <w:rStyle w:val="Hyperlink"/>
            <w:rFonts w:eastAsiaTheme="majorEastAsia"/>
            <w:noProof/>
          </w:rPr>
          <w:t xml:space="preserve"> </w:t>
        </w:r>
        <w:r w:rsidRPr="00DE2B09">
          <w:rPr>
            <w:rStyle w:val="Hyperlink"/>
            <w:rFonts w:eastAsiaTheme="majorEastAsia"/>
            <w:noProof/>
          </w:rPr>
          <w:t>for all dates during 2014–2024 with matching DOC measurements.</w:t>
        </w:r>
        <w:r>
          <w:rPr>
            <w:noProof/>
            <w:webHidden/>
          </w:rPr>
          <w:tab/>
        </w:r>
        <w:r>
          <w:rPr>
            <w:noProof/>
            <w:webHidden/>
          </w:rPr>
          <w:fldChar w:fldCharType="begin"/>
        </w:r>
        <w:r>
          <w:rPr>
            <w:noProof/>
            <w:webHidden/>
          </w:rPr>
          <w:instrText xml:space="preserve"> PAGEREF _Toc200464477 \h </w:instrText>
        </w:r>
        <w:r>
          <w:rPr>
            <w:noProof/>
            <w:webHidden/>
          </w:rPr>
        </w:r>
        <w:r>
          <w:rPr>
            <w:noProof/>
            <w:webHidden/>
          </w:rPr>
          <w:fldChar w:fldCharType="separate"/>
        </w:r>
        <w:r w:rsidR="00102828">
          <w:rPr>
            <w:noProof/>
            <w:webHidden/>
          </w:rPr>
          <w:t>48</w:t>
        </w:r>
        <w:r>
          <w:rPr>
            <w:noProof/>
            <w:webHidden/>
          </w:rPr>
          <w:fldChar w:fldCharType="end"/>
        </w:r>
      </w:hyperlink>
    </w:p>
    <w:p w14:paraId="20FFE4C0" w14:textId="261C473E"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78" w:history="1">
        <w:r w:rsidRPr="00DE2B09">
          <w:rPr>
            <w:rStyle w:val="Hyperlink"/>
            <w:rFonts w:eastAsiaTheme="majorEastAsia"/>
            <w:noProof/>
          </w:rPr>
          <w:t>Figure 27. (a) Vertical attenuation (</w:t>
        </w:r>
        <w:r w:rsidRPr="00DE2B09">
          <w:rPr>
            <w:rStyle w:val="Hyperlink"/>
            <w:rFonts w:eastAsiaTheme="majorEastAsia"/>
            <w:i/>
            <w:iCs/>
            <w:noProof/>
          </w:rPr>
          <w:t>k</w:t>
        </w:r>
        <w:r w:rsidRPr="00DE2B09">
          <w:rPr>
            <w:rStyle w:val="Hyperlink"/>
            <w:rFonts w:eastAsiaTheme="majorEastAsia"/>
            <w:i/>
            <w:iCs/>
            <w:noProof/>
            <w:vertAlign w:val="subscript"/>
          </w:rPr>
          <w:t>d</w:t>
        </w:r>
        <w:r w:rsidRPr="00DE2B09">
          <w:rPr>
            <w:rStyle w:val="Hyperlink"/>
            <w:rFonts w:eastAsiaTheme="majorEastAsia"/>
            <w:noProof/>
          </w:rPr>
          <w:t>), (b) Turbidity, (c) Dissolved organic carbon (DOC), (d) Chlorophyll-a, (e) Total phosphorus, and (f) Total nitrogen, below Locks 6, 4  and 1 during 2014–2024.</w:t>
        </w:r>
        <w:r>
          <w:rPr>
            <w:noProof/>
            <w:webHidden/>
          </w:rPr>
          <w:tab/>
        </w:r>
        <w:r>
          <w:rPr>
            <w:noProof/>
            <w:webHidden/>
          </w:rPr>
          <w:fldChar w:fldCharType="begin"/>
        </w:r>
        <w:r>
          <w:rPr>
            <w:noProof/>
            <w:webHidden/>
          </w:rPr>
          <w:instrText xml:space="preserve"> PAGEREF _Toc200464478 \h </w:instrText>
        </w:r>
        <w:r>
          <w:rPr>
            <w:noProof/>
            <w:webHidden/>
          </w:rPr>
        </w:r>
        <w:r>
          <w:rPr>
            <w:noProof/>
            <w:webHidden/>
          </w:rPr>
          <w:fldChar w:fldCharType="separate"/>
        </w:r>
        <w:r w:rsidR="00102828">
          <w:rPr>
            <w:noProof/>
            <w:webHidden/>
          </w:rPr>
          <w:t>50</w:t>
        </w:r>
        <w:r>
          <w:rPr>
            <w:noProof/>
            <w:webHidden/>
          </w:rPr>
          <w:fldChar w:fldCharType="end"/>
        </w:r>
      </w:hyperlink>
    </w:p>
    <w:p w14:paraId="13F75DCA" w14:textId="7EC3CF7C"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79" w:history="1">
        <w:r w:rsidRPr="00DE2B09">
          <w:rPr>
            <w:rStyle w:val="Hyperlink"/>
            <w:rFonts w:eastAsiaTheme="majorEastAsia"/>
            <w:noProof/>
          </w:rPr>
          <w:t>Figure 28. Changes in dissolved organic carbon (DOC) (a), total phosphorus (TP) (b), and total nitrogen (TN) (c) in response to flow volumes during 2014–2024 with discharge &lt;40,000 ML/d.</w:t>
        </w:r>
        <w:r>
          <w:rPr>
            <w:noProof/>
            <w:webHidden/>
          </w:rPr>
          <w:tab/>
        </w:r>
        <w:r>
          <w:rPr>
            <w:noProof/>
            <w:webHidden/>
          </w:rPr>
          <w:fldChar w:fldCharType="begin"/>
        </w:r>
        <w:r>
          <w:rPr>
            <w:noProof/>
            <w:webHidden/>
          </w:rPr>
          <w:instrText xml:space="preserve"> PAGEREF _Toc200464479 \h </w:instrText>
        </w:r>
        <w:r>
          <w:rPr>
            <w:noProof/>
            <w:webHidden/>
          </w:rPr>
        </w:r>
        <w:r>
          <w:rPr>
            <w:noProof/>
            <w:webHidden/>
          </w:rPr>
          <w:fldChar w:fldCharType="separate"/>
        </w:r>
        <w:r w:rsidR="00102828">
          <w:rPr>
            <w:noProof/>
            <w:webHidden/>
          </w:rPr>
          <w:t>51</w:t>
        </w:r>
        <w:r>
          <w:rPr>
            <w:noProof/>
            <w:webHidden/>
          </w:rPr>
          <w:fldChar w:fldCharType="end"/>
        </w:r>
      </w:hyperlink>
    </w:p>
    <w:p w14:paraId="13D5BF2A" w14:textId="2B05160A"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80" w:history="1">
        <w:r w:rsidRPr="00DE2B09">
          <w:rPr>
            <w:rStyle w:val="Hyperlink"/>
            <w:rFonts w:eastAsiaTheme="majorEastAsia"/>
            <w:noProof/>
          </w:rPr>
          <w:t>Figure 29. Changes in dissolved oxygen (DO) in response to increasing dissolved organic carbon (DOC) concentrations at sampling sites downstream of Lock 6, Lock 4 and Lock 1 during 2014–2024.</w:t>
        </w:r>
        <w:r>
          <w:rPr>
            <w:noProof/>
            <w:webHidden/>
          </w:rPr>
          <w:tab/>
        </w:r>
        <w:r>
          <w:rPr>
            <w:noProof/>
            <w:webHidden/>
          </w:rPr>
          <w:fldChar w:fldCharType="begin"/>
        </w:r>
        <w:r>
          <w:rPr>
            <w:noProof/>
            <w:webHidden/>
          </w:rPr>
          <w:instrText xml:space="preserve"> PAGEREF _Toc200464480 \h </w:instrText>
        </w:r>
        <w:r>
          <w:rPr>
            <w:noProof/>
            <w:webHidden/>
          </w:rPr>
        </w:r>
        <w:r>
          <w:rPr>
            <w:noProof/>
            <w:webHidden/>
          </w:rPr>
          <w:fldChar w:fldCharType="separate"/>
        </w:r>
        <w:r w:rsidR="00102828">
          <w:rPr>
            <w:noProof/>
            <w:webHidden/>
          </w:rPr>
          <w:t>52</w:t>
        </w:r>
        <w:r>
          <w:rPr>
            <w:noProof/>
            <w:webHidden/>
          </w:rPr>
          <w:fldChar w:fldCharType="end"/>
        </w:r>
      </w:hyperlink>
    </w:p>
    <w:p w14:paraId="0A136B41" w14:textId="01BC3AA9"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81" w:history="1">
        <w:r w:rsidRPr="00DE2B09">
          <w:rPr>
            <w:rStyle w:val="Hyperlink"/>
            <w:rFonts w:eastAsiaTheme="majorEastAsia"/>
            <w:noProof/>
          </w:rPr>
          <w:t>Figure 30. Summary of flow discharge through the barrages, from July 2015 until June 2024, spanning the large 2016-17 and 2021-22–2023-24 flow events, categorised based on water source.</w:t>
        </w:r>
        <w:r>
          <w:rPr>
            <w:noProof/>
            <w:webHidden/>
          </w:rPr>
          <w:tab/>
        </w:r>
        <w:r>
          <w:rPr>
            <w:noProof/>
            <w:webHidden/>
          </w:rPr>
          <w:fldChar w:fldCharType="begin"/>
        </w:r>
        <w:r>
          <w:rPr>
            <w:noProof/>
            <w:webHidden/>
          </w:rPr>
          <w:instrText xml:space="preserve"> PAGEREF _Toc200464481 \h </w:instrText>
        </w:r>
        <w:r>
          <w:rPr>
            <w:noProof/>
            <w:webHidden/>
          </w:rPr>
        </w:r>
        <w:r>
          <w:rPr>
            <w:noProof/>
            <w:webHidden/>
          </w:rPr>
          <w:fldChar w:fldCharType="separate"/>
        </w:r>
        <w:r w:rsidR="00102828">
          <w:rPr>
            <w:noProof/>
            <w:webHidden/>
          </w:rPr>
          <w:t>65</w:t>
        </w:r>
        <w:r>
          <w:rPr>
            <w:noProof/>
            <w:webHidden/>
          </w:rPr>
          <w:fldChar w:fldCharType="end"/>
        </w:r>
      </w:hyperlink>
    </w:p>
    <w:p w14:paraId="26064A8C" w14:textId="366135FB"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82" w:history="1">
        <w:r w:rsidRPr="00DE2B09">
          <w:rPr>
            <w:rStyle w:val="Hyperlink"/>
            <w:rFonts w:eastAsiaTheme="majorEastAsia"/>
            <w:noProof/>
          </w:rPr>
          <w:t>Figure 31. Yearly composition of barrage flow, spanning the modelling period from July 2017 to June 2024.</w:t>
        </w:r>
        <w:r>
          <w:rPr>
            <w:noProof/>
            <w:webHidden/>
          </w:rPr>
          <w:tab/>
        </w:r>
        <w:r>
          <w:rPr>
            <w:noProof/>
            <w:webHidden/>
          </w:rPr>
          <w:fldChar w:fldCharType="begin"/>
        </w:r>
        <w:r>
          <w:rPr>
            <w:noProof/>
            <w:webHidden/>
          </w:rPr>
          <w:instrText xml:space="preserve"> PAGEREF _Toc200464482 \h </w:instrText>
        </w:r>
        <w:r>
          <w:rPr>
            <w:noProof/>
            <w:webHidden/>
          </w:rPr>
        </w:r>
        <w:r>
          <w:rPr>
            <w:noProof/>
            <w:webHidden/>
          </w:rPr>
          <w:fldChar w:fldCharType="separate"/>
        </w:r>
        <w:r w:rsidR="00102828">
          <w:rPr>
            <w:noProof/>
            <w:webHidden/>
          </w:rPr>
          <w:t>66</w:t>
        </w:r>
        <w:r>
          <w:rPr>
            <w:noProof/>
            <w:webHidden/>
          </w:rPr>
          <w:fldChar w:fldCharType="end"/>
        </w:r>
      </w:hyperlink>
    </w:p>
    <w:p w14:paraId="5A669D99" w14:textId="798F4639"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83" w:history="1">
        <w:r w:rsidRPr="00DE2B09">
          <w:rPr>
            <w:rStyle w:val="Hyperlink"/>
            <w:rFonts w:eastAsiaTheme="majorEastAsia"/>
            <w:noProof/>
          </w:rPr>
          <w:t>Figure 32. Summary of flow through each barrage, spanning the modelling period from July 2017 to June 2024.</w:t>
        </w:r>
        <w:r>
          <w:rPr>
            <w:noProof/>
            <w:webHidden/>
          </w:rPr>
          <w:tab/>
        </w:r>
        <w:r>
          <w:rPr>
            <w:noProof/>
            <w:webHidden/>
          </w:rPr>
          <w:fldChar w:fldCharType="begin"/>
        </w:r>
        <w:r>
          <w:rPr>
            <w:noProof/>
            <w:webHidden/>
          </w:rPr>
          <w:instrText xml:space="preserve"> PAGEREF _Toc200464483 \h </w:instrText>
        </w:r>
        <w:r>
          <w:rPr>
            <w:noProof/>
            <w:webHidden/>
          </w:rPr>
        </w:r>
        <w:r>
          <w:rPr>
            <w:noProof/>
            <w:webHidden/>
          </w:rPr>
          <w:fldChar w:fldCharType="separate"/>
        </w:r>
        <w:r w:rsidR="00102828">
          <w:rPr>
            <w:noProof/>
            <w:webHidden/>
          </w:rPr>
          <w:t>66</w:t>
        </w:r>
        <w:r>
          <w:rPr>
            <w:noProof/>
            <w:webHidden/>
          </w:rPr>
          <w:fldChar w:fldCharType="end"/>
        </w:r>
      </w:hyperlink>
    </w:p>
    <w:p w14:paraId="2DB8CE06" w14:textId="143550A4"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84" w:history="1">
        <w:r w:rsidRPr="00DE2B09">
          <w:rPr>
            <w:rStyle w:val="Hyperlink"/>
            <w:rFonts w:eastAsiaTheme="majorEastAsia"/>
            <w:noProof/>
          </w:rPr>
          <w:t>Figure 33.</w:t>
        </w:r>
        <w:r w:rsidR="00254058">
          <w:rPr>
            <w:rStyle w:val="Hyperlink"/>
            <w:rFonts w:eastAsiaTheme="majorEastAsia"/>
            <w:noProof/>
          </w:rPr>
          <w:t xml:space="preserve"> </w:t>
        </w:r>
        <w:bookmarkStart w:id="5" w:name="_Hlk207968469"/>
        <w:r w:rsidR="00254058" w:rsidRPr="00254058">
          <w:rPr>
            <w:rStyle w:val="Hyperlink"/>
            <w:rFonts w:eastAsiaTheme="majorEastAsia"/>
            <w:noProof/>
          </w:rPr>
          <w:t>Time series of mean salinity variation in a) the Coorong North Lagoon, and b) the Coorong South Lagoon. The base-case scenario is compared with the ‘No CEW’ and ‘No eWater’ scenarios, spanning the modelling period from July 2017 to June 2024</w:t>
        </w:r>
        <w:r w:rsidRPr="00DE2B09">
          <w:rPr>
            <w:rStyle w:val="Hyperlink"/>
            <w:rFonts w:eastAsiaTheme="majorEastAsia"/>
            <w:noProof/>
          </w:rPr>
          <w:t>.</w:t>
        </w:r>
        <w:bookmarkEnd w:id="5"/>
        <w:r>
          <w:rPr>
            <w:noProof/>
            <w:webHidden/>
          </w:rPr>
          <w:tab/>
        </w:r>
        <w:r>
          <w:rPr>
            <w:noProof/>
            <w:webHidden/>
          </w:rPr>
          <w:fldChar w:fldCharType="begin"/>
        </w:r>
        <w:r>
          <w:rPr>
            <w:noProof/>
            <w:webHidden/>
          </w:rPr>
          <w:instrText xml:space="preserve"> PAGEREF _Toc200464484 \h </w:instrText>
        </w:r>
        <w:r>
          <w:rPr>
            <w:noProof/>
            <w:webHidden/>
          </w:rPr>
        </w:r>
        <w:r>
          <w:rPr>
            <w:noProof/>
            <w:webHidden/>
          </w:rPr>
          <w:fldChar w:fldCharType="separate"/>
        </w:r>
        <w:r w:rsidR="00102828">
          <w:rPr>
            <w:noProof/>
            <w:webHidden/>
          </w:rPr>
          <w:t>68</w:t>
        </w:r>
        <w:r>
          <w:rPr>
            <w:noProof/>
            <w:webHidden/>
          </w:rPr>
          <w:fldChar w:fldCharType="end"/>
        </w:r>
      </w:hyperlink>
    </w:p>
    <w:p w14:paraId="25C4950C" w14:textId="6D0383BE"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85" w:history="1">
        <w:r w:rsidRPr="00DE2B09">
          <w:rPr>
            <w:rStyle w:val="Hyperlink"/>
            <w:rFonts w:eastAsiaTheme="majorEastAsia"/>
            <w:noProof/>
          </w:rPr>
          <w:t>Figure 34. Transect comparison of simulated mean salinity from the ‘No CEW’ scenarios, ‘No eWater’ scenarios, and ‘base-case’ scenario along the Coorong in July 2023–June 2024.</w:t>
        </w:r>
        <w:r>
          <w:rPr>
            <w:noProof/>
            <w:webHidden/>
          </w:rPr>
          <w:tab/>
        </w:r>
        <w:r>
          <w:rPr>
            <w:noProof/>
            <w:webHidden/>
          </w:rPr>
          <w:fldChar w:fldCharType="begin"/>
        </w:r>
        <w:r>
          <w:rPr>
            <w:noProof/>
            <w:webHidden/>
          </w:rPr>
          <w:instrText xml:space="preserve"> PAGEREF _Toc200464485 \h </w:instrText>
        </w:r>
        <w:r>
          <w:rPr>
            <w:noProof/>
            <w:webHidden/>
          </w:rPr>
        </w:r>
        <w:r>
          <w:rPr>
            <w:noProof/>
            <w:webHidden/>
          </w:rPr>
          <w:fldChar w:fldCharType="separate"/>
        </w:r>
        <w:r w:rsidR="00102828">
          <w:rPr>
            <w:noProof/>
            <w:webHidden/>
          </w:rPr>
          <w:t>69</w:t>
        </w:r>
        <w:r>
          <w:rPr>
            <w:noProof/>
            <w:webHidden/>
          </w:rPr>
          <w:fldChar w:fldCharType="end"/>
        </w:r>
      </w:hyperlink>
    </w:p>
    <w:p w14:paraId="0196B12C" w14:textId="0C114434"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86" w:history="1">
        <w:r w:rsidRPr="00DE2B09">
          <w:rPr>
            <w:rStyle w:val="Hyperlink"/>
            <w:rFonts w:eastAsiaTheme="majorEastAsia"/>
            <w:noProof/>
          </w:rPr>
          <w:t>Figure 35. Cumulative salt flux with and without environmental water delivery through Pelican Point and Parnka Point sites for July 2017–June 2024</w:t>
        </w:r>
        <w:r w:rsidRPr="00DE2B09">
          <w:rPr>
            <w:rStyle w:val="Hyperlink"/>
            <w:rFonts w:eastAsiaTheme="majorEastAsia"/>
            <w:noProof/>
            <w:lang w:eastAsia="zh-CN"/>
          </w:rPr>
          <w:t>.</w:t>
        </w:r>
        <w:r>
          <w:rPr>
            <w:noProof/>
            <w:webHidden/>
          </w:rPr>
          <w:tab/>
        </w:r>
        <w:r>
          <w:rPr>
            <w:noProof/>
            <w:webHidden/>
          </w:rPr>
          <w:fldChar w:fldCharType="begin"/>
        </w:r>
        <w:r>
          <w:rPr>
            <w:noProof/>
            <w:webHidden/>
          </w:rPr>
          <w:instrText xml:space="preserve"> PAGEREF _Toc200464486 \h </w:instrText>
        </w:r>
        <w:r>
          <w:rPr>
            <w:noProof/>
            <w:webHidden/>
          </w:rPr>
        </w:r>
        <w:r>
          <w:rPr>
            <w:noProof/>
            <w:webHidden/>
          </w:rPr>
          <w:fldChar w:fldCharType="separate"/>
        </w:r>
        <w:r w:rsidR="00102828">
          <w:rPr>
            <w:noProof/>
            <w:webHidden/>
          </w:rPr>
          <w:t>72</w:t>
        </w:r>
        <w:r>
          <w:rPr>
            <w:noProof/>
            <w:webHidden/>
          </w:rPr>
          <w:fldChar w:fldCharType="end"/>
        </w:r>
      </w:hyperlink>
    </w:p>
    <w:p w14:paraId="0D17A739" w14:textId="73D4915B"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87" w:history="1">
        <w:r w:rsidRPr="00DE2B09">
          <w:rPr>
            <w:rStyle w:val="Hyperlink"/>
            <w:rFonts w:eastAsiaTheme="majorEastAsia"/>
            <w:noProof/>
          </w:rPr>
          <w:t>Figure 36. Cumulative total nitrogen (TN) flux with and without environmental water delivery through Pelican Point and Parnka Point sites for July 2017–July 2024.</w:t>
        </w:r>
        <w:r>
          <w:rPr>
            <w:noProof/>
            <w:webHidden/>
          </w:rPr>
          <w:tab/>
        </w:r>
        <w:r>
          <w:rPr>
            <w:noProof/>
            <w:webHidden/>
          </w:rPr>
          <w:fldChar w:fldCharType="begin"/>
        </w:r>
        <w:r>
          <w:rPr>
            <w:noProof/>
            <w:webHidden/>
          </w:rPr>
          <w:instrText xml:space="preserve"> PAGEREF _Toc200464487 \h </w:instrText>
        </w:r>
        <w:r>
          <w:rPr>
            <w:noProof/>
            <w:webHidden/>
          </w:rPr>
        </w:r>
        <w:r>
          <w:rPr>
            <w:noProof/>
            <w:webHidden/>
          </w:rPr>
          <w:fldChar w:fldCharType="separate"/>
        </w:r>
        <w:r w:rsidR="00102828">
          <w:rPr>
            <w:noProof/>
            <w:webHidden/>
          </w:rPr>
          <w:t>75</w:t>
        </w:r>
        <w:r>
          <w:rPr>
            <w:noProof/>
            <w:webHidden/>
          </w:rPr>
          <w:fldChar w:fldCharType="end"/>
        </w:r>
      </w:hyperlink>
    </w:p>
    <w:p w14:paraId="5F76FF10" w14:textId="780E4A54"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88" w:history="1">
        <w:r w:rsidRPr="00DE2B09">
          <w:rPr>
            <w:rStyle w:val="Hyperlink"/>
            <w:rFonts w:eastAsiaTheme="majorEastAsia"/>
            <w:noProof/>
          </w:rPr>
          <w:t xml:space="preserve">Figure 37. Habitat area suitable for </w:t>
        </w:r>
        <w:r w:rsidRPr="00DE2B09">
          <w:rPr>
            <w:rStyle w:val="Hyperlink"/>
            <w:rFonts w:eastAsiaTheme="majorEastAsia"/>
            <w:i/>
            <w:noProof/>
          </w:rPr>
          <w:t>Ruppia tuberosa</w:t>
        </w:r>
        <w:r w:rsidRPr="00DE2B09">
          <w:rPr>
            <w:rStyle w:val="Hyperlink"/>
            <w:rFonts w:eastAsiaTheme="majorEastAsia"/>
            <w:noProof/>
          </w:rPr>
          <w:t xml:space="preserve"> (overall sexual, asexual and individual life-stages), comparing the base-case and NC7/NE7 scenarios from 2018–2023</w:t>
        </w:r>
        <w:r w:rsidR="00254058">
          <w:rPr>
            <w:rStyle w:val="Hyperlink"/>
            <w:rFonts w:eastAsiaTheme="majorEastAsia"/>
            <w:noProof/>
          </w:rPr>
          <w:t>…</w:t>
        </w:r>
        <w:r w:rsidRPr="00DE2B09">
          <w:rPr>
            <w:rStyle w:val="Hyperlink"/>
            <w:rFonts w:eastAsiaTheme="majorEastAsia"/>
            <w:noProof/>
          </w:rPr>
          <w:t>.</w:t>
        </w:r>
        <w:r>
          <w:rPr>
            <w:noProof/>
            <w:webHidden/>
          </w:rPr>
          <w:tab/>
        </w:r>
        <w:r>
          <w:rPr>
            <w:noProof/>
            <w:webHidden/>
          </w:rPr>
          <w:fldChar w:fldCharType="begin"/>
        </w:r>
        <w:r>
          <w:rPr>
            <w:noProof/>
            <w:webHidden/>
          </w:rPr>
          <w:instrText xml:space="preserve"> PAGEREF _Toc200464488 \h </w:instrText>
        </w:r>
        <w:r>
          <w:rPr>
            <w:noProof/>
            <w:webHidden/>
          </w:rPr>
        </w:r>
        <w:r>
          <w:rPr>
            <w:noProof/>
            <w:webHidden/>
          </w:rPr>
          <w:fldChar w:fldCharType="separate"/>
        </w:r>
        <w:r w:rsidR="00102828">
          <w:rPr>
            <w:noProof/>
            <w:webHidden/>
          </w:rPr>
          <w:t>84</w:t>
        </w:r>
        <w:r>
          <w:rPr>
            <w:noProof/>
            <w:webHidden/>
          </w:rPr>
          <w:fldChar w:fldCharType="end"/>
        </w:r>
      </w:hyperlink>
    </w:p>
    <w:p w14:paraId="7323E77B" w14:textId="433937B2"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89" w:history="1">
        <w:r w:rsidRPr="00DE2B09">
          <w:rPr>
            <w:rStyle w:val="Hyperlink"/>
            <w:rFonts w:eastAsiaTheme="majorEastAsia"/>
            <w:noProof/>
          </w:rPr>
          <w:t xml:space="preserve">Figure 38. Habitat area suitable for </w:t>
        </w:r>
        <w:r w:rsidRPr="00DE2B09">
          <w:rPr>
            <w:rStyle w:val="Hyperlink"/>
            <w:rFonts w:eastAsiaTheme="majorEastAsia"/>
            <w:i/>
            <w:noProof/>
          </w:rPr>
          <w:t>Ruppia tuberosa</w:t>
        </w:r>
        <w:r w:rsidRPr="00DE2B09">
          <w:rPr>
            <w:rStyle w:val="Hyperlink"/>
            <w:rFonts w:eastAsiaTheme="majorEastAsia"/>
            <w:noProof/>
          </w:rPr>
          <w:t xml:space="preserve"> (overall sexual only, asexual only and dual life-stages), comparing the base-case and all NC7/NE7 scenarios between 2018–2023, and NC1/NE1 scenarios in 2023..</w:t>
        </w:r>
        <w:r>
          <w:rPr>
            <w:noProof/>
            <w:webHidden/>
          </w:rPr>
          <w:tab/>
        </w:r>
        <w:r>
          <w:rPr>
            <w:noProof/>
            <w:webHidden/>
          </w:rPr>
          <w:fldChar w:fldCharType="begin"/>
        </w:r>
        <w:r>
          <w:rPr>
            <w:noProof/>
            <w:webHidden/>
          </w:rPr>
          <w:instrText xml:space="preserve"> PAGEREF _Toc200464489 \h </w:instrText>
        </w:r>
        <w:r>
          <w:rPr>
            <w:noProof/>
            <w:webHidden/>
          </w:rPr>
        </w:r>
        <w:r>
          <w:rPr>
            <w:noProof/>
            <w:webHidden/>
          </w:rPr>
          <w:fldChar w:fldCharType="separate"/>
        </w:r>
        <w:r w:rsidR="00102828">
          <w:rPr>
            <w:noProof/>
            <w:webHidden/>
          </w:rPr>
          <w:t>85</w:t>
        </w:r>
        <w:r>
          <w:rPr>
            <w:noProof/>
            <w:webHidden/>
          </w:rPr>
          <w:fldChar w:fldCharType="end"/>
        </w:r>
      </w:hyperlink>
    </w:p>
    <w:p w14:paraId="437459F6" w14:textId="63C4B098"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90" w:history="1">
        <w:r w:rsidRPr="00DE2B09">
          <w:rPr>
            <w:rStyle w:val="Hyperlink"/>
            <w:rFonts w:eastAsiaTheme="majorEastAsia"/>
            <w:noProof/>
          </w:rPr>
          <w:t xml:space="preserve">Figure 39. Differences of </w:t>
        </w:r>
        <w:r w:rsidRPr="00DE2B09">
          <w:rPr>
            <w:rStyle w:val="Hyperlink"/>
            <w:rFonts w:eastAsiaTheme="majorEastAsia"/>
            <w:i/>
            <w:iCs/>
            <w:noProof/>
          </w:rPr>
          <w:t>Ruppia tuberosa</w:t>
        </w:r>
        <w:r w:rsidRPr="00DE2B09">
          <w:rPr>
            <w:rStyle w:val="Hyperlink"/>
            <w:rFonts w:eastAsiaTheme="majorEastAsia"/>
            <w:noProof/>
          </w:rPr>
          <w:t xml:space="preserve"> HSI (habitat suitability index) values for sexual reproduction in 2023 between the no Commonwealth environmental water since 2017 (No CEW 7 years) and the ‘All Water’ (base-case) conditions.</w:t>
        </w:r>
        <w:r>
          <w:rPr>
            <w:noProof/>
            <w:webHidden/>
          </w:rPr>
          <w:tab/>
        </w:r>
        <w:r>
          <w:rPr>
            <w:noProof/>
            <w:webHidden/>
          </w:rPr>
          <w:fldChar w:fldCharType="begin"/>
        </w:r>
        <w:r>
          <w:rPr>
            <w:noProof/>
            <w:webHidden/>
          </w:rPr>
          <w:instrText xml:space="preserve"> PAGEREF _Toc200464490 \h </w:instrText>
        </w:r>
        <w:r>
          <w:rPr>
            <w:noProof/>
            <w:webHidden/>
          </w:rPr>
        </w:r>
        <w:r>
          <w:rPr>
            <w:noProof/>
            <w:webHidden/>
          </w:rPr>
          <w:fldChar w:fldCharType="separate"/>
        </w:r>
        <w:r w:rsidR="00102828">
          <w:rPr>
            <w:noProof/>
            <w:webHidden/>
          </w:rPr>
          <w:t>86</w:t>
        </w:r>
        <w:r>
          <w:rPr>
            <w:noProof/>
            <w:webHidden/>
          </w:rPr>
          <w:fldChar w:fldCharType="end"/>
        </w:r>
      </w:hyperlink>
    </w:p>
    <w:p w14:paraId="61AC0B01" w14:textId="2115E6A4"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91" w:history="1">
        <w:r w:rsidRPr="00DE2B09">
          <w:rPr>
            <w:rStyle w:val="Hyperlink"/>
            <w:rFonts w:eastAsiaTheme="majorEastAsia"/>
            <w:noProof/>
          </w:rPr>
          <w:t>Figure 40. Differences of Ruppia tuberosa HSI (habitat suitability index) values for asexual reproduction in 2023 between the no Commonwealth environmental water since 2017 (No CEW 7 years) and the ‘All Water’ (base-case) conditions.</w:t>
        </w:r>
        <w:r>
          <w:rPr>
            <w:noProof/>
            <w:webHidden/>
          </w:rPr>
          <w:tab/>
        </w:r>
        <w:r>
          <w:rPr>
            <w:noProof/>
            <w:webHidden/>
          </w:rPr>
          <w:fldChar w:fldCharType="begin"/>
        </w:r>
        <w:r>
          <w:rPr>
            <w:noProof/>
            <w:webHidden/>
          </w:rPr>
          <w:instrText xml:space="preserve"> PAGEREF _Toc200464491 \h </w:instrText>
        </w:r>
        <w:r>
          <w:rPr>
            <w:noProof/>
            <w:webHidden/>
          </w:rPr>
        </w:r>
        <w:r>
          <w:rPr>
            <w:noProof/>
            <w:webHidden/>
          </w:rPr>
          <w:fldChar w:fldCharType="separate"/>
        </w:r>
        <w:r w:rsidR="00102828">
          <w:rPr>
            <w:noProof/>
            <w:webHidden/>
          </w:rPr>
          <w:t>87</w:t>
        </w:r>
        <w:r>
          <w:rPr>
            <w:noProof/>
            <w:webHidden/>
          </w:rPr>
          <w:fldChar w:fldCharType="end"/>
        </w:r>
      </w:hyperlink>
    </w:p>
    <w:p w14:paraId="202F20FF" w14:textId="44562FE1"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92" w:history="1">
        <w:r w:rsidRPr="00DE2B09">
          <w:rPr>
            <w:rStyle w:val="Hyperlink"/>
            <w:rFonts w:eastAsiaTheme="majorEastAsia"/>
            <w:noProof/>
          </w:rPr>
          <w:t>Figure 41. Habitat area of juvenile stages of key fish species for the scenarios showing the cumulative effect of environmental water delivery (i.e. 7 years for 2023-24).</w:t>
        </w:r>
        <w:r>
          <w:rPr>
            <w:noProof/>
            <w:webHidden/>
          </w:rPr>
          <w:tab/>
        </w:r>
        <w:r>
          <w:rPr>
            <w:noProof/>
            <w:webHidden/>
          </w:rPr>
          <w:fldChar w:fldCharType="begin"/>
        </w:r>
        <w:r>
          <w:rPr>
            <w:noProof/>
            <w:webHidden/>
          </w:rPr>
          <w:instrText xml:space="preserve"> PAGEREF _Toc200464492 \h </w:instrText>
        </w:r>
        <w:r>
          <w:rPr>
            <w:noProof/>
            <w:webHidden/>
          </w:rPr>
        </w:r>
        <w:r>
          <w:rPr>
            <w:noProof/>
            <w:webHidden/>
          </w:rPr>
          <w:fldChar w:fldCharType="separate"/>
        </w:r>
        <w:r w:rsidR="00102828">
          <w:rPr>
            <w:noProof/>
            <w:webHidden/>
          </w:rPr>
          <w:t>88</w:t>
        </w:r>
        <w:r>
          <w:rPr>
            <w:noProof/>
            <w:webHidden/>
          </w:rPr>
          <w:fldChar w:fldCharType="end"/>
        </w:r>
      </w:hyperlink>
    </w:p>
    <w:p w14:paraId="1CC00599" w14:textId="77777777" w:rsidR="00254058" w:rsidRDefault="00254058">
      <w:pPr>
        <w:spacing w:before="0" w:after="160" w:line="259" w:lineRule="auto"/>
        <w:jc w:val="left"/>
        <w:rPr>
          <w:noProof/>
          <w:kern w:val="0"/>
          <w:lang w:eastAsia="en-AU"/>
        </w:rPr>
      </w:pPr>
      <w:r>
        <w:rPr>
          <w:noProof/>
        </w:rPr>
        <w:br w:type="page"/>
      </w:r>
    </w:p>
    <w:p w14:paraId="4B11A53C" w14:textId="3F6462C1"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93" w:history="1">
        <w:r w:rsidRPr="00DE2B09">
          <w:rPr>
            <w:rStyle w:val="Hyperlink"/>
            <w:rFonts w:eastAsiaTheme="majorEastAsia"/>
            <w:noProof/>
          </w:rPr>
          <w:t>Figure 42. Monthly habitat area “lost” for black bream during July 2023–June 2024 if there was no Commonwealth environmental water delivery since 2017 (calculated as the difference between habitat in the ‘All Water’ (base-case) and ‘No CEW 7 years’ scenarios).</w:t>
        </w:r>
        <w:r>
          <w:rPr>
            <w:noProof/>
            <w:webHidden/>
          </w:rPr>
          <w:tab/>
        </w:r>
        <w:r>
          <w:rPr>
            <w:noProof/>
            <w:webHidden/>
          </w:rPr>
          <w:fldChar w:fldCharType="begin"/>
        </w:r>
        <w:r>
          <w:rPr>
            <w:noProof/>
            <w:webHidden/>
          </w:rPr>
          <w:instrText xml:space="preserve"> PAGEREF _Toc200464493 \h </w:instrText>
        </w:r>
        <w:r>
          <w:rPr>
            <w:noProof/>
            <w:webHidden/>
          </w:rPr>
        </w:r>
        <w:r>
          <w:rPr>
            <w:noProof/>
            <w:webHidden/>
          </w:rPr>
          <w:fldChar w:fldCharType="separate"/>
        </w:r>
        <w:r w:rsidR="00102828">
          <w:rPr>
            <w:noProof/>
            <w:webHidden/>
          </w:rPr>
          <w:t>89</w:t>
        </w:r>
        <w:r>
          <w:rPr>
            <w:noProof/>
            <w:webHidden/>
          </w:rPr>
          <w:fldChar w:fldCharType="end"/>
        </w:r>
      </w:hyperlink>
    </w:p>
    <w:p w14:paraId="7EFCDD63" w14:textId="2D877CA6"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94" w:history="1">
        <w:r w:rsidRPr="00DE2B09">
          <w:rPr>
            <w:rStyle w:val="Hyperlink"/>
            <w:rFonts w:eastAsiaTheme="majorEastAsia"/>
            <w:noProof/>
          </w:rPr>
          <w:t>Figure 43. Position of quadrats in relation to the maximum water level the prior spring/summer.</w:t>
        </w:r>
        <w:r>
          <w:rPr>
            <w:noProof/>
            <w:webHidden/>
          </w:rPr>
          <w:tab/>
        </w:r>
        <w:r>
          <w:rPr>
            <w:noProof/>
            <w:webHidden/>
          </w:rPr>
          <w:fldChar w:fldCharType="begin"/>
        </w:r>
        <w:r>
          <w:rPr>
            <w:noProof/>
            <w:webHidden/>
          </w:rPr>
          <w:instrText xml:space="preserve"> PAGEREF _Toc200464494 \h </w:instrText>
        </w:r>
        <w:r>
          <w:rPr>
            <w:noProof/>
            <w:webHidden/>
          </w:rPr>
        </w:r>
        <w:r>
          <w:rPr>
            <w:noProof/>
            <w:webHidden/>
          </w:rPr>
          <w:fldChar w:fldCharType="separate"/>
        </w:r>
        <w:r w:rsidR="00102828">
          <w:rPr>
            <w:noProof/>
            <w:webHidden/>
          </w:rPr>
          <w:t>97</w:t>
        </w:r>
        <w:r>
          <w:rPr>
            <w:noProof/>
            <w:webHidden/>
          </w:rPr>
          <w:fldChar w:fldCharType="end"/>
        </w:r>
      </w:hyperlink>
    </w:p>
    <w:p w14:paraId="45C62310" w14:textId="5A1BB8F3"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95" w:history="1">
        <w:r w:rsidRPr="00DE2B09">
          <w:rPr>
            <w:rStyle w:val="Hyperlink"/>
            <w:rFonts w:eastAsiaTheme="majorEastAsia"/>
            <w:noProof/>
          </w:rPr>
          <w:t>Figure 44. nMDS ordination comparing the plant community downstream of a) Lock 1, b) Lock 4, and c) Lock 6 in each inundation zone for the December 2019, February 2021 and June 2024 surveys.</w:t>
        </w:r>
        <w:r>
          <w:rPr>
            <w:noProof/>
            <w:webHidden/>
          </w:rPr>
          <w:tab/>
        </w:r>
        <w:r>
          <w:rPr>
            <w:noProof/>
            <w:webHidden/>
          </w:rPr>
          <w:fldChar w:fldCharType="begin"/>
        </w:r>
        <w:r>
          <w:rPr>
            <w:noProof/>
            <w:webHidden/>
          </w:rPr>
          <w:instrText xml:space="preserve"> PAGEREF _Toc200464495 \h </w:instrText>
        </w:r>
        <w:r>
          <w:rPr>
            <w:noProof/>
            <w:webHidden/>
          </w:rPr>
        </w:r>
        <w:r>
          <w:rPr>
            <w:noProof/>
            <w:webHidden/>
          </w:rPr>
          <w:fldChar w:fldCharType="separate"/>
        </w:r>
        <w:r w:rsidR="00102828">
          <w:rPr>
            <w:noProof/>
            <w:webHidden/>
          </w:rPr>
          <w:t>100</w:t>
        </w:r>
        <w:r>
          <w:rPr>
            <w:noProof/>
            <w:webHidden/>
          </w:rPr>
          <w:fldChar w:fldCharType="end"/>
        </w:r>
      </w:hyperlink>
    </w:p>
    <w:p w14:paraId="5D3BFFA4" w14:textId="4D707CA0"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96" w:history="1">
        <w:r w:rsidRPr="00DE2B09">
          <w:rPr>
            <w:rStyle w:val="Hyperlink"/>
            <w:rFonts w:eastAsiaTheme="majorEastAsia"/>
            <w:noProof/>
          </w:rPr>
          <w:t>Figure 45. Native species richness in each inundation zone in each reach in June 2024</w:t>
        </w:r>
        <w:r w:rsidR="00254058">
          <w:rPr>
            <w:rStyle w:val="Hyperlink"/>
            <w:rFonts w:eastAsiaTheme="majorEastAsia"/>
            <w:noProof/>
          </w:rPr>
          <w:t>……..</w:t>
        </w:r>
        <w:r w:rsidRPr="00DE2B09">
          <w:rPr>
            <w:rStyle w:val="Hyperlink"/>
            <w:rFonts w:eastAsiaTheme="majorEastAsia"/>
            <w:noProof/>
          </w:rPr>
          <w:t>.</w:t>
        </w:r>
        <w:r>
          <w:rPr>
            <w:noProof/>
            <w:webHidden/>
          </w:rPr>
          <w:tab/>
        </w:r>
        <w:r>
          <w:rPr>
            <w:noProof/>
            <w:webHidden/>
          </w:rPr>
          <w:fldChar w:fldCharType="begin"/>
        </w:r>
        <w:r>
          <w:rPr>
            <w:noProof/>
            <w:webHidden/>
          </w:rPr>
          <w:instrText xml:space="preserve"> PAGEREF _Toc200464496 \h </w:instrText>
        </w:r>
        <w:r>
          <w:rPr>
            <w:noProof/>
            <w:webHidden/>
          </w:rPr>
        </w:r>
        <w:r>
          <w:rPr>
            <w:noProof/>
            <w:webHidden/>
          </w:rPr>
          <w:fldChar w:fldCharType="separate"/>
        </w:r>
        <w:r w:rsidR="00102828">
          <w:rPr>
            <w:noProof/>
            <w:webHidden/>
          </w:rPr>
          <w:t>101</w:t>
        </w:r>
        <w:r>
          <w:rPr>
            <w:noProof/>
            <w:webHidden/>
          </w:rPr>
          <w:fldChar w:fldCharType="end"/>
        </w:r>
      </w:hyperlink>
    </w:p>
    <w:p w14:paraId="61CB26D2" w14:textId="4E627A24"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97" w:history="1">
        <w:r w:rsidRPr="00DE2B09">
          <w:rPr>
            <w:rStyle w:val="Hyperlink"/>
            <w:rFonts w:eastAsiaTheme="majorEastAsia"/>
            <w:noProof/>
          </w:rPr>
          <w:t>Figure 46. Percentage of cells occupied by each functional group in each inundation zone in in the Lower Murray River in June 2024.</w:t>
        </w:r>
        <w:r>
          <w:rPr>
            <w:noProof/>
            <w:webHidden/>
          </w:rPr>
          <w:tab/>
        </w:r>
        <w:r>
          <w:rPr>
            <w:noProof/>
            <w:webHidden/>
          </w:rPr>
          <w:fldChar w:fldCharType="begin"/>
        </w:r>
        <w:r>
          <w:rPr>
            <w:noProof/>
            <w:webHidden/>
          </w:rPr>
          <w:instrText xml:space="preserve"> PAGEREF _Toc200464497 \h </w:instrText>
        </w:r>
        <w:r>
          <w:rPr>
            <w:noProof/>
            <w:webHidden/>
          </w:rPr>
        </w:r>
        <w:r>
          <w:rPr>
            <w:noProof/>
            <w:webHidden/>
          </w:rPr>
          <w:fldChar w:fldCharType="separate"/>
        </w:r>
        <w:r w:rsidR="00102828">
          <w:rPr>
            <w:noProof/>
            <w:webHidden/>
          </w:rPr>
          <w:t>102</w:t>
        </w:r>
        <w:r>
          <w:rPr>
            <w:noProof/>
            <w:webHidden/>
          </w:rPr>
          <w:fldChar w:fldCharType="end"/>
        </w:r>
      </w:hyperlink>
    </w:p>
    <w:p w14:paraId="499D23E0" w14:textId="6A8DE2DF"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98" w:history="1">
        <w:r w:rsidRPr="00DE2B09">
          <w:rPr>
            <w:rStyle w:val="Hyperlink"/>
            <w:rFonts w:eastAsiaTheme="majorEastAsia"/>
            <w:noProof/>
          </w:rPr>
          <w:t>Figure 47. nMDS ordination comparing the plant community in each inundation zone in each reach in June 2024.</w:t>
        </w:r>
        <w:r>
          <w:rPr>
            <w:noProof/>
            <w:webHidden/>
          </w:rPr>
          <w:tab/>
        </w:r>
        <w:r>
          <w:rPr>
            <w:noProof/>
            <w:webHidden/>
          </w:rPr>
          <w:fldChar w:fldCharType="begin"/>
        </w:r>
        <w:r>
          <w:rPr>
            <w:noProof/>
            <w:webHidden/>
          </w:rPr>
          <w:instrText xml:space="preserve"> PAGEREF _Toc200464498 \h </w:instrText>
        </w:r>
        <w:r>
          <w:rPr>
            <w:noProof/>
            <w:webHidden/>
          </w:rPr>
        </w:r>
        <w:r>
          <w:rPr>
            <w:noProof/>
            <w:webHidden/>
          </w:rPr>
          <w:fldChar w:fldCharType="separate"/>
        </w:r>
        <w:r w:rsidR="00102828">
          <w:rPr>
            <w:noProof/>
            <w:webHidden/>
          </w:rPr>
          <w:t>103</w:t>
        </w:r>
        <w:r>
          <w:rPr>
            <w:noProof/>
            <w:webHidden/>
          </w:rPr>
          <w:fldChar w:fldCharType="end"/>
        </w:r>
      </w:hyperlink>
    </w:p>
    <w:p w14:paraId="2C761D32" w14:textId="6134D8C7"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499" w:history="1">
        <w:r w:rsidRPr="00DE2B09">
          <w:rPr>
            <w:rStyle w:val="Hyperlink"/>
            <w:rFonts w:eastAsiaTheme="majorEastAsia"/>
            <w:noProof/>
          </w:rPr>
          <w:t>Figure 48. Above ground biomass in each inundation zone in each reach in June 2024</w:t>
        </w:r>
        <w:r w:rsidR="00254058">
          <w:rPr>
            <w:rStyle w:val="Hyperlink"/>
            <w:rFonts w:eastAsiaTheme="majorEastAsia"/>
            <w:noProof/>
          </w:rPr>
          <w:t>…….</w:t>
        </w:r>
        <w:r w:rsidRPr="00DE2B09">
          <w:rPr>
            <w:rStyle w:val="Hyperlink"/>
            <w:rFonts w:eastAsiaTheme="majorEastAsia"/>
            <w:noProof/>
          </w:rPr>
          <w:t>.</w:t>
        </w:r>
        <w:r>
          <w:rPr>
            <w:noProof/>
            <w:webHidden/>
          </w:rPr>
          <w:tab/>
        </w:r>
        <w:r>
          <w:rPr>
            <w:noProof/>
            <w:webHidden/>
          </w:rPr>
          <w:fldChar w:fldCharType="begin"/>
        </w:r>
        <w:r>
          <w:rPr>
            <w:noProof/>
            <w:webHidden/>
          </w:rPr>
          <w:instrText xml:space="preserve"> PAGEREF _Toc200464499 \h </w:instrText>
        </w:r>
        <w:r>
          <w:rPr>
            <w:noProof/>
            <w:webHidden/>
          </w:rPr>
        </w:r>
        <w:r>
          <w:rPr>
            <w:noProof/>
            <w:webHidden/>
          </w:rPr>
          <w:fldChar w:fldCharType="separate"/>
        </w:r>
        <w:r w:rsidR="00102828">
          <w:rPr>
            <w:noProof/>
            <w:webHidden/>
          </w:rPr>
          <w:t>104</w:t>
        </w:r>
        <w:r>
          <w:rPr>
            <w:noProof/>
            <w:webHidden/>
          </w:rPr>
          <w:fldChar w:fldCharType="end"/>
        </w:r>
      </w:hyperlink>
    </w:p>
    <w:p w14:paraId="4A4AD251" w14:textId="5090D5AC"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00" w:history="1">
        <w:r w:rsidRPr="00DE2B09">
          <w:rPr>
            <w:rStyle w:val="Hyperlink"/>
            <w:rFonts w:eastAsiaTheme="majorEastAsia"/>
            <w:noProof/>
          </w:rPr>
          <w:t>Figure 49. Annual mean observed density (individuals/litre, ind/L) and taxonomic richness (number of taxa) for 2014–2024, except 2018-19.</w:t>
        </w:r>
        <w:r>
          <w:rPr>
            <w:noProof/>
            <w:webHidden/>
          </w:rPr>
          <w:tab/>
        </w:r>
        <w:r>
          <w:rPr>
            <w:noProof/>
            <w:webHidden/>
          </w:rPr>
          <w:fldChar w:fldCharType="begin"/>
        </w:r>
        <w:r>
          <w:rPr>
            <w:noProof/>
            <w:webHidden/>
          </w:rPr>
          <w:instrText xml:space="preserve"> PAGEREF _Toc200464500 \h </w:instrText>
        </w:r>
        <w:r>
          <w:rPr>
            <w:noProof/>
            <w:webHidden/>
          </w:rPr>
        </w:r>
        <w:r>
          <w:rPr>
            <w:noProof/>
            <w:webHidden/>
          </w:rPr>
          <w:fldChar w:fldCharType="separate"/>
        </w:r>
        <w:r w:rsidR="00102828">
          <w:rPr>
            <w:noProof/>
            <w:webHidden/>
          </w:rPr>
          <w:t>115</w:t>
        </w:r>
        <w:r>
          <w:rPr>
            <w:noProof/>
            <w:webHidden/>
          </w:rPr>
          <w:fldChar w:fldCharType="end"/>
        </w:r>
      </w:hyperlink>
    </w:p>
    <w:p w14:paraId="33734E62" w14:textId="50913F87"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01" w:history="1">
        <w:r w:rsidRPr="00DE2B09">
          <w:rPr>
            <w:rStyle w:val="Hyperlink"/>
            <w:rFonts w:eastAsiaTheme="majorEastAsia"/>
            <w:noProof/>
          </w:rPr>
          <w:t>Figure 50. Observed density (individuals/litre, ind/L) and taxonomic richness (number of taxa) for 2023-24 sampling downstream of each lock.</w:t>
        </w:r>
        <w:r>
          <w:rPr>
            <w:noProof/>
            <w:webHidden/>
          </w:rPr>
          <w:tab/>
        </w:r>
        <w:r>
          <w:rPr>
            <w:noProof/>
            <w:webHidden/>
          </w:rPr>
          <w:fldChar w:fldCharType="begin"/>
        </w:r>
        <w:r>
          <w:rPr>
            <w:noProof/>
            <w:webHidden/>
          </w:rPr>
          <w:instrText xml:space="preserve"> PAGEREF _Toc200464501 \h </w:instrText>
        </w:r>
        <w:r>
          <w:rPr>
            <w:noProof/>
            <w:webHidden/>
          </w:rPr>
        </w:r>
        <w:r>
          <w:rPr>
            <w:noProof/>
            <w:webHidden/>
          </w:rPr>
          <w:fldChar w:fldCharType="separate"/>
        </w:r>
        <w:r w:rsidR="00102828">
          <w:rPr>
            <w:noProof/>
            <w:webHidden/>
          </w:rPr>
          <w:t>116</w:t>
        </w:r>
        <w:r>
          <w:rPr>
            <w:noProof/>
            <w:webHidden/>
          </w:rPr>
          <w:fldChar w:fldCharType="end"/>
        </w:r>
      </w:hyperlink>
    </w:p>
    <w:p w14:paraId="6992E116" w14:textId="5DACEB4A"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02" w:history="1">
        <w:r w:rsidRPr="00DE2B09">
          <w:rPr>
            <w:rStyle w:val="Hyperlink"/>
            <w:rFonts w:eastAsiaTheme="majorEastAsia"/>
            <w:noProof/>
          </w:rPr>
          <w:t>Figure 51. Functional group density (individuals/litre, ind/L) by sampling date and location for the 2023-24 season.</w:t>
        </w:r>
        <w:r>
          <w:rPr>
            <w:noProof/>
            <w:webHidden/>
          </w:rPr>
          <w:tab/>
        </w:r>
        <w:r>
          <w:rPr>
            <w:noProof/>
            <w:webHidden/>
          </w:rPr>
          <w:fldChar w:fldCharType="begin"/>
        </w:r>
        <w:r>
          <w:rPr>
            <w:noProof/>
            <w:webHidden/>
          </w:rPr>
          <w:instrText xml:space="preserve"> PAGEREF _Toc200464502 \h </w:instrText>
        </w:r>
        <w:r>
          <w:rPr>
            <w:noProof/>
            <w:webHidden/>
          </w:rPr>
        </w:r>
        <w:r>
          <w:rPr>
            <w:noProof/>
            <w:webHidden/>
          </w:rPr>
          <w:fldChar w:fldCharType="separate"/>
        </w:r>
        <w:r w:rsidR="00102828">
          <w:rPr>
            <w:noProof/>
            <w:webHidden/>
          </w:rPr>
          <w:t>117</w:t>
        </w:r>
        <w:r>
          <w:rPr>
            <w:noProof/>
            <w:webHidden/>
          </w:rPr>
          <w:fldChar w:fldCharType="end"/>
        </w:r>
      </w:hyperlink>
    </w:p>
    <w:p w14:paraId="42D200E1" w14:textId="0E2B21F3"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03" w:history="1">
        <w:r w:rsidRPr="00DE2B09">
          <w:rPr>
            <w:rStyle w:val="Hyperlink"/>
            <w:rFonts w:eastAsiaTheme="majorEastAsia"/>
            <w:noProof/>
          </w:rPr>
          <w:t>Figure 52. Modelled (a) microinvertebrate density (individuals/litre, ind/L) and (b) taxonomic richness (number of taxa) by water year over the period 2014−2024 (2018-19 not sampled).</w:t>
        </w:r>
        <w:r>
          <w:rPr>
            <w:noProof/>
            <w:webHidden/>
          </w:rPr>
          <w:tab/>
        </w:r>
        <w:r>
          <w:rPr>
            <w:noProof/>
            <w:webHidden/>
          </w:rPr>
          <w:fldChar w:fldCharType="begin"/>
        </w:r>
        <w:r>
          <w:rPr>
            <w:noProof/>
            <w:webHidden/>
          </w:rPr>
          <w:instrText xml:space="preserve"> PAGEREF _Toc200464503 \h </w:instrText>
        </w:r>
        <w:r>
          <w:rPr>
            <w:noProof/>
            <w:webHidden/>
          </w:rPr>
        </w:r>
        <w:r>
          <w:rPr>
            <w:noProof/>
            <w:webHidden/>
          </w:rPr>
          <w:fldChar w:fldCharType="separate"/>
        </w:r>
        <w:r w:rsidR="00102828">
          <w:rPr>
            <w:noProof/>
            <w:webHidden/>
          </w:rPr>
          <w:t>118</w:t>
        </w:r>
        <w:r>
          <w:rPr>
            <w:noProof/>
            <w:webHidden/>
          </w:rPr>
          <w:fldChar w:fldCharType="end"/>
        </w:r>
      </w:hyperlink>
    </w:p>
    <w:p w14:paraId="0D788332" w14:textId="5B4CFE02"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04" w:history="1">
        <w:r w:rsidRPr="00DE2B09">
          <w:rPr>
            <w:rStyle w:val="Hyperlink"/>
            <w:rFonts w:eastAsiaTheme="majorEastAsia"/>
            <w:noProof/>
          </w:rPr>
          <w:t>Figure 53. Observed and modelled density (individuals/litre, ind/L) with and without environmental water (a) microinvertebrate taxa associated with lateral connectivity to floodplains and backwaters and (b) microinvertebrate taxa associated with longitudinal transport and connectivity with upstream areas by water year over the period 2014−2024.</w:t>
        </w:r>
        <w:r>
          <w:rPr>
            <w:noProof/>
            <w:webHidden/>
          </w:rPr>
          <w:tab/>
        </w:r>
        <w:r>
          <w:rPr>
            <w:noProof/>
            <w:webHidden/>
          </w:rPr>
          <w:fldChar w:fldCharType="begin"/>
        </w:r>
        <w:r>
          <w:rPr>
            <w:noProof/>
            <w:webHidden/>
          </w:rPr>
          <w:instrText xml:space="preserve"> PAGEREF _Toc200464504 \h </w:instrText>
        </w:r>
        <w:r>
          <w:rPr>
            <w:noProof/>
            <w:webHidden/>
          </w:rPr>
        </w:r>
        <w:r>
          <w:rPr>
            <w:noProof/>
            <w:webHidden/>
          </w:rPr>
          <w:fldChar w:fldCharType="separate"/>
        </w:r>
        <w:r w:rsidR="00102828">
          <w:rPr>
            <w:noProof/>
            <w:webHidden/>
          </w:rPr>
          <w:t>120</w:t>
        </w:r>
        <w:r>
          <w:rPr>
            <w:noProof/>
            <w:webHidden/>
          </w:rPr>
          <w:fldChar w:fldCharType="end"/>
        </w:r>
      </w:hyperlink>
    </w:p>
    <w:p w14:paraId="634DC544" w14:textId="70271310"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05" w:history="1">
        <w:r w:rsidRPr="00DE2B09">
          <w:rPr>
            <w:rStyle w:val="Hyperlink"/>
            <w:rFonts w:eastAsiaTheme="majorEastAsia"/>
            <w:noProof/>
          </w:rPr>
          <w:t>Figure 54. Modelled density (individuals/litre, ind/L) of microinvertebrate prey taxa for large-bodied fish larvae in the Lower Murray during spring–early summer (mid-October to late-December) for 2014−2024.</w:t>
        </w:r>
        <w:r>
          <w:rPr>
            <w:noProof/>
            <w:webHidden/>
          </w:rPr>
          <w:tab/>
        </w:r>
        <w:r>
          <w:rPr>
            <w:noProof/>
            <w:webHidden/>
          </w:rPr>
          <w:fldChar w:fldCharType="begin"/>
        </w:r>
        <w:r>
          <w:rPr>
            <w:noProof/>
            <w:webHidden/>
          </w:rPr>
          <w:instrText xml:space="preserve"> PAGEREF _Toc200464505 \h </w:instrText>
        </w:r>
        <w:r>
          <w:rPr>
            <w:noProof/>
            <w:webHidden/>
          </w:rPr>
        </w:r>
        <w:r>
          <w:rPr>
            <w:noProof/>
            <w:webHidden/>
          </w:rPr>
          <w:fldChar w:fldCharType="separate"/>
        </w:r>
        <w:r w:rsidR="00102828">
          <w:rPr>
            <w:noProof/>
            <w:webHidden/>
          </w:rPr>
          <w:t>121</w:t>
        </w:r>
        <w:r>
          <w:rPr>
            <w:noProof/>
            <w:webHidden/>
          </w:rPr>
          <w:fldChar w:fldCharType="end"/>
        </w:r>
      </w:hyperlink>
    </w:p>
    <w:p w14:paraId="3995B312" w14:textId="4BF1B60C"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06" w:history="1">
        <w:r w:rsidRPr="00DE2B09">
          <w:rPr>
            <w:rStyle w:val="Hyperlink"/>
            <w:rFonts w:eastAsiaTheme="majorEastAsia"/>
            <w:noProof/>
          </w:rPr>
          <w:t>Figure 55. Map showing the location of the Murray–Darling Basin (MDB) and the major rivers that comprise the southern MDB, the numbered Locks (L) and Weirs (up to Lock 26, Torrumbarry), the Darling, Lachlan, Murrumbidgee, Edward–Wakool, Campaspe and Goulburn rivers and Lake Victoria, an off-stream storage used to regulate flows in the Murray River below Lock 9.</w:t>
        </w:r>
        <w:r>
          <w:rPr>
            <w:noProof/>
            <w:webHidden/>
          </w:rPr>
          <w:tab/>
        </w:r>
        <w:r>
          <w:rPr>
            <w:noProof/>
            <w:webHidden/>
          </w:rPr>
          <w:fldChar w:fldCharType="begin"/>
        </w:r>
        <w:r>
          <w:rPr>
            <w:noProof/>
            <w:webHidden/>
          </w:rPr>
          <w:instrText xml:space="preserve"> PAGEREF _Toc200464506 \h </w:instrText>
        </w:r>
        <w:r>
          <w:rPr>
            <w:noProof/>
            <w:webHidden/>
          </w:rPr>
        </w:r>
        <w:r>
          <w:rPr>
            <w:noProof/>
            <w:webHidden/>
          </w:rPr>
          <w:fldChar w:fldCharType="separate"/>
        </w:r>
        <w:r w:rsidR="00102828">
          <w:rPr>
            <w:noProof/>
            <w:webHidden/>
          </w:rPr>
          <w:t>131</w:t>
        </w:r>
        <w:r>
          <w:rPr>
            <w:noProof/>
            <w:webHidden/>
          </w:rPr>
          <w:fldChar w:fldCharType="end"/>
        </w:r>
      </w:hyperlink>
    </w:p>
    <w:p w14:paraId="556F17AF" w14:textId="77777777" w:rsidR="00254058" w:rsidRDefault="00254058">
      <w:pPr>
        <w:spacing w:before="0" w:after="160" w:line="259" w:lineRule="auto"/>
        <w:jc w:val="left"/>
        <w:rPr>
          <w:noProof/>
          <w:kern w:val="0"/>
          <w:lang w:eastAsia="en-AU"/>
        </w:rPr>
      </w:pPr>
      <w:r>
        <w:rPr>
          <w:noProof/>
        </w:rPr>
        <w:br w:type="page"/>
      </w:r>
    </w:p>
    <w:p w14:paraId="3F038C8F" w14:textId="7A280A95"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07" w:history="1">
        <w:r w:rsidRPr="00DE2B09">
          <w:rPr>
            <w:rStyle w:val="Hyperlink"/>
            <w:rFonts w:eastAsiaTheme="majorEastAsia"/>
            <w:noProof/>
          </w:rPr>
          <w:t xml:space="preserve">Figure 56. (a) Mean </w:t>
        </w:r>
        <w:r w:rsidRPr="00DE2B09">
          <w:rPr>
            <w:rStyle w:val="Hyperlink"/>
            <w:rFonts w:eastAsiaTheme="majorEastAsia"/>
            <w:noProof/>
            <w:vertAlign w:val="superscript"/>
          </w:rPr>
          <w:t>87</w:t>
        </w:r>
        <w:r w:rsidRPr="00DE2B09">
          <w:rPr>
            <w:rStyle w:val="Hyperlink"/>
            <w:rFonts w:eastAsiaTheme="majorEastAsia"/>
            <w:noProof/>
          </w:rPr>
          <w:t>Sr/</w:t>
        </w:r>
        <w:r w:rsidRPr="00DE2B09">
          <w:rPr>
            <w:rStyle w:val="Hyperlink"/>
            <w:rFonts w:eastAsiaTheme="majorEastAsia"/>
            <w:noProof/>
            <w:vertAlign w:val="superscript"/>
          </w:rPr>
          <w:t>86</w:t>
        </w:r>
        <w:r w:rsidRPr="00DE2B09">
          <w:rPr>
            <w:rStyle w:val="Hyperlink"/>
            <w:rFonts w:eastAsiaTheme="majorEastAsia"/>
            <w:noProof/>
          </w:rPr>
          <w:t>Sr (with minimum and maximum values as error bars) in water samples collected from spring–summer in the Murray (Barmah, Torrumbarry and Locks 11,  9, 6 and 1) and Darling rivers from 2011–2024, and (b) annual discharge (GL) in the Murray River at the South Australian border (QSA) and the proportion of discharge from the Darling River at Burtundy that contributed to QSA.</w:t>
        </w:r>
        <w:r>
          <w:rPr>
            <w:noProof/>
            <w:webHidden/>
          </w:rPr>
          <w:tab/>
        </w:r>
        <w:r>
          <w:rPr>
            <w:noProof/>
            <w:webHidden/>
          </w:rPr>
          <w:fldChar w:fldCharType="begin"/>
        </w:r>
        <w:r>
          <w:rPr>
            <w:noProof/>
            <w:webHidden/>
          </w:rPr>
          <w:instrText xml:space="preserve"> PAGEREF _Toc200464507 \h </w:instrText>
        </w:r>
        <w:r>
          <w:rPr>
            <w:noProof/>
            <w:webHidden/>
          </w:rPr>
        </w:r>
        <w:r>
          <w:rPr>
            <w:noProof/>
            <w:webHidden/>
          </w:rPr>
          <w:fldChar w:fldCharType="separate"/>
        </w:r>
        <w:r w:rsidR="00102828">
          <w:rPr>
            <w:noProof/>
            <w:webHidden/>
          </w:rPr>
          <w:t>135</w:t>
        </w:r>
        <w:r>
          <w:rPr>
            <w:noProof/>
            <w:webHidden/>
          </w:rPr>
          <w:fldChar w:fldCharType="end"/>
        </w:r>
      </w:hyperlink>
    </w:p>
    <w:p w14:paraId="06342DAF" w14:textId="2601F824"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08" w:history="1">
        <w:r w:rsidRPr="00DE2B09">
          <w:rPr>
            <w:rStyle w:val="Hyperlink"/>
            <w:rFonts w:eastAsiaTheme="majorEastAsia"/>
            <w:noProof/>
          </w:rPr>
          <w:t>Figure 57. (a) Mean daily flow (by month) in the Murray River at the South Australian (SA) border and in the Darling River at Burtundy; and mean catch-per-unit-effort (CPUE, individuals per net per trip) ± standard error of (b) fish eggs, (c) silver perch larvae and (d) golden perch larvae collected at long-term sites downstream of Locks 4 (2020–2024 only), 6 and 1, in the Lower Murray River, from 2010–2024 during larval tow sampling</w:t>
        </w:r>
        <w:r>
          <w:rPr>
            <w:noProof/>
            <w:webHidden/>
          </w:rPr>
          <w:tab/>
        </w:r>
        <w:r>
          <w:rPr>
            <w:noProof/>
            <w:webHidden/>
          </w:rPr>
          <w:fldChar w:fldCharType="begin"/>
        </w:r>
        <w:r>
          <w:rPr>
            <w:noProof/>
            <w:webHidden/>
          </w:rPr>
          <w:instrText xml:space="preserve"> PAGEREF _Toc200464508 \h </w:instrText>
        </w:r>
        <w:r>
          <w:rPr>
            <w:noProof/>
            <w:webHidden/>
          </w:rPr>
        </w:r>
        <w:r>
          <w:rPr>
            <w:noProof/>
            <w:webHidden/>
          </w:rPr>
          <w:fldChar w:fldCharType="separate"/>
        </w:r>
        <w:r w:rsidR="00102828">
          <w:rPr>
            <w:noProof/>
            <w:webHidden/>
          </w:rPr>
          <w:t>137</w:t>
        </w:r>
        <w:r>
          <w:rPr>
            <w:noProof/>
            <w:webHidden/>
          </w:rPr>
          <w:fldChar w:fldCharType="end"/>
        </w:r>
      </w:hyperlink>
    </w:p>
    <w:p w14:paraId="1AC93CFC" w14:textId="757AF726"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09" w:history="1">
        <w:r w:rsidRPr="00DE2B09">
          <w:rPr>
            <w:rStyle w:val="Hyperlink"/>
            <w:rFonts w:eastAsiaTheme="majorEastAsia"/>
            <w:noProof/>
          </w:rPr>
          <w:t>Figure 58. Back-calculated spawn dates (frequency) for larval golden perch (red bars) and silver perch (blue bars) captured at long-term sites downstream of Locks 4 (2020–2024 only), 6 and 1, in the Lower Murray River during spring/summer 2014–2024.</w:t>
        </w:r>
        <w:r>
          <w:rPr>
            <w:noProof/>
            <w:webHidden/>
          </w:rPr>
          <w:tab/>
        </w:r>
        <w:r>
          <w:rPr>
            <w:noProof/>
            <w:webHidden/>
          </w:rPr>
          <w:fldChar w:fldCharType="begin"/>
        </w:r>
        <w:r>
          <w:rPr>
            <w:noProof/>
            <w:webHidden/>
          </w:rPr>
          <w:instrText xml:space="preserve"> PAGEREF _Toc200464509 \h </w:instrText>
        </w:r>
        <w:r>
          <w:rPr>
            <w:noProof/>
            <w:webHidden/>
          </w:rPr>
        </w:r>
        <w:r>
          <w:rPr>
            <w:noProof/>
            <w:webHidden/>
          </w:rPr>
          <w:fldChar w:fldCharType="separate"/>
        </w:r>
        <w:r w:rsidR="00102828">
          <w:rPr>
            <w:noProof/>
            <w:webHidden/>
          </w:rPr>
          <w:t>138</w:t>
        </w:r>
        <w:r>
          <w:rPr>
            <w:noProof/>
            <w:webHidden/>
          </w:rPr>
          <w:fldChar w:fldCharType="end"/>
        </w:r>
      </w:hyperlink>
    </w:p>
    <w:p w14:paraId="3535620B" w14:textId="05DFFAD7"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10" w:history="1">
        <w:r w:rsidRPr="00DE2B09">
          <w:rPr>
            <w:rStyle w:val="Hyperlink"/>
            <w:rFonts w:eastAsiaTheme="majorEastAsia"/>
            <w:noProof/>
          </w:rPr>
          <w:t>Figure 59. Recruitment strength of (a) golden perch and (b) silver perch in the gorge geomorphic zone (10 sites) of the Lower Murray River from 2014–2023.</w:t>
        </w:r>
        <w:r>
          <w:rPr>
            <w:noProof/>
            <w:webHidden/>
          </w:rPr>
          <w:tab/>
        </w:r>
        <w:r>
          <w:rPr>
            <w:noProof/>
            <w:webHidden/>
          </w:rPr>
          <w:fldChar w:fldCharType="begin"/>
        </w:r>
        <w:r>
          <w:rPr>
            <w:noProof/>
            <w:webHidden/>
          </w:rPr>
          <w:instrText xml:space="preserve"> PAGEREF _Toc200464510 \h </w:instrText>
        </w:r>
        <w:r>
          <w:rPr>
            <w:noProof/>
            <w:webHidden/>
          </w:rPr>
        </w:r>
        <w:r>
          <w:rPr>
            <w:noProof/>
            <w:webHidden/>
          </w:rPr>
          <w:fldChar w:fldCharType="separate"/>
        </w:r>
        <w:r w:rsidR="00102828">
          <w:rPr>
            <w:noProof/>
            <w:webHidden/>
          </w:rPr>
          <w:t>139</w:t>
        </w:r>
        <w:r>
          <w:rPr>
            <w:noProof/>
            <w:webHidden/>
          </w:rPr>
          <w:fldChar w:fldCharType="end"/>
        </w:r>
      </w:hyperlink>
    </w:p>
    <w:p w14:paraId="5BFF194F" w14:textId="238D3143"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11" w:history="1">
        <w:r w:rsidRPr="00DE2B09">
          <w:rPr>
            <w:rStyle w:val="Hyperlink"/>
            <w:rFonts w:eastAsiaTheme="majorEastAsia"/>
            <w:noProof/>
          </w:rPr>
          <w:t>Figure 60. Mean catch-per-unit-effort (CPUE) ± standard error of (a) golden perch and (b) silver perch captured during Category 1 Fish Assemblage electrofishing (individuals per 90 second shot) in the gorge geomorphic zone (10 sites) of the Lower Murray River in autumn from 2015–2024.</w:t>
        </w:r>
        <w:r>
          <w:rPr>
            <w:noProof/>
            <w:webHidden/>
          </w:rPr>
          <w:tab/>
        </w:r>
        <w:r>
          <w:rPr>
            <w:noProof/>
            <w:webHidden/>
          </w:rPr>
          <w:fldChar w:fldCharType="begin"/>
        </w:r>
        <w:r>
          <w:rPr>
            <w:noProof/>
            <w:webHidden/>
          </w:rPr>
          <w:instrText xml:space="preserve"> PAGEREF _Toc200464511 \h </w:instrText>
        </w:r>
        <w:r>
          <w:rPr>
            <w:noProof/>
            <w:webHidden/>
          </w:rPr>
        </w:r>
        <w:r>
          <w:rPr>
            <w:noProof/>
            <w:webHidden/>
          </w:rPr>
          <w:fldChar w:fldCharType="separate"/>
        </w:r>
        <w:r w:rsidR="00102828">
          <w:rPr>
            <w:noProof/>
            <w:webHidden/>
          </w:rPr>
          <w:t>140</w:t>
        </w:r>
        <w:r>
          <w:rPr>
            <w:noProof/>
            <w:webHidden/>
          </w:rPr>
          <w:fldChar w:fldCharType="end"/>
        </w:r>
      </w:hyperlink>
    </w:p>
    <w:p w14:paraId="647AD951" w14:textId="08B34388"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12" w:history="1">
        <w:r w:rsidRPr="00DE2B09">
          <w:rPr>
            <w:rStyle w:val="Hyperlink"/>
            <w:rFonts w:eastAsiaTheme="majorEastAsia"/>
            <w:noProof/>
          </w:rPr>
          <w:t>Figure 61. Age frequency distribution of golden perch from the Lower Murray River from 2015–2024 showing the natal origins of dominant cohorts inferred from otolith core signatures of the sampled fish in comparison to the water sample reference collection.</w:t>
        </w:r>
        <w:r>
          <w:rPr>
            <w:noProof/>
            <w:webHidden/>
          </w:rPr>
          <w:tab/>
        </w:r>
        <w:r>
          <w:rPr>
            <w:noProof/>
            <w:webHidden/>
          </w:rPr>
          <w:fldChar w:fldCharType="begin"/>
        </w:r>
        <w:r>
          <w:rPr>
            <w:noProof/>
            <w:webHidden/>
          </w:rPr>
          <w:instrText xml:space="preserve"> PAGEREF _Toc200464512 \h </w:instrText>
        </w:r>
        <w:r>
          <w:rPr>
            <w:noProof/>
            <w:webHidden/>
          </w:rPr>
        </w:r>
        <w:r>
          <w:rPr>
            <w:noProof/>
            <w:webHidden/>
          </w:rPr>
          <w:fldChar w:fldCharType="separate"/>
        </w:r>
        <w:r w:rsidR="00102828">
          <w:rPr>
            <w:noProof/>
            <w:webHidden/>
          </w:rPr>
          <w:t>142</w:t>
        </w:r>
        <w:r>
          <w:rPr>
            <w:noProof/>
            <w:webHidden/>
          </w:rPr>
          <w:fldChar w:fldCharType="end"/>
        </w:r>
      </w:hyperlink>
    </w:p>
    <w:p w14:paraId="57EFEEA9" w14:textId="0AF3FCAC"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13" w:history="1">
        <w:r w:rsidRPr="00DE2B09">
          <w:rPr>
            <w:rStyle w:val="Hyperlink"/>
            <w:rFonts w:eastAsiaTheme="majorEastAsia"/>
            <w:noProof/>
          </w:rPr>
          <w:t>Figure 62. Age frequency distribution of silver perch from the Lower Murray River from 2015–2024 showing the natal origins of dominant cohorts inferred from otolith core signatures of the sampled fish in comparison to the water sample reference collection.</w:t>
        </w:r>
        <w:r>
          <w:rPr>
            <w:noProof/>
            <w:webHidden/>
          </w:rPr>
          <w:tab/>
        </w:r>
        <w:r>
          <w:rPr>
            <w:noProof/>
            <w:webHidden/>
          </w:rPr>
          <w:fldChar w:fldCharType="begin"/>
        </w:r>
        <w:r>
          <w:rPr>
            <w:noProof/>
            <w:webHidden/>
          </w:rPr>
          <w:instrText xml:space="preserve"> PAGEREF _Toc200464513 \h </w:instrText>
        </w:r>
        <w:r>
          <w:rPr>
            <w:noProof/>
            <w:webHidden/>
          </w:rPr>
        </w:r>
        <w:r>
          <w:rPr>
            <w:noProof/>
            <w:webHidden/>
          </w:rPr>
          <w:fldChar w:fldCharType="separate"/>
        </w:r>
        <w:r w:rsidR="00102828">
          <w:rPr>
            <w:noProof/>
            <w:webHidden/>
          </w:rPr>
          <w:t>143</w:t>
        </w:r>
        <w:r>
          <w:rPr>
            <w:noProof/>
            <w:webHidden/>
          </w:rPr>
          <w:fldChar w:fldCharType="end"/>
        </w:r>
      </w:hyperlink>
    </w:p>
    <w:p w14:paraId="2AA3BB5D" w14:textId="6C73C366"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14" w:history="1">
        <w:r w:rsidRPr="00DE2B09">
          <w:rPr>
            <w:rStyle w:val="Hyperlink"/>
            <w:rFonts w:eastAsiaTheme="majorEastAsia"/>
            <w:noProof/>
          </w:rPr>
          <w:t>Figure 63. Total catch-per-unit-effort of Murray cod larvae in the Lower Murray River from (a) targeted light trap sampling (CPUE, larvae per 30 traps) in the tailwaters below Locks 3 and 4, and (b) day-time egg and larval fish bongo tow sampling (CPUE, larvae per 30 net tows) in the tailwaters below Locks 1, 4 and 6.</w:t>
        </w:r>
        <w:r>
          <w:rPr>
            <w:noProof/>
            <w:webHidden/>
          </w:rPr>
          <w:tab/>
        </w:r>
        <w:r>
          <w:rPr>
            <w:noProof/>
            <w:webHidden/>
          </w:rPr>
          <w:fldChar w:fldCharType="begin"/>
        </w:r>
        <w:r>
          <w:rPr>
            <w:noProof/>
            <w:webHidden/>
          </w:rPr>
          <w:instrText xml:space="preserve"> PAGEREF _Toc200464514 \h </w:instrText>
        </w:r>
        <w:r>
          <w:rPr>
            <w:noProof/>
            <w:webHidden/>
          </w:rPr>
        </w:r>
        <w:r>
          <w:rPr>
            <w:noProof/>
            <w:webHidden/>
          </w:rPr>
          <w:fldChar w:fldCharType="separate"/>
        </w:r>
        <w:r w:rsidR="00102828">
          <w:rPr>
            <w:noProof/>
            <w:webHidden/>
          </w:rPr>
          <w:t>154</w:t>
        </w:r>
        <w:r>
          <w:rPr>
            <w:noProof/>
            <w:webHidden/>
          </w:rPr>
          <w:fldChar w:fldCharType="end"/>
        </w:r>
      </w:hyperlink>
    </w:p>
    <w:p w14:paraId="66579CD3" w14:textId="40CC6435"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15" w:history="1">
        <w:r w:rsidRPr="00DE2B09">
          <w:rPr>
            <w:rStyle w:val="Hyperlink"/>
            <w:rFonts w:eastAsiaTheme="majorEastAsia"/>
            <w:noProof/>
          </w:rPr>
          <w:t>Figure 64. The relationship between weight and total length (TL) of YOY Murray cod in the Lower Murray River predicted by a cubic linear regression model.</w:t>
        </w:r>
        <w:r>
          <w:rPr>
            <w:noProof/>
            <w:webHidden/>
          </w:rPr>
          <w:tab/>
        </w:r>
        <w:r>
          <w:rPr>
            <w:noProof/>
            <w:webHidden/>
          </w:rPr>
          <w:fldChar w:fldCharType="begin"/>
        </w:r>
        <w:r>
          <w:rPr>
            <w:noProof/>
            <w:webHidden/>
          </w:rPr>
          <w:instrText xml:space="preserve"> PAGEREF _Toc200464515 \h </w:instrText>
        </w:r>
        <w:r>
          <w:rPr>
            <w:noProof/>
            <w:webHidden/>
          </w:rPr>
        </w:r>
        <w:r>
          <w:rPr>
            <w:noProof/>
            <w:webHidden/>
          </w:rPr>
          <w:fldChar w:fldCharType="separate"/>
        </w:r>
        <w:r w:rsidR="00102828">
          <w:rPr>
            <w:noProof/>
            <w:webHidden/>
          </w:rPr>
          <w:t>156</w:t>
        </w:r>
        <w:r>
          <w:rPr>
            <w:noProof/>
            <w:webHidden/>
          </w:rPr>
          <w:fldChar w:fldCharType="end"/>
        </w:r>
      </w:hyperlink>
    </w:p>
    <w:p w14:paraId="4A2833C7" w14:textId="6B36C011"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16" w:history="1">
        <w:r w:rsidRPr="00DE2B09">
          <w:rPr>
            <w:rStyle w:val="Hyperlink"/>
            <w:rFonts w:eastAsiaTheme="majorEastAsia"/>
            <w:noProof/>
          </w:rPr>
          <w:t>Figure 65. Mean relative condition index (K</w:t>
        </w:r>
        <w:r w:rsidRPr="00DE2B09">
          <w:rPr>
            <w:rStyle w:val="Hyperlink"/>
            <w:rFonts w:eastAsiaTheme="majorEastAsia"/>
            <w:i/>
            <w:noProof/>
          </w:rPr>
          <w:t>rel</w:t>
        </w:r>
        <w:r w:rsidRPr="00DE2B09">
          <w:rPr>
            <w:rStyle w:val="Hyperlink"/>
            <w:rFonts w:eastAsiaTheme="majorEastAsia"/>
            <w:noProof/>
          </w:rPr>
          <w:t>) ± S.E. of YOY Murray cod in the Lower Murray River (excludes Chowilla anabranch) during autumn/winter.</w:t>
        </w:r>
        <w:r>
          <w:rPr>
            <w:noProof/>
            <w:webHidden/>
          </w:rPr>
          <w:tab/>
        </w:r>
        <w:r>
          <w:rPr>
            <w:noProof/>
            <w:webHidden/>
          </w:rPr>
          <w:fldChar w:fldCharType="begin"/>
        </w:r>
        <w:r>
          <w:rPr>
            <w:noProof/>
            <w:webHidden/>
          </w:rPr>
          <w:instrText xml:space="preserve"> PAGEREF _Toc200464516 \h </w:instrText>
        </w:r>
        <w:r>
          <w:rPr>
            <w:noProof/>
            <w:webHidden/>
          </w:rPr>
        </w:r>
        <w:r>
          <w:rPr>
            <w:noProof/>
            <w:webHidden/>
          </w:rPr>
          <w:fldChar w:fldCharType="separate"/>
        </w:r>
        <w:r w:rsidR="00102828">
          <w:rPr>
            <w:noProof/>
            <w:webHidden/>
          </w:rPr>
          <w:t>156</w:t>
        </w:r>
        <w:r>
          <w:rPr>
            <w:noProof/>
            <w:webHidden/>
          </w:rPr>
          <w:fldChar w:fldCharType="end"/>
        </w:r>
      </w:hyperlink>
    </w:p>
    <w:p w14:paraId="03572D11" w14:textId="17D8BBE7"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17" w:history="1">
        <w:r w:rsidRPr="00DE2B09">
          <w:rPr>
            <w:rStyle w:val="Hyperlink"/>
            <w:rFonts w:eastAsiaTheme="majorEastAsia"/>
            <w:noProof/>
          </w:rPr>
          <w:t>Figure 66. The relationship between total length (TL) and estimated age of YOY Murray cod in the Lower Murray River from 2017–2024.</w:t>
        </w:r>
        <w:r>
          <w:rPr>
            <w:noProof/>
            <w:webHidden/>
          </w:rPr>
          <w:tab/>
        </w:r>
        <w:r>
          <w:rPr>
            <w:noProof/>
            <w:webHidden/>
          </w:rPr>
          <w:fldChar w:fldCharType="begin"/>
        </w:r>
        <w:r>
          <w:rPr>
            <w:noProof/>
            <w:webHidden/>
          </w:rPr>
          <w:instrText xml:space="preserve"> PAGEREF _Toc200464517 \h </w:instrText>
        </w:r>
        <w:r>
          <w:rPr>
            <w:noProof/>
            <w:webHidden/>
          </w:rPr>
        </w:r>
        <w:r>
          <w:rPr>
            <w:noProof/>
            <w:webHidden/>
          </w:rPr>
          <w:fldChar w:fldCharType="separate"/>
        </w:r>
        <w:r w:rsidR="00102828">
          <w:rPr>
            <w:noProof/>
            <w:webHidden/>
          </w:rPr>
          <w:t>157</w:t>
        </w:r>
        <w:r>
          <w:rPr>
            <w:noProof/>
            <w:webHidden/>
          </w:rPr>
          <w:fldChar w:fldCharType="end"/>
        </w:r>
      </w:hyperlink>
    </w:p>
    <w:p w14:paraId="42689B80" w14:textId="42FF03AE"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18" w:history="1">
        <w:r w:rsidRPr="00DE2B09">
          <w:rPr>
            <w:rStyle w:val="Hyperlink"/>
            <w:rFonts w:eastAsiaTheme="majorEastAsia"/>
            <w:noProof/>
          </w:rPr>
          <w:t>Figure 67. Mean (a) non-targeted and (b) targeted electrofishing catch-per-unit-effort (CPUE) ± S.E. of Murray cod in the weir pools downstream of Locks 2, 3, 4 and 5 of the Lower Murray River.</w:t>
        </w:r>
        <w:r>
          <w:rPr>
            <w:noProof/>
            <w:webHidden/>
          </w:rPr>
          <w:tab/>
        </w:r>
        <w:r>
          <w:rPr>
            <w:noProof/>
            <w:webHidden/>
          </w:rPr>
          <w:fldChar w:fldCharType="begin"/>
        </w:r>
        <w:r>
          <w:rPr>
            <w:noProof/>
            <w:webHidden/>
          </w:rPr>
          <w:instrText xml:space="preserve"> PAGEREF _Toc200464518 \h </w:instrText>
        </w:r>
        <w:r>
          <w:rPr>
            <w:noProof/>
            <w:webHidden/>
          </w:rPr>
        </w:r>
        <w:r>
          <w:rPr>
            <w:noProof/>
            <w:webHidden/>
          </w:rPr>
          <w:fldChar w:fldCharType="separate"/>
        </w:r>
        <w:r w:rsidR="00102828">
          <w:rPr>
            <w:noProof/>
            <w:webHidden/>
          </w:rPr>
          <w:t>158</w:t>
        </w:r>
        <w:r>
          <w:rPr>
            <w:noProof/>
            <w:webHidden/>
          </w:rPr>
          <w:fldChar w:fldCharType="end"/>
        </w:r>
      </w:hyperlink>
    </w:p>
    <w:p w14:paraId="0B1BE769" w14:textId="5C94AF99" w:rsidR="0020787B" w:rsidRDefault="00A32E2D" w:rsidP="00254058">
      <w:pPr>
        <w:pStyle w:val="TableofFigures"/>
        <w:rPr>
          <w:noProof/>
        </w:rPr>
      </w:pPr>
      <w:hyperlink w:anchor="_Toc200464519" w:history="1">
        <w:r w:rsidRPr="00DE2B09">
          <w:rPr>
            <w:rStyle w:val="Hyperlink"/>
            <w:rFonts w:eastAsiaTheme="majorEastAsia"/>
            <w:noProof/>
          </w:rPr>
          <w:t>Figure 68. Total length frequencies of Murray cod in the main channel of the Lower Murray River during autumn/winter from 2013–2024, based on CEWH LTIM and Flow-MER data.</w:t>
        </w:r>
        <w:r>
          <w:rPr>
            <w:noProof/>
            <w:webHidden/>
          </w:rPr>
          <w:tab/>
        </w:r>
        <w:r>
          <w:rPr>
            <w:noProof/>
            <w:webHidden/>
          </w:rPr>
          <w:fldChar w:fldCharType="begin"/>
        </w:r>
        <w:r>
          <w:rPr>
            <w:noProof/>
            <w:webHidden/>
          </w:rPr>
          <w:instrText xml:space="preserve"> PAGEREF _Toc200464519 \h </w:instrText>
        </w:r>
        <w:r>
          <w:rPr>
            <w:noProof/>
            <w:webHidden/>
          </w:rPr>
        </w:r>
        <w:r>
          <w:rPr>
            <w:noProof/>
            <w:webHidden/>
          </w:rPr>
          <w:fldChar w:fldCharType="separate"/>
        </w:r>
        <w:r w:rsidR="00102828">
          <w:rPr>
            <w:noProof/>
            <w:webHidden/>
          </w:rPr>
          <w:t>159</w:t>
        </w:r>
        <w:r>
          <w:rPr>
            <w:noProof/>
            <w:webHidden/>
          </w:rPr>
          <w:fldChar w:fldCharType="end"/>
        </w:r>
      </w:hyperlink>
    </w:p>
    <w:p w14:paraId="38B46AD7" w14:textId="5184C5A4"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20" w:history="1">
        <w:r w:rsidRPr="00DE2B09">
          <w:rPr>
            <w:rStyle w:val="Hyperlink"/>
            <w:rFonts w:eastAsiaTheme="majorEastAsia"/>
            <w:noProof/>
          </w:rPr>
          <w:t>Figure 69. Target species for the Lower Murray River: (a) Murray cod and (b) freshwater catfish (equilibrium life history); (c) golden perch and (d) silver perch (periodic life history); and (e) carp gudgeon, (f) Murray rainbowfish and (g) bony herring (opportunistic life history).</w:t>
        </w:r>
        <w:r>
          <w:rPr>
            <w:noProof/>
            <w:webHidden/>
          </w:rPr>
          <w:tab/>
        </w:r>
        <w:r>
          <w:rPr>
            <w:noProof/>
            <w:webHidden/>
          </w:rPr>
          <w:fldChar w:fldCharType="begin"/>
        </w:r>
        <w:r>
          <w:rPr>
            <w:noProof/>
            <w:webHidden/>
          </w:rPr>
          <w:instrText xml:space="preserve"> PAGEREF _Toc200464520 \h </w:instrText>
        </w:r>
        <w:r>
          <w:rPr>
            <w:noProof/>
            <w:webHidden/>
          </w:rPr>
        </w:r>
        <w:r>
          <w:rPr>
            <w:noProof/>
            <w:webHidden/>
          </w:rPr>
          <w:fldChar w:fldCharType="separate"/>
        </w:r>
        <w:r w:rsidR="00102828">
          <w:rPr>
            <w:noProof/>
            <w:webHidden/>
          </w:rPr>
          <w:t>164</w:t>
        </w:r>
        <w:r>
          <w:rPr>
            <w:noProof/>
            <w:webHidden/>
          </w:rPr>
          <w:fldChar w:fldCharType="end"/>
        </w:r>
      </w:hyperlink>
    </w:p>
    <w:p w14:paraId="7C739690" w14:textId="09D206AE"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21" w:history="1">
        <w:r w:rsidRPr="00DE2B09">
          <w:rPr>
            <w:rStyle w:val="Hyperlink"/>
            <w:rFonts w:eastAsiaTheme="majorEastAsia"/>
            <w:noProof/>
          </w:rPr>
          <w:t xml:space="preserve">Figure 70. Mean catch-per-unit-effort (CPUE) </w:t>
        </w:r>
        <w:r w:rsidRPr="00DE2B09">
          <w:rPr>
            <w:rStyle w:val="Hyperlink"/>
            <w:rFonts w:eastAsiaTheme="majorEastAsia" w:cstheme="minorHAnsi"/>
            <w:noProof/>
          </w:rPr>
          <w:t>±</w:t>
        </w:r>
        <w:r w:rsidRPr="00DE2B09">
          <w:rPr>
            <w:rStyle w:val="Hyperlink"/>
            <w:rFonts w:eastAsiaTheme="majorEastAsia"/>
            <w:noProof/>
          </w:rPr>
          <w:t xml:space="preserve"> standard error of large-bodied fish species captured using electrofishing (individuals per 90 second shot) in the gorge geomorphic zone (10 sites) of the Lower Murray River from 2015–2024.</w:t>
        </w:r>
        <w:r>
          <w:rPr>
            <w:noProof/>
            <w:webHidden/>
          </w:rPr>
          <w:tab/>
        </w:r>
        <w:r>
          <w:rPr>
            <w:noProof/>
            <w:webHidden/>
          </w:rPr>
          <w:fldChar w:fldCharType="begin"/>
        </w:r>
        <w:r>
          <w:rPr>
            <w:noProof/>
            <w:webHidden/>
          </w:rPr>
          <w:instrText xml:space="preserve"> PAGEREF _Toc200464521 \h </w:instrText>
        </w:r>
        <w:r>
          <w:rPr>
            <w:noProof/>
            <w:webHidden/>
          </w:rPr>
        </w:r>
        <w:r>
          <w:rPr>
            <w:noProof/>
            <w:webHidden/>
          </w:rPr>
          <w:fldChar w:fldCharType="separate"/>
        </w:r>
        <w:r w:rsidR="00102828">
          <w:rPr>
            <w:noProof/>
            <w:webHidden/>
          </w:rPr>
          <w:t>167</w:t>
        </w:r>
        <w:r>
          <w:rPr>
            <w:noProof/>
            <w:webHidden/>
          </w:rPr>
          <w:fldChar w:fldCharType="end"/>
        </w:r>
      </w:hyperlink>
    </w:p>
    <w:p w14:paraId="7964180E" w14:textId="7AE133FB"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22" w:history="1">
        <w:r w:rsidRPr="00DE2B09">
          <w:rPr>
            <w:rStyle w:val="Hyperlink"/>
            <w:rFonts w:eastAsiaTheme="majorEastAsia"/>
            <w:noProof/>
          </w:rPr>
          <w:t xml:space="preserve">Figure 71. Mean catch-per-unit-effort (CPUE) </w:t>
        </w:r>
        <w:r w:rsidRPr="00DE2B09">
          <w:rPr>
            <w:rStyle w:val="Hyperlink"/>
            <w:rFonts w:eastAsiaTheme="majorEastAsia" w:cstheme="minorHAnsi"/>
            <w:noProof/>
          </w:rPr>
          <w:t>±</w:t>
        </w:r>
        <w:r w:rsidRPr="00DE2B09">
          <w:rPr>
            <w:rStyle w:val="Hyperlink"/>
            <w:rFonts w:eastAsiaTheme="majorEastAsia"/>
            <w:noProof/>
          </w:rPr>
          <w:t xml:space="preserve"> standard error of small-bodied fish species captured using fine-mesh fyke nets (individuals per net per hour) in the gorge geomorphic zone (10 sites) of the Lower Murray River in autumn from 2015–2024</w:t>
        </w:r>
        <w:r w:rsidR="00254058">
          <w:rPr>
            <w:rStyle w:val="Hyperlink"/>
            <w:rFonts w:eastAsiaTheme="majorEastAsia"/>
            <w:noProof/>
          </w:rPr>
          <w:t>…….</w:t>
        </w:r>
        <w:r>
          <w:rPr>
            <w:noProof/>
            <w:webHidden/>
          </w:rPr>
          <w:tab/>
        </w:r>
        <w:r>
          <w:rPr>
            <w:noProof/>
            <w:webHidden/>
          </w:rPr>
          <w:fldChar w:fldCharType="begin"/>
        </w:r>
        <w:r>
          <w:rPr>
            <w:noProof/>
            <w:webHidden/>
          </w:rPr>
          <w:instrText xml:space="preserve"> PAGEREF _Toc200464522 \h </w:instrText>
        </w:r>
        <w:r>
          <w:rPr>
            <w:noProof/>
            <w:webHidden/>
          </w:rPr>
        </w:r>
        <w:r>
          <w:rPr>
            <w:noProof/>
            <w:webHidden/>
          </w:rPr>
          <w:fldChar w:fldCharType="separate"/>
        </w:r>
        <w:r w:rsidR="00102828">
          <w:rPr>
            <w:noProof/>
            <w:webHidden/>
          </w:rPr>
          <w:t>168</w:t>
        </w:r>
        <w:r>
          <w:rPr>
            <w:noProof/>
            <w:webHidden/>
          </w:rPr>
          <w:fldChar w:fldCharType="end"/>
        </w:r>
      </w:hyperlink>
    </w:p>
    <w:p w14:paraId="0FFBDA22" w14:textId="4A9AF7D5"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23" w:history="1">
        <w:r w:rsidRPr="00DE2B09">
          <w:rPr>
            <w:rStyle w:val="Hyperlink"/>
            <w:rFonts w:eastAsiaTheme="majorEastAsia"/>
            <w:noProof/>
          </w:rPr>
          <w:t>Figure 72. Non-metric multi-dimensional scaling (MDS) plot of (a) large-bodied fish assemblages sampled by electrofishing and (b) small-bodied fish assemblages sampled by fyke netting in the gorge geomorphic zone of the Lower Murray River from 2015–2024.</w:t>
        </w:r>
        <w:r>
          <w:rPr>
            <w:noProof/>
            <w:webHidden/>
          </w:rPr>
          <w:tab/>
        </w:r>
        <w:r>
          <w:rPr>
            <w:noProof/>
            <w:webHidden/>
          </w:rPr>
          <w:fldChar w:fldCharType="begin"/>
        </w:r>
        <w:r>
          <w:rPr>
            <w:noProof/>
            <w:webHidden/>
          </w:rPr>
          <w:instrText xml:space="preserve"> PAGEREF _Toc200464523 \h </w:instrText>
        </w:r>
        <w:r>
          <w:rPr>
            <w:noProof/>
            <w:webHidden/>
          </w:rPr>
        </w:r>
        <w:r>
          <w:rPr>
            <w:noProof/>
            <w:webHidden/>
          </w:rPr>
          <w:fldChar w:fldCharType="separate"/>
        </w:r>
        <w:r w:rsidR="00102828">
          <w:rPr>
            <w:noProof/>
            <w:webHidden/>
          </w:rPr>
          <w:t>169</w:t>
        </w:r>
        <w:r>
          <w:rPr>
            <w:noProof/>
            <w:webHidden/>
          </w:rPr>
          <w:fldChar w:fldCharType="end"/>
        </w:r>
      </w:hyperlink>
    </w:p>
    <w:p w14:paraId="4BEC065E" w14:textId="64501981"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24" w:history="1">
        <w:r w:rsidRPr="00DE2B09">
          <w:rPr>
            <w:rStyle w:val="Hyperlink"/>
            <w:rFonts w:eastAsiaTheme="majorEastAsia"/>
            <w:noProof/>
          </w:rPr>
          <w:t>Figure 73. Key monitoring and evaluation outcomes in the Lower Murray River (black text) and Coorong, Lower Lakes and Murray Mouth (blue text) in relation to the flow regime (to South Australia) from 1 July 2019 to 30 June 2024, including the contribution of Commonwealth (CEW) and other environmental water (eWater).</w:t>
        </w:r>
        <w:r w:rsidR="00254058">
          <w:rPr>
            <w:rStyle w:val="Hyperlink"/>
            <w:rFonts w:eastAsiaTheme="majorEastAsia"/>
            <w:noProof/>
          </w:rPr>
          <w:t>.</w:t>
        </w:r>
        <w:r>
          <w:rPr>
            <w:noProof/>
            <w:webHidden/>
          </w:rPr>
          <w:tab/>
        </w:r>
        <w:r>
          <w:rPr>
            <w:noProof/>
            <w:webHidden/>
          </w:rPr>
          <w:fldChar w:fldCharType="begin"/>
        </w:r>
        <w:r>
          <w:rPr>
            <w:noProof/>
            <w:webHidden/>
          </w:rPr>
          <w:instrText xml:space="preserve"> PAGEREF _Toc200464524 \h </w:instrText>
        </w:r>
        <w:r>
          <w:rPr>
            <w:noProof/>
            <w:webHidden/>
          </w:rPr>
        </w:r>
        <w:r>
          <w:rPr>
            <w:noProof/>
            <w:webHidden/>
          </w:rPr>
          <w:fldChar w:fldCharType="separate"/>
        </w:r>
        <w:r w:rsidR="00102828">
          <w:rPr>
            <w:noProof/>
            <w:webHidden/>
          </w:rPr>
          <w:t>178</w:t>
        </w:r>
        <w:r>
          <w:rPr>
            <w:noProof/>
            <w:webHidden/>
          </w:rPr>
          <w:fldChar w:fldCharType="end"/>
        </w:r>
      </w:hyperlink>
    </w:p>
    <w:p w14:paraId="0EC482C2" w14:textId="6C4F7813" w:rsidR="00E04708" w:rsidRDefault="003F2408" w:rsidP="00A32E2D">
      <w:pPr>
        <w:pStyle w:val="TableofFigures"/>
        <w:rPr>
          <w:rStyle w:val="Hyperlink"/>
          <w:rFonts w:eastAsiaTheme="majorEastAsia"/>
          <w:noProof/>
          <w:color w:val="auto"/>
          <w:u w:val="none"/>
        </w:rPr>
      </w:pPr>
      <w:r>
        <w:rPr>
          <w:rStyle w:val="Hyperlink"/>
          <w:rFonts w:eastAsiaTheme="majorEastAsia"/>
          <w:noProof/>
          <w:color w:val="auto"/>
          <w:u w:val="none"/>
        </w:rPr>
        <w:fldChar w:fldCharType="end"/>
      </w:r>
      <w:bookmarkStart w:id="6" w:name="_Toc441838721"/>
    </w:p>
    <w:p w14:paraId="3FBE50E3" w14:textId="77777777" w:rsidR="00E04708" w:rsidRDefault="00E04708">
      <w:pPr>
        <w:spacing w:before="0" w:after="160" w:line="259" w:lineRule="auto"/>
        <w:jc w:val="left"/>
        <w:rPr>
          <w:rStyle w:val="Hyperlink"/>
          <w:rFonts w:eastAsiaTheme="majorEastAsia"/>
          <w:noProof/>
          <w:color w:val="auto"/>
          <w:kern w:val="0"/>
          <w:u w:val="none"/>
          <w:lang w:eastAsia="en-AU"/>
        </w:rPr>
      </w:pPr>
      <w:r>
        <w:rPr>
          <w:rStyle w:val="Hyperlink"/>
          <w:rFonts w:eastAsiaTheme="majorEastAsia"/>
          <w:noProof/>
          <w:color w:val="auto"/>
          <w:u w:val="none"/>
        </w:rPr>
        <w:br w:type="page"/>
      </w:r>
    </w:p>
    <w:p w14:paraId="1B29C0A8" w14:textId="5D9376CD" w:rsidR="005B0AA3" w:rsidRPr="00A67C76" w:rsidRDefault="005B0AA3" w:rsidP="005B0AA3">
      <w:pPr>
        <w:pStyle w:val="H1anotincinTOC"/>
        <w:outlineLvl w:val="0"/>
        <w:rPr>
          <w:color w:val="44546A" w:themeColor="text2"/>
        </w:rPr>
      </w:pPr>
      <w:bookmarkStart w:id="7" w:name="_Toc200467848"/>
      <w:r w:rsidRPr="00A67C76">
        <w:rPr>
          <w:color w:val="44546A" w:themeColor="text2"/>
        </w:rPr>
        <w:lastRenderedPageBreak/>
        <w:t>List of tables</w:t>
      </w:r>
      <w:bookmarkEnd w:id="6"/>
      <w:bookmarkEnd w:id="7"/>
    </w:p>
    <w:p w14:paraId="3C70E955" w14:textId="3DB7E217" w:rsidR="00A32E2D" w:rsidRDefault="003F2408">
      <w:pPr>
        <w:pStyle w:val="TableofFigures"/>
        <w:rPr>
          <w:rFonts w:asciiTheme="minorHAnsi" w:eastAsiaTheme="minorEastAsia" w:hAnsiTheme="minorHAnsi" w:cstheme="minorBidi"/>
          <w:noProof/>
          <w:color w:val="auto"/>
          <w:kern w:val="2"/>
          <w:sz w:val="24"/>
          <w:szCs w:val="24"/>
          <w14:ligatures w14:val="standardContextual"/>
        </w:rPr>
      </w:pPr>
      <w:r>
        <w:rPr>
          <w:rFonts w:eastAsiaTheme="majorEastAsia"/>
          <w:noProof/>
        </w:rPr>
        <w:fldChar w:fldCharType="begin"/>
      </w:r>
      <w:r>
        <w:rPr>
          <w:rFonts w:eastAsiaTheme="majorEastAsia"/>
          <w:noProof/>
        </w:rPr>
        <w:instrText xml:space="preserve"> TOC \h \z \c "Table" </w:instrText>
      </w:r>
      <w:r>
        <w:rPr>
          <w:rFonts w:eastAsiaTheme="majorEastAsia"/>
          <w:noProof/>
        </w:rPr>
        <w:fldChar w:fldCharType="separate"/>
      </w:r>
      <w:hyperlink w:anchor="_Toc200464525" w:history="1">
        <w:r w:rsidR="00A32E2D" w:rsidRPr="00C05A13">
          <w:rPr>
            <w:rStyle w:val="Hyperlink"/>
            <w:rFonts w:eastAsiaTheme="majorEastAsia"/>
            <w:noProof/>
          </w:rPr>
          <w:t>Table 1. Total annual volumes (gigalitres, GL) of environmental water (eWater), including Commonwealth environmental water (CEW), delivered to the Lower Murray River (LMR) channel (excludes wetland use*) and the proportion contribution towards total flow to the LMR (QSA) from 2014-15 to 2023-24.</w:t>
        </w:r>
        <w:r w:rsidR="00A32E2D">
          <w:rPr>
            <w:noProof/>
            <w:webHidden/>
          </w:rPr>
          <w:tab/>
        </w:r>
        <w:r w:rsidR="00A32E2D">
          <w:rPr>
            <w:noProof/>
            <w:webHidden/>
          </w:rPr>
          <w:fldChar w:fldCharType="begin"/>
        </w:r>
        <w:r w:rsidR="00A32E2D">
          <w:rPr>
            <w:noProof/>
            <w:webHidden/>
          </w:rPr>
          <w:instrText xml:space="preserve"> PAGEREF _Toc200464525 \h </w:instrText>
        </w:r>
        <w:r w:rsidR="00A32E2D">
          <w:rPr>
            <w:noProof/>
            <w:webHidden/>
          </w:rPr>
        </w:r>
        <w:r w:rsidR="00A32E2D">
          <w:rPr>
            <w:noProof/>
            <w:webHidden/>
          </w:rPr>
          <w:fldChar w:fldCharType="separate"/>
        </w:r>
        <w:r w:rsidR="00102828">
          <w:rPr>
            <w:noProof/>
            <w:webHidden/>
          </w:rPr>
          <w:t>7</w:t>
        </w:r>
        <w:r w:rsidR="00A32E2D">
          <w:rPr>
            <w:noProof/>
            <w:webHidden/>
          </w:rPr>
          <w:fldChar w:fldCharType="end"/>
        </w:r>
      </w:hyperlink>
    </w:p>
    <w:p w14:paraId="52B4430F" w14:textId="30995CCD"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26" w:history="1">
        <w:r w:rsidRPr="00C05A13">
          <w:rPr>
            <w:rStyle w:val="Hyperlink"/>
            <w:rFonts w:eastAsiaTheme="majorEastAsia"/>
            <w:noProof/>
          </w:rPr>
          <w:t>Table 2. Annual flow through the Murray barrages (total volume, GL) from 2014-15 to 2023-24, showing contribution by Commonwealth environmental water (CEW).</w:t>
        </w:r>
        <w:r>
          <w:rPr>
            <w:noProof/>
            <w:webHidden/>
          </w:rPr>
          <w:tab/>
        </w:r>
        <w:r>
          <w:rPr>
            <w:noProof/>
            <w:webHidden/>
          </w:rPr>
          <w:fldChar w:fldCharType="begin"/>
        </w:r>
        <w:r>
          <w:rPr>
            <w:noProof/>
            <w:webHidden/>
          </w:rPr>
          <w:instrText xml:space="preserve"> PAGEREF _Toc200464526 \h </w:instrText>
        </w:r>
        <w:r>
          <w:rPr>
            <w:noProof/>
            <w:webHidden/>
          </w:rPr>
        </w:r>
        <w:r>
          <w:rPr>
            <w:noProof/>
            <w:webHidden/>
          </w:rPr>
          <w:fldChar w:fldCharType="separate"/>
        </w:r>
        <w:r w:rsidR="00102828">
          <w:rPr>
            <w:noProof/>
            <w:webHidden/>
          </w:rPr>
          <w:t>7</w:t>
        </w:r>
        <w:r>
          <w:rPr>
            <w:noProof/>
            <w:webHidden/>
          </w:rPr>
          <w:fldChar w:fldCharType="end"/>
        </w:r>
      </w:hyperlink>
    </w:p>
    <w:p w14:paraId="687D86D7" w14:textId="77ABCC32"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27" w:history="1">
        <w:r w:rsidRPr="00C05A13">
          <w:rPr>
            <w:rStyle w:val="Hyperlink"/>
            <w:rFonts w:eastAsiaTheme="majorEastAsia"/>
            <w:noProof/>
          </w:rPr>
          <w:t>Table 3. Specific Commonwealth environmental water (CEW) watering events and expected outcomes for the Lower Murray River and Coorong, Lower Lakes and Murray Mouth from 2019–2024.</w:t>
        </w:r>
        <w:r>
          <w:rPr>
            <w:noProof/>
            <w:webHidden/>
          </w:rPr>
          <w:tab/>
        </w:r>
        <w:r>
          <w:rPr>
            <w:noProof/>
            <w:webHidden/>
          </w:rPr>
          <w:fldChar w:fldCharType="begin"/>
        </w:r>
        <w:r>
          <w:rPr>
            <w:noProof/>
            <w:webHidden/>
          </w:rPr>
          <w:instrText xml:space="preserve"> PAGEREF _Toc200464527 \h </w:instrText>
        </w:r>
        <w:r>
          <w:rPr>
            <w:noProof/>
            <w:webHidden/>
          </w:rPr>
        </w:r>
        <w:r>
          <w:rPr>
            <w:noProof/>
            <w:webHidden/>
          </w:rPr>
          <w:fldChar w:fldCharType="separate"/>
        </w:r>
        <w:r w:rsidR="00102828">
          <w:rPr>
            <w:noProof/>
            <w:webHidden/>
          </w:rPr>
          <w:t>10</w:t>
        </w:r>
        <w:r>
          <w:rPr>
            <w:noProof/>
            <w:webHidden/>
          </w:rPr>
          <w:fldChar w:fldCharType="end"/>
        </w:r>
      </w:hyperlink>
    </w:p>
    <w:p w14:paraId="32AAD1A1" w14:textId="7B2A609E"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28" w:history="1">
        <w:r w:rsidRPr="00C05A13">
          <w:rPr>
            <w:rStyle w:val="Hyperlink"/>
            <w:rFonts w:eastAsiaTheme="majorEastAsia"/>
            <w:noProof/>
          </w:rPr>
          <w:t xml:space="preserve">Table 4. Hydraulic Regime evaluation questions and answers. CEW = Commonwealth environmental water. </w:t>
        </w:r>
        <w:r w:rsidR="00257C05">
          <w:rPr>
            <w:rStyle w:val="Hyperlink"/>
            <w:rFonts w:eastAsiaTheme="majorEastAsia"/>
            <w:noProof/>
          </w:rPr>
          <w:t xml:space="preserve">SA =  South Australia. </w:t>
        </w:r>
        <w:r w:rsidRPr="00C05A13">
          <w:rPr>
            <w:rStyle w:val="Hyperlink"/>
            <w:rFonts w:eastAsiaTheme="majorEastAsia"/>
            <w:noProof/>
          </w:rPr>
          <w:t>SA border = South Australian border</w:t>
        </w:r>
        <w:r w:rsidR="00254058">
          <w:rPr>
            <w:rStyle w:val="Hyperlink"/>
            <w:rFonts w:eastAsiaTheme="majorEastAsia"/>
            <w:noProof/>
          </w:rPr>
          <w:t>…..</w:t>
        </w:r>
        <w:r w:rsidRPr="00C05A13">
          <w:rPr>
            <w:rStyle w:val="Hyperlink"/>
            <w:rFonts w:eastAsiaTheme="majorEastAsia"/>
            <w:noProof/>
          </w:rPr>
          <w:t>.</w:t>
        </w:r>
        <w:r>
          <w:rPr>
            <w:noProof/>
            <w:webHidden/>
          </w:rPr>
          <w:tab/>
        </w:r>
        <w:r>
          <w:rPr>
            <w:noProof/>
            <w:webHidden/>
          </w:rPr>
          <w:fldChar w:fldCharType="begin"/>
        </w:r>
        <w:r>
          <w:rPr>
            <w:noProof/>
            <w:webHidden/>
          </w:rPr>
          <w:instrText xml:space="preserve"> PAGEREF _Toc200464528 \h </w:instrText>
        </w:r>
        <w:r>
          <w:rPr>
            <w:noProof/>
            <w:webHidden/>
          </w:rPr>
        </w:r>
        <w:r>
          <w:rPr>
            <w:noProof/>
            <w:webHidden/>
          </w:rPr>
          <w:fldChar w:fldCharType="separate"/>
        </w:r>
        <w:r w:rsidR="00102828">
          <w:rPr>
            <w:noProof/>
            <w:webHidden/>
          </w:rPr>
          <w:t>22</w:t>
        </w:r>
        <w:r>
          <w:rPr>
            <w:noProof/>
            <w:webHidden/>
          </w:rPr>
          <w:fldChar w:fldCharType="end"/>
        </w:r>
      </w:hyperlink>
    </w:p>
    <w:p w14:paraId="5E38DA10" w14:textId="04E2CEF0"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29" w:history="1">
        <w:r w:rsidRPr="00C05A13">
          <w:rPr>
            <w:rStyle w:val="Hyperlink"/>
            <w:rFonts w:eastAsiaTheme="majorEastAsia"/>
            <w:noProof/>
          </w:rPr>
          <w:t>Table 5. Stream Metabolism evaluation questions and answers relating to Commonwealth environmental water (CEW) and environmental water (eWater). DS = downstream.</w:t>
        </w:r>
        <w:r>
          <w:rPr>
            <w:noProof/>
            <w:webHidden/>
          </w:rPr>
          <w:tab/>
        </w:r>
        <w:r>
          <w:rPr>
            <w:noProof/>
            <w:webHidden/>
          </w:rPr>
          <w:fldChar w:fldCharType="begin"/>
        </w:r>
        <w:r>
          <w:rPr>
            <w:noProof/>
            <w:webHidden/>
          </w:rPr>
          <w:instrText xml:space="preserve"> PAGEREF _Toc200464529 \h </w:instrText>
        </w:r>
        <w:r>
          <w:rPr>
            <w:noProof/>
            <w:webHidden/>
          </w:rPr>
        </w:r>
        <w:r>
          <w:rPr>
            <w:noProof/>
            <w:webHidden/>
          </w:rPr>
          <w:fldChar w:fldCharType="separate"/>
        </w:r>
        <w:r w:rsidR="00102828">
          <w:rPr>
            <w:noProof/>
            <w:webHidden/>
          </w:rPr>
          <w:t>53</w:t>
        </w:r>
        <w:r>
          <w:rPr>
            <w:noProof/>
            <w:webHidden/>
          </w:rPr>
          <w:fldChar w:fldCharType="end"/>
        </w:r>
      </w:hyperlink>
    </w:p>
    <w:p w14:paraId="46128A14" w14:textId="2DF4FA0B"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30" w:history="1">
        <w:r w:rsidRPr="00C05A13">
          <w:rPr>
            <w:rStyle w:val="Hyperlink"/>
            <w:rFonts w:eastAsiaTheme="majorEastAsia"/>
            <w:noProof/>
          </w:rPr>
          <w:t>Table 6. Summary of modelling scenarios for investigating the environmental water (eWater) effects. CEW = Commonwealth environmental water.</w:t>
        </w:r>
        <w:r>
          <w:rPr>
            <w:noProof/>
            <w:webHidden/>
          </w:rPr>
          <w:tab/>
        </w:r>
        <w:r>
          <w:rPr>
            <w:noProof/>
            <w:webHidden/>
          </w:rPr>
          <w:fldChar w:fldCharType="begin"/>
        </w:r>
        <w:r>
          <w:rPr>
            <w:noProof/>
            <w:webHidden/>
          </w:rPr>
          <w:instrText xml:space="preserve"> PAGEREF _Toc200464530 \h </w:instrText>
        </w:r>
        <w:r>
          <w:rPr>
            <w:noProof/>
            <w:webHidden/>
          </w:rPr>
        </w:r>
        <w:r>
          <w:rPr>
            <w:noProof/>
            <w:webHidden/>
          </w:rPr>
          <w:fldChar w:fldCharType="separate"/>
        </w:r>
        <w:r w:rsidR="00102828">
          <w:rPr>
            <w:noProof/>
            <w:webHidden/>
          </w:rPr>
          <w:t>63</w:t>
        </w:r>
        <w:r>
          <w:rPr>
            <w:noProof/>
            <w:webHidden/>
          </w:rPr>
          <w:fldChar w:fldCharType="end"/>
        </w:r>
      </w:hyperlink>
    </w:p>
    <w:p w14:paraId="5047FB2E" w14:textId="0EF02803"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31" w:history="1">
        <w:r w:rsidRPr="00C05A13">
          <w:rPr>
            <w:rStyle w:val="Hyperlink"/>
            <w:rFonts w:eastAsiaTheme="majorEastAsia"/>
            <w:noProof/>
          </w:rPr>
          <w:t xml:space="preserve">Table 7. </w:t>
        </w:r>
        <w:r w:rsidRPr="00C05A13">
          <w:rPr>
            <w:rStyle w:val="Hyperlink"/>
            <w:rFonts w:eastAsiaTheme="majorEastAsia"/>
            <w:noProof/>
            <w:lang w:eastAsia="zh-CN"/>
          </w:rPr>
          <w:t xml:space="preserve">Summary of salt flux (tonnes) though barrages, Murray Mouth, Pelican Point (North Lagoon) and Parnka Point (South Lagoon) in 2017–2024. Refer to </w:t>
        </w:r>
        <w:r w:rsidRPr="00C05A13">
          <w:rPr>
            <w:rStyle w:val="Hyperlink"/>
            <w:rFonts w:eastAsiaTheme="majorEastAsia"/>
            <w:noProof/>
          </w:rPr>
          <w:t>Table 6</w:t>
        </w:r>
        <w:r w:rsidRPr="00C05A13">
          <w:rPr>
            <w:rStyle w:val="Hyperlink"/>
            <w:rFonts w:eastAsiaTheme="majorEastAsia"/>
            <w:noProof/>
            <w:lang w:eastAsia="zh-CN"/>
          </w:rPr>
          <w:t xml:space="preserve"> for scenarios.</w:t>
        </w:r>
        <w:r>
          <w:rPr>
            <w:noProof/>
            <w:webHidden/>
          </w:rPr>
          <w:tab/>
        </w:r>
        <w:r>
          <w:rPr>
            <w:noProof/>
            <w:webHidden/>
          </w:rPr>
          <w:fldChar w:fldCharType="begin"/>
        </w:r>
        <w:r>
          <w:rPr>
            <w:noProof/>
            <w:webHidden/>
          </w:rPr>
          <w:instrText xml:space="preserve"> PAGEREF _Toc200464531 \h </w:instrText>
        </w:r>
        <w:r>
          <w:rPr>
            <w:noProof/>
            <w:webHidden/>
          </w:rPr>
        </w:r>
        <w:r>
          <w:rPr>
            <w:noProof/>
            <w:webHidden/>
          </w:rPr>
          <w:fldChar w:fldCharType="separate"/>
        </w:r>
        <w:r w:rsidR="00102828">
          <w:rPr>
            <w:noProof/>
            <w:webHidden/>
          </w:rPr>
          <w:t>71</w:t>
        </w:r>
        <w:r>
          <w:rPr>
            <w:noProof/>
            <w:webHidden/>
          </w:rPr>
          <w:fldChar w:fldCharType="end"/>
        </w:r>
      </w:hyperlink>
    </w:p>
    <w:p w14:paraId="747BEC59" w14:textId="42AD61F6"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32" w:history="1">
        <w:r w:rsidRPr="00C05A13">
          <w:rPr>
            <w:rStyle w:val="Hyperlink"/>
            <w:rFonts w:eastAsiaTheme="majorEastAsia"/>
            <w:noProof/>
          </w:rPr>
          <w:t xml:space="preserve">Table 8. </w:t>
        </w:r>
        <w:r w:rsidRPr="00C05A13">
          <w:rPr>
            <w:rStyle w:val="Hyperlink"/>
            <w:rFonts w:eastAsiaTheme="majorEastAsia"/>
            <w:noProof/>
            <w:lang w:eastAsia="zh-CN"/>
          </w:rPr>
          <w:t>Predicted mean and median salinity at Murray Mouth (MM), North Lagoon (NL) (at Long Point), and South Lagoon (SL) (at Woods Well) in all investigated scenarios.</w:t>
        </w:r>
        <w:r>
          <w:rPr>
            <w:noProof/>
            <w:webHidden/>
          </w:rPr>
          <w:tab/>
        </w:r>
        <w:r>
          <w:rPr>
            <w:noProof/>
            <w:webHidden/>
          </w:rPr>
          <w:fldChar w:fldCharType="begin"/>
        </w:r>
        <w:r>
          <w:rPr>
            <w:noProof/>
            <w:webHidden/>
          </w:rPr>
          <w:instrText xml:space="preserve"> PAGEREF _Toc200464532 \h </w:instrText>
        </w:r>
        <w:r>
          <w:rPr>
            <w:noProof/>
            <w:webHidden/>
          </w:rPr>
        </w:r>
        <w:r>
          <w:rPr>
            <w:noProof/>
            <w:webHidden/>
          </w:rPr>
          <w:fldChar w:fldCharType="separate"/>
        </w:r>
        <w:r w:rsidR="00102828">
          <w:rPr>
            <w:noProof/>
            <w:webHidden/>
          </w:rPr>
          <w:t>74</w:t>
        </w:r>
        <w:r>
          <w:rPr>
            <w:noProof/>
            <w:webHidden/>
          </w:rPr>
          <w:fldChar w:fldCharType="end"/>
        </w:r>
      </w:hyperlink>
    </w:p>
    <w:p w14:paraId="51270DF7" w14:textId="1520DD0B"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33" w:history="1">
        <w:r w:rsidRPr="00C05A13">
          <w:rPr>
            <w:rStyle w:val="Hyperlink"/>
            <w:rFonts w:eastAsiaTheme="majorEastAsia"/>
            <w:noProof/>
          </w:rPr>
          <w:t xml:space="preserve">Table 9. </w:t>
        </w:r>
        <w:r w:rsidRPr="00C05A13">
          <w:rPr>
            <w:rStyle w:val="Hyperlink"/>
            <w:rFonts w:eastAsiaTheme="majorEastAsia"/>
            <w:noProof/>
            <w:lang w:eastAsia="zh-CN"/>
          </w:rPr>
          <w:t>Summary of total nitrogen flux (tonnes) though barrages, Murray Mouth, Pelican Point (North Lagoon) and Parnka Point (South Lagoon) in 2017–2024.</w:t>
        </w:r>
        <w:r>
          <w:rPr>
            <w:noProof/>
            <w:webHidden/>
          </w:rPr>
          <w:tab/>
        </w:r>
        <w:r>
          <w:rPr>
            <w:noProof/>
            <w:webHidden/>
          </w:rPr>
          <w:fldChar w:fldCharType="begin"/>
        </w:r>
        <w:r>
          <w:rPr>
            <w:noProof/>
            <w:webHidden/>
          </w:rPr>
          <w:instrText xml:space="preserve"> PAGEREF _Toc200464533 \h </w:instrText>
        </w:r>
        <w:r>
          <w:rPr>
            <w:noProof/>
            <w:webHidden/>
          </w:rPr>
        </w:r>
        <w:r>
          <w:rPr>
            <w:noProof/>
            <w:webHidden/>
          </w:rPr>
          <w:fldChar w:fldCharType="separate"/>
        </w:r>
        <w:r w:rsidR="00102828">
          <w:rPr>
            <w:noProof/>
            <w:webHidden/>
          </w:rPr>
          <w:t>76</w:t>
        </w:r>
        <w:r>
          <w:rPr>
            <w:noProof/>
            <w:webHidden/>
          </w:rPr>
          <w:fldChar w:fldCharType="end"/>
        </w:r>
      </w:hyperlink>
    </w:p>
    <w:p w14:paraId="624F8B7A" w14:textId="4F8FD5F6"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34" w:history="1">
        <w:r w:rsidRPr="00C05A13">
          <w:rPr>
            <w:rStyle w:val="Hyperlink"/>
            <w:rFonts w:eastAsiaTheme="majorEastAsia"/>
            <w:noProof/>
          </w:rPr>
          <w:t>Table 10. Matter Transport evaluation questions and answers.</w:t>
        </w:r>
        <w:r>
          <w:rPr>
            <w:noProof/>
            <w:webHidden/>
          </w:rPr>
          <w:tab/>
        </w:r>
        <w:r>
          <w:rPr>
            <w:noProof/>
            <w:webHidden/>
          </w:rPr>
          <w:fldChar w:fldCharType="begin"/>
        </w:r>
        <w:r>
          <w:rPr>
            <w:noProof/>
            <w:webHidden/>
          </w:rPr>
          <w:instrText xml:space="preserve"> PAGEREF _Toc200464534 \h </w:instrText>
        </w:r>
        <w:r>
          <w:rPr>
            <w:noProof/>
            <w:webHidden/>
          </w:rPr>
        </w:r>
        <w:r>
          <w:rPr>
            <w:noProof/>
            <w:webHidden/>
          </w:rPr>
          <w:fldChar w:fldCharType="separate"/>
        </w:r>
        <w:r w:rsidR="00102828">
          <w:rPr>
            <w:noProof/>
            <w:webHidden/>
          </w:rPr>
          <w:t>77</w:t>
        </w:r>
        <w:r>
          <w:rPr>
            <w:noProof/>
            <w:webHidden/>
          </w:rPr>
          <w:fldChar w:fldCharType="end"/>
        </w:r>
      </w:hyperlink>
    </w:p>
    <w:p w14:paraId="20A6C3DA" w14:textId="72634511"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35" w:history="1">
        <w:r w:rsidRPr="00C05A13">
          <w:rPr>
            <w:rStyle w:val="Hyperlink"/>
            <w:rFonts w:eastAsiaTheme="majorEastAsia"/>
            <w:noProof/>
          </w:rPr>
          <w:t>Table 11. Coorong habitat evaluation questions and answers. CEW = Commonwealth environmental water.</w:t>
        </w:r>
        <w:r>
          <w:rPr>
            <w:noProof/>
            <w:webHidden/>
          </w:rPr>
          <w:tab/>
        </w:r>
        <w:r>
          <w:rPr>
            <w:noProof/>
            <w:webHidden/>
          </w:rPr>
          <w:fldChar w:fldCharType="begin"/>
        </w:r>
        <w:r>
          <w:rPr>
            <w:noProof/>
            <w:webHidden/>
          </w:rPr>
          <w:instrText xml:space="preserve"> PAGEREF _Toc200464535 \h </w:instrText>
        </w:r>
        <w:r>
          <w:rPr>
            <w:noProof/>
            <w:webHidden/>
          </w:rPr>
        </w:r>
        <w:r>
          <w:rPr>
            <w:noProof/>
            <w:webHidden/>
          </w:rPr>
          <w:fldChar w:fldCharType="separate"/>
        </w:r>
        <w:r w:rsidR="00102828">
          <w:rPr>
            <w:noProof/>
            <w:webHidden/>
          </w:rPr>
          <w:t>90</w:t>
        </w:r>
        <w:r>
          <w:rPr>
            <w:noProof/>
            <w:webHidden/>
          </w:rPr>
          <w:fldChar w:fldCharType="end"/>
        </w:r>
      </w:hyperlink>
    </w:p>
    <w:p w14:paraId="38B457B0" w14:textId="52770F0D"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36" w:history="1">
        <w:r w:rsidRPr="00C05A13">
          <w:rPr>
            <w:rStyle w:val="Hyperlink"/>
            <w:rFonts w:eastAsiaTheme="majorEastAsia"/>
            <w:noProof/>
          </w:rPr>
          <w:t>Table 12. Littoral Vegetation Diversity and Productivity evaluation questions and answers. CEW = Commonwealth environmental water.</w:t>
        </w:r>
        <w:r>
          <w:rPr>
            <w:noProof/>
            <w:webHidden/>
          </w:rPr>
          <w:tab/>
        </w:r>
        <w:r>
          <w:rPr>
            <w:noProof/>
            <w:webHidden/>
          </w:rPr>
          <w:fldChar w:fldCharType="begin"/>
        </w:r>
        <w:r>
          <w:rPr>
            <w:noProof/>
            <w:webHidden/>
          </w:rPr>
          <w:instrText xml:space="preserve"> PAGEREF _Toc200464536 \h </w:instrText>
        </w:r>
        <w:r>
          <w:rPr>
            <w:noProof/>
            <w:webHidden/>
          </w:rPr>
        </w:r>
        <w:r>
          <w:rPr>
            <w:noProof/>
            <w:webHidden/>
          </w:rPr>
          <w:fldChar w:fldCharType="separate"/>
        </w:r>
        <w:r w:rsidR="00102828">
          <w:rPr>
            <w:noProof/>
            <w:webHidden/>
          </w:rPr>
          <w:t>105</w:t>
        </w:r>
        <w:r>
          <w:rPr>
            <w:noProof/>
            <w:webHidden/>
          </w:rPr>
          <w:fldChar w:fldCharType="end"/>
        </w:r>
      </w:hyperlink>
    </w:p>
    <w:p w14:paraId="7994DE70" w14:textId="7B1E490A"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37" w:history="1">
        <w:r w:rsidRPr="00C05A13">
          <w:rPr>
            <w:rStyle w:val="Hyperlink"/>
            <w:rFonts w:eastAsiaTheme="majorEastAsia"/>
            <w:noProof/>
          </w:rPr>
          <w:t>Table 13. Microinvertebrate sampling dates from 2019–2024 in the Lower Murray River.</w:t>
        </w:r>
        <w:r>
          <w:rPr>
            <w:noProof/>
            <w:webHidden/>
          </w:rPr>
          <w:tab/>
        </w:r>
        <w:r>
          <w:rPr>
            <w:noProof/>
            <w:webHidden/>
          </w:rPr>
          <w:fldChar w:fldCharType="begin"/>
        </w:r>
        <w:r>
          <w:rPr>
            <w:noProof/>
            <w:webHidden/>
          </w:rPr>
          <w:instrText xml:space="preserve"> PAGEREF _Toc200464537 \h </w:instrText>
        </w:r>
        <w:r>
          <w:rPr>
            <w:noProof/>
            <w:webHidden/>
          </w:rPr>
        </w:r>
        <w:r>
          <w:rPr>
            <w:noProof/>
            <w:webHidden/>
          </w:rPr>
          <w:fldChar w:fldCharType="separate"/>
        </w:r>
        <w:r w:rsidR="00102828">
          <w:rPr>
            <w:noProof/>
            <w:webHidden/>
          </w:rPr>
          <w:t>111</w:t>
        </w:r>
        <w:r>
          <w:rPr>
            <w:noProof/>
            <w:webHidden/>
          </w:rPr>
          <w:fldChar w:fldCharType="end"/>
        </w:r>
      </w:hyperlink>
    </w:p>
    <w:p w14:paraId="5F267748" w14:textId="10D55B80"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38" w:history="1">
        <w:r w:rsidRPr="00C05A13">
          <w:rPr>
            <w:rStyle w:val="Hyperlink"/>
            <w:rFonts w:eastAsiaTheme="majorEastAsia"/>
            <w:noProof/>
          </w:rPr>
          <w:t>Table 14</w:t>
        </w:r>
        <w:r w:rsidRPr="00C05A13">
          <w:rPr>
            <w:rStyle w:val="Hyperlink"/>
            <w:rFonts w:eastAsiaTheme="majorEastAsia"/>
            <w:iCs/>
            <w:noProof/>
          </w:rPr>
          <w:t>.</w:t>
        </w:r>
        <w:r w:rsidRPr="00C05A13">
          <w:rPr>
            <w:rStyle w:val="Hyperlink"/>
            <w:rFonts w:eastAsiaTheme="majorEastAsia"/>
            <w:noProof/>
          </w:rPr>
          <w:t xml:space="preserve"> Details of microinvertebrate sampling sites in the Lower Murray River.</w:t>
        </w:r>
        <w:r>
          <w:rPr>
            <w:noProof/>
            <w:webHidden/>
          </w:rPr>
          <w:tab/>
        </w:r>
        <w:r>
          <w:rPr>
            <w:noProof/>
            <w:webHidden/>
          </w:rPr>
          <w:fldChar w:fldCharType="begin"/>
        </w:r>
        <w:r>
          <w:rPr>
            <w:noProof/>
            <w:webHidden/>
          </w:rPr>
          <w:instrText xml:space="preserve"> PAGEREF _Toc200464538 \h </w:instrText>
        </w:r>
        <w:r>
          <w:rPr>
            <w:noProof/>
            <w:webHidden/>
          </w:rPr>
        </w:r>
        <w:r>
          <w:rPr>
            <w:noProof/>
            <w:webHidden/>
          </w:rPr>
          <w:fldChar w:fldCharType="separate"/>
        </w:r>
        <w:r w:rsidR="00102828">
          <w:rPr>
            <w:noProof/>
            <w:webHidden/>
          </w:rPr>
          <w:t>112</w:t>
        </w:r>
        <w:r>
          <w:rPr>
            <w:noProof/>
            <w:webHidden/>
          </w:rPr>
          <w:fldChar w:fldCharType="end"/>
        </w:r>
      </w:hyperlink>
    </w:p>
    <w:p w14:paraId="61BAE417" w14:textId="51A41B35"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39" w:history="1">
        <w:r w:rsidRPr="00C05A13">
          <w:rPr>
            <w:rStyle w:val="Hyperlink"/>
            <w:rFonts w:eastAsiaTheme="majorEastAsia"/>
            <w:noProof/>
          </w:rPr>
          <w:t>Table 15. Taxa used to quantify the influence of environmental water on lateral and longitudinal connectivity.</w:t>
        </w:r>
        <w:r>
          <w:rPr>
            <w:noProof/>
            <w:webHidden/>
          </w:rPr>
          <w:tab/>
        </w:r>
        <w:r>
          <w:rPr>
            <w:noProof/>
            <w:webHidden/>
          </w:rPr>
          <w:fldChar w:fldCharType="begin"/>
        </w:r>
        <w:r>
          <w:rPr>
            <w:noProof/>
            <w:webHidden/>
          </w:rPr>
          <w:instrText xml:space="preserve"> PAGEREF _Toc200464539 \h </w:instrText>
        </w:r>
        <w:r>
          <w:rPr>
            <w:noProof/>
            <w:webHidden/>
          </w:rPr>
        </w:r>
        <w:r>
          <w:rPr>
            <w:noProof/>
            <w:webHidden/>
          </w:rPr>
          <w:fldChar w:fldCharType="separate"/>
        </w:r>
        <w:r w:rsidR="00102828">
          <w:rPr>
            <w:noProof/>
            <w:webHidden/>
          </w:rPr>
          <w:t>113</w:t>
        </w:r>
        <w:r>
          <w:rPr>
            <w:noProof/>
            <w:webHidden/>
          </w:rPr>
          <w:fldChar w:fldCharType="end"/>
        </w:r>
      </w:hyperlink>
    </w:p>
    <w:p w14:paraId="59CD2583" w14:textId="6FEFAC39"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40" w:history="1">
        <w:r w:rsidRPr="00C05A13">
          <w:rPr>
            <w:rStyle w:val="Hyperlink"/>
            <w:rFonts w:eastAsiaTheme="majorEastAsia"/>
            <w:noProof/>
          </w:rPr>
          <w:t>Table 16. Microinvertebrate prey species for fish larvae of large-bodied native species (Murray cod, golden perch and silver perch) identified from gut content analysis used in modelling fish prey species density. Nauplii of calanoid and cyclopoid were excluded in calculations.</w:t>
        </w:r>
        <w:r>
          <w:rPr>
            <w:noProof/>
            <w:webHidden/>
          </w:rPr>
          <w:tab/>
        </w:r>
        <w:r>
          <w:rPr>
            <w:noProof/>
            <w:webHidden/>
          </w:rPr>
          <w:fldChar w:fldCharType="begin"/>
        </w:r>
        <w:r>
          <w:rPr>
            <w:noProof/>
            <w:webHidden/>
          </w:rPr>
          <w:instrText xml:space="preserve"> PAGEREF _Toc200464540 \h </w:instrText>
        </w:r>
        <w:r>
          <w:rPr>
            <w:noProof/>
            <w:webHidden/>
          </w:rPr>
        </w:r>
        <w:r>
          <w:rPr>
            <w:noProof/>
            <w:webHidden/>
          </w:rPr>
          <w:fldChar w:fldCharType="separate"/>
        </w:r>
        <w:r w:rsidR="00102828">
          <w:rPr>
            <w:noProof/>
            <w:webHidden/>
          </w:rPr>
          <w:t>114</w:t>
        </w:r>
        <w:r>
          <w:rPr>
            <w:noProof/>
            <w:webHidden/>
          </w:rPr>
          <w:fldChar w:fldCharType="end"/>
        </w:r>
      </w:hyperlink>
    </w:p>
    <w:p w14:paraId="2E2506A8" w14:textId="4B222790"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41" w:history="1">
        <w:r w:rsidRPr="00C05A13">
          <w:rPr>
            <w:rStyle w:val="Hyperlink"/>
            <w:rFonts w:eastAsiaTheme="majorEastAsia"/>
            <w:noProof/>
          </w:rPr>
          <w:t>Table 17. Microinvertebrate Assemblage evaluation questions and answers.</w:t>
        </w:r>
        <w:r>
          <w:rPr>
            <w:noProof/>
            <w:webHidden/>
          </w:rPr>
          <w:tab/>
        </w:r>
        <w:r>
          <w:rPr>
            <w:noProof/>
            <w:webHidden/>
          </w:rPr>
          <w:fldChar w:fldCharType="begin"/>
        </w:r>
        <w:r>
          <w:rPr>
            <w:noProof/>
            <w:webHidden/>
          </w:rPr>
          <w:instrText xml:space="preserve"> PAGEREF _Toc200464541 \h </w:instrText>
        </w:r>
        <w:r>
          <w:rPr>
            <w:noProof/>
            <w:webHidden/>
          </w:rPr>
        </w:r>
        <w:r>
          <w:rPr>
            <w:noProof/>
            <w:webHidden/>
          </w:rPr>
          <w:fldChar w:fldCharType="separate"/>
        </w:r>
        <w:r w:rsidR="00102828">
          <w:rPr>
            <w:noProof/>
            <w:webHidden/>
          </w:rPr>
          <w:t>122</w:t>
        </w:r>
        <w:r>
          <w:rPr>
            <w:noProof/>
            <w:webHidden/>
          </w:rPr>
          <w:fldChar w:fldCharType="end"/>
        </w:r>
      </w:hyperlink>
    </w:p>
    <w:p w14:paraId="5D7D1C5E" w14:textId="6383BC4F"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42" w:history="1">
        <w:r w:rsidRPr="00C05A13">
          <w:rPr>
            <w:rStyle w:val="Hyperlink"/>
            <w:rFonts w:eastAsiaTheme="majorEastAsia"/>
            <w:noProof/>
          </w:rPr>
          <w:t xml:space="preserve">Table 18. Location of water sample collection for </w:t>
        </w:r>
        <w:r w:rsidRPr="00C05A13">
          <w:rPr>
            <w:rStyle w:val="Hyperlink"/>
            <w:rFonts w:eastAsiaTheme="majorEastAsia"/>
            <w:noProof/>
            <w:vertAlign w:val="superscript"/>
          </w:rPr>
          <w:t>87</w:t>
        </w:r>
        <w:r w:rsidRPr="00C05A13">
          <w:rPr>
            <w:rStyle w:val="Hyperlink"/>
            <w:rFonts w:eastAsiaTheme="majorEastAsia"/>
            <w:noProof/>
          </w:rPr>
          <w:t>Sr/</w:t>
        </w:r>
        <w:r w:rsidRPr="00C05A13">
          <w:rPr>
            <w:rStyle w:val="Hyperlink"/>
            <w:rFonts w:eastAsiaTheme="majorEastAsia"/>
            <w:noProof/>
            <w:vertAlign w:val="superscript"/>
          </w:rPr>
          <w:t>86</w:t>
        </w:r>
        <w:r w:rsidRPr="00C05A13">
          <w:rPr>
            <w:rStyle w:val="Hyperlink"/>
            <w:rFonts w:eastAsiaTheme="majorEastAsia"/>
            <w:noProof/>
          </w:rPr>
          <w:t>Sr analysis from 2020–2024.</w:t>
        </w:r>
        <w:r>
          <w:rPr>
            <w:noProof/>
            <w:webHidden/>
          </w:rPr>
          <w:tab/>
        </w:r>
        <w:r>
          <w:rPr>
            <w:noProof/>
            <w:webHidden/>
          </w:rPr>
          <w:fldChar w:fldCharType="begin"/>
        </w:r>
        <w:r>
          <w:rPr>
            <w:noProof/>
            <w:webHidden/>
          </w:rPr>
          <w:instrText xml:space="preserve"> PAGEREF _Toc200464542 \h </w:instrText>
        </w:r>
        <w:r>
          <w:rPr>
            <w:noProof/>
            <w:webHidden/>
          </w:rPr>
        </w:r>
        <w:r>
          <w:rPr>
            <w:noProof/>
            <w:webHidden/>
          </w:rPr>
          <w:fldChar w:fldCharType="separate"/>
        </w:r>
        <w:r w:rsidR="00102828">
          <w:rPr>
            <w:noProof/>
            <w:webHidden/>
          </w:rPr>
          <w:t>132</w:t>
        </w:r>
        <w:r>
          <w:rPr>
            <w:noProof/>
            <w:webHidden/>
          </w:rPr>
          <w:fldChar w:fldCharType="end"/>
        </w:r>
      </w:hyperlink>
    </w:p>
    <w:p w14:paraId="23B62AFA" w14:textId="473A375F"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43" w:history="1">
        <w:r w:rsidRPr="00C05A13">
          <w:rPr>
            <w:rStyle w:val="Hyperlink"/>
            <w:rFonts w:eastAsiaTheme="majorEastAsia"/>
            <w:noProof/>
          </w:rPr>
          <w:t>Table 19. Egg and larval fish sampling details in the Lower Murray River from 2019–2024</w:t>
        </w:r>
        <w:r w:rsidR="00254058">
          <w:rPr>
            <w:rStyle w:val="Hyperlink"/>
            <w:rFonts w:eastAsiaTheme="majorEastAsia"/>
            <w:noProof/>
          </w:rPr>
          <w:t>…….</w:t>
        </w:r>
        <w:r w:rsidRPr="00C05A13">
          <w:rPr>
            <w:rStyle w:val="Hyperlink"/>
            <w:rFonts w:eastAsiaTheme="majorEastAsia"/>
            <w:noProof/>
          </w:rPr>
          <w:t>.</w:t>
        </w:r>
        <w:r>
          <w:rPr>
            <w:noProof/>
            <w:webHidden/>
          </w:rPr>
          <w:tab/>
        </w:r>
        <w:r>
          <w:rPr>
            <w:noProof/>
            <w:webHidden/>
          </w:rPr>
          <w:fldChar w:fldCharType="begin"/>
        </w:r>
        <w:r>
          <w:rPr>
            <w:noProof/>
            <w:webHidden/>
          </w:rPr>
          <w:instrText xml:space="preserve"> PAGEREF _Toc200464543 \h </w:instrText>
        </w:r>
        <w:r>
          <w:rPr>
            <w:noProof/>
            <w:webHidden/>
          </w:rPr>
        </w:r>
        <w:r>
          <w:rPr>
            <w:noProof/>
            <w:webHidden/>
          </w:rPr>
          <w:fldChar w:fldCharType="separate"/>
        </w:r>
        <w:r w:rsidR="00102828">
          <w:rPr>
            <w:noProof/>
            <w:webHidden/>
          </w:rPr>
          <w:t>132</w:t>
        </w:r>
        <w:r>
          <w:rPr>
            <w:noProof/>
            <w:webHidden/>
          </w:rPr>
          <w:fldChar w:fldCharType="end"/>
        </w:r>
      </w:hyperlink>
    </w:p>
    <w:p w14:paraId="1E9B70B8" w14:textId="699C7A55"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44" w:history="1">
        <w:r w:rsidRPr="00C05A13">
          <w:rPr>
            <w:rStyle w:val="Hyperlink"/>
            <w:rFonts w:eastAsiaTheme="majorEastAsia"/>
            <w:noProof/>
          </w:rPr>
          <w:t>Table 20. Flow-cued Spawning Fish Reproduction evaluation questions and answers.</w:t>
        </w:r>
        <w:r>
          <w:rPr>
            <w:noProof/>
            <w:webHidden/>
          </w:rPr>
          <w:tab/>
        </w:r>
        <w:r>
          <w:rPr>
            <w:noProof/>
            <w:webHidden/>
          </w:rPr>
          <w:fldChar w:fldCharType="begin"/>
        </w:r>
        <w:r>
          <w:rPr>
            <w:noProof/>
            <w:webHidden/>
          </w:rPr>
          <w:instrText xml:space="preserve"> PAGEREF _Toc200464544 \h </w:instrText>
        </w:r>
        <w:r>
          <w:rPr>
            <w:noProof/>
            <w:webHidden/>
          </w:rPr>
        </w:r>
        <w:r>
          <w:rPr>
            <w:noProof/>
            <w:webHidden/>
          </w:rPr>
          <w:fldChar w:fldCharType="separate"/>
        </w:r>
        <w:r w:rsidR="00102828">
          <w:rPr>
            <w:noProof/>
            <w:webHidden/>
          </w:rPr>
          <w:t>144</w:t>
        </w:r>
        <w:r>
          <w:rPr>
            <w:noProof/>
            <w:webHidden/>
          </w:rPr>
          <w:fldChar w:fldCharType="end"/>
        </w:r>
      </w:hyperlink>
    </w:p>
    <w:p w14:paraId="4C4009A7" w14:textId="386363FB"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45" w:history="1">
        <w:r w:rsidRPr="00C05A13">
          <w:rPr>
            <w:rStyle w:val="Hyperlink"/>
            <w:rFonts w:eastAsiaTheme="majorEastAsia"/>
            <w:noProof/>
          </w:rPr>
          <w:t>Table 21. Sampling trips targeting Murray cod in the main channel of the Lower Murray River from 2019–2024.</w:t>
        </w:r>
        <w:r>
          <w:rPr>
            <w:noProof/>
            <w:webHidden/>
          </w:rPr>
          <w:tab/>
        </w:r>
        <w:r>
          <w:rPr>
            <w:noProof/>
            <w:webHidden/>
          </w:rPr>
          <w:fldChar w:fldCharType="begin"/>
        </w:r>
        <w:r>
          <w:rPr>
            <w:noProof/>
            <w:webHidden/>
          </w:rPr>
          <w:instrText xml:space="preserve"> PAGEREF _Toc200464545 \h </w:instrText>
        </w:r>
        <w:r>
          <w:rPr>
            <w:noProof/>
            <w:webHidden/>
          </w:rPr>
        </w:r>
        <w:r>
          <w:rPr>
            <w:noProof/>
            <w:webHidden/>
          </w:rPr>
          <w:fldChar w:fldCharType="separate"/>
        </w:r>
        <w:r w:rsidR="00102828">
          <w:rPr>
            <w:noProof/>
            <w:webHidden/>
          </w:rPr>
          <w:t>151</w:t>
        </w:r>
        <w:r>
          <w:rPr>
            <w:noProof/>
            <w:webHidden/>
          </w:rPr>
          <w:fldChar w:fldCharType="end"/>
        </w:r>
      </w:hyperlink>
    </w:p>
    <w:p w14:paraId="4FBF1818" w14:textId="7C973493"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46" w:history="1">
        <w:r w:rsidRPr="00C05A13">
          <w:rPr>
            <w:rStyle w:val="Hyperlink"/>
            <w:rFonts w:eastAsiaTheme="majorEastAsia"/>
            <w:noProof/>
          </w:rPr>
          <w:t>Table 22. Spawn dates of Murray cod in the main channel of the Lower Murray River from 2019–2024, as determined by back-calculated daily ages from larvae and age 0+ juveniles and an incubation period of 7 days.</w:t>
        </w:r>
        <w:r>
          <w:rPr>
            <w:noProof/>
            <w:webHidden/>
          </w:rPr>
          <w:tab/>
        </w:r>
        <w:r>
          <w:rPr>
            <w:noProof/>
            <w:webHidden/>
          </w:rPr>
          <w:fldChar w:fldCharType="begin"/>
        </w:r>
        <w:r>
          <w:rPr>
            <w:noProof/>
            <w:webHidden/>
          </w:rPr>
          <w:instrText xml:space="preserve"> PAGEREF _Toc200464546 \h </w:instrText>
        </w:r>
        <w:r>
          <w:rPr>
            <w:noProof/>
            <w:webHidden/>
          </w:rPr>
        </w:r>
        <w:r>
          <w:rPr>
            <w:noProof/>
            <w:webHidden/>
          </w:rPr>
          <w:fldChar w:fldCharType="separate"/>
        </w:r>
        <w:r w:rsidR="00102828">
          <w:rPr>
            <w:noProof/>
            <w:webHidden/>
          </w:rPr>
          <w:t>155</w:t>
        </w:r>
        <w:r>
          <w:rPr>
            <w:noProof/>
            <w:webHidden/>
          </w:rPr>
          <w:fldChar w:fldCharType="end"/>
        </w:r>
      </w:hyperlink>
    </w:p>
    <w:p w14:paraId="710C350C" w14:textId="6790C73F"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47" w:history="1">
        <w:r w:rsidRPr="00C05A13">
          <w:rPr>
            <w:rStyle w:val="Hyperlink"/>
            <w:rFonts w:eastAsiaTheme="majorEastAsia"/>
            <w:noProof/>
          </w:rPr>
          <w:t>Table 23. Murray Cod Recruitment evaluation questions and answers.</w:t>
        </w:r>
        <w:r>
          <w:rPr>
            <w:noProof/>
            <w:webHidden/>
          </w:rPr>
          <w:tab/>
        </w:r>
        <w:r>
          <w:rPr>
            <w:noProof/>
            <w:webHidden/>
          </w:rPr>
          <w:fldChar w:fldCharType="begin"/>
        </w:r>
        <w:r>
          <w:rPr>
            <w:noProof/>
            <w:webHidden/>
          </w:rPr>
          <w:instrText xml:space="preserve"> PAGEREF _Toc200464547 \h </w:instrText>
        </w:r>
        <w:r>
          <w:rPr>
            <w:noProof/>
            <w:webHidden/>
          </w:rPr>
        </w:r>
        <w:r>
          <w:rPr>
            <w:noProof/>
            <w:webHidden/>
          </w:rPr>
          <w:fldChar w:fldCharType="separate"/>
        </w:r>
        <w:r w:rsidR="00102828">
          <w:rPr>
            <w:noProof/>
            <w:webHidden/>
          </w:rPr>
          <w:t>160</w:t>
        </w:r>
        <w:r>
          <w:rPr>
            <w:noProof/>
            <w:webHidden/>
          </w:rPr>
          <w:fldChar w:fldCharType="end"/>
        </w:r>
      </w:hyperlink>
    </w:p>
    <w:p w14:paraId="7C5BEF83" w14:textId="71360B50"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48" w:history="1">
        <w:r w:rsidRPr="00C05A13">
          <w:rPr>
            <w:rStyle w:val="Hyperlink"/>
            <w:rFonts w:eastAsiaTheme="majorEastAsia"/>
            <w:noProof/>
          </w:rPr>
          <w:t>Table 24. C</w:t>
        </w:r>
        <w:r w:rsidR="00F02621">
          <w:rPr>
            <w:rStyle w:val="Hyperlink"/>
            <w:rFonts w:eastAsiaTheme="majorEastAsia"/>
            <w:noProof/>
          </w:rPr>
          <w:t>ommonwealth Enviornmental Water Holder</w:t>
        </w:r>
        <w:r w:rsidRPr="00C05A13">
          <w:rPr>
            <w:rStyle w:val="Hyperlink"/>
            <w:rFonts w:eastAsiaTheme="majorEastAsia"/>
            <w:noProof/>
          </w:rPr>
          <w:t xml:space="preserve"> evaluation questions by indicators for the Lower Murray, which includes the Lower Murray River (LMR) and the Coorong, Lower Lakes and Murray Mouth (CLLMM).</w:t>
        </w:r>
        <w:r>
          <w:rPr>
            <w:noProof/>
            <w:webHidden/>
          </w:rPr>
          <w:tab/>
        </w:r>
        <w:r>
          <w:rPr>
            <w:noProof/>
            <w:webHidden/>
          </w:rPr>
          <w:fldChar w:fldCharType="begin"/>
        </w:r>
        <w:r>
          <w:rPr>
            <w:noProof/>
            <w:webHidden/>
          </w:rPr>
          <w:instrText xml:space="preserve"> PAGEREF _Toc200464548 \h </w:instrText>
        </w:r>
        <w:r>
          <w:rPr>
            <w:noProof/>
            <w:webHidden/>
          </w:rPr>
        </w:r>
        <w:r>
          <w:rPr>
            <w:noProof/>
            <w:webHidden/>
          </w:rPr>
          <w:fldChar w:fldCharType="separate"/>
        </w:r>
        <w:r w:rsidR="00102828">
          <w:rPr>
            <w:noProof/>
            <w:webHidden/>
          </w:rPr>
          <w:t>179</w:t>
        </w:r>
        <w:r>
          <w:rPr>
            <w:noProof/>
            <w:webHidden/>
          </w:rPr>
          <w:fldChar w:fldCharType="end"/>
        </w:r>
      </w:hyperlink>
    </w:p>
    <w:p w14:paraId="6E0072FE" w14:textId="2549C56B" w:rsidR="00A32E2D" w:rsidRDefault="00A32E2D">
      <w:pPr>
        <w:pStyle w:val="TableofFigures"/>
        <w:rPr>
          <w:rFonts w:asciiTheme="minorHAnsi" w:eastAsiaTheme="minorEastAsia" w:hAnsiTheme="minorHAnsi" w:cstheme="minorBidi"/>
          <w:noProof/>
          <w:color w:val="auto"/>
          <w:kern w:val="2"/>
          <w:sz w:val="24"/>
          <w:szCs w:val="24"/>
          <w14:ligatures w14:val="standardContextual"/>
        </w:rPr>
      </w:pPr>
      <w:hyperlink w:anchor="_Toc200464549" w:history="1">
        <w:r w:rsidRPr="00C05A13">
          <w:rPr>
            <w:rStyle w:val="Hyperlink"/>
            <w:rFonts w:eastAsiaTheme="majorEastAsia"/>
            <w:noProof/>
          </w:rPr>
          <w:t>Table 25</w:t>
        </w:r>
        <w:r w:rsidRPr="00C05A13">
          <w:rPr>
            <w:rStyle w:val="Hyperlink"/>
            <w:rFonts w:eastAsiaTheme="majorEastAsia"/>
            <w:noProof/>
            <w:lang w:val="en-US"/>
          </w:rPr>
          <w:t>. The magnitude, timing and duration of the main spring</w:t>
        </w:r>
        <w:r w:rsidRPr="00C05A13">
          <w:rPr>
            <w:rStyle w:val="Hyperlink"/>
            <w:rFonts w:eastAsiaTheme="majorEastAsia" w:cs="Calibri"/>
            <w:noProof/>
          </w:rPr>
          <w:t>–</w:t>
        </w:r>
        <w:r w:rsidRPr="00C05A13">
          <w:rPr>
            <w:rStyle w:val="Hyperlink"/>
            <w:rFonts w:eastAsiaTheme="majorEastAsia"/>
            <w:noProof/>
          </w:rPr>
          <w:t>summer flow pulses from 2014-15 to 2023-24.</w:t>
        </w:r>
        <w:r>
          <w:rPr>
            <w:noProof/>
            <w:webHidden/>
          </w:rPr>
          <w:tab/>
        </w:r>
        <w:r>
          <w:rPr>
            <w:noProof/>
            <w:webHidden/>
          </w:rPr>
          <w:fldChar w:fldCharType="begin"/>
        </w:r>
        <w:r>
          <w:rPr>
            <w:noProof/>
            <w:webHidden/>
          </w:rPr>
          <w:instrText xml:space="preserve"> PAGEREF _Toc200464549 \h </w:instrText>
        </w:r>
        <w:r>
          <w:rPr>
            <w:noProof/>
            <w:webHidden/>
          </w:rPr>
        </w:r>
        <w:r>
          <w:rPr>
            <w:noProof/>
            <w:webHidden/>
          </w:rPr>
          <w:fldChar w:fldCharType="separate"/>
        </w:r>
        <w:r w:rsidR="00102828">
          <w:rPr>
            <w:noProof/>
            <w:webHidden/>
          </w:rPr>
          <w:t>184</w:t>
        </w:r>
        <w:r>
          <w:rPr>
            <w:noProof/>
            <w:webHidden/>
          </w:rPr>
          <w:fldChar w:fldCharType="end"/>
        </w:r>
      </w:hyperlink>
    </w:p>
    <w:p w14:paraId="7C8A29B2" w14:textId="22486499" w:rsidR="005B0AA3" w:rsidRDefault="003F2408" w:rsidP="00ED3879">
      <w:pPr>
        <w:pStyle w:val="TableofFigures"/>
        <w:rPr>
          <w:noProof/>
        </w:rPr>
      </w:pPr>
      <w:r>
        <w:rPr>
          <w:rFonts w:eastAsiaTheme="majorEastAsia"/>
          <w:noProof/>
        </w:rPr>
        <w:fldChar w:fldCharType="end"/>
      </w:r>
    </w:p>
    <w:p w14:paraId="5B6E7C96" w14:textId="77777777" w:rsidR="005B0AA3" w:rsidRDefault="005B0AA3" w:rsidP="005B0AA3">
      <w:pPr>
        <w:spacing w:before="0" w:after="200"/>
        <w:jc w:val="left"/>
        <w:rPr>
          <w:noProof/>
          <w:kern w:val="0"/>
          <w:lang w:eastAsia="en-AU"/>
        </w:rPr>
      </w:pPr>
      <w:r>
        <w:rPr>
          <w:noProof/>
        </w:rPr>
        <w:br w:type="page"/>
      </w:r>
    </w:p>
    <w:p w14:paraId="38AE6820" w14:textId="77777777" w:rsidR="005B0AA3" w:rsidRPr="00A67C76" w:rsidRDefault="005B0AA3" w:rsidP="005B0AA3">
      <w:pPr>
        <w:pStyle w:val="Heading1"/>
        <w:numPr>
          <w:ilvl w:val="0"/>
          <w:numId w:val="0"/>
        </w:numPr>
        <w:ind w:left="851" w:hanging="851"/>
      </w:pPr>
      <w:bookmarkStart w:id="8" w:name="_Toc441838722"/>
      <w:bookmarkStart w:id="9" w:name="_Toc200467849"/>
      <w:r w:rsidRPr="00A67C76">
        <w:lastRenderedPageBreak/>
        <w:t>Acknowledgements</w:t>
      </w:r>
      <w:bookmarkEnd w:id="8"/>
      <w:bookmarkEnd w:id="9"/>
    </w:p>
    <w:p w14:paraId="15DD611B" w14:textId="0BBC04FD" w:rsidR="005B0AA3" w:rsidRPr="007D7E1E" w:rsidRDefault="005B0AA3" w:rsidP="005B0AA3">
      <w:pPr>
        <w:pStyle w:val="ListBullet"/>
        <w:numPr>
          <w:ilvl w:val="0"/>
          <w:numId w:val="0"/>
        </w:numPr>
        <w:rPr>
          <w:bCs/>
        </w:rPr>
      </w:pPr>
      <w:r w:rsidRPr="007D7E1E">
        <w:t xml:space="preserve">This </w:t>
      </w:r>
      <w:r w:rsidR="00B250BE" w:rsidRPr="007D7E1E">
        <w:t xml:space="preserve">project </w:t>
      </w:r>
      <w:r w:rsidRPr="007D7E1E">
        <w:t xml:space="preserve">was funded by the Commonwealth Environmental Water </w:t>
      </w:r>
      <w:r w:rsidR="002558D4" w:rsidRPr="007D7E1E">
        <w:t>Holder</w:t>
      </w:r>
      <w:r w:rsidRPr="007D7E1E">
        <w:t xml:space="preserve"> (CEW</w:t>
      </w:r>
      <w:r w:rsidR="002558D4" w:rsidRPr="007D7E1E">
        <w:t>H</w:t>
      </w:r>
      <w:r w:rsidRPr="007D7E1E">
        <w:t xml:space="preserve">) </w:t>
      </w:r>
      <w:r w:rsidR="001B09A2" w:rsidRPr="007D7E1E">
        <w:t xml:space="preserve">from </w:t>
      </w:r>
      <w:r w:rsidRPr="007D7E1E">
        <w:t>201</w:t>
      </w:r>
      <w:r w:rsidR="00914358" w:rsidRPr="007D7E1E">
        <w:t>9</w:t>
      </w:r>
      <w:r w:rsidR="001B09A2" w:rsidRPr="007D7E1E">
        <w:t>–</w:t>
      </w:r>
      <w:r w:rsidR="00914358" w:rsidRPr="007D7E1E">
        <w:t>2</w:t>
      </w:r>
      <w:r w:rsidR="009F2F48">
        <w:t>02</w:t>
      </w:r>
      <w:r w:rsidR="00815B2C" w:rsidRPr="007D7E1E">
        <w:t>4</w:t>
      </w:r>
      <w:r w:rsidRPr="007D7E1E">
        <w:t xml:space="preserve"> with in</w:t>
      </w:r>
      <w:r w:rsidR="00333722" w:rsidRPr="007D7E1E">
        <w:t>-</w:t>
      </w:r>
      <w:r w:rsidRPr="007D7E1E">
        <w:t xml:space="preserve">kind contributions from </w:t>
      </w:r>
      <w:r w:rsidR="001B09A2" w:rsidRPr="007D7E1E">
        <w:t xml:space="preserve">the </w:t>
      </w:r>
      <w:r w:rsidRPr="007D7E1E">
        <w:rPr>
          <w:bCs/>
        </w:rPr>
        <w:t>South Australian Research and Development Institute (SARDI)</w:t>
      </w:r>
      <w:r w:rsidR="001B09A2" w:rsidRPr="007D7E1E">
        <w:rPr>
          <w:bCs/>
        </w:rPr>
        <w:t xml:space="preserve"> </w:t>
      </w:r>
      <w:r w:rsidR="00914358" w:rsidRPr="007D7E1E">
        <w:rPr>
          <w:bCs/>
        </w:rPr>
        <w:t>and</w:t>
      </w:r>
      <w:r w:rsidRPr="007D7E1E">
        <w:rPr>
          <w:bCs/>
        </w:rPr>
        <w:t xml:space="preserve"> South Australian Department for Environment and Water (DEW). SARDI provided project leadership, undertook the fish</w:t>
      </w:r>
      <w:r w:rsidR="00C3442D" w:rsidRPr="007D7E1E">
        <w:rPr>
          <w:bCs/>
        </w:rPr>
        <w:t xml:space="preserve"> and vegetation</w:t>
      </w:r>
      <w:r w:rsidRPr="007D7E1E">
        <w:rPr>
          <w:bCs/>
        </w:rPr>
        <w:t xml:space="preserve"> components of this </w:t>
      </w:r>
      <w:r w:rsidR="00B250BE" w:rsidRPr="007D7E1E">
        <w:rPr>
          <w:bCs/>
        </w:rPr>
        <w:t xml:space="preserve">study </w:t>
      </w:r>
      <w:r w:rsidRPr="007D7E1E">
        <w:rPr>
          <w:bCs/>
        </w:rPr>
        <w:t xml:space="preserve">and sub-contracted other components to the University of Adelaide (UoA), </w:t>
      </w:r>
      <w:r w:rsidR="00807492" w:rsidRPr="007D7E1E">
        <w:rPr>
          <w:bCs/>
        </w:rPr>
        <w:t>Commonwealth Scientific and Industrial Research Organisation (</w:t>
      </w:r>
      <w:r w:rsidR="001B09A2" w:rsidRPr="007D7E1E">
        <w:rPr>
          <w:bCs/>
        </w:rPr>
        <w:t>CSIRO</w:t>
      </w:r>
      <w:r w:rsidR="00807492" w:rsidRPr="007D7E1E">
        <w:rPr>
          <w:bCs/>
        </w:rPr>
        <w:t>)</w:t>
      </w:r>
      <w:r w:rsidR="001B09A2" w:rsidRPr="007D7E1E">
        <w:rPr>
          <w:bCs/>
        </w:rPr>
        <w:t>,</w:t>
      </w:r>
      <w:r w:rsidRPr="007D7E1E">
        <w:rPr>
          <w:bCs/>
        </w:rPr>
        <w:t xml:space="preserve"> University of Western Australia and </w:t>
      </w:r>
      <w:bookmarkStart w:id="10" w:name="_Hlk118376877"/>
      <w:r w:rsidRPr="007D7E1E">
        <w:rPr>
          <w:bCs/>
        </w:rPr>
        <w:t xml:space="preserve">Australian Limnological Services (ALS) (Wetland Research and Management, WRM). </w:t>
      </w:r>
      <w:bookmarkEnd w:id="10"/>
      <w:r w:rsidRPr="007D7E1E">
        <w:rPr>
          <w:bCs/>
        </w:rPr>
        <w:t xml:space="preserve">SA Water and DEW provided water quality data for the </w:t>
      </w:r>
      <w:r w:rsidR="00B250BE" w:rsidRPr="007D7E1E">
        <w:rPr>
          <w:bCs/>
        </w:rPr>
        <w:t>indicators of ‘</w:t>
      </w:r>
      <w:r w:rsidRPr="007D7E1E">
        <w:rPr>
          <w:bCs/>
        </w:rPr>
        <w:t>Matter Transport</w:t>
      </w:r>
      <w:r w:rsidR="00DE3CF4" w:rsidRPr="007D7E1E">
        <w:rPr>
          <w:bCs/>
        </w:rPr>
        <w:t xml:space="preserve"> and Coorong Habitat</w:t>
      </w:r>
      <w:r w:rsidR="00B250BE" w:rsidRPr="007D7E1E">
        <w:rPr>
          <w:bCs/>
        </w:rPr>
        <w:t>’</w:t>
      </w:r>
      <w:r w:rsidRPr="007D7E1E">
        <w:rPr>
          <w:bCs/>
        </w:rPr>
        <w:t xml:space="preserve"> </w:t>
      </w:r>
      <w:r w:rsidR="00600D79" w:rsidRPr="007D7E1E">
        <w:rPr>
          <w:bCs/>
        </w:rPr>
        <w:t xml:space="preserve">and </w:t>
      </w:r>
      <w:r w:rsidR="00B250BE" w:rsidRPr="007D7E1E">
        <w:rPr>
          <w:bCs/>
        </w:rPr>
        <w:t>‘</w:t>
      </w:r>
      <w:r w:rsidR="00600D79" w:rsidRPr="007D7E1E">
        <w:rPr>
          <w:bCs/>
        </w:rPr>
        <w:t>Stream Metabolism</w:t>
      </w:r>
      <w:r w:rsidR="00C3442D" w:rsidRPr="007D7E1E">
        <w:rPr>
          <w:bCs/>
        </w:rPr>
        <w:t xml:space="preserve"> and Water Quality</w:t>
      </w:r>
      <w:r w:rsidR="00B250BE" w:rsidRPr="007D7E1E">
        <w:rPr>
          <w:bCs/>
        </w:rPr>
        <w:t>’</w:t>
      </w:r>
      <w:r w:rsidRPr="007D7E1E">
        <w:rPr>
          <w:bCs/>
        </w:rPr>
        <w:t xml:space="preserve">. </w:t>
      </w:r>
    </w:p>
    <w:p w14:paraId="68E2F53D" w14:textId="014BF6B3" w:rsidR="005B0AA3" w:rsidRPr="002558D4" w:rsidRDefault="005B0AA3" w:rsidP="005B0AA3">
      <w:pPr>
        <w:pStyle w:val="ListBullet"/>
        <w:numPr>
          <w:ilvl w:val="0"/>
          <w:numId w:val="0"/>
        </w:numPr>
        <w:rPr>
          <w:highlight w:val="yellow"/>
        </w:rPr>
      </w:pPr>
      <w:r w:rsidRPr="007D7E1E">
        <w:t>Thanks to numerous SARDI staff</w:t>
      </w:r>
      <w:r w:rsidR="004B5711" w:rsidRPr="007D7E1E">
        <w:t xml:space="preserve">, including Arron Strawbridge, </w:t>
      </w:r>
      <w:r w:rsidR="007D7E1E" w:rsidRPr="007D7E1E">
        <w:t xml:space="preserve">Travis Howson, </w:t>
      </w:r>
      <w:r w:rsidR="004B5711" w:rsidRPr="007D7E1E">
        <w:t>David Short</w:t>
      </w:r>
      <w:r w:rsidR="0048451D" w:rsidRPr="007D7E1E">
        <w:t>, Mark Sutcliffe</w:t>
      </w:r>
      <w:r w:rsidR="007D7E1E">
        <w:t xml:space="preserve">, </w:t>
      </w:r>
      <w:r w:rsidR="009F2F48">
        <w:t>Anthony Newbery,</w:t>
      </w:r>
      <w:r w:rsidR="009F2F48" w:rsidRPr="007D7E1E">
        <w:t xml:space="preserve"> </w:t>
      </w:r>
      <w:r w:rsidR="001F2691">
        <w:t xml:space="preserve">Josh Fredberg, </w:t>
      </w:r>
      <w:r w:rsidR="009F2F48">
        <w:t>Noah Kiriakou</w:t>
      </w:r>
      <w:r w:rsidR="001F2691">
        <w:t xml:space="preserve"> and</w:t>
      </w:r>
      <w:r w:rsidR="009F2F48">
        <w:t xml:space="preserve"> Courtney Wallace </w:t>
      </w:r>
      <w:r w:rsidRPr="007D7E1E">
        <w:t>for providing technical assistance in the field or laboratory.</w:t>
      </w:r>
      <w:r w:rsidR="00285C97" w:rsidRPr="007D7E1E">
        <w:t xml:space="preserve"> </w:t>
      </w:r>
      <w:r w:rsidR="00321B37" w:rsidRPr="007D7E1E">
        <w:t xml:space="preserve">SA Water, Goulburn–Murray Water, Water NSW and NSW Department of Primary Industries staff assisted with collecting water samples for </w:t>
      </w:r>
      <w:r w:rsidR="00321B37" w:rsidRPr="007D7E1E">
        <w:rPr>
          <w:vertAlign w:val="superscript"/>
        </w:rPr>
        <w:t>87</w:t>
      </w:r>
      <w:r w:rsidR="00321B37" w:rsidRPr="007D7E1E">
        <w:t>Sr/</w:t>
      </w:r>
      <w:r w:rsidR="00321B37" w:rsidRPr="007D7E1E">
        <w:rPr>
          <w:vertAlign w:val="superscript"/>
        </w:rPr>
        <w:t>86</w:t>
      </w:r>
      <w:r w:rsidR="00321B37" w:rsidRPr="007D7E1E">
        <w:t xml:space="preserve">Sr analysis. </w:t>
      </w:r>
      <w:r w:rsidR="006841BB" w:rsidRPr="007D7E1E">
        <w:t>Dr Roland Maas from t</w:t>
      </w:r>
      <w:r w:rsidR="00321B37" w:rsidRPr="007D7E1E">
        <w:t xml:space="preserve">he University of Melbourne conducted water </w:t>
      </w:r>
      <w:r w:rsidR="00321B37" w:rsidRPr="007D7E1E">
        <w:rPr>
          <w:vertAlign w:val="superscript"/>
        </w:rPr>
        <w:t>87</w:t>
      </w:r>
      <w:r w:rsidR="00321B37" w:rsidRPr="007D7E1E">
        <w:t>Sr/</w:t>
      </w:r>
      <w:r w:rsidR="00321B37" w:rsidRPr="007D7E1E">
        <w:rPr>
          <w:vertAlign w:val="superscript"/>
        </w:rPr>
        <w:t>86</w:t>
      </w:r>
      <w:r w:rsidR="00321B37" w:rsidRPr="007D7E1E">
        <w:t xml:space="preserve">Sr analysis, while Dr Aleksey Sadekov and Dr Peter </w:t>
      </w:r>
      <w:r w:rsidR="00321B37" w:rsidRPr="00FC1616">
        <w:t>Scott from the University of Western Australia (2018</w:t>
      </w:r>
      <w:r w:rsidR="00954442">
        <w:t>–202</w:t>
      </w:r>
      <w:r w:rsidR="001F2691">
        <w:t>4</w:t>
      </w:r>
      <w:r w:rsidR="00321B37" w:rsidRPr="00FC1616">
        <w:t xml:space="preserve">) conducted otolith </w:t>
      </w:r>
      <w:r w:rsidR="00321B37" w:rsidRPr="00FC1616">
        <w:rPr>
          <w:vertAlign w:val="superscript"/>
        </w:rPr>
        <w:t>87</w:t>
      </w:r>
      <w:r w:rsidR="00321B37" w:rsidRPr="00FC1616">
        <w:t>Sr/</w:t>
      </w:r>
      <w:r w:rsidR="00321B37" w:rsidRPr="00FC1616">
        <w:rPr>
          <w:vertAlign w:val="superscript"/>
        </w:rPr>
        <w:t>86</w:t>
      </w:r>
      <w:r w:rsidR="00321B37" w:rsidRPr="00FC1616">
        <w:t>Sr analysis.</w:t>
      </w:r>
      <w:r w:rsidR="00190FF1" w:rsidRPr="00FC1616">
        <w:t xml:space="preserve"> </w:t>
      </w:r>
      <w:r w:rsidRPr="00FC1616">
        <w:t xml:space="preserve">Dr Daniel McCullough (DEW) provided hydraulic model outputs that support the analysis undertaken for the </w:t>
      </w:r>
      <w:r w:rsidR="001522FE" w:rsidRPr="00FC1616">
        <w:t>H</w:t>
      </w:r>
      <w:r w:rsidRPr="00FC1616">
        <w:t>ydr</w:t>
      </w:r>
      <w:r w:rsidR="001522FE" w:rsidRPr="00FC1616">
        <w:t>aulic</w:t>
      </w:r>
      <w:r w:rsidRPr="00FC1616">
        <w:t xml:space="preserve"> </w:t>
      </w:r>
      <w:r w:rsidR="001522FE" w:rsidRPr="00FC1616">
        <w:t>R</w:t>
      </w:r>
      <w:r w:rsidRPr="00FC1616">
        <w:t xml:space="preserve">egime indicator. </w:t>
      </w:r>
    </w:p>
    <w:p w14:paraId="11F80C6D" w14:textId="154C360F" w:rsidR="00AB0A46" w:rsidRPr="007D7E1E" w:rsidRDefault="00AB0A46" w:rsidP="00AB0A46">
      <w:pPr>
        <w:pStyle w:val="ListBullet"/>
        <w:numPr>
          <w:ilvl w:val="0"/>
          <w:numId w:val="0"/>
        </w:numPr>
      </w:pPr>
      <w:r w:rsidRPr="007D7E1E">
        <w:t xml:space="preserve">Additional samples of Murray cod larvae and juveniles for analysis in the Murray cod recruitment indicator were accessed from sampling undertaken in the Katarapko, Pike and Chowilla Anabranches. This sampling was funded by </w:t>
      </w:r>
      <w:r>
        <w:t xml:space="preserve">The Living Murray coordinated by the </w:t>
      </w:r>
      <w:r w:rsidRPr="007D7E1E">
        <w:t>Murray–Darling Basin Authority (MDBA)</w:t>
      </w:r>
      <w:r>
        <w:t xml:space="preserve"> at Chowilla</w:t>
      </w:r>
      <w:r w:rsidRPr="007D7E1E">
        <w:t xml:space="preserve"> and </w:t>
      </w:r>
      <w:r>
        <w:t xml:space="preserve">by </w:t>
      </w:r>
      <w:r w:rsidRPr="007D7E1E">
        <w:t>DEW</w:t>
      </w:r>
      <w:r>
        <w:t xml:space="preserve"> at Katarapko and Pike</w:t>
      </w:r>
      <w:r w:rsidRPr="007D7E1E">
        <w:t>.</w:t>
      </w:r>
      <w:r>
        <w:t xml:space="preserve"> Data collection for the Stream Metabolism indicator was extended to June 2023 </w:t>
      </w:r>
      <w:r w:rsidRPr="009211CD">
        <w:t>through the Murray Channel Monitoring Program</w:t>
      </w:r>
      <w:r>
        <w:t xml:space="preserve">, conducted in conjunction with CSIRO and funded through the MDBA. </w:t>
      </w:r>
      <w:r w:rsidR="00C37392">
        <w:t>Thanks to the A</w:t>
      </w:r>
      <w:r w:rsidR="00C37392" w:rsidRPr="00C37392">
        <w:t xml:space="preserve">rthur </w:t>
      </w:r>
      <w:r w:rsidR="00C37392">
        <w:t>R</w:t>
      </w:r>
      <w:r w:rsidR="00C37392" w:rsidRPr="00C37392">
        <w:t xml:space="preserve">ylah </w:t>
      </w:r>
      <w:r w:rsidR="00C37392">
        <w:t>I</w:t>
      </w:r>
      <w:r w:rsidR="00C37392" w:rsidRPr="00C37392">
        <w:t>nstitute</w:t>
      </w:r>
      <w:r w:rsidR="00C37392">
        <w:t xml:space="preserve"> for the hire of an electrofishing vessel during the 2023-24 monitoring season. </w:t>
      </w:r>
      <w:r>
        <w:t xml:space="preserve"> </w:t>
      </w:r>
    </w:p>
    <w:p w14:paraId="7DBAFA72" w14:textId="6CE90193" w:rsidR="00DE545E" w:rsidRDefault="005B0AA3" w:rsidP="00AB7743">
      <w:pPr>
        <w:pStyle w:val="ListBullet"/>
        <w:numPr>
          <w:ilvl w:val="0"/>
          <w:numId w:val="0"/>
        </w:numPr>
      </w:pPr>
      <w:r w:rsidRPr="002B51DA">
        <w:t>Thanks to</w:t>
      </w:r>
      <w:r w:rsidR="00EE4586" w:rsidRPr="002B51DA">
        <w:t xml:space="preserve"> Adam Cotterill</w:t>
      </w:r>
      <w:r w:rsidR="002558D4" w:rsidRPr="002B51DA">
        <w:t>,</w:t>
      </w:r>
      <w:r w:rsidRPr="002B51DA">
        <w:t xml:space="preserve"> </w:t>
      </w:r>
      <w:r w:rsidR="00EC1F85" w:rsidRPr="002B51DA">
        <w:t>Lucy Carlile</w:t>
      </w:r>
      <w:r w:rsidR="00D22D92" w:rsidRPr="002B51DA">
        <w:t>,</w:t>
      </w:r>
      <w:r w:rsidR="00EE4586" w:rsidRPr="002B51DA">
        <w:t xml:space="preserve"> Kyle</w:t>
      </w:r>
      <w:r w:rsidR="002558D4" w:rsidRPr="002B51DA">
        <w:t xml:space="preserve"> </w:t>
      </w:r>
      <w:r w:rsidR="008E771C" w:rsidRPr="002B51DA">
        <w:t>McGrath</w:t>
      </w:r>
      <w:r w:rsidR="00A701F3">
        <w:t>, Jess Dober,</w:t>
      </w:r>
      <w:r w:rsidR="008E771C" w:rsidRPr="002B51DA">
        <w:t xml:space="preserve"> </w:t>
      </w:r>
      <w:r w:rsidR="00A701F3">
        <w:t xml:space="preserve">Richard Mintern, </w:t>
      </w:r>
      <w:r w:rsidR="002558D4" w:rsidRPr="002B51DA">
        <w:t xml:space="preserve">and </w:t>
      </w:r>
      <w:r w:rsidR="00EE4586" w:rsidRPr="002B51DA">
        <w:t xml:space="preserve">Anthony Moore </w:t>
      </w:r>
      <w:r w:rsidRPr="002B51DA">
        <w:t>(CEW</w:t>
      </w:r>
      <w:r w:rsidR="002558D4" w:rsidRPr="002B51DA">
        <w:t>H</w:t>
      </w:r>
      <w:r w:rsidRPr="002B51DA">
        <w:t>)</w:t>
      </w:r>
      <w:r w:rsidR="00EC21B8" w:rsidRPr="002B51DA">
        <w:t xml:space="preserve"> </w:t>
      </w:r>
      <w:r w:rsidRPr="002B51DA">
        <w:t xml:space="preserve">for providing project management and support to the Lower Murray Selected Area. Jim Foreman </w:t>
      </w:r>
      <w:r w:rsidRPr="00D74462">
        <w:t>and Aftab Ahmad (MDBA) provided</w:t>
      </w:r>
      <w:r w:rsidRPr="002B51DA">
        <w:t xml:space="preserve"> detailed flow and environmental flow data. The </w:t>
      </w:r>
      <w:r w:rsidR="00A01FD1" w:rsidRPr="002B51DA">
        <w:t xml:space="preserve">Lower Murray </w:t>
      </w:r>
      <w:r w:rsidRPr="002B51DA">
        <w:t xml:space="preserve">Selected Area Working Group </w:t>
      </w:r>
      <w:r w:rsidR="00DE545E" w:rsidRPr="002B51DA">
        <w:t xml:space="preserve">(SAWG) </w:t>
      </w:r>
      <w:r w:rsidRPr="002B51DA">
        <w:rPr>
          <w:color w:val="auto"/>
          <w:kern w:val="0"/>
        </w:rPr>
        <w:t>provided a forum for the exchange of information and intelligence that supported the CEW</w:t>
      </w:r>
      <w:r w:rsidR="002558D4" w:rsidRPr="002B51DA">
        <w:rPr>
          <w:color w:val="auto"/>
          <w:kern w:val="0"/>
        </w:rPr>
        <w:t>H</w:t>
      </w:r>
      <w:r w:rsidRPr="002B51DA">
        <w:rPr>
          <w:color w:val="auto"/>
          <w:kern w:val="0"/>
        </w:rPr>
        <w:t xml:space="preserve"> </w:t>
      </w:r>
      <w:r w:rsidR="00636414">
        <w:rPr>
          <w:color w:val="auto"/>
          <w:kern w:val="0"/>
        </w:rPr>
        <w:t>Flow-</w:t>
      </w:r>
      <w:r w:rsidR="00906BCD" w:rsidRPr="002B51DA">
        <w:rPr>
          <w:color w:val="auto"/>
          <w:kern w:val="0"/>
        </w:rPr>
        <w:t>MER</w:t>
      </w:r>
      <w:r w:rsidRPr="002B51DA">
        <w:rPr>
          <w:color w:val="auto"/>
          <w:kern w:val="0"/>
        </w:rPr>
        <w:t xml:space="preserve"> </w:t>
      </w:r>
      <w:r w:rsidR="00003DB2" w:rsidRPr="002B51DA">
        <w:rPr>
          <w:color w:val="auto"/>
          <w:kern w:val="0"/>
        </w:rPr>
        <w:t>P</w:t>
      </w:r>
      <w:r w:rsidRPr="002B51DA">
        <w:rPr>
          <w:color w:val="auto"/>
          <w:kern w:val="0"/>
        </w:rPr>
        <w:t xml:space="preserve">roject, through effective </w:t>
      </w:r>
      <w:r w:rsidRPr="00047D1E">
        <w:rPr>
          <w:color w:val="auto"/>
          <w:kern w:val="0"/>
        </w:rPr>
        <w:t>coordination of environmental watering, and monitoring and evaluation</w:t>
      </w:r>
      <w:r w:rsidR="00AB7743" w:rsidRPr="00047D1E">
        <w:rPr>
          <w:color w:val="auto"/>
          <w:kern w:val="0"/>
        </w:rPr>
        <w:t xml:space="preserve">. The authors also thank the Lower Murray </w:t>
      </w:r>
      <w:r w:rsidR="00DE545E" w:rsidRPr="00047D1E">
        <w:rPr>
          <w:color w:val="auto"/>
          <w:kern w:val="0"/>
        </w:rPr>
        <w:t xml:space="preserve">SAWG </w:t>
      </w:r>
      <w:r w:rsidR="00AB7743" w:rsidRPr="00047D1E">
        <w:rPr>
          <w:color w:val="auto"/>
          <w:kern w:val="0"/>
        </w:rPr>
        <w:t xml:space="preserve">including </w:t>
      </w:r>
      <w:r w:rsidR="003A4BF2" w:rsidRPr="00047D1E">
        <w:rPr>
          <w:color w:val="auto"/>
          <w:kern w:val="0"/>
        </w:rPr>
        <w:t xml:space="preserve">staff from the </w:t>
      </w:r>
      <w:r w:rsidR="00AB7743" w:rsidRPr="00047D1E">
        <w:rPr>
          <w:color w:val="auto"/>
          <w:kern w:val="0"/>
        </w:rPr>
        <w:t>CEW</w:t>
      </w:r>
      <w:r w:rsidR="002558D4" w:rsidRPr="00047D1E">
        <w:rPr>
          <w:color w:val="auto"/>
          <w:kern w:val="0"/>
        </w:rPr>
        <w:t>H</w:t>
      </w:r>
      <w:r w:rsidR="003A4BF2" w:rsidRPr="00047D1E">
        <w:rPr>
          <w:color w:val="auto"/>
          <w:kern w:val="0"/>
        </w:rPr>
        <w:t xml:space="preserve">, </w:t>
      </w:r>
      <w:r w:rsidR="00AB7743" w:rsidRPr="00047D1E">
        <w:rPr>
          <w:color w:val="auto"/>
          <w:kern w:val="0"/>
        </w:rPr>
        <w:t>MDBA</w:t>
      </w:r>
      <w:r w:rsidR="003A4BF2" w:rsidRPr="00047D1E">
        <w:rPr>
          <w:color w:val="auto"/>
          <w:kern w:val="0"/>
        </w:rPr>
        <w:t xml:space="preserve"> and </w:t>
      </w:r>
      <w:r w:rsidR="00AB7743" w:rsidRPr="00047D1E">
        <w:rPr>
          <w:color w:val="auto"/>
          <w:kern w:val="0"/>
        </w:rPr>
        <w:t xml:space="preserve">DEW for providing most welcome and constructive feedback on </w:t>
      </w:r>
      <w:r w:rsidR="00DE545E" w:rsidRPr="00047D1E">
        <w:rPr>
          <w:color w:val="auto"/>
          <w:kern w:val="0"/>
        </w:rPr>
        <w:t xml:space="preserve">a </w:t>
      </w:r>
      <w:r w:rsidR="00AB7743" w:rsidRPr="00047D1E">
        <w:rPr>
          <w:color w:val="auto"/>
          <w:kern w:val="0"/>
        </w:rPr>
        <w:t xml:space="preserve">draft </w:t>
      </w:r>
      <w:r w:rsidR="00DE545E" w:rsidRPr="00047D1E">
        <w:rPr>
          <w:color w:val="auto"/>
          <w:kern w:val="0"/>
        </w:rPr>
        <w:t xml:space="preserve">version of this </w:t>
      </w:r>
      <w:r w:rsidR="00AB7743" w:rsidRPr="00047D1E">
        <w:rPr>
          <w:color w:val="auto"/>
          <w:kern w:val="0"/>
        </w:rPr>
        <w:t>report.</w:t>
      </w:r>
      <w:r w:rsidR="00AB7743" w:rsidRPr="00047D1E">
        <w:t xml:space="preserve"> </w:t>
      </w:r>
      <w:r w:rsidR="00DE545E" w:rsidRPr="00047D1E">
        <w:t>Adam Cotterill</w:t>
      </w:r>
      <w:r w:rsidR="005E2636">
        <w:t>,</w:t>
      </w:r>
      <w:r w:rsidR="00D74462" w:rsidRPr="00047D1E">
        <w:t xml:space="preserve"> </w:t>
      </w:r>
      <w:r w:rsidR="005E2636" w:rsidRPr="00047D1E">
        <w:t>Lucy Carlile</w:t>
      </w:r>
      <w:r w:rsidR="00374ABD">
        <w:t>, Richard Mintern</w:t>
      </w:r>
      <w:r w:rsidR="005E2636" w:rsidRPr="00047D1E">
        <w:t xml:space="preserve"> </w:t>
      </w:r>
      <w:r w:rsidR="00D74462" w:rsidRPr="00047D1E">
        <w:t>and Kyle M</w:t>
      </w:r>
      <w:r w:rsidR="00F808ED" w:rsidRPr="00047D1E">
        <w:t>c</w:t>
      </w:r>
      <w:r w:rsidR="00D74462" w:rsidRPr="00047D1E">
        <w:t>Grath</w:t>
      </w:r>
      <w:r w:rsidR="00103205" w:rsidRPr="00047D1E">
        <w:t xml:space="preserve"> (CEW</w:t>
      </w:r>
      <w:r w:rsidR="002558D4" w:rsidRPr="00047D1E">
        <w:t>H</w:t>
      </w:r>
      <w:r w:rsidR="00103205" w:rsidRPr="00047D1E">
        <w:t xml:space="preserve">), and </w:t>
      </w:r>
      <w:r w:rsidR="000067DD">
        <w:t>Dr Sarah Catalano</w:t>
      </w:r>
      <w:r w:rsidR="00103205" w:rsidRPr="00047D1E">
        <w:t xml:space="preserve"> (SARDI) </w:t>
      </w:r>
      <w:r w:rsidR="00225F24" w:rsidRPr="00047D1E">
        <w:t>reviewed a final draft</w:t>
      </w:r>
      <w:r w:rsidR="00DE545E" w:rsidRPr="00047D1E">
        <w:t xml:space="preserve"> of this report.</w:t>
      </w:r>
      <w:r w:rsidR="00DE545E">
        <w:t xml:space="preserve"> </w:t>
      </w:r>
    </w:p>
    <w:p w14:paraId="5077E999" w14:textId="77777777" w:rsidR="00225F24" w:rsidRDefault="00225F24" w:rsidP="007D5D43">
      <w:bookmarkStart w:id="11" w:name="_Toc441838723"/>
    </w:p>
    <w:p w14:paraId="561E56E2" w14:textId="77777777" w:rsidR="00225F24" w:rsidRDefault="00225F24">
      <w:pPr>
        <w:spacing w:before="0" w:after="160" w:line="259" w:lineRule="auto"/>
        <w:jc w:val="left"/>
        <w:rPr>
          <w:rFonts w:eastAsiaTheme="majorEastAsia" w:cstheme="majorBidi"/>
          <w:b/>
          <w:bCs/>
          <w:caps/>
          <w:color w:val="44546A" w:themeColor="text2"/>
          <w:sz w:val="32"/>
          <w:szCs w:val="28"/>
        </w:rPr>
      </w:pPr>
      <w:r>
        <w:br w:type="page"/>
      </w:r>
    </w:p>
    <w:p w14:paraId="6DEAA577" w14:textId="7A1C9D5A" w:rsidR="005B0AA3" w:rsidRPr="00C757C7" w:rsidRDefault="005B0AA3" w:rsidP="005B0AA3">
      <w:pPr>
        <w:pStyle w:val="Heading1"/>
        <w:numPr>
          <w:ilvl w:val="0"/>
          <w:numId w:val="0"/>
        </w:numPr>
        <w:ind w:left="851" w:hanging="851"/>
      </w:pPr>
      <w:bookmarkStart w:id="12" w:name="_Toc200467850"/>
      <w:r w:rsidRPr="001F2691">
        <w:lastRenderedPageBreak/>
        <w:t>Executive summary</w:t>
      </w:r>
      <w:bookmarkEnd w:id="11"/>
      <w:bookmarkEnd w:id="12"/>
    </w:p>
    <w:p w14:paraId="7A1CB2C0" w14:textId="7A6F4691" w:rsidR="00D06348" w:rsidRDefault="00D06348" w:rsidP="00D06348">
      <w:pPr>
        <w:spacing w:line="266" w:lineRule="auto"/>
      </w:pPr>
      <w:r>
        <w:t xml:space="preserve">From 2019-20 to 2023-24, the </w:t>
      </w:r>
      <w:r w:rsidRPr="00F30DB5">
        <w:t xml:space="preserve">Commonwealth Environmental Water </w:t>
      </w:r>
      <w:r>
        <w:t>Holder</w:t>
      </w:r>
      <w:r w:rsidR="006E45CD">
        <w:t>’s</w:t>
      </w:r>
      <w:r w:rsidRPr="00F30DB5">
        <w:t xml:space="preserve"> (CEW</w:t>
      </w:r>
      <w:r>
        <w:t>H</w:t>
      </w:r>
      <w:r w:rsidRPr="00F30DB5">
        <w:t xml:space="preserve">) </w:t>
      </w:r>
      <w:r>
        <w:t>Flow</w:t>
      </w:r>
      <w:r w:rsidR="006E45CD">
        <w:t xml:space="preserve"> </w:t>
      </w:r>
      <w:r>
        <w:t xml:space="preserve">Monitoring, Evaluation and Research (Flow-MER) Project monitored and evaluated ecological outcomes of environmental water delivery in the Lower Murray, along with six </w:t>
      </w:r>
      <w:r w:rsidR="006A2323">
        <w:t xml:space="preserve">other </w:t>
      </w:r>
      <w:r>
        <w:t xml:space="preserve">Selected Areas in the Murray–Darling Basin (MDB). This project extended the monitoring activities of the Long-Term Intervention Monitoring Project (2014-15 to 2018-19) and aimed to demonstrate the ecological outcomes of Commonwealth environmental water delivery and support adaptive management. </w:t>
      </w:r>
    </w:p>
    <w:p w14:paraId="3A025AAC" w14:textId="7694B5E4" w:rsidR="00D06348" w:rsidRDefault="007E5CD2" w:rsidP="00D06348">
      <w:r>
        <w:rPr>
          <w:color w:val="auto"/>
        </w:rPr>
        <w:t xml:space="preserve">Over the period </w:t>
      </w:r>
      <w:r w:rsidRPr="00B235B8">
        <w:rPr>
          <w:color w:val="auto"/>
        </w:rPr>
        <w:t>2019–2024</w:t>
      </w:r>
      <w:r>
        <w:rPr>
          <w:color w:val="auto"/>
        </w:rPr>
        <w:t>, t</w:t>
      </w:r>
      <w:r w:rsidR="00D06348">
        <w:rPr>
          <w:color w:val="auto"/>
        </w:rPr>
        <w:t xml:space="preserve">he flow regime </w:t>
      </w:r>
      <w:r>
        <w:rPr>
          <w:color w:val="auto"/>
        </w:rPr>
        <w:t>of</w:t>
      </w:r>
      <w:r w:rsidR="00D06348">
        <w:rPr>
          <w:color w:val="auto"/>
        </w:rPr>
        <w:t xml:space="preserve"> the Lower Murray River (LMR) </w:t>
      </w:r>
      <w:r>
        <w:rPr>
          <w:color w:val="auto"/>
        </w:rPr>
        <w:t>was highly variable,</w:t>
      </w:r>
      <w:r w:rsidR="00D06348">
        <w:rPr>
          <w:color w:val="auto"/>
        </w:rPr>
        <w:t xml:space="preserve"> with </w:t>
      </w:r>
      <w:r w:rsidR="00D06348" w:rsidRPr="00B235B8">
        <w:rPr>
          <w:color w:val="auto"/>
        </w:rPr>
        <w:t>two hydrologically dry years (i.e. flow &lt;18,000 ML</w:t>
      </w:r>
      <w:r w:rsidR="00D06348" w:rsidRPr="00353CF1">
        <w:t>/d at the South Australian border)</w:t>
      </w:r>
      <w:r w:rsidR="00D06348">
        <w:t xml:space="preserve">, followed by three years </w:t>
      </w:r>
      <w:r>
        <w:t xml:space="preserve">characterised by </w:t>
      </w:r>
      <w:r w:rsidR="00D06348">
        <w:t>unregulated flow</w:t>
      </w:r>
      <w:r>
        <w:t>,</w:t>
      </w:r>
      <w:r w:rsidR="00D06348">
        <w:t xml:space="preserve"> including a</w:t>
      </w:r>
      <w:r>
        <w:t xml:space="preserve"> year of elevated</w:t>
      </w:r>
      <w:r w:rsidR="00D06348">
        <w:t xml:space="preserve"> </w:t>
      </w:r>
      <w:r w:rsidR="00D06348" w:rsidRPr="00353CF1">
        <w:t>in-channel flow</w:t>
      </w:r>
      <w:r w:rsidR="00D06348">
        <w:t xml:space="preserve"> (</w:t>
      </w:r>
      <w:r w:rsidR="00D06348" w:rsidRPr="00353CF1">
        <w:t>2021-22</w:t>
      </w:r>
      <w:r w:rsidR="00D06348">
        <w:t xml:space="preserve">, spring–summer flow peak </w:t>
      </w:r>
      <w:r w:rsidR="00D06348" w:rsidRPr="00353CF1">
        <w:t>37,500 ML/d</w:t>
      </w:r>
      <w:r w:rsidR="006A2323">
        <w:rPr>
          <w:rStyle w:val="FootnoteReference"/>
        </w:rPr>
        <w:footnoteReference w:id="2"/>
      </w:r>
      <w:r w:rsidR="00D06348" w:rsidRPr="00353CF1">
        <w:t>) and</w:t>
      </w:r>
      <w:r w:rsidR="00D06348">
        <w:t xml:space="preserve"> two</w:t>
      </w:r>
      <w:r w:rsidR="00D06348" w:rsidRPr="00353CF1">
        <w:t xml:space="preserve"> </w:t>
      </w:r>
      <w:r>
        <w:t xml:space="preserve">years with </w:t>
      </w:r>
      <w:r w:rsidR="00D06348" w:rsidRPr="00353CF1">
        <w:t xml:space="preserve">overbank </w:t>
      </w:r>
      <w:r w:rsidR="0095373A">
        <w:t>flows</w:t>
      </w:r>
      <w:r w:rsidR="00D06348">
        <w:t xml:space="preserve"> (</w:t>
      </w:r>
      <w:r w:rsidR="00D06348" w:rsidRPr="00353CF1">
        <w:t>2022-23</w:t>
      </w:r>
      <w:r w:rsidR="00D06348">
        <w:t xml:space="preserve">, </w:t>
      </w:r>
      <w:r w:rsidR="00D06348" w:rsidRPr="00353CF1">
        <w:t xml:space="preserve">187,600 </w:t>
      </w:r>
      <w:r w:rsidR="00D06348" w:rsidRPr="00A9421F">
        <w:t>ML/d</w:t>
      </w:r>
      <w:r w:rsidR="00D06348">
        <w:t xml:space="preserve">; </w:t>
      </w:r>
      <w:r w:rsidR="00D06348" w:rsidRPr="00353CF1">
        <w:t>2023-24</w:t>
      </w:r>
      <w:r w:rsidR="00D06348">
        <w:t xml:space="preserve">, </w:t>
      </w:r>
      <w:r w:rsidR="00D06348" w:rsidRPr="00353CF1">
        <w:t>52,800</w:t>
      </w:r>
      <w:r w:rsidR="00D06348">
        <w:t> </w:t>
      </w:r>
      <w:r w:rsidR="00D06348" w:rsidRPr="00353CF1">
        <w:t>ML/d).</w:t>
      </w:r>
      <w:r w:rsidR="00D06348">
        <w:t xml:space="preserve"> </w:t>
      </w:r>
      <w:r w:rsidR="00D06348" w:rsidRPr="00CF1564">
        <w:t>Commonwealth environmental water</w:t>
      </w:r>
      <w:r w:rsidR="00D06348">
        <w:t xml:space="preserve"> </w:t>
      </w:r>
      <w:r w:rsidR="00D06348" w:rsidRPr="00010756">
        <w:t>(~</w:t>
      </w:r>
      <w:r w:rsidR="00D06348">
        <w:t>4</w:t>
      </w:r>
      <w:r w:rsidR="00D06348" w:rsidRPr="00010756">
        <w:t>,</w:t>
      </w:r>
      <w:r w:rsidR="00D06348">
        <w:t>366</w:t>
      </w:r>
      <w:r w:rsidR="00D06348" w:rsidRPr="00010756">
        <w:t xml:space="preserve"> </w:t>
      </w:r>
      <w:r w:rsidR="00D06348">
        <w:t>GL</w:t>
      </w:r>
      <w:r w:rsidR="00D06348">
        <w:rPr>
          <w:rStyle w:val="FootnoteReference"/>
          <w:rFonts w:eastAsiaTheme="majorEastAsia"/>
        </w:rPr>
        <w:footnoteReference w:id="3"/>
      </w:r>
      <w:r w:rsidR="00D06348">
        <w:t xml:space="preserve"> over five years</w:t>
      </w:r>
      <w:r w:rsidR="00D06348" w:rsidRPr="00010756">
        <w:t>, 7</w:t>
      </w:r>
      <w:r w:rsidR="00D06348">
        <w:t>3</w:t>
      </w:r>
      <w:r w:rsidR="00D06348" w:rsidRPr="00010756">
        <w:t>% of total environmental water use)</w:t>
      </w:r>
      <w:r w:rsidR="00D06348">
        <w:t xml:space="preserve"> </w:t>
      </w:r>
      <w:r w:rsidR="00D06348" w:rsidRPr="00292F62">
        <w:t xml:space="preserve">predominantly </w:t>
      </w:r>
      <w:r w:rsidR="00D06348" w:rsidRPr="00CF1564">
        <w:t xml:space="preserve">contributed to baseflows and freshes, </w:t>
      </w:r>
      <w:r w:rsidR="00D06348">
        <w:t>including generating</w:t>
      </w:r>
      <w:r w:rsidR="00D06348" w:rsidRPr="00CF1564">
        <w:t xml:space="preserve"> flow pulses</w:t>
      </w:r>
      <w:r w:rsidR="00D06348">
        <w:t xml:space="preserve"> (up to ~18,000 ML/d) </w:t>
      </w:r>
      <w:r>
        <w:t>and</w:t>
      </w:r>
      <w:r w:rsidR="00D06348">
        <w:t xml:space="preserve"> supplementing unregulated flows to maintain high in-channel flows (&gt;20,000 ML/d)</w:t>
      </w:r>
      <w:r w:rsidR="006A2323">
        <w:t>,</w:t>
      </w:r>
      <w:r w:rsidR="00D06348">
        <w:t xml:space="preserve"> during </w:t>
      </w:r>
      <w:r w:rsidR="006A2323" w:rsidRPr="00CF1564">
        <w:t>spring–early summer</w:t>
      </w:r>
      <w:r w:rsidR="00D06348">
        <w:t xml:space="preserve">.  </w:t>
      </w:r>
    </w:p>
    <w:p w14:paraId="075D5A1F" w14:textId="53270240" w:rsidR="00D06348" w:rsidRPr="00656B7B" w:rsidRDefault="00D06348" w:rsidP="00D06348">
      <w:pPr>
        <w:spacing w:line="266" w:lineRule="auto"/>
        <w:rPr>
          <w:rFonts w:cstheme="minorHAnsi"/>
          <w:szCs w:val="24"/>
        </w:rPr>
      </w:pPr>
      <w:r w:rsidRPr="00656B7B">
        <w:t>Nine indicators were used to evaluate the ecological response to Commonwealth environmental water in the Lower Murray. Three indicators (</w:t>
      </w:r>
      <w:r w:rsidRPr="00656B7B">
        <w:rPr>
          <w:i/>
        </w:rPr>
        <w:t>Hydrology (channel)</w:t>
      </w:r>
      <w:r w:rsidRPr="00656B7B">
        <w:t xml:space="preserve">, </w:t>
      </w:r>
      <w:r w:rsidRPr="00656B7B">
        <w:rPr>
          <w:i/>
        </w:rPr>
        <w:t>Stream Metabolism and Water Quality</w:t>
      </w:r>
      <w:r w:rsidRPr="005470F2">
        <w:rPr>
          <w:iCs/>
        </w:rPr>
        <w:t>,</w:t>
      </w:r>
      <w:r w:rsidRPr="00656B7B">
        <w:rPr>
          <w:i/>
        </w:rPr>
        <w:t xml:space="preserve"> </w:t>
      </w:r>
      <w:r w:rsidRPr="00656B7B">
        <w:t xml:space="preserve">and </w:t>
      </w:r>
      <w:r w:rsidRPr="00656B7B">
        <w:rPr>
          <w:i/>
        </w:rPr>
        <w:t>Fish (channel)</w:t>
      </w:r>
      <w:r w:rsidRPr="00656B7B">
        <w:t>) primarily aimed to evaluate Basin-scale objectives and outcomes, and in some instances, also local (Selected Area) objectives, following basin-wide standard protocols. Six indicators (</w:t>
      </w:r>
      <w:r w:rsidRPr="00656B7B">
        <w:rPr>
          <w:i/>
        </w:rPr>
        <w:t>Hydraulic Regime</w:t>
      </w:r>
      <w:r w:rsidRPr="00656B7B">
        <w:t xml:space="preserve">, </w:t>
      </w:r>
      <w:r w:rsidRPr="00656B7B">
        <w:rPr>
          <w:i/>
        </w:rPr>
        <w:t>Matter Transport and Coorong Habitat</w:t>
      </w:r>
      <w:r w:rsidRPr="00656B7B">
        <w:t xml:space="preserve">, </w:t>
      </w:r>
      <w:r w:rsidRPr="00656B7B">
        <w:rPr>
          <w:i/>
        </w:rPr>
        <w:t>Littoral Vegetation Diversity and Productivity, Microinvertebrate Assemblage,</w:t>
      </w:r>
      <w:r w:rsidRPr="00656B7B">
        <w:t xml:space="preserve"> </w:t>
      </w:r>
      <w:r w:rsidRPr="00656B7B">
        <w:rPr>
          <w:i/>
        </w:rPr>
        <w:t xml:space="preserve">Murray Cod Recruitment </w:t>
      </w:r>
      <w:r w:rsidRPr="00656B7B">
        <w:t xml:space="preserve">and </w:t>
      </w:r>
      <w:r w:rsidRPr="00656B7B">
        <w:rPr>
          <w:i/>
        </w:rPr>
        <w:t>Flow-cued Spawning Fish Re</w:t>
      </w:r>
      <w:r>
        <w:rPr>
          <w:i/>
        </w:rPr>
        <w:t>production</w:t>
      </w:r>
      <w:r w:rsidRPr="00656B7B">
        <w:t xml:space="preserve">) aimed to </w:t>
      </w:r>
      <w:r w:rsidRPr="006E4730">
        <w:t>address local evaluation questions, using area-specific methods. Due</w:t>
      </w:r>
      <w:r w:rsidRPr="00DA620F">
        <w:t xml:space="preserve"> to sustained </w:t>
      </w:r>
      <w:r w:rsidR="008B50DC" w:rsidRPr="00DA620F">
        <w:t>high-water</w:t>
      </w:r>
      <w:r w:rsidRPr="00DA620F">
        <w:t xml:space="preserve"> levels</w:t>
      </w:r>
      <w:r>
        <w:t xml:space="preserve">, </w:t>
      </w:r>
      <w:r w:rsidRPr="00DA620F">
        <w:t xml:space="preserve">monitoring for </w:t>
      </w:r>
      <w:r w:rsidRPr="0074540E">
        <w:rPr>
          <w:i/>
          <w:iCs/>
        </w:rPr>
        <w:t>Littoral Vegetation Diversity and Productivity</w:t>
      </w:r>
      <w:r w:rsidRPr="00DA620F">
        <w:t xml:space="preserve"> was not undertaken</w:t>
      </w:r>
      <w:r>
        <w:t xml:space="preserve"> in 2021-22 and 2022-23</w:t>
      </w:r>
      <w:r w:rsidRPr="00DA620F">
        <w:t>.</w:t>
      </w:r>
    </w:p>
    <w:p w14:paraId="2356FE60" w14:textId="77777777" w:rsidR="00D06348" w:rsidRPr="00F30DB5" w:rsidRDefault="00D06348" w:rsidP="00D06348">
      <w:pPr>
        <w:spacing w:line="266" w:lineRule="auto"/>
        <w:rPr>
          <w:b/>
          <w:color w:val="44546A" w:themeColor="text2"/>
        </w:rPr>
      </w:pPr>
      <w:r w:rsidRPr="00F30DB5">
        <w:rPr>
          <w:b/>
          <w:color w:val="44546A" w:themeColor="text2"/>
        </w:rPr>
        <w:t xml:space="preserve">Key </w:t>
      </w:r>
      <w:r>
        <w:rPr>
          <w:b/>
          <w:color w:val="44546A" w:themeColor="text2"/>
        </w:rPr>
        <w:t xml:space="preserve">findings and </w:t>
      </w:r>
      <w:r w:rsidRPr="00F30DB5">
        <w:rPr>
          <w:b/>
          <w:color w:val="44546A" w:themeColor="text2"/>
        </w:rPr>
        <w:t>ecological outcomes</w:t>
      </w:r>
    </w:p>
    <w:p w14:paraId="5B697BAB" w14:textId="28CECBC9" w:rsidR="00D06348" w:rsidRDefault="00695BED" w:rsidP="00D06348">
      <w:pPr>
        <w:rPr>
          <w:rFonts w:eastAsiaTheme="majorEastAsia"/>
          <w:color w:val="auto"/>
          <w:szCs w:val="22"/>
        </w:rPr>
      </w:pPr>
      <w:r>
        <w:rPr>
          <w:rFonts w:eastAsiaTheme="majorEastAsia"/>
          <w:color w:val="auto"/>
          <w:szCs w:val="22"/>
        </w:rPr>
        <w:t>Commonwealth e</w:t>
      </w:r>
      <w:r w:rsidR="00D06348" w:rsidRPr="001A2F68">
        <w:rPr>
          <w:rFonts w:eastAsiaTheme="majorEastAsia"/>
          <w:color w:val="auto"/>
          <w:szCs w:val="22"/>
        </w:rPr>
        <w:t>nvironmental water delivery</w:t>
      </w:r>
      <w:r w:rsidR="00D06348">
        <w:rPr>
          <w:rFonts w:eastAsiaTheme="majorEastAsia"/>
          <w:color w:val="auto"/>
          <w:szCs w:val="22"/>
        </w:rPr>
        <w:t xml:space="preserve"> contributed to a range of ecological improvements </w:t>
      </w:r>
      <w:r w:rsidR="00D06348" w:rsidRPr="001A2F68">
        <w:rPr>
          <w:rFonts w:eastAsiaTheme="majorEastAsia"/>
          <w:color w:val="auto"/>
          <w:szCs w:val="22"/>
        </w:rPr>
        <w:t>in the L</w:t>
      </w:r>
      <w:r w:rsidR="00D06348">
        <w:rPr>
          <w:rFonts w:eastAsiaTheme="majorEastAsia"/>
          <w:color w:val="auto"/>
          <w:szCs w:val="22"/>
        </w:rPr>
        <w:t>ower Murray from 2019-20 to 2023-24:</w:t>
      </w:r>
      <w:r w:rsidR="00D06348" w:rsidRPr="001A2F68">
        <w:rPr>
          <w:rFonts w:eastAsiaTheme="majorEastAsia"/>
          <w:color w:val="auto"/>
          <w:szCs w:val="22"/>
        </w:rPr>
        <w:t xml:space="preserve"> </w:t>
      </w:r>
    </w:p>
    <w:p w14:paraId="78BA444E" w14:textId="58EC249E" w:rsidR="00D06348" w:rsidRDefault="00D06348" w:rsidP="00D06348">
      <w:pPr>
        <w:pStyle w:val="ListParagraph"/>
        <w:numPr>
          <w:ilvl w:val="0"/>
          <w:numId w:val="52"/>
        </w:numPr>
        <w:spacing w:line="266" w:lineRule="auto"/>
        <w:rPr>
          <w:rFonts w:eastAsiaTheme="majorEastAsia"/>
          <w:color w:val="auto"/>
          <w:szCs w:val="22"/>
        </w:rPr>
      </w:pPr>
      <w:r w:rsidRPr="00B720D0">
        <w:rPr>
          <w:rFonts w:eastAsiaTheme="majorEastAsia"/>
          <w:b/>
          <w:bCs/>
          <w:color w:val="auto"/>
          <w:szCs w:val="22"/>
        </w:rPr>
        <w:t>Connectivity</w:t>
      </w:r>
      <w:r w:rsidRPr="00B720D0">
        <w:rPr>
          <w:rFonts w:eastAsiaTheme="majorEastAsia"/>
          <w:color w:val="auto"/>
          <w:szCs w:val="22"/>
        </w:rPr>
        <w:t>: Commonwealth environmental water</w:t>
      </w:r>
      <w:r w:rsidR="006D7C27">
        <w:rPr>
          <w:rFonts w:eastAsiaTheme="majorEastAsia"/>
          <w:color w:val="auto"/>
          <w:szCs w:val="22"/>
        </w:rPr>
        <w:t xml:space="preserve"> </w:t>
      </w:r>
      <w:r w:rsidRPr="00B720D0">
        <w:rPr>
          <w:rFonts w:eastAsiaTheme="majorEastAsia"/>
          <w:color w:val="auto"/>
          <w:szCs w:val="22"/>
        </w:rPr>
        <w:t xml:space="preserve">increased annual flow discharge in the LMR in all years, including helping to meet the Basin-wide environmental watering target of &gt;30% increase in flows in the Murray River (calculated at the </w:t>
      </w:r>
      <w:r w:rsidR="00A76938">
        <w:rPr>
          <w:rFonts w:eastAsiaTheme="majorEastAsia"/>
          <w:color w:val="auto"/>
          <w:szCs w:val="22"/>
        </w:rPr>
        <w:t xml:space="preserve">South Australian </w:t>
      </w:r>
      <w:r w:rsidRPr="00B720D0">
        <w:rPr>
          <w:rFonts w:eastAsiaTheme="majorEastAsia"/>
          <w:color w:val="auto"/>
          <w:szCs w:val="22"/>
        </w:rPr>
        <w:t xml:space="preserve">border) </w:t>
      </w:r>
      <w:r w:rsidR="004C7277">
        <w:rPr>
          <w:rFonts w:eastAsiaTheme="majorEastAsia"/>
          <w:color w:val="auto"/>
          <w:szCs w:val="22"/>
        </w:rPr>
        <w:t xml:space="preserve">in </w:t>
      </w:r>
      <w:r w:rsidRPr="00B720D0">
        <w:rPr>
          <w:rFonts w:eastAsiaTheme="majorEastAsia"/>
          <w:color w:val="auto"/>
          <w:szCs w:val="22"/>
        </w:rPr>
        <w:t>2019-20</w:t>
      </w:r>
      <w:r>
        <w:rPr>
          <w:rFonts w:eastAsiaTheme="majorEastAsia"/>
          <w:color w:val="auto"/>
          <w:szCs w:val="22"/>
        </w:rPr>
        <w:t xml:space="preserve">; </w:t>
      </w:r>
      <w:r w:rsidR="004C7277">
        <w:rPr>
          <w:rFonts w:eastAsiaTheme="majorEastAsia"/>
          <w:color w:val="auto"/>
          <w:szCs w:val="22"/>
        </w:rPr>
        <w:t xml:space="preserve">and </w:t>
      </w:r>
      <w:r>
        <w:rPr>
          <w:rFonts w:eastAsiaTheme="majorEastAsia"/>
          <w:color w:val="auto"/>
          <w:szCs w:val="22"/>
        </w:rPr>
        <w:t>improved l</w:t>
      </w:r>
      <w:r w:rsidRPr="00B720D0">
        <w:rPr>
          <w:rFonts w:eastAsiaTheme="majorEastAsia"/>
          <w:color w:val="auto"/>
          <w:szCs w:val="22"/>
        </w:rPr>
        <w:t>ongitudinal connectivity</w:t>
      </w:r>
      <w:r w:rsidR="00A95D3E">
        <w:rPr>
          <w:rFonts w:eastAsiaTheme="majorEastAsia"/>
          <w:color w:val="auto"/>
          <w:szCs w:val="22"/>
        </w:rPr>
        <w:t xml:space="preserve"> in all years</w:t>
      </w:r>
      <w:r w:rsidRPr="00B720D0">
        <w:rPr>
          <w:rFonts w:eastAsiaTheme="majorEastAsia"/>
          <w:color w:val="auto"/>
          <w:szCs w:val="22"/>
        </w:rPr>
        <w:t xml:space="preserve">, </w:t>
      </w:r>
      <w:r w:rsidR="006E5AFC" w:rsidRPr="00B720D0">
        <w:rPr>
          <w:rFonts w:eastAsiaTheme="majorEastAsia"/>
          <w:color w:val="auto"/>
          <w:szCs w:val="22"/>
        </w:rPr>
        <w:t xml:space="preserve">providing </w:t>
      </w:r>
      <w:r w:rsidR="006E5AFC">
        <w:rPr>
          <w:rFonts w:eastAsiaTheme="majorEastAsia"/>
          <w:color w:val="auto"/>
          <w:szCs w:val="22"/>
        </w:rPr>
        <w:t xml:space="preserve">an </w:t>
      </w:r>
      <w:r w:rsidR="006E5AFC" w:rsidRPr="00B720D0">
        <w:rPr>
          <w:rFonts w:eastAsiaTheme="majorEastAsia"/>
          <w:color w:val="auto"/>
          <w:szCs w:val="22"/>
        </w:rPr>
        <w:t xml:space="preserve">additional river distance and time period with flow velocity &gt;0.2 m/s </w:t>
      </w:r>
      <w:r w:rsidR="006E5AFC">
        <w:rPr>
          <w:rFonts w:eastAsiaTheme="majorEastAsia"/>
          <w:color w:val="auto"/>
          <w:szCs w:val="22"/>
        </w:rPr>
        <w:t xml:space="preserve">of between </w:t>
      </w:r>
      <w:r w:rsidR="006E5AFC" w:rsidRPr="00B720D0">
        <w:rPr>
          <w:rFonts w:eastAsiaTheme="majorEastAsia"/>
          <w:color w:val="auto"/>
          <w:szCs w:val="22"/>
        </w:rPr>
        <w:t>2,152</w:t>
      </w:r>
      <w:r w:rsidR="006E5AFC">
        <w:rPr>
          <w:rFonts w:eastAsiaTheme="majorEastAsia"/>
          <w:color w:val="auto"/>
          <w:szCs w:val="22"/>
        </w:rPr>
        <w:t xml:space="preserve"> km d in 2022-23 to </w:t>
      </w:r>
      <w:r w:rsidR="006E5AFC" w:rsidRPr="00B720D0">
        <w:rPr>
          <w:rFonts w:eastAsiaTheme="majorEastAsia"/>
          <w:color w:val="auto"/>
          <w:szCs w:val="22"/>
        </w:rPr>
        <w:t xml:space="preserve">13,056 km d </w:t>
      </w:r>
      <w:r w:rsidR="006E5AFC">
        <w:rPr>
          <w:rFonts w:eastAsiaTheme="majorEastAsia"/>
          <w:color w:val="auto"/>
          <w:szCs w:val="22"/>
        </w:rPr>
        <w:t>in 2023-24</w:t>
      </w:r>
      <w:r w:rsidR="006E5AFC" w:rsidRPr="00B720D0">
        <w:rPr>
          <w:rFonts w:eastAsiaTheme="majorEastAsia"/>
          <w:color w:val="auto"/>
          <w:szCs w:val="22"/>
        </w:rPr>
        <w:t xml:space="preserve">. </w:t>
      </w:r>
      <w:r w:rsidRPr="00B720D0">
        <w:rPr>
          <w:rFonts w:eastAsiaTheme="majorEastAsia"/>
          <w:color w:val="auto"/>
          <w:szCs w:val="22"/>
        </w:rPr>
        <w:t>This</w:t>
      </w:r>
      <w:r>
        <w:rPr>
          <w:rFonts w:eastAsiaTheme="majorEastAsia"/>
          <w:color w:val="auto"/>
          <w:szCs w:val="22"/>
        </w:rPr>
        <w:t xml:space="preserve"> </w:t>
      </w:r>
      <w:r w:rsidRPr="00B720D0">
        <w:rPr>
          <w:rFonts w:eastAsiaTheme="majorEastAsia"/>
          <w:color w:val="auto"/>
          <w:szCs w:val="22"/>
        </w:rPr>
        <w:t xml:space="preserve">likely </w:t>
      </w:r>
      <w:r>
        <w:rPr>
          <w:rFonts w:eastAsiaTheme="majorEastAsia"/>
          <w:color w:val="auto"/>
          <w:szCs w:val="22"/>
        </w:rPr>
        <w:t xml:space="preserve">promoted </w:t>
      </w:r>
      <w:r w:rsidRPr="00B720D0">
        <w:rPr>
          <w:rFonts w:eastAsiaTheme="majorEastAsia"/>
          <w:color w:val="auto"/>
          <w:szCs w:val="22"/>
        </w:rPr>
        <w:t xml:space="preserve">downstream transport of plankton and fish eggs/larvae. </w:t>
      </w:r>
      <w:r w:rsidR="004C7277">
        <w:rPr>
          <w:rFonts w:eastAsiaTheme="majorEastAsia"/>
          <w:color w:val="auto"/>
          <w:szCs w:val="22"/>
        </w:rPr>
        <w:t>In most years, l</w:t>
      </w:r>
      <w:r>
        <w:rPr>
          <w:rFonts w:eastAsiaTheme="majorEastAsia"/>
          <w:color w:val="auto"/>
          <w:szCs w:val="22"/>
        </w:rPr>
        <w:t xml:space="preserve">ateral connectivity </w:t>
      </w:r>
      <w:r w:rsidRPr="00001DB0">
        <w:rPr>
          <w:rFonts w:eastAsiaTheme="majorEastAsia"/>
          <w:color w:val="auto"/>
          <w:szCs w:val="22"/>
        </w:rPr>
        <w:t xml:space="preserve">also improved with increased inundation of the littoral zone </w:t>
      </w:r>
      <w:r>
        <w:rPr>
          <w:rFonts w:eastAsiaTheme="majorEastAsia"/>
          <w:color w:val="auto"/>
          <w:szCs w:val="22"/>
        </w:rPr>
        <w:t xml:space="preserve">of </w:t>
      </w:r>
      <w:r w:rsidRPr="00001DB0">
        <w:rPr>
          <w:rFonts w:eastAsiaTheme="majorEastAsia"/>
          <w:color w:val="auto"/>
          <w:szCs w:val="22"/>
        </w:rPr>
        <w:t>the river</w:t>
      </w:r>
      <w:r>
        <w:rPr>
          <w:rFonts w:eastAsiaTheme="majorEastAsia"/>
          <w:color w:val="auto"/>
          <w:szCs w:val="22"/>
        </w:rPr>
        <w:t xml:space="preserve"> channel, including </w:t>
      </w:r>
      <w:r w:rsidRPr="00001DB0">
        <w:rPr>
          <w:rFonts w:eastAsiaTheme="majorEastAsia"/>
          <w:color w:val="auto"/>
          <w:szCs w:val="22"/>
        </w:rPr>
        <w:t>via weir pool raisings</w:t>
      </w:r>
      <w:r>
        <w:rPr>
          <w:rFonts w:eastAsiaTheme="majorEastAsia"/>
          <w:color w:val="auto"/>
          <w:szCs w:val="22"/>
        </w:rPr>
        <w:t xml:space="preserve">, and in August 2022, </w:t>
      </w:r>
      <w:r w:rsidRPr="00001DB0">
        <w:rPr>
          <w:rFonts w:eastAsiaTheme="majorEastAsia"/>
          <w:color w:val="auto"/>
          <w:szCs w:val="22"/>
        </w:rPr>
        <w:lastRenderedPageBreak/>
        <w:t xml:space="preserve">Commonwealth environmental water </w:t>
      </w:r>
      <w:r>
        <w:rPr>
          <w:rFonts w:eastAsiaTheme="majorEastAsia"/>
          <w:color w:val="auto"/>
          <w:szCs w:val="22"/>
        </w:rPr>
        <w:t>delivery</w:t>
      </w:r>
      <w:r w:rsidRPr="00001DB0">
        <w:rPr>
          <w:rFonts w:eastAsiaTheme="majorEastAsia"/>
          <w:color w:val="auto"/>
          <w:szCs w:val="22"/>
        </w:rPr>
        <w:t xml:space="preserve"> increased </w:t>
      </w:r>
      <w:r>
        <w:rPr>
          <w:rFonts w:eastAsiaTheme="majorEastAsia"/>
          <w:color w:val="auto"/>
          <w:szCs w:val="22"/>
        </w:rPr>
        <w:t>the inundation of low</w:t>
      </w:r>
      <w:r w:rsidR="004C7277">
        <w:rPr>
          <w:rFonts w:eastAsiaTheme="majorEastAsia"/>
          <w:color w:val="auto"/>
          <w:szCs w:val="22"/>
        </w:rPr>
        <w:t>-</w:t>
      </w:r>
      <w:r>
        <w:rPr>
          <w:rFonts w:eastAsiaTheme="majorEastAsia"/>
          <w:color w:val="auto"/>
          <w:szCs w:val="22"/>
        </w:rPr>
        <w:t xml:space="preserve">level floodplain </w:t>
      </w:r>
      <w:r w:rsidRPr="00001DB0">
        <w:rPr>
          <w:rFonts w:eastAsiaTheme="majorEastAsia"/>
          <w:color w:val="auto"/>
          <w:szCs w:val="22"/>
        </w:rPr>
        <w:t>by 5,027 Ha</w:t>
      </w:r>
      <w:r>
        <w:rPr>
          <w:rFonts w:eastAsiaTheme="majorEastAsia"/>
          <w:color w:val="auto"/>
          <w:szCs w:val="22"/>
        </w:rPr>
        <w:t xml:space="preserve">. </w:t>
      </w:r>
    </w:p>
    <w:p w14:paraId="795B3E97" w14:textId="77777777" w:rsidR="006E5AFC" w:rsidRPr="000C3945" w:rsidRDefault="00D06348" w:rsidP="006E5AFC">
      <w:pPr>
        <w:pStyle w:val="ListParagraph"/>
        <w:numPr>
          <w:ilvl w:val="0"/>
          <w:numId w:val="52"/>
        </w:numPr>
        <w:spacing w:line="266" w:lineRule="auto"/>
        <w:rPr>
          <w:rFonts w:eastAsiaTheme="majorEastAsia"/>
          <w:color w:val="auto"/>
          <w:szCs w:val="22"/>
        </w:rPr>
      </w:pPr>
      <w:r w:rsidRPr="006E380C">
        <w:rPr>
          <w:rFonts w:eastAsiaTheme="majorEastAsia"/>
          <w:b/>
          <w:bCs/>
          <w:color w:val="auto"/>
          <w:szCs w:val="22"/>
        </w:rPr>
        <w:t>Hydraulic diversity</w:t>
      </w:r>
      <w:r w:rsidRPr="006E380C">
        <w:rPr>
          <w:rFonts w:eastAsiaTheme="majorEastAsia"/>
          <w:color w:val="auto"/>
          <w:szCs w:val="22"/>
        </w:rPr>
        <w:t xml:space="preserve">: </w:t>
      </w:r>
      <w:bookmarkStart w:id="13" w:name="_Hlk132805853"/>
      <w:r w:rsidR="006E5AFC" w:rsidRPr="00995562">
        <w:t>Commonwealth environmental water</w:t>
      </w:r>
      <w:r w:rsidR="006E5AFC">
        <w:t xml:space="preserve"> increased the extent and duration of f</w:t>
      </w:r>
      <w:r w:rsidR="006E5AFC" w:rsidRPr="005E7B99">
        <w:rPr>
          <w:rFonts w:eastAsiaTheme="majorEastAsia"/>
          <w:color w:val="auto"/>
          <w:szCs w:val="22"/>
        </w:rPr>
        <w:t>lowing water</w:t>
      </w:r>
      <w:r w:rsidR="006E5AFC">
        <w:rPr>
          <w:rFonts w:eastAsiaTheme="majorEastAsia"/>
          <w:color w:val="auto"/>
          <w:szCs w:val="22"/>
        </w:rPr>
        <w:t xml:space="preserve"> (lotic) conditions </w:t>
      </w:r>
      <w:r w:rsidR="006E5AFC" w:rsidRPr="006E380C">
        <w:rPr>
          <w:szCs w:val="21"/>
          <w:lang w:eastAsia="en-AU"/>
        </w:rPr>
        <w:t xml:space="preserve">(mean velocity &gt;0.3 m/s) </w:t>
      </w:r>
      <w:r w:rsidR="006E5AFC">
        <w:rPr>
          <w:szCs w:val="21"/>
          <w:lang w:eastAsia="en-AU"/>
        </w:rPr>
        <w:t xml:space="preserve">in the LMR </w:t>
      </w:r>
      <w:r w:rsidR="006E5AFC">
        <w:t xml:space="preserve">in most years, with up to an extra 84 km (25%) of river length transforming to lotic habitat for at least 14 days in a dry year (2020-21). Due to unregulated flow, contribution by </w:t>
      </w:r>
      <w:r w:rsidR="006E5AFC" w:rsidRPr="00776CE5">
        <w:t xml:space="preserve">Commonwealth environmental water </w:t>
      </w:r>
      <w:r w:rsidR="006E5AFC">
        <w:t>to lotic conditions was negligible (&lt;1 km, &lt;1%) in 2023-24. Flowing water</w:t>
      </w:r>
      <w:r w:rsidR="006E5AFC" w:rsidRPr="006E380C">
        <w:rPr>
          <w:rFonts w:eastAsiaTheme="majorEastAsia"/>
          <w:color w:val="auto"/>
          <w:szCs w:val="22"/>
        </w:rPr>
        <w:t xml:space="preserve"> habitat </w:t>
      </w:r>
      <w:r w:rsidR="006E5AFC">
        <w:rPr>
          <w:rFonts w:eastAsiaTheme="majorEastAsia"/>
          <w:color w:val="auto"/>
          <w:szCs w:val="22"/>
        </w:rPr>
        <w:t>is</w:t>
      </w:r>
      <w:r w:rsidR="006E5AFC" w:rsidRPr="006E380C">
        <w:rPr>
          <w:rFonts w:eastAsiaTheme="majorEastAsia"/>
          <w:color w:val="auto"/>
          <w:szCs w:val="22"/>
        </w:rPr>
        <w:t xml:space="preserve"> favour</w:t>
      </w:r>
      <w:r w:rsidR="006E5AFC">
        <w:rPr>
          <w:rFonts w:eastAsiaTheme="majorEastAsia"/>
          <w:color w:val="auto"/>
          <w:szCs w:val="22"/>
        </w:rPr>
        <w:t>ed</w:t>
      </w:r>
      <w:r w:rsidR="006E5AFC" w:rsidRPr="006E380C">
        <w:rPr>
          <w:rFonts w:eastAsiaTheme="majorEastAsia"/>
          <w:color w:val="auto"/>
          <w:szCs w:val="22"/>
        </w:rPr>
        <w:t xml:space="preserve"> by riverine species including Murray cod.</w:t>
      </w:r>
    </w:p>
    <w:p w14:paraId="3C7D2004" w14:textId="77777777" w:rsidR="006E5AFC" w:rsidRPr="00AE3A56" w:rsidRDefault="006E5AFC" w:rsidP="006E5AFC">
      <w:pPr>
        <w:pStyle w:val="ListParagraph"/>
        <w:numPr>
          <w:ilvl w:val="0"/>
          <w:numId w:val="52"/>
        </w:numPr>
        <w:spacing w:line="266" w:lineRule="auto"/>
        <w:rPr>
          <w:rFonts w:eastAsiaTheme="majorEastAsia"/>
          <w:color w:val="auto"/>
          <w:szCs w:val="22"/>
        </w:rPr>
      </w:pPr>
      <w:r w:rsidRPr="001C7CC1">
        <w:rPr>
          <w:rFonts w:eastAsiaTheme="majorEastAsia"/>
          <w:b/>
          <w:bCs/>
          <w:color w:val="auto"/>
          <w:szCs w:val="22"/>
        </w:rPr>
        <w:t>Water level variability</w:t>
      </w:r>
      <w:r>
        <w:rPr>
          <w:rFonts w:eastAsiaTheme="majorEastAsia"/>
          <w:color w:val="auto"/>
          <w:szCs w:val="22"/>
        </w:rPr>
        <w:t>: In most years, m</w:t>
      </w:r>
      <w:r>
        <w:t>inor to moderate i</w:t>
      </w:r>
      <w:r w:rsidRPr="00500E38">
        <w:t>ncrease</w:t>
      </w:r>
      <w:r>
        <w:t>s in</w:t>
      </w:r>
      <w:r w:rsidRPr="00500E38">
        <w:t xml:space="preserve"> water level variability</w:t>
      </w:r>
      <w:r>
        <w:t xml:space="preserve"> (-0.29 to +0.14 m IQR</w:t>
      </w:r>
      <w:r>
        <w:rPr>
          <w:rStyle w:val="FootnoteReference"/>
        </w:rPr>
        <w:footnoteReference w:id="4"/>
      </w:r>
      <w:r>
        <w:t>; -0.08 m in 2023-24)</w:t>
      </w:r>
      <w:r w:rsidRPr="00500E38">
        <w:t xml:space="preserve"> </w:t>
      </w:r>
      <w:r>
        <w:t xml:space="preserve">occurred </w:t>
      </w:r>
      <w:r w:rsidRPr="00F605D9">
        <w:t>in the upper weir pool</w:t>
      </w:r>
      <w:r>
        <w:t>s of the LMR</w:t>
      </w:r>
      <w:r w:rsidRPr="00F605D9">
        <w:t xml:space="preserve"> </w:t>
      </w:r>
      <w:r>
        <w:t xml:space="preserve">due to </w:t>
      </w:r>
      <w:r>
        <w:rPr>
          <w:rFonts w:eastAsiaTheme="majorEastAsia"/>
          <w:color w:val="auto"/>
          <w:szCs w:val="22"/>
        </w:rPr>
        <w:t>C</w:t>
      </w:r>
      <w:r w:rsidRPr="001A58B8">
        <w:rPr>
          <w:rFonts w:eastAsiaTheme="majorEastAsia"/>
          <w:color w:val="auto"/>
          <w:szCs w:val="22"/>
        </w:rPr>
        <w:t xml:space="preserve">ommonwealth environmental water </w:t>
      </w:r>
      <w:r>
        <w:rPr>
          <w:rFonts w:eastAsiaTheme="majorEastAsia"/>
          <w:color w:val="auto"/>
          <w:szCs w:val="22"/>
        </w:rPr>
        <w:t>delivery, including via its support to weir pool manipulations</w:t>
      </w:r>
      <w:r>
        <w:t xml:space="preserve">. </w:t>
      </w:r>
    </w:p>
    <w:p w14:paraId="2063724A" w14:textId="4A357E6A" w:rsidR="00D06348" w:rsidRPr="00706556" w:rsidRDefault="00D06348" w:rsidP="006E5AFC">
      <w:pPr>
        <w:pStyle w:val="ListParagraph"/>
        <w:numPr>
          <w:ilvl w:val="0"/>
          <w:numId w:val="52"/>
        </w:numPr>
        <w:spacing w:line="266" w:lineRule="auto"/>
        <w:rPr>
          <w:rFonts w:eastAsiaTheme="majorEastAsia"/>
          <w:color w:val="auto"/>
          <w:szCs w:val="22"/>
        </w:rPr>
      </w:pPr>
      <w:r w:rsidRPr="00706556">
        <w:rPr>
          <w:rFonts w:eastAsiaTheme="majorEastAsia"/>
          <w:b/>
          <w:bCs/>
          <w:color w:val="auto"/>
          <w:szCs w:val="22"/>
        </w:rPr>
        <w:t>Littoral vegetation</w:t>
      </w:r>
      <w:r w:rsidRPr="00706556">
        <w:rPr>
          <w:rFonts w:eastAsiaTheme="majorEastAsia"/>
          <w:color w:val="auto"/>
          <w:szCs w:val="22"/>
        </w:rPr>
        <w:t xml:space="preserve">: Native plant species diversity increased by 38–100% at multiple spatial scales following </w:t>
      </w:r>
      <w:r w:rsidR="00F605D9">
        <w:rPr>
          <w:rFonts w:eastAsiaTheme="majorEastAsia"/>
          <w:color w:val="auto"/>
          <w:szCs w:val="22"/>
        </w:rPr>
        <w:t xml:space="preserve">increased water levels and </w:t>
      </w:r>
      <w:r w:rsidRPr="00706556">
        <w:rPr>
          <w:rFonts w:eastAsiaTheme="majorEastAsia"/>
          <w:color w:val="auto"/>
          <w:szCs w:val="22"/>
        </w:rPr>
        <w:t>the</w:t>
      </w:r>
      <w:r w:rsidR="00F605D9">
        <w:rPr>
          <w:rFonts w:eastAsiaTheme="majorEastAsia"/>
          <w:color w:val="auto"/>
          <w:szCs w:val="22"/>
        </w:rPr>
        <w:t xml:space="preserve"> resulting</w:t>
      </w:r>
      <w:r w:rsidRPr="00706556">
        <w:rPr>
          <w:rFonts w:eastAsiaTheme="majorEastAsia"/>
          <w:color w:val="auto"/>
          <w:szCs w:val="22"/>
        </w:rPr>
        <w:t xml:space="preserve"> inundation of littoral zones by</w:t>
      </w:r>
      <w:r w:rsidRPr="0071214D">
        <w:t xml:space="preserve"> </w:t>
      </w:r>
      <w:r w:rsidRPr="00706556">
        <w:rPr>
          <w:rFonts w:eastAsiaTheme="majorEastAsia"/>
          <w:color w:val="auto"/>
          <w:szCs w:val="22"/>
        </w:rPr>
        <w:t>spring–early summer flows during 2019–2021. Environmental water also supported the ge</w:t>
      </w:r>
      <w:r w:rsidR="00C37392">
        <w:rPr>
          <w:rFonts w:eastAsiaTheme="majorEastAsia"/>
          <w:color w:val="auto"/>
          <w:szCs w:val="22"/>
        </w:rPr>
        <w:t>r</w:t>
      </w:r>
      <w:r w:rsidRPr="00706556">
        <w:rPr>
          <w:rFonts w:eastAsiaTheme="majorEastAsia"/>
          <w:color w:val="auto"/>
          <w:szCs w:val="22"/>
        </w:rPr>
        <w:t xml:space="preserve">mination and survival of river red gum in these years. Variable water levels also produced conditions suitable for the recruitment of specialised riparian species, increasing plant functional diversity. However, in 2023-24, environmental water </w:t>
      </w:r>
      <w:r>
        <w:rPr>
          <w:rFonts w:eastAsiaTheme="majorEastAsia"/>
          <w:color w:val="auto"/>
          <w:szCs w:val="22"/>
        </w:rPr>
        <w:t xml:space="preserve">showed no effect </w:t>
      </w:r>
      <w:r w:rsidRPr="00706556">
        <w:rPr>
          <w:rFonts w:eastAsiaTheme="majorEastAsia"/>
          <w:color w:val="auto"/>
          <w:szCs w:val="22"/>
        </w:rPr>
        <w:t>on littoral vegetation,</w:t>
      </w:r>
      <w:r>
        <w:rPr>
          <w:rFonts w:eastAsiaTheme="majorEastAsia"/>
          <w:color w:val="auto"/>
          <w:szCs w:val="22"/>
        </w:rPr>
        <w:t xml:space="preserve"> likely due to the greater influence of </w:t>
      </w:r>
      <w:r w:rsidR="004C7277">
        <w:rPr>
          <w:rFonts w:eastAsiaTheme="majorEastAsia"/>
          <w:color w:val="auto"/>
          <w:szCs w:val="22"/>
        </w:rPr>
        <w:t>prolonged</w:t>
      </w:r>
      <w:r>
        <w:rPr>
          <w:rFonts w:eastAsiaTheme="majorEastAsia"/>
          <w:color w:val="auto"/>
          <w:szCs w:val="22"/>
        </w:rPr>
        <w:t xml:space="preserve"> unregulated flows </w:t>
      </w:r>
      <w:r w:rsidRPr="00706556">
        <w:rPr>
          <w:rFonts w:eastAsiaTheme="majorEastAsia"/>
          <w:color w:val="auto"/>
          <w:szCs w:val="22"/>
        </w:rPr>
        <w:t>(2021–2024)</w:t>
      </w:r>
      <w:r>
        <w:rPr>
          <w:rFonts w:eastAsiaTheme="majorEastAsia"/>
          <w:color w:val="auto"/>
          <w:szCs w:val="22"/>
        </w:rPr>
        <w:t xml:space="preserve">. </w:t>
      </w:r>
    </w:p>
    <w:bookmarkEnd w:id="13"/>
    <w:p w14:paraId="2224351C" w14:textId="5B7FA62E" w:rsidR="00D06348" w:rsidRPr="00DB17A6" w:rsidRDefault="00D06348" w:rsidP="00D06348">
      <w:pPr>
        <w:pStyle w:val="ListParagraph"/>
        <w:numPr>
          <w:ilvl w:val="0"/>
          <w:numId w:val="52"/>
        </w:numPr>
        <w:spacing w:line="266" w:lineRule="auto"/>
        <w:rPr>
          <w:rFonts w:eastAsiaTheme="majorEastAsia"/>
          <w:color w:val="auto"/>
          <w:szCs w:val="22"/>
        </w:rPr>
      </w:pPr>
      <w:r w:rsidRPr="00EF6DF3">
        <w:rPr>
          <w:rFonts w:eastAsiaTheme="majorEastAsia"/>
          <w:b/>
          <w:bCs/>
          <w:color w:val="auto"/>
          <w:szCs w:val="22"/>
        </w:rPr>
        <w:t>Water quality</w:t>
      </w:r>
      <w:r w:rsidRPr="00EF6DF3">
        <w:rPr>
          <w:rFonts w:eastAsiaTheme="majorEastAsia"/>
          <w:color w:val="auto"/>
          <w:szCs w:val="22"/>
        </w:rPr>
        <w:t xml:space="preserve">: </w:t>
      </w:r>
      <w:bookmarkStart w:id="14" w:name="_Hlk66263358"/>
      <w:r w:rsidRPr="00DB17A6">
        <w:rPr>
          <w:rFonts w:eastAsiaTheme="majorEastAsia"/>
          <w:color w:val="auto"/>
        </w:rPr>
        <w:t>Commonwealth environmental water increased water mixing (velocities &gt;0.2 m/s) and oxygen exchange at the water surface,</w:t>
      </w:r>
      <w:r>
        <w:rPr>
          <w:rFonts w:eastAsiaTheme="majorEastAsia"/>
          <w:color w:val="auto"/>
        </w:rPr>
        <w:t xml:space="preserve"> </w:t>
      </w:r>
      <w:r w:rsidRPr="00DB17A6">
        <w:rPr>
          <w:rFonts w:eastAsiaTheme="majorEastAsia"/>
          <w:color w:val="auto"/>
        </w:rPr>
        <w:t xml:space="preserve">reducing the potential low dissolved oxygen (DO) period by </w:t>
      </w:r>
      <w:r>
        <w:rPr>
          <w:rFonts w:eastAsiaTheme="majorEastAsia"/>
          <w:color w:val="auto"/>
        </w:rPr>
        <w:t>1</w:t>
      </w:r>
      <w:bookmarkStart w:id="15" w:name="_Hlk197440635"/>
      <w:r w:rsidRPr="00DB17A6">
        <w:rPr>
          <w:rFonts w:eastAsiaTheme="majorEastAsia"/>
          <w:color w:val="auto"/>
        </w:rPr>
        <w:t>–</w:t>
      </w:r>
      <w:bookmarkEnd w:id="15"/>
      <w:r>
        <w:rPr>
          <w:rFonts w:eastAsiaTheme="majorEastAsia"/>
          <w:color w:val="auto"/>
        </w:rPr>
        <w:t xml:space="preserve">3 months </w:t>
      </w:r>
      <w:r w:rsidRPr="00DB17A6">
        <w:rPr>
          <w:rFonts w:eastAsiaTheme="majorEastAsia"/>
          <w:color w:val="auto"/>
        </w:rPr>
        <w:t>(varying among reaches)</w:t>
      </w:r>
      <w:r>
        <w:rPr>
          <w:rFonts w:eastAsiaTheme="majorEastAsia"/>
          <w:color w:val="auto"/>
        </w:rPr>
        <w:t xml:space="preserve"> </w:t>
      </w:r>
      <w:r w:rsidRPr="00DB17A6">
        <w:rPr>
          <w:rFonts w:eastAsiaTheme="majorEastAsia"/>
          <w:color w:val="auto"/>
        </w:rPr>
        <w:t xml:space="preserve">in the </w:t>
      </w:r>
      <w:r w:rsidR="006E5AFC" w:rsidRPr="00DB17A6">
        <w:rPr>
          <w:rFonts w:eastAsiaTheme="majorEastAsia"/>
          <w:color w:val="auto"/>
        </w:rPr>
        <w:t>LMR</w:t>
      </w:r>
      <w:r w:rsidR="006E5AFC">
        <w:rPr>
          <w:rFonts w:eastAsiaTheme="majorEastAsia"/>
          <w:color w:val="auto"/>
        </w:rPr>
        <w:t xml:space="preserve"> each year, </w:t>
      </w:r>
      <w:r>
        <w:rPr>
          <w:rFonts w:eastAsiaTheme="majorEastAsia"/>
          <w:color w:val="auto"/>
        </w:rPr>
        <w:t>except for 2021</w:t>
      </w:r>
      <w:r w:rsidRPr="00DB17A6">
        <w:rPr>
          <w:rFonts w:eastAsiaTheme="majorEastAsia"/>
          <w:color w:val="auto"/>
        </w:rPr>
        <w:t>–</w:t>
      </w:r>
      <w:r>
        <w:rPr>
          <w:rFonts w:eastAsiaTheme="majorEastAsia"/>
          <w:color w:val="auto"/>
        </w:rPr>
        <w:t>2023</w:t>
      </w:r>
      <w:r w:rsidRPr="00DB17A6">
        <w:rPr>
          <w:rFonts w:eastAsiaTheme="majorEastAsia"/>
          <w:color w:val="auto"/>
        </w:rPr>
        <w:t xml:space="preserve">. This mainly occurred </w:t>
      </w:r>
      <w:r>
        <w:rPr>
          <w:rFonts w:eastAsiaTheme="majorEastAsia"/>
          <w:color w:val="auto"/>
        </w:rPr>
        <w:t>during</w:t>
      </w:r>
      <w:r w:rsidRPr="00DB17A6">
        <w:rPr>
          <w:rFonts w:eastAsiaTheme="majorEastAsia"/>
          <w:color w:val="auto"/>
        </w:rPr>
        <w:t xml:space="preserve"> the spring–summer period, which corresponds with highest ecosystem respiration rates and the primary reproductive season of many species that generally favour DO &gt;5 mg/L.</w:t>
      </w:r>
    </w:p>
    <w:p w14:paraId="62163DCC" w14:textId="225FF07D" w:rsidR="00D06348" w:rsidRPr="005F08B1" w:rsidRDefault="00D06348" w:rsidP="00D06348">
      <w:pPr>
        <w:pStyle w:val="ListParagraph"/>
        <w:numPr>
          <w:ilvl w:val="0"/>
          <w:numId w:val="52"/>
        </w:numPr>
        <w:rPr>
          <w:rFonts w:eastAsiaTheme="majorEastAsia"/>
          <w:color w:val="auto"/>
          <w:szCs w:val="22"/>
        </w:rPr>
      </w:pPr>
      <w:r w:rsidRPr="005F08B1">
        <w:rPr>
          <w:rFonts w:eastAsiaTheme="majorEastAsia"/>
          <w:b/>
          <w:bCs/>
          <w:color w:val="auto"/>
          <w:szCs w:val="22"/>
        </w:rPr>
        <w:t>River productivity</w:t>
      </w:r>
      <w:r w:rsidRPr="005F08B1">
        <w:rPr>
          <w:rFonts w:eastAsiaTheme="majorEastAsia"/>
          <w:color w:val="auto"/>
          <w:szCs w:val="22"/>
        </w:rPr>
        <w:t xml:space="preserve">: </w:t>
      </w:r>
      <w:r w:rsidR="00F605D9">
        <w:rPr>
          <w:rFonts w:eastAsiaTheme="majorEastAsia"/>
          <w:color w:val="auto"/>
          <w:szCs w:val="22"/>
        </w:rPr>
        <w:t>Changes in p</w:t>
      </w:r>
      <w:r w:rsidRPr="005F08B1">
        <w:rPr>
          <w:rFonts w:eastAsiaTheme="majorEastAsia"/>
          <w:color w:val="auto"/>
          <w:szCs w:val="22"/>
        </w:rPr>
        <w:t xml:space="preserve">rimary production, which supports aquatic food webs (e.g. invertebrates and fish), </w:t>
      </w:r>
      <w:r w:rsidR="00F605D9">
        <w:rPr>
          <w:rFonts w:eastAsiaTheme="majorEastAsia"/>
          <w:color w:val="auto"/>
          <w:szCs w:val="22"/>
        </w:rPr>
        <w:t>were</w:t>
      </w:r>
      <w:r w:rsidR="00F605D9" w:rsidRPr="005F08B1">
        <w:rPr>
          <w:rFonts w:eastAsiaTheme="majorEastAsia"/>
          <w:color w:val="auto"/>
          <w:szCs w:val="22"/>
        </w:rPr>
        <w:t xml:space="preserve"> </w:t>
      </w:r>
      <w:r w:rsidRPr="005F08B1">
        <w:rPr>
          <w:rFonts w:eastAsiaTheme="majorEastAsia"/>
          <w:color w:val="auto"/>
          <w:szCs w:val="22"/>
        </w:rPr>
        <w:t xml:space="preserve">negligible </w:t>
      </w:r>
      <w:bookmarkStart w:id="16" w:name="_Hlk164091418"/>
      <w:r w:rsidRPr="005F08B1">
        <w:rPr>
          <w:rFonts w:eastAsiaTheme="majorEastAsia"/>
          <w:color w:val="auto"/>
          <w:szCs w:val="22"/>
        </w:rPr>
        <w:t>(-</w:t>
      </w:r>
      <w:bookmarkStart w:id="17" w:name="_Hlk197553302"/>
      <w:r w:rsidRPr="005F08B1">
        <w:rPr>
          <w:rFonts w:eastAsiaTheme="majorEastAsia"/>
          <w:color w:val="auto"/>
          <w:szCs w:val="22"/>
        </w:rPr>
        <w:t>1–</w:t>
      </w:r>
      <w:r w:rsidR="00A21A7E">
        <w:rPr>
          <w:rFonts w:eastAsiaTheme="majorEastAsia"/>
          <w:color w:val="auto"/>
          <w:szCs w:val="22"/>
        </w:rPr>
        <w:t>+</w:t>
      </w:r>
      <w:r w:rsidRPr="005F08B1">
        <w:rPr>
          <w:rFonts w:eastAsiaTheme="majorEastAsia"/>
          <w:color w:val="auto"/>
          <w:szCs w:val="22"/>
        </w:rPr>
        <w:t xml:space="preserve">3% </w:t>
      </w:r>
      <w:bookmarkEnd w:id="17"/>
      <w:r w:rsidRPr="005F08B1">
        <w:rPr>
          <w:rFonts w:eastAsiaTheme="majorEastAsia"/>
          <w:color w:val="auto"/>
          <w:szCs w:val="22"/>
        </w:rPr>
        <w:t>across sites</w:t>
      </w:r>
      <w:bookmarkEnd w:id="16"/>
      <w:r w:rsidRPr="005F08B1">
        <w:rPr>
          <w:rFonts w:eastAsiaTheme="majorEastAsia"/>
          <w:color w:val="auto"/>
          <w:szCs w:val="22"/>
        </w:rPr>
        <w:t xml:space="preserve">) due to </w:t>
      </w:r>
      <w:r w:rsidR="0076553A">
        <w:rPr>
          <w:rFonts w:eastAsiaTheme="majorEastAsia"/>
          <w:color w:val="auto"/>
          <w:szCs w:val="22"/>
        </w:rPr>
        <w:t xml:space="preserve">Commonwealth </w:t>
      </w:r>
      <w:r w:rsidRPr="005F08B1">
        <w:rPr>
          <w:rFonts w:eastAsiaTheme="majorEastAsia"/>
          <w:color w:val="auto"/>
          <w:szCs w:val="22"/>
        </w:rPr>
        <w:t xml:space="preserve">environmental water because </w:t>
      </w:r>
      <w:r w:rsidR="00F605D9">
        <w:rPr>
          <w:rFonts w:eastAsiaTheme="majorEastAsia"/>
          <w:color w:val="auto"/>
          <w:szCs w:val="22"/>
        </w:rPr>
        <w:t>its</w:t>
      </w:r>
      <w:r w:rsidR="00F605D9" w:rsidRPr="005F08B1">
        <w:rPr>
          <w:rFonts w:eastAsiaTheme="majorEastAsia"/>
          <w:color w:val="auto"/>
          <w:szCs w:val="22"/>
        </w:rPr>
        <w:t xml:space="preserve"> </w:t>
      </w:r>
      <w:r w:rsidRPr="005F08B1">
        <w:rPr>
          <w:rFonts w:eastAsiaTheme="majorEastAsia"/>
          <w:color w:val="auto"/>
          <w:szCs w:val="22"/>
        </w:rPr>
        <w:t xml:space="preserve">influence on channel volume is constrained by generally stable weir pool levels in the regulated LMR. </w:t>
      </w:r>
      <w:r w:rsidR="00002A7C">
        <w:rPr>
          <w:rFonts w:eastAsiaTheme="majorEastAsia"/>
          <w:color w:val="auto"/>
          <w:szCs w:val="22"/>
        </w:rPr>
        <w:t>D</w:t>
      </w:r>
      <w:r w:rsidRPr="005F08B1">
        <w:rPr>
          <w:rFonts w:eastAsiaTheme="majorEastAsia"/>
          <w:color w:val="auto"/>
          <w:szCs w:val="22"/>
        </w:rPr>
        <w:t xml:space="preserve">ecomposition rates </w:t>
      </w:r>
      <w:r w:rsidR="003D2247">
        <w:rPr>
          <w:rFonts w:eastAsiaTheme="majorEastAsia"/>
          <w:color w:val="auto"/>
          <w:szCs w:val="22"/>
        </w:rPr>
        <w:t xml:space="preserve">increased </w:t>
      </w:r>
      <w:r w:rsidR="006E5AFC">
        <w:rPr>
          <w:rFonts w:eastAsiaTheme="majorEastAsia"/>
          <w:color w:val="auto"/>
          <w:szCs w:val="22"/>
        </w:rPr>
        <w:t>by between 1</w:t>
      </w:r>
      <w:r w:rsidR="008B50DC" w:rsidRPr="005F08B1">
        <w:rPr>
          <w:rFonts w:eastAsiaTheme="majorEastAsia"/>
          <w:color w:val="auto"/>
          <w:szCs w:val="22"/>
        </w:rPr>
        <w:t>%</w:t>
      </w:r>
      <w:r w:rsidR="006E5AFC">
        <w:rPr>
          <w:rFonts w:eastAsiaTheme="majorEastAsia"/>
          <w:color w:val="auto"/>
          <w:szCs w:val="22"/>
        </w:rPr>
        <w:t xml:space="preserve"> in 2022-23 to 11</w:t>
      </w:r>
      <w:r w:rsidR="006E5AFC" w:rsidRPr="005F08B1">
        <w:rPr>
          <w:rFonts w:eastAsiaTheme="majorEastAsia"/>
          <w:color w:val="auto"/>
          <w:szCs w:val="22"/>
        </w:rPr>
        <w:t>%</w:t>
      </w:r>
      <w:r w:rsidR="006E5AFC">
        <w:rPr>
          <w:rFonts w:eastAsiaTheme="majorEastAsia"/>
          <w:color w:val="auto"/>
          <w:szCs w:val="22"/>
        </w:rPr>
        <w:t xml:space="preserve"> in 2020-21 and 2023-24</w:t>
      </w:r>
      <w:r w:rsidR="006E5AFC" w:rsidRPr="005F08B1">
        <w:rPr>
          <w:rFonts w:eastAsiaTheme="majorEastAsia"/>
          <w:color w:val="auto"/>
          <w:szCs w:val="22"/>
        </w:rPr>
        <w:t xml:space="preserve">, suggesting </w:t>
      </w:r>
      <w:r w:rsidR="006E5AFC">
        <w:rPr>
          <w:rFonts w:eastAsiaTheme="majorEastAsia"/>
          <w:color w:val="auto"/>
          <w:szCs w:val="22"/>
        </w:rPr>
        <w:t xml:space="preserve">negligible to moderate </w:t>
      </w:r>
      <w:r w:rsidR="006E5AFC" w:rsidRPr="005F08B1">
        <w:rPr>
          <w:rFonts w:eastAsiaTheme="majorEastAsia"/>
          <w:color w:val="auto"/>
          <w:szCs w:val="22"/>
        </w:rPr>
        <w:t>increase</w:t>
      </w:r>
      <w:r w:rsidR="006E5AFC">
        <w:rPr>
          <w:rFonts w:eastAsiaTheme="majorEastAsia"/>
          <w:color w:val="auto"/>
          <w:szCs w:val="22"/>
        </w:rPr>
        <w:t>s in</w:t>
      </w:r>
      <w:r w:rsidR="006E5AFC" w:rsidRPr="005F08B1">
        <w:rPr>
          <w:rFonts w:eastAsiaTheme="majorEastAsia"/>
          <w:color w:val="auto"/>
          <w:szCs w:val="22"/>
        </w:rPr>
        <w:t xml:space="preserve"> basal food resources to the river</w:t>
      </w:r>
      <w:r w:rsidR="006E5AFC">
        <w:rPr>
          <w:rFonts w:eastAsiaTheme="majorEastAsia"/>
          <w:color w:val="auto"/>
          <w:szCs w:val="22"/>
        </w:rPr>
        <w:t xml:space="preserve"> due to Commonwealth environmental water</w:t>
      </w:r>
      <w:r w:rsidR="006E5AFC" w:rsidRPr="005F08B1">
        <w:rPr>
          <w:rFonts w:eastAsiaTheme="majorEastAsia"/>
          <w:color w:val="auto"/>
          <w:szCs w:val="22"/>
        </w:rPr>
        <w:t>.</w:t>
      </w:r>
    </w:p>
    <w:bookmarkEnd w:id="14"/>
    <w:p w14:paraId="0A4DB805" w14:textId="2EFC6EC1" w:rsidR="00D06348" w:rsidRPr="009F20A4" w:rsidRDefault="00D06348" w:rsidP="00D06348">
      <w:pPr>
        <w:pStyle w:val="ListParagraph"/>
        <w:numPr>
          <w:ilvl w:val="0"/>
          <w:numId w:val="52"/>
        </w:numPr>
      </w:pPr>
      <w:r w:rsidRPr="00D443A0">
        <w:rPr>
          <w:rFonts w:eastAsiaTheme="majorEastAsia"/>
          <w:b/>
          <w:bCs/>
          <w:noProof/>
          <w:color w:val="auto"/>
          <w:szCs w:val="22"/>
        </w:rPr>
        <w:t>Microinvertebrates</w:t>
      </w:r>
      <w:r w:rsidRPr="00D443A0">
        <w:rPr>
          <w:rFonts w:eastAsiaTheme="majorEastAsia"/>
          <w:color w:val="auto"/>
          <w:szCs w:val="22"/>
        </w:rPr>
        <w:t xml:space="preserve">: </w:t>
      </w:r>
      <w:r w:rsidR="006E716E">
        <w:rPr>
          <w:rFonts w:eastAsiaTheme="majorEastAsia"/>
          <w:color w:val="auto"/>
          <w:szCs w:val="22"/>
        </w:rPr>
        <w:t>D</w:t>
      </w:r>
      <w:r w:rsidRPr="00D443A0">
        <w:rPr>
          <w:rFonts w:eastAsiaTheme="majorEastAsia"/>
          <w:color w:val="auto"/>
          <w:szCs w:val="22"/>
        </w:rPr>
        <w:t xml:space="preserve">ensity and taxonomic richness generally responded positively to flow (including environmental water) in the LMR, with highest records during overbank flows in 2022-23 and 2023-24. The effects of Commonwealth environmental water on microinvertebrates varied across years. Some taxa (littoral rotifers) were more </w:t>
      </w:r>
      <w:r>
        <w:rPr>
          <w:rFonts w:eastAsiaTheme="majorEastAsia"/>
          <w:color w:val="auto"/>
          <w:szCs w:val="22"/>
        </w:rPr>
        <w:t xml:space="preserve">‘flow responsive’, generally showing increased presence corresponding with high flows/flood and </w:t>
      </w:r>
      <w:r w:rsidRPr="00D443A0">
        <w:t>increased hydrological connectivity and extent of lotic habitat (including environmental water contribution) in the LMR.</w:t>
      </w:r>
    </w:p>
    <w:p w14:paraId="6299436C" w14:textId="348A7AE6" w:rsidR="00D06348" w:rsidRPr="004B04DD" w:rsidRDefault="00D06348" w:rsidP="00D06348">
      <w:pPr>
        <w:pStyle w:val="ListParagraph"/>
        <w:numPr>
          <w:ilvl w:val="0"/>
          <w:numId w:val="52"/>
        </w:numPr>
        <w:spacing w:line="266" w:lineRule="auto"/>
        <w:rPr>
          <w:szCs w:val="21"/>
          <w:lang w:eastAsia="en-AU"/>
        </w:rPr>
      </w:pPr>
      <w:r w:rsidRPr="00B82C96">
        <w:rPr>
          <w:b/>
          <w:bCs/>
          <w:szCs w:val="21"/>
          <w:lang w:eastAsia="en-AU"/>
        </w:rPr>
        <w:t>Flow-cued spawning fish</w:t>
      </w:r>
      <w:r w:rsidRPr="00B82C96">
        <w:rPr>
          <w:szCs w:val="21"/>
          <w:lang w:eastAsia="en-AU"/>
        </w:rPr>
        <w:t xml:space="preserve">: </w:t>
      </w:r>
      <w:r>
        <w:t>I</w:t>
      </w:r>
      <w:r w:rsidRPr="00977C1D">
        <w:t>ncreased spawning of golden perch</w:t>
      </w:r>
      <w:r>
        <w:t xml:space="preserve"> </w:t>
      </w:r>
      <w:r w:rsidRPr="00977C1D">
        <w:t xml:space="preserve">was associated with elevated in-channel (&gt;20,000 ML/d) and overbank (&gt;45,000 ML/d) flows </w:t>
      </w:r>
      <w:r w:rsidR="007E5CD2">
        <w:t xml:space="preserve">when </w:t>
      </w:r>
      <w:r w:rsidR="007E5CD2">
        <w:lastRenderedPageBreak/>
        <w:t>coincident with</w:t>
      </w:r>
      <w:r w:rsidR="007E5CD2" w:rsidRPr="00977C1D">
        <w:t xml:space="preserve"> </w:t>
      </w:r>
      <w:r w:rsidRPr="00977C1D">
        <w:t>water temperatures ≥20ºC during spring–summer.</w:t>
      </w:r>
      <w:r>
        <w:t xml:space="preserve"> R</w:t>
      </w:r>
      <w:r w:rsidRPr="007B4B01">
        <w:t>ecruitment</w:t>
      </w:r>
      <w:r>
        <w:t xml:space="preserve"> was episodic, with a strong cohort</w:t>
      </w:r>
      <w:r w:rsidRPr="007B4B01">
        <w:t xml:space="preserve"> </w:t>
      </w:r>
      <w:r>
        <w:t xml:space="preserve">recruited in </w:t>
      </w:r>
      <w:r w:rsidR="006E5AFC">
        <w:t xml:space="preserve">2021-22 and low–moderate strength cohorts from 2020-21 and 2022–2024. </w:t>
      </w:r>
      <w:r w:rsidR="00A82C93">
        <w:t>Ageing and o</w:t>
      </w:r>
      <w:r w:rsidR="007E5CD2">
        <w:t>tolith microchemistry indicated</w:t>
      </w:r>
      <w:r w:rsidR="00A82C93">
        <w:t xml:space="preserve"> spawning in association with elevated in-channel flows in</w:t>
      </w:r>
      <w:r w:rsidR="00127FA1" w:rsidRPr="00127FA1">
        <w:t xml:space="preserve"> the Murray River below the Murray–Darling junction and Darling River</w:t>
      </w:r>
      <w:r>
        <w:t>. Silver perch recruitment</w:t>
      </w:r>
      <w:r w:rsidR="00A27EE4">
        <w:t xml:space="preserve"> was more consistent and</w:t>
      </w:r>
      <w:r>
        <w:t xml:space="preserve"> </w:t>
      </w:r>
      <w:r w:rsidR="00A82C93">
        <w:t xml:space="preserve">derived from spawning in the </w:t>
      </w:r>
      <w:r w:rsidR="00002A7C">
        <w:t>Murray River (below the Murray–Darling junction)</w:t>
      </w:r>
      <w:r>
        <w:t xml:space="preserve"> and mid-Murray River, but </w:t>
      </w:r>
      <w:r w:rsidR="00A82C93">
        <w:t xml:space="preserve">overall </w:t>
      </w:r>
      <w:r>
        <w:t xml:space="preserve">population abundance remained low. </w:t>
      </w:r>
      <w:r w:rsidR="00412B86">
        <w:t>In most years, e</w:t>
      </w:r>
      <w:r w:rsidRPr="00C006A8">
        <w:t xml:space="preserve">nvironmental water </w:t>
      </w:r>
      <w:r w:rsidR="00A82C93">
        <w:t>contributed to</w:t>
      </w:r>
      <w:r w:rsidR="00A82C93" w:rsidRPr="00C006A8">
        <w:t xml:space="preserve"> </w:t>
      </w:r>
      <w:r w:rsidRPr="00C006A8">
        <w:t xml:space="preserve">spring-summer </w:t>
      </w:r>
      <w:r w:rsidRPr="004B04DD">
        <w:t>flows during the peak spawning period of both species.</w:t>
      </w:r>
    </w:p>
    <w:p w14:paraId="2CBC7B80" w14:textId="48D74A25" w:rsidR="00D06348" w:rsidRPr="00427A79" w:rsidRDefault="00D06348" w:rsidP="00D06348">
      <w:pPr>
        <w:pStyle w:val="ListParagraph"/>
        <w:numPr>
          <w:ilvl w:val="0"/>
          <w:numId w:val="52"/>
        </w:numPr>
        <w:rPr>
          <w:color w:val="auto"/>
          <w:szCs w:val="21"/>
        </w:rPr>
      </w:pPr>
      <w:r w:rsidRPr="004B04DD">
        <w:rPr>
          <w:b/>
          <w:bCs/>
          <w:szCs w:val="21"/>
          <w:lang w:eastAsia="en-AU"/>
        </w:rPr>
        <w:t>Murray cod recruitment</w:t>
      </w:r>
      <w:r w:rsidRPr="004B04DD">
        <w:rPr>
          <w:szCs w:val="21"/>
          <w:lang w:eastAsia="en-AU"/>
        </w:rPr>
        <w:t xml:space="preserve">: </w:t>
      </w:r>
      <w:r w:rsidR="00BD4AD6">
        <w:t>R</w:t>
      </w:r>
      <w:r w:rsidRPr="004B04DD">
        <w:t>ecruitment occurred in most years in the LMR, with the contribution</w:t>
      </w:r>
      <w:r>
        <w:t xml:space="preserve"> of </w:t>
      </w:r>
      <w:r w:rsidR="00412B86">
        <w:t xml:space="preserve">the </w:t>
      </w:r>
      <w:r w:rsidRPr="001C0ABB">
        <w:t>flow regime (including environmental water)</w:t>
      </w:r>
      <w:r>
        <w:t xml:space="preserve"> being substantial in 2019-20, </w:t>
      </w:r>
      <w:r w:rsidR="00412B86">
        <w:t>and negligible to</w:t>
      </w:r>
      <w:r>
        <w:t xml:space="preserve"> moderate</w:t>
      </w:r>
      <w:r w:rsidR="00412B86">
        <w:t xml:space="preserve"> in other </w:t>
      </w:r>
      <w:r w:rsidR="006E5AFC">
        <w:t>years (e.g. 2023-24)</w:t>
      </w:r>
      <w:r w:rsidR="006E5AFC" w:rsidRPr="001C0ABB">
        <w:t>.</w:t>
      </w:r>
      <w:r w:rsidR="006E5AFC">
        <w:t xml:space="preserve"> </w:t>
      </w:r>
      <w:r w:rsidR="00BD4AD6">
        <w:rPr>
          <w:color w:val="auto"/>
          <w:szCs w:val="21"/>
        </w:rPr>
        <w:t>S</w:t>
      </w:r>
      <w:r w:rsidRPr="00427A79">
        <w:rPr>
          <w:color w:val="auto"/>
          <w:szCs w:val="21"/>
        </w:rPr>
        <w:t>trong recruitment in 2019-20</w:t>
      </w:r>
      <w:r>
        <w:rPr>
          <w:color w:val="auto"/>
          <w:szCs w:val="21"/>
        </w:rPr>
        <w:t xml:space="preserve"> was </w:t>
      </w:r>
      <w:r w:rsidRPr="00427A79">
        <w:rPr>
          <w:color w:val="auto"/>
          <w:szCs w:val="21"/>
        </w:rPr>
        <w:t xml:space="preserve">associated with a spring flow pulse (peaked in mid-October) </w:t>
      </w:r>
      <w:r w:rsidR="00A82C93">
        <w:rPr>
          <w:color w:val="auto"/>
          <w:szCs w:val="21"/>
        </w:rPr>
        <w:t>support</w:t>
      </w:r>
      <w:r w:rsidR="00A82C93" w:rsidRPr="00427A79">
        <w:rPr>
          <w:color w:val="auto"/>
          <w:szCs w:val="21"/>
        </w:rPr>
        <w:t xml:space="preserve">ed </w:t>
      </w:r>
      <w:r w:rsidRPr="00427A79">
        <w:rPr>
          <w:color w:val="auto"/>
          <w:szCs w:val="21"/>
        </w:rPr>
        <w:t>by environmental water delivery</w:t>
      </w:r>
      <w:r>
        <w:rPr>
          <w:color w:val="auto"/>
          <w:szCs w:val="21"/>
        </w:rPr>
        <w:t>, which increased the extent of lotic habitat during spawning</w:t>
      </w:r>
      <w:r w:rsidRPr="00574028">
        <w:t xml:space="preserve"> </w:t>
      </w:r>
      <w:r>
        <w:t xml:space="preserve">in </w:t>
      </w:r>
      <w:r>
        <w:rPr>
          <w:color w:val="auto"/>
          <w:szCs w:val="21"/>
        </w:rPr>
        <w:t>this</w:t>
      </w:r>
      <w:r w:rsidRPr="00574028">
        <w:rPr>
          <w:color w:val="auto"/>
          <w:szCs w:val="21"/>
        </w:rPr>
        <w:t xml:space="preserve"> low, in-channel flow</w:t>
      </w:r>
      <w:r>
        <w:rPr>
          <w:color w:val="auto"/>
          <w:szCs w:val="21"/>
        </w:rPr>
        <w:t xml:space="preserve"> year</w:t>
      </w:r>
      <w:r w:rsidRPr="00574028">
        <w:rPr>
          <w:color w:val="auto"/>
          <w:szCs w:val="21"/>
        </w:rPr>
        <w:t xml:space="preserve"> (&lt;20,000 ML/d). </w:t>
      </w:r>
      <w:r w:rsidRPr="00427A79">
        <w:rPr>
          <w:color w:val="auto"/>
          <w:szCs w:val="21"/>
        </w:rPr>
        <w:t xml:space="preserve">Over the last decade, more regular recruitment of Murray cod has contributed to </w:t>
      </w:r>
      <w:r>
        <w:rPr>
          <w:color w:val="auto"/>
          <w:szCs w:val="21"/>
        </w:rPr>
        <w:t>Murray cod</w:t>
      </w:r>
      <w:r w:rsidRPr="00427A79">
        <w:rPr>
          <w:color w:val="auto"/>
          <w:szCs w:val="21"/>
        </w:rPr>
        <w:t xml:space="preserve"> population resilience in the LMR.</w:t>
      </w:r>
    </w:p>
    <w:p w14:paraId="2BAD9E2F" w14:textId="3E9843B4" w:rsidR="00D06348" w:rsidRPr="005A323F" w:rsidRDefault="00D06348" w:rsidP="00D06348">
      <w:pPr>
        <w:pStyle w:val="ListParagraph"/>
        <w:numPr>
          <w:ilvl w:val="0"/>
          <w:numId w:val="52"/>
        </w:numPr>
        <w:spacing w:line="266" w:lineRule="auto"/>
        <w:rPr>
          <w:szCs w:val="21"/>
          <w:lang w:eastAsia="en-AU"/>
        </w:rPr>
      </w:pPr>
      <w:r w:rsidRPr="005A323F">
        <w:rPr>
          <w:rFonts w:eastAsiaTheme="majorEastAsia"/>
          <w:b/>
          <w:bCs/>
          <w:color w:val="auto"/>
          <w:szCs w:val="22"/>
        </w:rPr>
        <w:t>Barrage flows</w:t>
      </w:r>
      <w:r w:rsidRPr="005A323F">
        <w:rPr>
          <w:rFonts w:eastAsiaTheme="majorEastAsia"/>
          <w:color w:val="auto"/>
          <w:szCs w:val="22"/>
        </w:rPr>
        <w:t xml:space="preserve">: </w:t>
      </w:r>
      <w:r w:rsidR="006E5AFC" w:rsidRPr="005A323F">
        <w:rPr>
          <w:rFonts w:eastAsiaTheme="majorEastAsia"/>
          <w:color w:val="auto"/>
          <w:szCs w:val="22"/>
        </w:rPr>
        <w:t>Commonwealth environmental water played a critical role</w:t>
      </w:r>
      <w:r w:rsidR="006E5AFC">
        <w:rPr>
          <w:rFonts w:eastAsiaTheme="majorEastAsia"/>
          <w:color w:val="auto"/>
          <w:szCs w:val="22"/>
        </w:rPr>
        <w:t xml:space="preserve"> during</w:t>
      </w:r>
      <w:r w:rsidR="006E5AFC" w:rsidRPr="005A323F">
        <w:rPr>
          <w:rFonts w:eastAsiaTheme="majorEastAsia"/>
          <w:color w:val="auto"/>
          <w:szCs w:val="22"/>
        </w:rPr>
        <w:t xml:space="preserve"> dry years to support end-of-system flows </w:t>
      </w:r>
      <w:r w:rsidR="006E5AFC">
        <w:rPr>
          <w:rFonts w:eastAsiaTheme="majorEastAsia"/>
          <w:color w:val="auto"/>
          <w:szCs w:val="22"/>
        </w:rPr>
        <w:t xml:space="preserve">(e.g. 100% in 2019-20 and 65% in 2020-21) </w:t>
      </w:r>
      <w:r w:rsidR="006E5AFC" w:rsidRPr="005A323F">
        <w:rPr>
          <w:rFonts w:eastAsiaTheme="majorEastAsia"/>
          <w:color w:val="auto"/>
          <w:szCs w:val="22"/>
        </w:rPr>
        <w:t>and maintain connectivity between the river and estuary.</w:t>
      </w:r>
      <w:r w:rsidR="006E5AFC">
        <w:rPr>
          <w:rFonts w:eastAsiaTheme="majorEastAsia"/>
          <w:color w:val="auto"/>
          <w:szCs w:val="22"/>
        </w:rPr>
        <w:t xml:space="preserve"> In 2023-24, a year of relatively higher unregulated flows, </w:t>
      </w:r>
      <w:r w:rsidR="006E5AFC" w:rsidRPr="00DA3092">
        <w:rPr>
          <w:rFonts w:eastAsiaTheme="majorEastAsia"/>
          <w:color w:val="auto"/>
          <w:szCs w:val="22"/>
        </w:rPr>
        <w:t>Commonwealth environmental water</w:t>
      </w:r>
      <w:r w:rsidR="006E5AFC">
        <w:rPr>
          <w:rFonts w:eastAsiaTheme="majorEastAsia"/>
          <w:color w:val="auto"/>
          <w:szCs w:val="22"/>
        </w:rPr>
        <w:t xml:space="preserve"> contributed to 19% of barrage flows.</w:t>
      </w:r>
    </w:p>
    <w:p w14:paraId="073A0DFF" w14:textId="4E0B821A" w:rsidR="000A3327" w:rsidRDefault="000A3327" w:rsidP="003F154B">
      <w:pPr>
        <w:pStyle w:val="ListParagraph"/>
        <w:numPr>
          <w:ilvl w:val="0"/>
          <w:numId w:val="52"/>
        </w:numPr>
        <w:spacing w:line="266" w:lineRule="auto"/>
      </w:pPr>
      <w:bookmarkStart w:id="18" w:name="_Hlk132806876"/>
      <w:r w:rsidRPr="000A3327">
        <w:rPr>
          <w:rFonts w:eastAsiaTheme="majorEastAsia"/>
          <w:b/>
          <w:bCs/>
          <w:color w:val="auto"/>
          <w:szCs w:val="22"/>
        </w:rPr>
        <w:t>Salt export and reducing import</w:t>
      </w:r>
      <w:r w:rsidRPr="000A3327">
        <w:rPr>
          <w:rFonts w:eastAsiaTheme="majorEastAsia"/>
          <w:color w:val="auto"/>
          <w:szCs w:val="22"/>
        </w:rPr>
        <w:t xml:space="preserve">: </w:t>
      </w:r>
      <w:r>
        <w:t>In 2019–2021, Commonwealth environmental water contributed annually to the export of ~0.4 million tonnes of salt (64–100%) out of the Basin (via barrage flows), reduced ~4 million tonnes of salt import per year from the Southern Ocean into the Coorong and substantially reduced salt accumulation in the North and South lagoons. In wetter years (2021–2024), although the effect of environmental water on salt transport reduced due to greater proportion (up to 95% in 2022-23) of unregulated flows, the Basin Plan target of salt export (&gt;2 million tonnes per year) was achieved in 2022-23 (~3.1 million tonnes out of the Basin).</w:t>
      </w:r>
      <w:r w:rsidRPr="007628C4">
        <w:t xml:space="preserve"> </w:t>
      </w:r>
    </w:p>
    <w:bookmarkEnd w:id="18"/>
    <w:p w14:paraId="406C825A" w14:textId="2CADEDD1" w:rsidR="00D06348" w:rsidRDefault="00D06348" w:rsidP="00D06348">
      <w:pPr>
        <w:pStyle w:val="ListParagraph"/>
        <w:numPr>
          <w:ilvl w:val="0"/>
          <w:numId w:val="52"/>
        </w:numPr>
        <w:spacing w:line="266" w:lineRule="auto"/>
        <w:rPr>
          <w:rFonts w:eastAsiaTheme="majorEastAsia"/>
          <w:color w:val="auto"/>
          <w:szCs w:val="22"/>
        </w:rPr>
      </w:pPr>
      <w:r>
        <w:rPr>
          <w:rFonts w:eastAsiaTheme="majorEastAsia"/>
          <w:b/>
          <w:bCs/>
          <w:i/>
          <w:iCs/>
          <w:color w:val="auto"/>
          <w:szCs w:val="22"/>
        </w:rPr>
        <w:t>Ruppia tuberosa</w:t>
      </w:r>
      <w:r w:rsidRPr="002103AA">
        <w:rPr>
          <w:rFonts w:eastAsiaTheme="majorEastAsia"/>
          <w:b/>
          <w:bCs/>
          <w:color w:val="auto"/>
          <w:szCs w:val="22"/>
        </w:rPr>
        <w:t xml:space="preserve"> and fish habitats</w:t>
      </w:r>
      <w:r w:rsidRPr="002103AA">
        <w:rPr>
          <w:rFonts w:eastAsiaTheme="majorEastAsia"/>
          <w:color w:val="auto"/>
          <w:szCs w:val="22"/>
        </w:rPr>
        <w:t xml:space="preserve">: Commonwealth environmental water </w:t>
      </w:r>
      <w:r>
        <w:rPr>
          <w:rFonts w:eastAsiaTheme="majorEastAsia"/>
          <w:color w:val="auto"/>
          <w:szCs w:val="22"/>
        </w:rPr>
        <w:t>d</w:t>
      </w:r>
      <w:r w:rsidRPr="002103AA">
        <w:rPr>
          <w:rFonts w:eastAsiaTheme="majorEastAsia"/>
          <w:color w:val="auto"/>
          <w:szCs w:val="22"/>
        </w:rPr>
        <w:t xml:space="preserve">elivery </w:t>
      </w:r>
      <w:r>
        <w:rPr>
          <w:rFonts w:eastAsiaTheme="majorEastAsia"/>
          <w:color w:val="auto"/>
          <w:szCs w:val="22"/>
        </w:rPr>
        <w:t xml:space="preserve">contributed to </w:t>
      </w:r>
      <w:r w:rsidRPr="004B04DD">
        <w:rPr>
          <w:rFonts w:eastAsiaTheme="majorEastAsia"/>
          <w:color w:val="auto"/>
          <w:szCs w:val="22"/>
        </w:rPr>
        <w:t xml:space="preserve">salinity </w:t>
      </w:r>
      <w:r>
        <w:rPr>
          <w:rFonts w:eastAsiaTheme="majorEastAsia"/>
          <w:color w:val="auto"/>
          <w:szCs w:val="22"/>
        </w:rPr>
        <w:t xml:space="preserve">reduction </w:t>
      </w:r>
      <w:r w:rsidRPr="004B04DD">
        <w:rPr>
          <w:rFonts w:eastAsiaTheme="majorEastAsia"/>
          <w:color w:val="auto"/>
          <w:szCs w:val="22"/>
        </w:rPr>
        <w:t>in the Coorong</w:t>
      </w:r>
      <w:r>
        <w:rPr>
          <w:rFonts w:eastAsiaTheme="majorEastAsia"/>
          <w:color w:val="auto"/>
          <w:szCs w:val="22"/>
        </w:rPr>
        <w:t xml:space="preserve"> and expanded </w:t>
      </w:r>
      <w:r w:rsidRPr="004B04DD">
        <w:rPr>
          <w:rFonts w:eastAsiaTheme="majorEastAsia"/>
          <w:color w:val="auto"/>
          <w:szCs w:val="22"/>
        </w:rPr>
        <w:t xml:space="preserve">suitable habitat for fish and aquatic plants. </w:t>
      </w:r>
      <w:r w:rsidRPr="00CE371A">
        <w:rPr>
          <w:rFonts w:eastAsiaTheme="majorEastAsia"/>
          <w:color w:val="auto"/>
          <w:szCs w:val="22"/>
        </w:rPr>
        <w:t xml:space="preserve">If no Commonwealth environmental water was delivered since 2017-18, the area of suitable habitat </w:t>
      </w:r>
      <w:r w:rsidR="00127FA1">
        <w:rPr>
          <w:rFonts w:eastAsiaTheme="majorEastAsia"/>
          <w:color w:val="auto"/>
          <w:szCs w:val="22"/>
        </w:rPr>
        <w:t xml:space="preserve">in 2023-24 </w:t>
      </w:r>
      <w:r w:rsidRPr="00CE371A">
        <w:rPr>
          <w:rFonts w:eastAsiaTheme="majorEastAsia"/>
          <w:color w:val="auto"/>
          <w:szCs w:val="22"/>
        </w:rPr>
        <w:t xml:space="preserve">for mulloway, black bream, yelloweye mullet, greenback flounder (key commercial fishery species), Tamar goby, congolli and smallmouth hardyhead (ecologically important species) would have declined by </w:t>
      </w:r>
      <w:r w:rsidRPr="004B04DD">
        <w:rPr>
          <w:rFonts w:eastAsiaTheme="majorEastAsia"/>
          <w:color w:val="auto"/>
          <w:szCs w:val="22"/>
        </w:rPr>
        <w:t xml:space="preserve">51%, 40%, 40%, 44%, 52%, 27% and 18%, </w:t>
      </w:r>
      <w:r w:rsidRPr="00CE371A">
        <w:rPr>
          <w:rFonts w:eastAsiaTheme="majorEastAsia"/>
          <w:color w:val="auto"/>
          <w:szCs w:val="22"/>
        </w:rPr>
        <w:t xml:space="preserve">respectively. Similarly, the area suitable for </w:t>
      </w:r>
      <w:r>
        <w:rPr>
          <w:rFonts w:eastAsiaTheme="majorEastAsia"/>
          <w:i/>
          <w:iCs/>
          <w:color w:val="auto"/>
          <w:szCs w:val="22"/>
        </w:rPr>
        <w:t>Ruppia tuberosa</w:t>
      </w:r>
      <w:r w:rsidRPr="00CE371A">
        <w:rPr>
          <w:rFonts w:eastAsiaTheme="majorEastAsia"/>
          <w:color w:val="auto"/>
          <w:szCs w:val="22"/>
        </w:rPr>
        <w:t xml:space="preserve"> sexual reproduction would have reduced by 4</w:t>
      </w:r>
      <w:r>
        <w:rPr>
          <w:rFonts w:eastAsiaTheme="majorEastAsia"/>
          <w:color w:val="auto"/>
          <w:szCs w:val="22"/>
        </w:rPr>
        <w:t>7</w:t>
      </w:r>
      <w:r w:rsidRPr="00CE371A">
        <w:rPr>
          <w:rFonts w:eastAsiaTheme="majorEastAsia"/>
          <w:color w:val="auto"/>
          <w:szCs w:val="22"/>
        </w:rPr>
        <w:t>%</w:t>
      </w:r>
      <w:r>
        <w:rPr>
          <w:rFonts w:eastAsiaTheme="majorEastAsia"/>
          <w:color w:val="auto"/>
          <w:szCs w:val="22"/>
        </w:rPr>
        <w:t xml:space="preserve"> in 2024</w:t>
      </w:r>
      <w:r w:rsidRPr="00CE371A">
        <w:rPr>
          <w:rFonts w:eastAsiaTheme="majorEastAsia"/>
          <w:color w:val="auto"/>
          <w:szCs w:val="22"/>
        </w:rPr>
        <w:t xml:space="preserve">. </w:t>
      </w:r>
      <w:r w:rsidRPr="00C26A2B">
        <w:rPr>
          <w:rFonts w:eastAsiaTheme="majorEastAsia"/>
          <w:color w:val="auto"/>
          <w:szCs w:val="22"/>
        </w:rPr>
        <w:t>This highlights the importance of the cumulative benefit of environmental water to maintain and restore the ecosystem in the Coorong.</w:t>
      </w:r>
    </w:p>
    <w:p w14:paraId="1DD192A2" w14:textId="77777777" w:rsidR="00D06348" w:rsidRPr="00C757C7" w:rsidRDefault="00D06348" w:rsidP="00D06348">
      <w:pPr>
        <w:spacing w:line="266" w:lineRule="auto"/>
        <w:rPr>
          <w:b/>
          <w:color w:val="44546A" w:themeColor="text2"/>
        </w:rPr>
      </w:pPr>
      <w:r w:rsidRPr="000160B0">
        <w:rPr>
          <w:b/>
          <w:color w:val="44546A" w:themeColor="text2"/>
        </w:rPr>
        <w:t>Key learnings and management implications</w:t>
      </w:r>
    </w:p>
    <w:p w14:paraId="0BF325D3" w14:textId="2C34B3C6" w:rsidR="00D06348" w:rsidRPr="004A32BD" w:rsidRDefault="00D06348" w:rsidP="00D06348">
      <w:pPr>
        <w:pStyle w:val="ListParagraph"/>
        <w:numPr>
          <w:ilvl w:val="0"/>
          <w:numId w:val="51"/>
        </w:numPr>
        <w:spacing w:line="266" w:lineRule="auto"/>
        <w:rPr>
          <w:szCs w:val="21"/>
        </w:rPr>
      </w:pPr>
      <w:r w:rsidRPr="004A32BD">
        <w:rPr>
          <w:bCs/>
          <w:szCs w:val="21"/>
        </w:rPr>
        <w:t>In</w:t>
      </w:r>
      <w:r w:rsidRPr="004A32BD">
        <w:rPr>
          <w:szCs w:val="21"/>
        </w:rPr>
        <w:t xml:space="preserve"> the highly regulated LMR, environmental water can be used to help reinstate key features </w:t>
      </w:r>
      <w:r w:rsidRPr="001D18A8">
        <w:rPr>
          <w:szCs w:val="21"/>
        </w:rPr>
        <w:t>of the natural hydrograph, particularly spring–early summer flow pulses, to support hydrodynamic and ecosystem restoration. During dry years, in-channel pulses (1</w:t>
      </w:r>
      <w:r w:rsidR="001D18A8" w:rsidRPr="001D18A8">
        <w:rPr>
          <w:szCs w:val="21"/>
        </w:rPr>
        <w:t>5</w:t>
      </w:r>
      <w:r w:rsidRPr="001D18A8">
        <w:rPr>
          <w:szCs w:val="21"/>
        </w:rPr>
        <w:t xml:space="preserve">,000–20,000 ML/d) can </w:t>
      </w:r>
      <w:r w:rsidR="00725860" w:rsidRPr="001D18A8">
        <w:rPr>
          <w:szCs w:val="21"/>
        </w:rPr>
        <w:t xml:space="preserve">be promoted </w:t>
      </w:r>
      <w:r w:rsidRPr="001D18A8">
        <w:rPr>
          <w:szCs w:val="21"/>
        </w:rPr>
        <w:t xml:space="preserve">by environmental water, </w:t>
      </w:r>
      <w:r w:rsidRPr="001D18A8">
        <w:rPr>
          <w:szCs w:val="21"/>
        </w:rPr>
        <w:lastRenderedPageBreak/>
        <w:t xml:space="preserve">which could benefit the LMR ecosystem at local scale (e.g. Murray cod recruitment). </w:t>
      </w:r>
      <w:bookmarkStart w:id="19" w:name="_Hlk128602015"/>
    </w:p>
    <w:p w14:paraId="7E8C3020" w14:textId="4D0DC81A" w:rsidR="00725860" w:rsidRDefault="00D06348" w:rsidP="00D06348">
      <w:pPr>
        <w:pStyle w:val="ListParagraph"/>
        <w:numPr>
          <w:ilvl w:val="0"/>
          <w:numId w:val="51"/>
        </w:numPr>
        <w:spacing w:line="266" w:lineRule="auto"/>
        <w:rPr>
          <w:szCs w:val="21"/>
        </w:rPr>
      </w:pPr>
      <w:r>
        <w:rPr>
          <w:szCs w:val="21"/>
        </w:rPr>
        <w:t>In the LMR,</w:t>
      </w:r>
      <w:r w:rsidRPr="004A32BD">
        <w:rPr>
          <w:szCs w:val="21"/>
        </w:rPr>
        <w:t xml:space="preserve"> increasing flows to &gt;20,000 ML/d significantly improves hydraulic conditions (&gt;60% lotic habitat with velocity &gt;0.3 m/s between Lock 1 and Lock 6) and promotes extensive longitudinal connectivity across the riverine system to achieve substantial ecological outcomes. </w:t>
      </w:r>
      <w:bookmarkEnd w:id="19"/>
      <w:r w:rsidRPr="004A32BD">
        <w:rPr>
          <w:szCs w:val="21"/>
        </w:rPr>
        <w:t xml:space="preserve">For example, spawning and recruitment of golden perch in the LMR occurred in 2021–2024, with natal origins from a variety of spatially distinct spawning sources, including the </w:t>
      </w:r>
      <w:r w:rsidR="00A82C93">
        <w:rPr>
          <w:szCs w:val="21"/>
        </w:rPr>
        <w:t>LMR</w:t>
      </w:r>
      <w:r w:rsidRPr="004A32BD">
        <w:rPr>
          <w:szCs w:val="21"/>
        </w:rPr>
        <w:t xml:space="preserve"> and Darling rivers. </w:t>
      </w:r>
      <w:r w:rsidR="00725860">
        <w:rPr>
          <w:szCs w:val="21"/>
        </w:rPr>
        <w:t>R</w:t>
      </w:r>
      <w:r w:rsidR="00725860" w:rsidRPr="004A32BD">
        <w:rPr>
          <w:szCs w:val="21"/>
        </w:rPr>
        <w:t>eaching and sustaining flows &gt;20,000 ML/d in the LMR is challenging with existing volumes of environmental water and delivery constraints, and may only be possible via coordinating flow deliveries across the southern MDB, and through water delivery that is responsive and flexible to rain events. During wetter years, environmental water can be delivered in conjunction with unregulated flows to sustain high in-channel flows (&gt;20,000 ML/d) and maintain lotic conditions as demonstrated in 2021–202</w:t>
      </w:r>
      <w:r w:rsidR="00725860">
        <w:rPr>
          <w:szCs w:val="21"/>
        </w:rPr>
        <w:t>4</w:t>
      </w:r>
      <w:r w:rsidR="00725860" w:rsidRPr="004A32BD">
        <w:rPr>
          <w:szCs w:val="21"/>
        </w:rPr>
        <w:t>.</w:t>
      </w:r>
    </w:p>
    <w:p w14:paraId="09FEC262" w14:textId="5336F61A" w:rsidR="00D06348" w:rsidRPr="004A32BD" w:rsidRDefault="00D06348" w:rsidP="00D06348">
      <w:pPr>
        <w:pStyle w:val="ListParagraph"/>
        <w:numPr>
          <w:ilvl w:val="0"/>
          <w:numId w:val="51"/>
        </w:numPr>
        <w:spacing w:line="266" w:lineRule="auto"/>
        <w:rPr>
          <w:szCs w:val="21"/>
        </w:rPr>
      </w:pPr>
      <w:r w:rsidRPr="004A32BD">
        <w:rPr>
          <w:szCs w:val="21"/>
        </w:rPr>
        <w:t>Maintaining flow integrity (i.e. flow characteristics including volume, water quality and constituents) from upstream reaches (e.g. Darling River or mid-Murray) downstream to the LMR is important to support broad-scale ecological processes and promote positive outcomes.</w:t>
      </w:r>
    </w:p>
    <w:p w14:paraId="0D73DBF5" w14:textId="556FE854" w:rsidR="00D06348" w:rsidRPr="00AB0A46" w:rsidRDefault="00D06348" w:rsidP="00D06348">
      <w:pPr>
        <w:pStyle w:val="ListParagraph"/>
        <w:numPr>
          <w:ilvl w:val="0"/>
          <w:numId w:val="51"/>
        </w:numPr>
        <w:spacing w:line="266" w:lineRule="auto"/>
        <w:rPr>
          <w:szCs w:val="21"/>
        </w:rPr>
      </w:pPr>
      <w:r>
        <w:rPr>
          <w:szCs w:val="21"/>
        </w:rPr>
        <w:t>Overbank flows</w:t>
      </w:r>
      <w:r w:rsidRPr="00FC0E42">
        <w:rPr>
          <w:szCs w:val="21"/>
        </w:rPr>
        <w:t xml:space="preserve"> are an integral part of the natural flow regime that are important in maintaining the ecological integrity of floodplain rivers. Within current constraints of flow management, environmental water </w:t>
      </w:r>
      <w:r>
        <w:rPr>
          <w:szCs w:val="21"/>
        </w:rPr>
        <w:t xml:space="preserve">is mainly </w:t>
      </w:r>
      <w:r w:rsidRPr="00FC0E42">
        <w:rPr>
          <w:szCs w:val="21"/>
        </w:rPr>
        <w:t xml:space="preserve">used to reduce the rate of flow recessions and maintain lotic conditions to support ecological outcomes in the LMR. </w:t>
      </w:r>
      <w:bookmarkStart w:id="20" w:name="_Hlk164288626"/>
      <w:r w:rsidR="00D8723E">
        <w:rPr>
          <w:szCs w:val="21"/>
        </w:rPr>
        <w:t>More recently, h</w:t>
      </w:r>
      <w:r w:rsidR="00725860">
        <w:rPr>
          <w:szCs w:val="21"/>
        </w:rPr>
        <w:t>owever, e</w:t>
      </w:r>
      <w:r>
        <w:rPr>
          <w:szCs w:val="21"/>
        </w:rPr>
        <w:t xml:space="preserve">nvironmental water </w:t>
      </w:r>
      <w:r w:rsidR="009E2208">
        <w:rPr>
          <w:szCs w:val="21"/>
        </w:rPr>
        <w:t xml:space="preserve">has been </w:t>
      </w:r>
      <w:r w:rsidR="00725860">
        <w:rPr>
          <w:szCs w:val="21"/>
        </w:rPr>
        <w:t>deliver</w:t>
      </w:r>
      <w:r w:rsidR="009E2208">
        <w:rPr>
          <w:szCs w:val="21"/>
        </w:rPr>
        <w:t>ed</w:t>
      </w:r>
      <w:r w:rsidR="00725860">
        <w:rPr>
          <w:szCs w:val="21"/>
        </w:rPr>
        <w:t xml:space="preserve"> in conjunction with </w:t>
      </w:r>
      <w:r>
        <w:rPr>
          <w:szCs w:val="21"/>
        </w:rPr>
        <w:t>unregulated bankfull flows to increase floodplain inundation area</w:t>
      </w:r>
      <w:r w:rsidRPr="004903A5">
        <w:rPr>
          <w:szCs w:val="21"/>
        </w:rPr>
        <w:t xml:space="preserve">. Continuing to opportunistically test the mechanisms and processes to deliver environmental water during high flows is likely to benefit </w:t>
      </w:r>
      <w:r w:rsidR="00DD02EF">
        <w:rPr>
          <w:szCs w:val="21"/>
        </w:rPr>
        <w:t xml:space="preserve">riverine and </w:t>
      </w:r>
      <w:r w:rsidRPr="004903A5">
        <w:rPr>
          <w:szCs w:val="21"/>
        </w:rPr>
        <w:t xml:space="preserve">floodplain ecosystems. </w:t>
      </w:r>
      <w:bookmarkEnd w:id="20"/>
    </w:p>
    <w:p w14:paraId="30C9FBE1" w14:textId="1D57D047" w:rsidR="00D06348" w:rsidRPr="00FE0F02" w:rsidRDefault="00D06348" w:rsidP="00D06348">
      <w:pPr>
        <w:pStyle w:val="ListParagraph"/>
        <w:numPr>
          <w:ilvl w:val="0"/>
          <w:numId w:val="51"/>
        </w:numPr>
        <w:rPr>
          <w:kern w:val="0"/>
          <w:szCs w:val="21"/>
        </w:rPr>
      </w:pPr>
      <w:r w:rsidRPr="00834176">
        <w:rPr>
          <w:kern w:val="0"/>
          <w:szCs w:val="21"/>
        </w:rPr>
        <w:t>The timing of flow delivery is important and should continue to align with ecological objectives and consider biological processes and species’ life history requirements.</w:t>
      </w:r>
      <w:r>
        <w:rPr>
          <w:kern w:val="0"/>
          <w:szCs w:val="21"/>
        </w:rPr>
        <w:t xml:space="preserve"> </w:t>
      </w:r>
      <w:r w:rsidRPr="00FE0F02">
        <w:rPr>
          <w:kern w:val="0"/>
          <w:szCs w:val="21"/>
        </w:rPr>
        <w:t>For example, flow pulses from mid-October to mid-November may benefit Murray cod</w:t>
      </w:r>
      <w:r>
        <w:rPr>
          <w:kern w:val="0"/>
          <w:szCs w:val="21"/>
        </w:rPr>
        <w:t xml:space="preserve"> recruitment</w:t>
      </w:r>
      <w:r w:rsidRPr="00FE0F02">
        <w:rPr>
          <w:kern w:val="0"/>
          <w:szCs w:val="21"/>
        </w:rPr>
        <w:t>, compared to those that occur later in November</w:t>
      </w:r>
      <w:r>
        <w:rPr>
          <w:kern w:val="0"/>
          <w:szCs w:val="21"/>
        </w:rPr>
        <w:t>–</w:t>
      </w:r>
      <w:r w:rsidRPr="00FE0F02">
        <w:rPr>
          <w:kern w:val="0"/>
          <w:szCs w:val="21"/>
        </w:rPr>
        <w:t xml:space="preserve">January </w:t>
      </w:r>
      <w:r>
        <w:rPr>
          <w:kern w:val="0"/>
          <w:szCs w:val="21"/>
        </w:rPr>
        <w:t xml:space="preserve">which </w:t>
      </w:r>
      <w:r w:rsidR="002B1F9B">
        <w:rPr>
          <w:kern w:val="0"/>
          <w:szCs w:val="21"/>
        </w:rPr>
        <w:t>better align</w:t>
      </w:r>
      <w:r>
        <w:rPr>
          <w:kern w:val="0"/>
          <w:szCs w:val="21"/>
        </w:rPr>
        <w:t xml:space="preserve"> with</w:t>
      </w:r>
      <w:r w:rsidRPr="00FE0F02">
        <w:rPr>
          <w:kern w:val="0"/>
          <w:szCs w:val="21"/>
        </w:rPr>
        <w:t xml:space="preserve"> the spawning season of golden perch. To achieve multiple species outcomes, a holistic approach in flow regime design will be required.</w:t>
      </w:r>
    </w:p>
    <w:p w14:paraId="4FD0B137" w14:textId="4A107557" w:rsidR="00D06348" w:rsidRPr="0001544E" w:rsidRDefault="00D06348" w:rsidP="00D06348">
      <w:pPr>
        <w:pStyle w:val="ListParagraph"/>
        <w:numPr>
          <w:ilvl w:val="0"/>
          <w:numId w:val="51"/>
        </w:numPr>
        <w:spacing w:line="264" w:lineRule="auto"/>
        <w:rPr>
          <w:kern w:val="0"/>
          <w:szCs w:val="21"/>
        </w:rPr>
      </w:pPr>
      <w:r w:rsidRPr="0001544E">
        <w:rPr>
          <w:kern w:val="0"/>
          <w:szCs w:val="21"/>
        </w:rPr>
        <w:t xml:space="preserve">In the heavily regulated LMR, the general influence of environmental water on </w:t>
      </w:r>
      <w:r w:rsidR="00D8723E">
        <w:rPr>
          <w:kern w:val="0"/>
          <w:szCs w:val="21"/>
        </w:rPr>
        <w:t>aquatic</w:t>
      </w:r>
      <w:r w:rsidRPr="0001544E">
        <w:rPr>
          <w:kern w:val="0"/>
          <w:szCs w:val="21"/>
        </w:rPr>
        <w:t xml:space="preserve"> primary production is restricted by the stable water levels that characterise weir pool environments during in-channel flows. </w:t>
      </w:r>
      <w:r>
        <w:rPr>
          <w:kern w:val="0"/>
          <w:szCs w:val="21"/>
        </w:rPr>
        <w:t>However, f</w:t>
      </w:r>
      <w:r w:rsidRPr="0001544E">
        <w:rPr>
          <w:kern w:val="0"/>
          <w:szCs w:val="21"/>
        </w:rPr>
        <w:t xml:space="preserve">indings from recent high flow years (2021–2023) highlight that river productivity was dominated by heterotrophic production (‘external’ supplies), through 50–100% increase in </w:t>
      </w:r>
      <w:r w:rsidR="00083F95">
        <w:rPr>
          <w:kern w:val="0"/>
          <w:szCs w:val="21"/>
        </w:rPr>
        <w:t>dissolved organic carbon</w:t>
      </w:r>
      <w:r w:rsidR="00083F95" w:rsidRPr="0001544E">
        <w:rPr>
          <w:kern w:val="0"/>
          <w:szCs w:val="21"/>
        </w:rPr>
        <w:t xml:space="preserve"> </w:t>
      </w:r>
      <w:r w:rsidRPr="0001544E">
        <w:rPr>
          <w:kern w:val="0"/>
          <w:szCs w:val="21"/>
        </w:rPr>
        <w:t xml:space="preserve">supplies compared to previous dry years, increasing the overall food resources in the LMR. Riverine food webs are not only dependant on autotrophic (e.g. algae and plants) production, particularly during sustained high flows which may include environmental water. </w:t>
      </w:r>
      <w:r w:rsidR="00127FA1">
        <w:t>B</w:t>
      </w:r>
      <w:r>
        <w:t>elow bankfull</w:t>
      </w:r>
      <w:r w:rsidRPr="00AB0723">
        <w:t xml:space="preserve"> flows</w:t>
      </w:r>
      <w:r>
        <w:t>,</w:t>
      </w:r>
      <w:r w:rsidRPr="00AB0723">
        <w:t xml:space="preserve"> increase</w:t>
      </w:r>
      <w:r>
        <w:t>s in flow</w:t>
      </w:r>
      <w:r w:rsidRPr="00AB0723">
        <w:t xml:space="preserve"> to 18,000</w:t>
      </w:r>
      <w:r>
        <w:t>–</w:t>
      </w:r>
      <w:r w:rsidRPr="00AB0723">
        <w:t>35,000</w:t>
      </w:r>
      <w:r>
        <w:t> </w:t>
      </w:r>
      <w:r w:rsidRPr="00AB0723">
        <w:t>ML/d</w:t>
      </w:r>
      <w:r>
        <w:t xml:space="preserve"> </w:t>
      </w:r>
      <w:r w:rsidR="00DD02EF">
        <w:t xml:space="preserve">in spring–summer </w:t>
      </w:r>
      <w:r>
        <w:t>can result in</w:t>
      </w:r>
      <w:r w:rsidRPr="00AB0723">
        <w:t xml:space="preserve"> a step</w:t>
      </w:r>
      <w:r>
        <w:t>-</w:t>
      </w:r>
      <w:r w:rsidRPr="00AB0723">
        <w:t xml:space="preserve">change increase </w:t>
      </w:r>
      <w:r>
        <w:t xml:space="preserve">(+45–80%) in dissolved </w:t>
      </w:r>
      <w:r w:rsidR="00083F95">
        <w:t xml:space="preserve">carbon and other </w:t>
      </w:r>
      <w:r>
        <w:t>nutrients,</w:t>
      </w:r>
      <w:r w:rsidRPr="00AB0723">
        <w:t xml:space="preserve"> due to interaction with low</w:t>
      </w:r>
      <w:r w:rsidR="00AC0669">
        <w:t>-</w:t>
      </w:r>
      <w:r w:rsidRPr="00AB0723">
        <w:t>level floodplains</w:t>
      </w:r>
      <w:r>
        <w:t>, contributing to riverine productivity</w:t>
      </w:r>
      <w:r w:rsidRPr="00AB0723">
        <w:t>.</w:t>
      </w:r>
    </w:p>
    <w:p w14:paraId="142B79F4" w14:textId="3B1256D2" w:rsidR="00D06348" w:rsidRPr="00521ADC" w:rsidRDefault="00D06348" w:rsidP="00D06348">
      <w:pPr>
        <w:pStyle w:val="ListParagraph"/>
        <w:numPr>
          <w:ilvl w:val="0"/>
          <w:numId w:val="51"/>
        </w:numPr>
        <w:rPr>
          <w:szCs w:val="21"/>
        </w:rPr>
      </w:pPr>
      <w:bookmarkStart w:id="21" w:name="_Hlk132807209"/>
      <w:r w:rsidRPr="00831D2A">
        <w:rPr>
          <w:szCs w:val="21"/>
        </w:rPr>
        <w:t xml:space="preserve">Environmental </w:t>
      </w:r>
      <w:r>
        <w:rPr>
          <w:szCs w:val="21"/>
        </w:rPr>
        <w:t>water</w:t>
      </w:r>
      <w:r w:rsidRPr="00831D2A">
        <w:rPr>
          <w:szCs w:val="21"/>
        </w:rPr>
        <w:t xml:space="preserve"> </w:t>
      </w:r>
      <w:r>
        <w:rPr>
          <w:szCs w:val="21"/>
        </w:rPr>
        <w:t xml:space="preserve">plays a key role in </w:t>
      </w:r>
      <w:r w:rsidRPr="00831D2A">
        <w:rPr>
          <w:szCs w:val="21"/>
        </w:rPr>
        <w:t xml:space="preserve">maintaining </w:t>
      </w:r>
      <w:r>
        <w:rPr>
          <w:szCs w:val="21"/>
        </w:rPr>
        <w:t xml:space="preserve">barrage flows and promoting </w:t>
      </w:r>
      <w:r w:rsidRPr="00831D2A">
        <w:rPr>
          <w:szCs w:val="21"/>
        </w:rPr>
        <w:t>end-of-system</w:t>
      </w:r>
      <w:r>
        <w:rPr>
          <w:szCs w:val="21"/>
        </w:rPr>
        <w:t xml:space="preserve"> </w:t>
      </w:r>
      <w:r w:rsidRPr="00831D2A">
        <w:rPr>
          <w:szCs w:val="21"/>
        </w:rPr>
        <w:t>connectivity in the MDB</w:t>
      </w:r>
      <w:r>
        <w:rPr>
          <w:szCs w:val="21"/>
        </w:rPr>
        <w:t>, particularly during dry years</w:t>
      </w:r>
      <w:r w:rsidRPr="00831D2A">
        <w:rPr>
          <w:szCs w:val="21"/>
        </w:rPr>
        <w:t xml:space="preserve">. Barrage flows </w:t>
      </w:r>
      <w:r>
        <w:rPr>
          <w:szCs w:val="21"/>
        </w:rPr>
        <w:lastRenderedPageBreak/>
        <w:t xml:space="preserve">are essential to export salt </w:t>
      </w:r>
      <w:r w:rsidRPr="00831D2A">
        <w:rPr>
          <w:szCs w:val="21"/>
        </w:rPr>
        <w:t>out of the MDB</w:t>
      </w:r>
      <w:r>
        <w:rPr>
          <w:szCs w:val="21"/>
        </w:rPr>
        <w:t xml:space="preserve">, </w:t>
      </w:r>
      <w:r w:rsidRPr="00831D2A">
        <w:rPr>
          <w:szCs w:val="21"/>
        </w:rPr>
        <w:t>reduc</w:t>
      </w:r>
      <w:r>
        <w:rPr>
          <w:szCs w:val="21"/>
        </w:rPr>
        <w:t>e</w:t>
      </w:r>
      <w:r w:rsidRPr="00831D2A">
        <w:rPr>
          <w:szCs w:val="21"/>
        </w:rPr>
        <w:t xml:space="preserve"> salt import to the Coorong</w:t>
      </w:r>
      <w:r>
        <w:rPr>
          <w:szCs w:val="21"/>
        </w:rPr>
        <w:t xml:space="preserve">, maintain suitable </w:t>
      </w:r>
      <w:r w:rsidRPr="00831D2A">
        <w:rPr>
          <w:szCs w:val="21"/>
        </w:rPr>
        <w:t>salinity levels</w:t>
      </w:r>
      <w:r>
        <w:rPr>
          <w:szCs w:val="21"/>
        </w:rPr>
        <w:t xml:space="preserve"> and </w:t>
      </w:r>
      <w:r w:rsidRPr="00831D2A">
        <w:rPr>
          <w:szCs w:val="21"/>
        </w:rPr>
        <w:t xml:space="preserve">estuarine habitat (e.g. </w:t>
      </w:r>
      <w:r>
        <w:rPr>
          <w:szCs w:val="21"/>
        </w:rPr>
        <w:t>for aquatic plants and</w:t>
      </w:r>
      <w:r w:rsidRPr="00831D2A">
        <w:rPr>
          <w:szCs w:val="21"/>
        </w:rPr>
        <w:t xml:space="preserve"> fish)</w:t>
      </w:r>
      <w:r w:rsidR="00C1036B">
        <w:rPr>
          <w:szCs w:val="21"/>
        </w:rPr>
        <w:t>, and support migration of diadromous fishes</w:t>
      </w:r>
      <w:r>
        <w:rPr>
          <w:szCs w:val="21"/>
        </w:rPr>
        <w:t xml:space="preserve">. Annual environmental water delivery is required as the cumulative impacts of reduced flows on estuarine ecosystem are substantial. </w:t>
      </w:r>
      <w:r w:rsidRPr="00831D2A">
        <w:rPr>
          <w:szCs w:val="21"/>
        </w:rPr>
        <w:t xml:space="preserve">Barrage flows also reduce the risk of Murray Mouth closure. </w:t>
      </w:r>
    </w:p>
    <w:bookmarkEnd w:id="21"/>
    <w:p w14:paraId="4A7BF592" w14:textId="6BA27A37" w:rsidR="006E5AFC" w:rsidRDefault="00D06348" w:rsidP="00A51CC6">
      <w:pPr>
        <w:spacing w:before="0" w:after="160" w:line="259" w:lineRule="auto"/>
        <w:jc w:val="left"/>
        <w:rPr>
          <w:szCs w:val="21"/>
        </w:rPr>
        <w:sectPr w:rsidR="006E5AFC" w:rsidSect="002B7BD5">
          <w:headerReference w:type="even" r:id="rId32"/>
          <w:headerReference w:type="default" r:id="rId33"/>
          <w:footerReference w:type="even" r:id="rId34"/>
          <w:footerReference w:type="default" r:id="rId35"/>
          <w:headerReference w:type="first" r:id="rId36"/>
          <w:footerReference w:type="first" r:id="rId37"/>
          <w:footnotePr>
            <w:numFmt w:val="lowerLetter"/>
          </w:footnotePr>
          <w:pgSz w:w="11906" w:h="16838"/>
          <w:pgMar w:top="1440" w:right="1440" w:bottom="1440" w:left="1440" w:header="709" w:footer="709" w:gutter="0"/>
          <w:pgNumType w:fmt="lowerRoman" w:start="1"/>
          <w:cols w:space="708"/>
          <w:docGrid w:linePitch="360"/>
        </w:sectPr>
      </w:pPr>
      <w:r w:rsidRPr="0029627B">
        <w:rPr>
          <w:szCs w:val="21"/>
        </w:rPr>
        <w:t xml:space="preserve">More specific management considerations are provided in Section </w:t>
      </w:r>
      <w:r>
        <w:rPr>
          <w:szCs w:val="21"/>
        </w:rPr>
        <w:fldChar w:fldCharType="begin"/>
      </w:r>
      <w:r>
        <w:rPr>
          <w:szCs w:val="21"/>
        </w:rPr>
        <w:instrText xml:space="preserve"> REF _Ref15904940 \r \h </w:instrText>
      </w:r>
      <w:r>
        <w:rPr>
          <w:szCs w:val="21"/>
        </w:rPr>
      </w:r>
      <w:r>
        <w:rPr>
          <w:szCs w:val="21"/>
        </w:rPr>
        <w:fldChar w:fldCharType="separate"/>
      </w:r>
      <w:r w:rsidR="00102828">
        <w:rPr>
          <w:szCs w:val="21"/>
        </w:rPr>
        <w:t>2</w:t>
      </w:r>
      <w:r>
        <w:rPr>
          <w:szCs w:val="21"/>
        </w:rPr>
        <w:fldChar w:fldCharType="end"/>
      </w:r>
      <w:r>
        <w:rPr>
          <w:szCs w:val="21"/>
        </w:rPr>
        <w:t xml:space="preserve"> and </w:t>
      </w:r>
      <w:r>
        <w:rPr>
          <w:szCs w:val="21"/>
        </w:rPr>
        <w:fldChar w:fldCharType="begin"/>
      </w:r>
      <w:r>
        <w:rPr>
          <w:szCs w:val="21"/>
        </w:rPr>
        <w:instrText xml:space="preserve"> REF _Ref128064351 \r \h </w:instrText>
      </w:r>
      <w:r>
        <w:rPr>
          <w:szCs w:val="21"/>
        </w:rPr>
      </w:r>
      <w:r>
        <w:rPr>
          <w:szCs w:val="21"/>
        </w:rPr>
        <w:fldChar w:fldCharType="separate"/>
      </w:r>
      <w:r w:rsidR="00102828">
        <w:rPr>
          <w:szCs w:val="21"/>
        </w:rPr>
        <w:t>4</w:t>
      </w:r>
      <w:r>
        <w:rPr>
          <w:szCs w:val="21"/>
        </w:rPr>
        <w:fldChar w:fldCharType="end"/>
      </w:r>
      <w:r w:rsidRPr="0029627B">
        <w:rPr>
          <w:szCs w:val="21"/>
        </w:rPr>
        <w:t>, based on ecological outcomes and findings from indicators.</w:t>
      </w:r>
    </w:p>
    <w:p w14:paraId="14FCE93B" w14:textId="77777777" w:rsidR="00986C11" w:rsidRPr="00C757C7" w:rsidRDefault="00986C11" w:rsidP="00986C11">
      <w:pPr>
        <w:pStyle w:val="Heading1"/>
      </w:pPr>
      <w:bookmarkStart w:id="22" w:name="_Toc3558331"/>
      <w:bookmarkStart w:id="23" w:name="_Toc200467851"/>
      <w:bookmarkStart w:id="24" w:name="_Toc381776097"/>
      <w:bookmarkStart w:id="25" w:name="_Toc441838725"/>
      <w:bookmarkStart w:id="26" w:name="_Toc3558332"/>
      <w:r w:rsidRPr="00C757C7">
        <w:lastRenderedPageBreak/>
        <w:t>Introduction</w:t>
      </w:r>
      <w:bookmarkEnd w:id="22"/>
      <w:bookmarkEnd w:id="23"/>
    </w:p>
    <w:p w14:paraId="6E151718" w14:textId="00B9BEEF" w:rsidR="00FE1764" w:rsidRPr="004458A7" w:rsidRDefault="00FE2195" w:rsidP="00986C11">
      <w:pPr>
        <w:pStyle w:val="Heading2"/>
      </w:pPr>
      <w:bookmarkStart w:id="27" w:name="_Ref25308922"/>
      <w:bookmarkStart w:id="28" w:name="_Ref88730764"/>
      <w:bookmarkStart w:id="29" w:name="_Toc200467852"/>
      <w:r w:rsidRPr="004458A7">
        <w:t>Flow regimes and riverine ecology</w:t>
      </w:r>
      <w:bookmarkEnd w:id="27"/>
      <w:bookmarkEnd w:id="28"/>
      <w:bookmarkEnd w:id="29"/>
    </w:p>
    <w:p w14:paraId="0A470812" w14:textId="48D2AE9F" w:rsidR="00FE1764" w:rsidRPr="00B7713A" w:rsidRDefault="00AB3997" w:rsidP="00FE1764">
      <w:r w:rsidRPr="00B7713A">
        <w:t xml:space="preserve">River regulation and flow modification have severely impacted riverine ecosystems throughout the world, including the Murray–Darling Basin (MDB) (Maheshwari </w:t>
      </w:r>
      <w:r w:rsidRPr="00B7713A">
        <w:rPr>
          <w:i/>
        </w:rPr>
        <w:t>et al.</w:t>
      </w:r>
      <w:r w:rsidRPr="00B7713A">
        <w:t xml:space="preserve"> 1995; Kingsford 2000</w:t>
      </w:r>
      <w:r w:rsidR="005920AE" w:rsidRPr="00B7713A">
        <w:t xml:space="preserve">; Grill </w:t>
      </w:r>
      <w:r w:rsidR="005920AE" w:rsidRPr="00B7713A">
        <w:rPr>
          <w:i/>
          <w:iCs/>
        </w:rPr>
        <w:t>et al.</w:t>
      </w:r>
      <w:r w:rsidR="005920AE" w:rsidRPr="00B7713A">
        <w:t xml:space="preserve"> 2019</w:t>
      </w:r>
      <w:r w:rsidRPr="00B7713A">
        <w:t xml:space="preserve">). The southern MDB is highly regulated, where natural flow regimes have been substantially altered, leading to decreased hydrological (e.g. discharge) and hydraulic (e.g. water level and velocity) variability, and reduced floodplain inundation (Maheshwari </w:t>
      </w:r>
      <w:r w:rsidRPr="00B7713A">
        <w:rPr>
          <w:i/>
        </w:rPr>
        <w:t>et al.</w:t>
      </w:r>
      <w:r w:rsidRPr="00B7713A">
        <w:t xml:space="preserve"> 1995; Bice </w:t>
      </w:r>
      <w:r w:rsidRPr="00B7713A">
        <w:rPr>
          <w:i/>
        </w:rPr>
        <w:t>et al.</w:t>
      </w:r>
      <w:r w:rsidRPr="00B7713A">
        <w:t xml:space="preserve"> 2017).</w:t>
      </w:r>
      <w:r w:rsidR="008126EF" w:rsidRPr="00B7713A">
        <w:t xml:space="preserve"> </w:t>
      </w:r>
      <w:bookmarkStart w:id="30" w:name="_Hlk64644717"/>
      <w:r w:rsidR="008126EF" w:rsidRPr="00B7713A">
        <w:t xml:space="preserve">The Murray River downstream of the Darling River junction is modified </w:t>
      </w:r>
      <w:bookmarkEnd w:id="30"/>
      <w:r w:rsidR="008126EF" w:rsidRPr="00B7713A">
        <w:t>by a series of low-level (&lt;3 m) weirs (</w:t>
      </w:r>
      <w:r w:rsidR="00C01115" w:rsidRPr="00B7713A">
        <w:fldChar w:fldCharType="begin"/>
      </w:r>
      <w:r w:rsidR="00C01115" w:rsidRPr="00B7713A">
        <w:instrText xml:space="preserve"> REF _Ref469926522 \h </w:instrText>
      </w:r>
      <w:r w:rsidR="00C72497" w:rsidRPr="00B7713A">
        <w:instrText xml:space="preserve"> \* MERGEFORMAT </w:instrText>
      </w:r>
      <w:r w:rsidR="00C01115" w:rsidRPr="00B7713A">
        <w:fldChar w:fldCharType="separate"/>
      </w:r>
      <w:r w:rsidR="00102828">
        <w:t xml:space="preserve">Figure </w:t>
      </w:r>
      <w:r w:rsidR="00102828">
        <w:rPr>
          <w:noProof/>
        </w:rPr>
        <w:t>1</w:t>
      </w:r>
      <w:r w:rsidR="00C01115" w:rsidRPr="00B7713A">
        <w:fldChar w:fldCharType="end"/>
      </w:r>
      <w:r w:rsidR="008126EF" w:rsidRPr="00B7713A">
        <w:t xml:space="preserve">), changing a connected flowing river to a series of weir pools (Walker 2006). The </w:t>
      </w:r>
      <w:r w:rsidR="002E5F65" w:rsidRPr="00B7713A">
        <w:t>flow</w:t>
      </w:r>
      <w:r w:rsidR="008126EF" w:rsidRPr="00B7713A">
        <w:t xml:space="preserve"> regime has been further exacerbated by upstream dive</w:t>
      </w:r>
      <w:r w:rsidR="008271EF" w:rsidRPr="00B7713A">
        <w:t xml:space="preserve">rsions and increased extraction. </w:t>
      </w:r>
      <w:r w:rsidR="008126EF" w:rsidRPr="00B7713A">
        <w:t xml:space="preserve">These have had profound impacts on riverine processes and ecosystems (Walker 1985; Walker and Thoms 1993; Wallace </w:t>
      </w:r>
      <w:r w:rsidR="008126EF" w:rsidRPr="00B7713A">
        <w:rPr>
          <w:i/>
        </w:rPr>
        <w:t>et al.</w:t>
      </w:r>
      <w:r w:rsidR="008126EF" w:rsidRPr="00B7713A">
        <w:t xml:space="preserve"> 2014).</w:t>
      </w:r>
    </w:p>
    <w:p w14:paraId="6CDA2A7A" w14:textId="29FEA5C6" w:rsidR="00924AAE" w:rsidRPr="00B7713A" w:rsidRDefault="00F64316" w:rsidP="00FE1764">
      <w:r w:rsidRPr="00B7713A">
        <w:t xml:space="preserve">Flow regimes play a critical role in determining the </w:t>
      </w:r>
      <w:r w:rsidR="002E5F65" w:rsidRPr="00B7713A">
        <w:t xml:space="preserve">distribution and abundance of </w:t>
      </w:r>
      <w:r w:rsidR="00985E52" w:rsidRPr="00B7713A">
        <w:t xml:space="preserve">native </w:t>
      </w:r>
      <w:r w:rsidR="002E5F65" w:rsidRPr="00B7713A">
        <w:t>aquatic biota</w:t>
      </w:r>
      <w:r w:rsidR="002170C9" w:rsidRPr="00B7713A">
        <w:t xml:space="preserve"> (Koehn </w:t>
      </w:r>
      <w:r w:rsidR="002170C9" w:rsidRPr="00B7713A">
        <w:rPr>
          <w:i/>
          <w:iCs/>
        </w:rPr>
        <w:t>et al.</w:t>
      </w:r>
      <w:r w:rsidR="002170C9" w:rsidRPr="00B7713A">
        <w:t xml:space="preserve"> 2020</w:t>
      </w:r>
      <w:r w:rsidR="00543FFB" w:rsidRPr="00B7713A">
        <w:t>a</w:t>
      </w:r>
      <w:r w:rsidR="005C7AFB">
        <w:t>,</w:t>
      </w:r>
      <w:r w:rsidR="00543FFB" w:rsidRPr="00B7713A">
        <w:t xml:space="preserve"> </w:t>
      </w:r>
      <w:r w:rsidR="00E36347" w:rsidRPr="00B7713A">
        <w:t>2020</w:t>
      </w:r>
      <w:r w:rsidR="00543FFB" w:rsidRPr="00B7713A">
        <w:t>b</w:t>
      </w:r>
      <w:r w:rsidR="002170C9" w:rsidRPr="00B7713A">
        <w:t>)</w:t>
      </w:r>
      <w:r w:rsidR="002E5F65" w:rsidRPr="00B7713A">
        <w:t xml:space="preserve">, and the ecological integrity of floodplain rivers (Junk </w:t>
      </w:r>
      <w:r w:rsidR="002E5F65" w:rsidRPr="00B7713A">
        <w:rPr>
          <w:i/>
        </w:rPr>
        <w:t>et al.</w:t>
      </w:r>
      <w:r w:rsidR="002E5F65" w:rsidRPr="00B7713A">
        <w:t xml:space="preserve"> 1989; Poff </w:t>
      </w:r>
      <w:r w:rsidR="002E5F65" w:rsidRPr="00B7713A">
        <w:rPr>
          <w:i/>
        </w:rPr>
        <w:t>et al.</w:t>
      </w:r>
      <w:r w:rsidR="002E5F65" w:rsidRPr="00B7713A">
        <w:t xml:space="preserve"> 1997; </w:t>
      </w:r>
      <w:r w:rsidR="001E24F9" w:rsidRPr="00B7713A">
        <w:t>Bunn and</w:t>
      </w:r>
      <w:r w:rsidR="001D74F2" w:rsidRPr="00B7713A">
        <w:t xml:space="preserve"> Arthington 2002</w:t>
      </w:r>
      <w:r w:rsidR="002E5F65" w:rsidRPr="00B7713A">
        <w:t xml:space="preserve">). Lotic (flowing water) </w:t>
      </w:r>
      <w:r w:rsidR="00565E48" w:rsidRPr="00B7713A">
        <w:t xml:space="preserve">habitats, characteristic of the Murray River before weir construction, are integral to the ecological and life history processes of many native biota that are adapted to flowing riverine environments. </w:t>
      </w:r>
      <w:r w:rsidR="00517FD6" w:rsidRPr="00B7713A">
        <w:t>For example, they provide stimuli for the spawning of flow-cued species</w:t>
      </w:r>
      <w:r w:rsidR="00924AAE" w:rsidRPr="00B7713A">
        <w:t xml:space="preserve"> (e.g. </w:t>
      </w:r>
      <w:r w:rsidR="00E36347" w:rsidRPr="00B7713A">
        <w:t>silver perch</w:t>
      </w:r>
      <w:r w:rsidR="00323D14">
        <w:t>,</w:t>
      </w:r>
      <w:r w:rsidR="00A7193C" w:rsidRPr="00B7713A">
        <w:t xml:space="preserve"> </w:t>
      </w:r>
      <w:r w:rsidR="00A7193C" w:rsidRPr="00B7713A">
        <w:rPr>
          <w:i/>
          <w:iCs/>
        </w:rPr>
        <w:t>Bidyanus bidyanus</w:t>
      </w:r>
      <w:r w:rsidR="00565E48" w:rsidRPr="00B7713A">
        <w:t>) (</w:t>
      </w:r>
      <w:r w:rsidR="00E36347" w:rsidRPr="00B7713A">
        <w:t xml:space="preserve">Tonkin </w:t>
      </w:r>
      <w:r w:rsidR="00E36347" w:rsidRPr="00B7713A">
        <w:rPr>
          <w:i/>
          <w:iCs/>
        </w:rPr>
        <w:t>et al.</w:t>
      </w:r>
      <w:r w:rsidR="00E36347" w:rsidRPr="00B7713A">
        <w:t xml:space="preserve"> 2019</w:t>
      </w:r>
      <w:r w:rsidR="00565E48" w:rsidRPr="00B7713A">
        <w:t xml:space="preserve">), </w:t>
      </w:r>
      <w:bookmarkStart w:id="31" w:name="_Hlk96209008"/>
      <w:r w:rsidR="00924AAE" w:rsidRPr="00B7713A">
        <w:t>facilitate downstream drift and transportation of plankton, m</w:t>
      </w:r>
      <w:r w:rsidR="000C3592" w:rsidRPr="00B7713A">
        <w:t>i</w:t>
      </w:r>
      <w:r w:rsidR="00924AAE" w:rsidRPr="00B7713A">
        <w:t>croinvertebrates and fish larvae</w:t>
      </w:r>
      <w:r w:rsidR="000152BE" w:rsidRPr="00B7713A">
        <w:t xml:space="preserve"> (Stuart and Sharpe 2020)</w:t>
      </w:r>
      <w:r w:rsidR="00924AAE" w:rsidRPr="00B7713A">
        <w:t xml:space="preserve">, </w:t>
      </w:r>
      <w:bookmarkEnd w:id="31"/>
      <w:r w:rsidR="00924AAE" w:rsidRPr="00B7713A">
        <w:t>and provide diverse hydraulic habitats that are suitable for a range of species (e.g. Murray cod</w:t>
      </w:r>
      <w:r w:rsidR="001E24F9" w:rsidRPr="00B7713A">
        <w:t xml:space="preserve">, </w:t>
      </w:r>
      <w:r w:rsidR="001E24F9" w:rsidRPr="00B7713A">
        <w:rPr>
          <w:i/>
        </w:rPr>
        <w:t>Maccullochella peelii</w:t>
      </w:r>
      <w:r w:rsidR="00C834F8" w:rsidRPr="00B7713A">
        <w:t xml:space="preserve"> and</w:t>
      </w:r>
      <w:r w:rsidR="00BF33CC" w:rsidRPr="00B7713A">
        <w:rPr>
          <w:lang w:val="en-US"/>
        </w:rPr>
        <w:t xml:space="preserve"> Murray crayfish</w:t>
      </w:r>
      <w:r w:rsidR="00003D93" w:rsidRPr="00B7713A">
        <w:rPr>
          <w:lang w:val="en-US"/>
        </w:rPr>
        <w:t>,</w:t>
      </w:r>
      <w:r w:rsidR="00BF33CC" w:rsidRPr="00B7713A">
        <w:rPr>
          <w:lang w:val="en-US"/>
        </w:rPr>
        <w:t xml:space="preserve"> </w:t>
      </w:r>
      <w:r w:rsidR="00BF33CC" w:rsidRPr="00B7713A">
        <w:rPr>
          <w:i/>
          <w:lang w:val="en-US"/>
        </w:rPr>
        <w:t>Euastacus armatus</w:t>
      </w:r>
      <w:r w:rsidR="00003D93" w:rsidRPr="00B7713A">
        <w:rPr>
          <w:lang w:val="en-US"/>
        </w:rPr>
        <w:t>)</w:t>
      </w:r>
      <w:r w:rsidR="00924AAE" w:rsidRPr="00B7713A">
        <w:t xml:space="preserve"> (</w:t>
      </w:r>
      <w:r w:rsidR="00C834F8" w:rsidRPr="00B7713A">
        <w:t xml:space="preserve">Mallen-Cooper and </w:t>
      </w:r>
      <w:r w:rsidR="00354670" w:rsidRPr="00B7713A">
        <w:t xml:space="preserve">Zampatti </w:t>
      </w:r>
      <w:r w:rsidR="00924AAE" w:rsidRPr="00B7713A">
        <w:t>201</w:t>
      </w:r>
      <w:r w:rsidR="00C834F8" w:rsidRPr="00B7713A">
        <w:t>8</w:t>
      </w:r>
      <w:r w:rsidR="00924AAE" w:rsidRPr="00B7713A">
        <w:t xml:space="preserve">). </w:t>
      </w:r>
      <w:r w:rsidR="00493D35" w:rsidRPr="00B7713A">
        <w:t>Increased variability in water levels improve lateral connectivity and</w:t>
      </w:r>
      <w:r w:rsidR="00F31343" w:rsidRPr="00B7713A">
        <w:t xml:space="preserve"> increase</w:t>
      </w:r>
      <w:r w:rsidR="00493D35" w:rsidRPr="00B7713A">
        <w:t xml:space="preserve"> transport of material from off-channel habitats</w:t>
      </w:r>
      <w:r w:rsidR="001E24F9" w:rsidRPr="00B7713A">
        <w:t xml:space="preserve"> to enhance </w:t>
      </w:r>
      <w:r w:rsidR="00003D93" w:rsidRPr="00B7713A">
        <w:t xml:space="preserve">productivity and support </w:t>
      </w:r>
      <w:r w:rsidR="001E24F9" w:rsidRPr="00B7713A">
        <w:t>food webs (</w:t>
      </w:r>
      <w:r w:rsidR="00985E52" w:rsidRPr="00B7713A">
        <w:t xml:space="preserve">Baldwin </w:t>
      </w:r>
      <w:r w:rsidR="00985E52" w:rsidRPr="00B7713A">
        <w:rPr>
          <w:i/>
        </w:rPr>
        <w:t>et al.</w:t>
      </w:r>
      <w:r w:rsidR="00985E52" w:rsidRPr="00B7713A">
        <w:t xml:space="preserve"> 2016</w:t>
      </w:r>
      <w:r w:rsidR="001E24F9" w:rsidRPr="00B7713A">
        <w:t>)</w:t>
      </w:r>
      <w:r w:rsidR="00493D35" w:rsidRPr="00B7713A">
        <w:t>, benefit fringing and floodplain vegetation (</w:t>
      </w:r>
      <w:r w:rsidR="00301B07" w:rsidRPr="00B7713A">
        <w:t xml:space="preserve">e.g. </w:t>
      </w:r>
      <w:r w:rsidR="00985E52" w:rsidRPr="00B7713A">
        <w:t xml:space="preserve">Cooling </w:t>
      </w:r>
      <w:r w:rsidR="00985E52" w:rsidRPr="00B7713A">
        <w:rPr>
          <w:i/>
        </w:rPr>
        <w:t>et al.</w:t>
      </w:r>
      <w:r w:rsidR="00985E52" w:rsidRPr="00B7713A">
        <w:t xml:space="preserve"> 2010</w:t>
      </w:r>
      <w:r w:rsidR="00493D35" w:rsidRPr="00B7713A">
        <w:t>)</w:t>
      </w:r>
      <w:r w:rsidR="001E24F9" w:rsidRPr="00B7713A">
        <w:t>, and assist</w:t>
      </w:r>
      <w:r w:rsidR="00924AAE" w:rsidRPr="00B7713A">
        <w:t xml:space="preserve"> in the regular “re-setting” of biofil</w:t>
      </w:r>
      <w:r w:rsidR="002E5F65" w:rsidRPr="00B7713A">
        <w:t>ms (Steinman and McIntire 1990), which</w:t>
      </w:r>
      <w:r w:rsidR="00924AAE" w:rsidRPr="00B7713A">
        <w:t xml:space="preserve"> a</w:t>
      </w:r>
      <w:r w:rsidR="002E5F65" w:rsidRPr="00B7713A">
        <w:t>re</w:t>
      </w:r>
      <w:r w:rsidR="00924AAE" w:rsidRPr="00B7713A">
        <w:t xml:space="preserve"> key </w:t>
      </w:r>
      <w:r w:rsidR="002E5F65" w:rsidRPr="00B7713A">
        <w:t>component</w:t>
      </w:r>
      <w:r w:rsidR="003060EC" w:rsidRPr="00B7713A">
        <w:t>s</w:t>
      </w:r>
      <w:r w:rsidR="002E5F65" w:rsidRPr="00B7713A">
        <w:t xml:space="preserve"> of riverine food webs</w:t>
      </w:r>
      <w:r w:rsidR="00C52932" w:rsidRPr="00B7713A">
        <w:t xml:space="preserve"> (Bice </w:t>
      </w:r>
      <w:r w:rsidR="00C52932" w:rsidRPr="00B7713A">
        <w:rPr>
          <w:i/>
          <w:iCs/>
        </w:rPr>
        <w:t>et al.</w:t>
      </w:r>
      <w:r w:rsidR="00C52932" w:rsidRPr="00B7713A">
        <w:t xml:space="preserve"> 2023)</w:t>
      </w:r>
      <w:r w:rsidR="002E5F65" w:rsidRPr="00B7713A">
        <w:t>.</w:t>
      </w:r>
    </w:p>
    <w:p w14:paraId="2F297AAE" w14:textId="2DB62A6B" w:rsidR="00AB3997" w:rsidRDefault="00565E48" w:rsidP="00FE1764">
      <w:r w:rsidRPr="00B7713A">
        <w:t xml:space="preserve">In the MDB, environmental </w:t>
      </w:r>
      <w:r w:rsidR="001A3EA4" w:rsidRPr="00B7713A">
        <w:t xml:space="preserve">water (i.e. water for the environment) </w:t>
      </w:r>
      <w:r w:rsidRPr="00B7713A">
        <w:t xml:space="preserve">have been used to re-establish key </w:t>
      </w:r>
      <w:r w:rsidRPr="00813944">
        <w:t>features of the natural flow regime (MDBA 2012</w:t>
      </w:r>
      <w:r w:rsidR="00C04DB6" w:rsidRPr="00813944">
        <w:t>a</w:t>
      </w:r>
      <w:r w:rsidR="00AB3997" w:rsidRPr="00813944">
        <w:t xml:space="preserve">; Koehn </w:t>
      </w:r>
      <w:r w:rsidR="00AB3997" w:rsidRPr="00813944">
        <w:rPr>
          <w:i/>
        </w:rPr>
        <w:t>et al.</w:t>
      </w:r>
      <w:r w:rsidR="00AB3997" w:rsidRPr="00813944">
        <w:t xml:space="preserve"> 2014; </w:t>
      </w:r>
      <w:r w:rsidR="001839CF" w:rsidRPr="00813944">
        <w:t>Stewardson and Guarino 2018</w:t>
      </w:r>
      <w:r w:rsidR="004458A7" w:rsidRPr="00813944">
        <w:t xml:space="preserve">; Chen </w:t>
      </w:r>
      <w:r w:rsidR="004458A7" w:rsidRPr="00813944">
        <w:rPr>
          <w:i/>
          <w:iCs/>
        </w:rPr>
        <w:t>et al.</w:t>
      </w:r>
      <w:r w:rsidR="004458A7" w:rsidRPr="00813944">
        <w:t xml:space="preserve"> 2021</w:t>
      </w:r>
      <w:r w:rsidR="00AB3997" w:rsidRPr="00813944">
        <w:t xml:space="preserve">). </w:t>
      </w:r>
      <w:r w:rsidR="001624D8" w:rsidRPr="00813944">
        <w:t>In South</w:t>
      </w:r>
      <w:r w:rsidR="001624D8" w:rsidRPr="00B7713A">
        <w:t xml:space="preserve"> Australia, t</w:t>
      </w:r>
      <w:r w:rsidR="00AB3997" w:rsidRPr="00B7713A">
        <w:t xml:space="preserve">he main channel of the </w:t>
      </w:r>
      <w:r w:rsidR="001624D8" w:rsidRPr="00B7713A">
        <w:t xml:space="preserve">Lower </w:t>
      </w:r>
      <w:r w:rsidR="00AB3997" w:rsidRPr="00B7713A">
        <w:t>Murray River</w:t>
      </w:r>
      <w:r w:rsidR="001624D8" w:rsidRPr="00B7713A">
        <w:t xml:space="preserve"> (LMR)</w:t>
      </w:r>
      <w:r w:rsidR="0056123D" w:rsidRPr="00B7713A">
        <w:t xml:space="preserve"> represents a significant ecological asset </w:t>
      </w:r>
      <w:r w:rsidR="00C1036B">
        <w:t xml:space="preserve">that can </w:t>
      </w:r>
      <w:r w:rsidR="00E578D3">
        <w:t xml:space="preserve">currently </w:t>
      </w:r>
      <w:r w:rsidR="0056123D" w:rsidRPr="00B7713A">
        <w:t xml:space="preserve">be targeted for environmental </w:t>
      </w:r>
      <w:r w:rsidR="00C1036B">
        <w:t>flow management</w:t>
      </w:r>
      <w:r w:rsidR="00C1036B" w:rsidRPr="00B7713A">
        <w:t xml:space="preserve"> </w:t>
      </w:r>
      <w:r w:rsidR="0056123D" w:rsidRPr="00B7713A">
        <w:t>(MDBC 2006</w:t>
      </w:r>
      <w:r w:rsidR="00E954E0" w:rsidRPr="00B7713A">
        <w:t>; DEW 20</w:t>
      </w:r>
      <w:r w:rsidR="004135C6" w:rsidRPr="00B7713A">
        <w:t>20</w:t>
      </w:r>
      <w:r w:rsidR="00163E30" w:rsidRPr="00B7713A">
        <w:t>a</w:t>
      </w:r>
      <w:r w:rsidR="0056123D" w:rsidRPr="00B7713A">
        <w:t>)</w:t>
      </w:r>
      <w:r w:rsidR="00AB3997" w:rsidRPr="00B7713A">
        <w:t xml:space="preserve">. </w:t>
      </w:r>
      <w:r w:rsidR="00AB71EA" w:rsidRPr="00B7713A">
        <w:t>To achieve the greatest ecological benefits from available environmental water, it is important to u</w:t>
      </w:r>
      <w:r w:rsidR="00AB3997" w:rsidRPr="00B7713A">
        <w:t>nderstand biological and ecological responses to flow regimes</w:t>
      </w:r>
      <w:r w:rsidR="00FE2195" w:rsidRPr="00B7713A">
        <w:t>. This</w:t>
      </w:r>
      <w:r w:rsidR="00AB3997" w:rsidRPr="00B7713A">
        <w:t xml:space="preserve"> provides critical knowledge to underpin environmental flow management</w:t>
      </w:r>
      <w:r w:rsidR="00AB71EA" w:rsidRPr="00B7713A">
        <w:t xml:space="preserve"> in the LMR.</w:t>
      </w:r>
      <w:r w:rsidR="00AB3997" w:rsidRPr="00AB3997">
        <w:t xml:space="preserve"> </w:t>
      </w:r>
    </w:p>
    <w:p w14:paraId="40C89415" w14:textId="60E0CB3D" w:rsidR="00986C11" w:rsidRPr="00C757C7" w:rsidRDefault="0036587D" w:rsidP="00986C11">
      <w:pPr>
        <w:pStyle w:val="Heading2"/>
      </w:pPr>
      <w:bookmarkStart w:id="32" w:name="_Toc200467853"/>
      <w:bookmarkEnd w:id="24"/>
      <w:bookmarkEnd w:id="25"/>
      <w:bookmarkEnd w:id="26"/>
      <w:r>
        <w:t>CEWH</w:t>
      </w:r>
      <w:r w:rsidR="006E45CD">
        <w:t>’s</w:t>
      </w:r>
      <w:r w:rsidR="00AB3997">
        <w:t xml:space="preserve"> </w:t>
      </w:r>
      <w:r w:rsidR="00636414">
        <w:t>Flow</w:t>
      </w:r>
      <w:r w:rsidR="006E45CD">
        <w:t xml:space="preserve"> </w:t>
      </w:r>
      <w:r w:rsidR="00FE2195">
        <w:t>Monitoring</w:t>
      </w:r>
      <w:r w:rsidR="00352806">
        <w:t>, Evaluation and Research</w:t>
      </w:r>
      <w:r w:rsidR="00FE1764">
        <w:t xml:space="preserve"> Project</w:t>
      </w:r>
      <w:bookmarkEnd w:id="32"/>
    </w:p>
    <w:p w14:paraId="69E5BD9F" w14:textId="4EFE4B06" w:rsidR="00986C11" w:rsidRDefault="006873BB" w:rsidP="00986C11">
      <w:r>
        <w:t xml:space="preserve">From </w:t>
      </w:r>
      <w:r w:rsidR="00634767">
        <w:t>2019-20</w:t>
      </w:r>
      <w:r w:rsidR="00482768">
        <w:t xml:space="preserve"> to </w:t>
      </w:r>
      <w:r w:rsidR="00263649">
        <w:t>202</w:t>
      </w:r>
      <w:r w:rsidR="002F13E8">
        <w:t>3</w:t>
      </w:r>
      <w:r w:rsidR="00263649">
        <w:t>-2</w:t>
      </w:r>
      <w:r w:rsidR="002F13E8">
        <w:t>4</w:t>
      </w:r>
      <w:r>
        <w:t xml:space="preserve">, </w:t>
      </w:r>
      <w:r w:rsidR="00986C11">
        <w:t xml:space="preserve">the Commonwealth Environmental </w:t>
      </w:r>
      <w:r w:rsidR="0036587D">
        <w:t>Water Holder</w:t>
      </w:r>
      <w:r w:rsidR="006E45CD">
        <w:t>’s</w:t>
      </w:r>
      <w:r w:rsidR="00B057F4">
        <w:t xml:space="preserve"> (</w:t>
      </w:r>
      <w:r w:rsidR="0036587D">
        <w:t>CEWH</w:t>
      </w:r>
      <w:r w:rsidR="00B057F4">
        <w:t>)</w:t>
      </w:r>
      <w:r w:rsidR="00986C11">
        <w:t xml:space="preserve"> </w:t>
      </w:r>
      <w:r w:rsidR="00636414">
        <w:t>Flow</w:t>
      </w:r>
      <w:r w:rsidR="006E45CD">
        <w:t xml:space="preserve"> </w:t>
      </w:r>
      <w:r w:rsidR="00634767">
        <w:t>Monitoring, Evaluation</w:t>
      </w:r>
      <w:r w:rsidR="005B3F06">
        <w:t xml:space="preserve"> and Research (</w:t>
      </w:r>
      <w:r w:rsidR="00636414">
        <w:t>Flow-</w:t>
      </w:r>
      <w:r w:rsidR="005B3F06">
        <w:t>MER)</w:t>
      </w:r>
      <w:r w:rsidR="00986C11">
        <w:t xml:space="preserve"> </w:t>
      </w:r>
      <w:r w:rsidR="00B057F4">
        <w:t>P</w:t>
      </w:r>
      <w:r w:rsidR="00986C11">
        <w:t xml:space="preserve">roject </w:t>
      </w:r>
      <w:r w:rsidR="000F377D">
        <w:t>monitor</w:t>
      </w:r>
      <w:r w:rsidR="00FA1691">
        <w:t>ed</w:t>
      </w:r>
      <w:r w:rsidR="000F377D">
        <w:t xml:space="preserve"> and evaluate</w:t>
      </w:r>
      <w:r w:rsidR="00FA1691">
        <w:t>d</w:t>
      </w:r>
      <w:r w:rsidR="000F377D">
        <w:t xml:space="preserve"> </w:t>
      </w:r>
      <w:r w:rsidR="00986C11">
        <w:t xml:space="preserve">ecological outcomes of Commonwealth environmental water delivery in the </w:t>
      </w:r>
      <w:r w:rsidR="00432774">
        <w:t>MDB</w:t>
      </w:r>
      <w:r w:rsidR="00986C11">
        <w:t xml:space="preserve">. The project was implemented across seven Selected Areas throughout the MDB, including the </w:t>
      </w:r>
      <w:r w:rsidR="006C282C">
        <w:t>Lower Murray</w:t>
      </w:r>
      <w:r w:rsidR="00986C11">
        <w:t xml:space="preserve">, to </w:t>
      </w:r>
      <w:r w:rsidR="004F7B70">
        <w:t xml:space="preserve">assess and </w:t>
      </w:r>
      <w:r w:rsidR="002E7BE8">
        <w:t xml:space="preserve">evaluate both </w:t>
      </w:r>
      <w:r w:rsidR="00986C11">
        <w:t xml:space="preserve">Basin-scale </w:t>
      </w:r>
      <w:r w:rsidR="002E7BE8">
        <w:t xml:space="preserve">and </w:t>
      </w:r>
      <w:r w:rsidR="00986C11">
        <w:t xml:space="preserve">Selected Area (local) </w:t>
      </w:r>
      <w:r w:rsidR="002E7BE8">
        <w:lastRenderedPageBreak/>
        <w:t>responses to environmental flows</w:t>
      </w:r>
      <w:r w:rsidR="00986C11">
        <w:t xml:space="preserve">. The </w:t>
      </w:r>
      <w:r w:rsidR="008830FF">
        <w:t xml:space="preserve">overall aim of this project </w:t>
      </w:r>
      <w:r w:rsidR="0088551C">
        <w:t xml:space="preserve">is </w:t>
      </w:r>
      <w:r w:rsidR="00986C11">
        <w:t>to demonstrate the ecological outcomes of Commonwealth environmental water delivery and support adaptive management.</w:t>
      </w:r>
      <w:r w:rsidR="00352806">
        <w:t xml:space="preserve"> </w:t>
      </w:r>
      <w:r w:rsidR="00352806" w:rsidRPr="00352806">
        <w:t xml:space="preserve">The current </w:t>
      </w:r>
      <w:r w:rsidR="0036587D">
        <w:t>CEWH</w:t>
      </w:r>
      <w:r w:rsidR="00352806" w:rsidRPr="00352806">
        <w:t xml:space="preserve"> </w:t>
      </w:r>
      <w:r w:rsidR="00636414">
        <w:t>Flow-</w:t>
      </w:r>
      <w:r w:rsidR="00352806" w:rsidRPr="00352806">
        <w:t>MER Project extend</w:t>
      </w:r>
      <w:r w:rsidR="00352806">
        <w:t>s</w:t>
      </w:r>
      <w:r w:rsidR="00352806" w:rsidRPr="00352806">
        <w:t xml:space="preserve"> the</w:t>
      </w:r>
      <w:r w:rsidR="00025A3E">
        <w:t xml:space="preserve"> monitoring activities commenced under the</w:t>
      </w:r>
      <w:r w:rsidR="0088551C">
        <w:t xml:space="preserve"> 2014</w:t>
      </w:r>
      <w:r w:rsidR="008D7EE3">
        <w:t>–</w:t>
      </w:r>
      <w:r w:rsidR="00CB747C">
        <w:t>20</w:t>
      </w:r>
      <w:r w:rsidR="0088551C">
        <w:t>19</w:t>
      </w:r>
      <w:r w:rsidR="00352806" w:rsidRPr="00352806">
        <w:t xml:space="preserve"> </w:t>
      </w:r>
      <w:r w:rsidR="005B3F06">
        <w:t>Long</w:t>
      </w:r>
      <w:r w:rsidR="00177943">
        <w:t>-</w:t>
      </w:r>
      <w:r w:rsidR="005B3F06">
        <w:t>Term Intervention Monitoring (</w:t>
      </w:r>
      <w:r w:rsidR="00352806" w:rsidRPr="00352806">
        <w:t>LTIM</w:t>
      </w:r>
      <w:r w:rsidR="005B3F06">
        <w:t>)</w:t>
      </w:r>
      <w:r w:rsidR="00352806" w:rsidRPr="00352806">
        <w:t xml:space="preserve"> </w:t>
      </w:r>
      <w:r w:rsidR="00352806">
        <w:t>P</w:t>
      </w:r>
      <w:r w:rsidR="00352806" w:rsidRPr="00352806">
        <w:t xml:space="preserve">roject. </w:t>
      </w:r>
    </w:p>
    <w:p w14:paraId="2DA86E5B" w14:textId="246B75BD" w:rsidR="00986C11" w:rsidRDefault="00BE6D9A" w:rsidP="00986C11">
      <w:r>
        <w:t xml:space="preserve">In the Lower Murray, the </w:t>
      </w:r>
      <w:r w:rsidR="0036587D">
        <w:t>CEWH</w:t>
      </w:r>
      <w:r>
        <w:t xml:space="preserve"> </w:t>
      </w:r>
      <w:r w:rsidR="00636414">
        <w:t>Flow-</w:t>
      </w:r>
      <w:r>
        <w:t>MER Project focuses on the main river channel</w:t>
      </w:r>
      <w:r w:rsidR="009C7A34">
        <w:rPr>
          <w:rStyle w:val="FootnoteReference"/>
        </w:rPr>
        <w:footnoteReference w:id="5"/>
      </w:r>
      <w:r>
        <w:t xml:space="preserve"> </w:t>
      </w:r>
      <w:r w:rsidRPr="00E91802">
        <w:t xml:space="preserve">between the </w:t>
      </w:r>
      <w:r>
        <w:t>South Australian</w:t>
      </w:r>
      <w:r w:rsidR="00BD01E3">
        <w:t xml:space="preserve"> </w:t>
      </w:r>
      <w:r w:rsidRPr="00E91802">
        <w:t>border and Wellington</w:t>
      </w:r>
      <w:r>
        <w:t xml:space="preserve"> (LMR), with one indicator (i.e. </w:t>
      </w:r>
      <w:r w:rsidRPr="00921E8C">
        <w:rPr>
          <w:i/>
          <w:iCs/>
        </w:rPr>
        <w:t>Matter Transport and Coorong Habitat</w:t>
      </w:r>
      <w:r>
        <w:t xml:space="preserve">) extending to the Lower Lakes and Coorong </w:t>
      </w:r>
      <w:r w:rsidR="00986C11" w:rsidRPr="00C757C7">
        <w:t>(</w:t>
      </w:r>
      <w:r w:rsidR="00986C11">
        <w:fldChar w:fldCharType="begin"/>
      </w:r>
      <w:r w:rsidR="00986C11">
        <w:instrText xml:space="preserve"> REF _Ref469926522 \h </w:instrText>
      </w:r>
      <w:r w:rsidR="00986C11">
        <w:fldChar w:fldCharType="separate"/>
      </w:r>
      <w:r w:rsidR="00102828">
        <w:t xml:space="preserve">Figure </w:t>
      </w:r>
      <w:r w:rsidR="00102828">
        <w:rPr>
          <w:noProof/>
        </w:rPr>
        <w:t>1</w:t>
      </w:r>
      <w:r w:rsidR="00986C11">
        <w:fldChar w:fldCharType="end"/>
      </w:r>
      <w:r w:rsidR="00986C11" w:rsidRPr="00C757C7">
        <w:t>)</w:t>
      </w:r>
      <w:r w:rsidR="00986C11">
        <w:t xml:space="preserve">. </w:t>
      </w:r>
      <w:r w:rsidR="00856103">
        <w:t xml:space="preserve">The riverine monitoring sites </w:t>
      </w:r>
      <w:r w:rsidR="00986C11">
        <w:t xml:space="preserve">(for indicators) </w:t>
      </w:r>
      <w:r w:rsidR="008830FF">
        <w:t xml:space="preserve">cover </w:t>
      </w:r>
      <w:r w:rsidR="00986C11">
        <w:t>three</w:t>
      </w:r>
      <w:r w:rsidR="00986C11" w:rsidRPr="00C757C7">
        <w:t xml:space="preserve"> geomorphic </w:t>
      </w:r>
      <w:r w:rsidR="00986C11">
        <w:t>zones (floodplain, gorge and swamplands) (</w:t>
      </w:r>
      <w:r w:rsidR="00986C11">
        <w:fldChar w:fldCharType="begin"/>
      </w:r>
      <w:r w:rsidR="00986C11">
        <w:instrText xml:space="preserve"> REF _Ref469926522 \h </w:instrText>
      </w:r>
      <w:r w:rsidR="00986C11">
        <w:fldChar w:fldCharType="separate"/>
      </w:r>
      <w:r w:rsidR="00102828">
        <w:t xml:space="preserve">Figure </w:t>
      </w:r>
      <w:r w:rsidR="00102828">
        <w:rPr>
          <w:noProof/>
        </w:rPr>
        <w:t>1</w:t>
      </w:r>
      <w:r w:rsidR="00986C11">
        <w:fldChar w:fldCharType="end"/>
      </w:r>
      <w:r w:rsidR="00986C11">
        <w:t>)</w:t>
      </w:r>
      <w:r w:rsidR="00986C11" w:rsidRPr="002C78BC">
        <w:t xml:space="preserve">. </w:t>
      </w:r>
    </w:p>
    <w:p w14:paraId="56771967" w14:textId="0815200A" w:rsidR="00534FCD" w:rsidRPr="00130926" w:rsidRDefault="005F4115" w:rsidP="00986C11">
      <w:pPr>
        <w:rPr>
          <w:rFonts w:cstheme="minorHAnsi"/>
          <w:szCs w:val="24"/>
        </w:rPr>
      </w:pPr>
      <w:r>
        <w:t xml:space="preserve">A total of </w:t>
      </w:r>
      <w:r w:rsidR="00352806">
        <w:t xml:space="preserve">nine </w:t>
      </w:r>
      <w:r w:rsidR="00534FCD">
        <w:t xml:space="preserve">indicators were </w:t>
      </w:r>
      <w:r>
        <w:t>established</w:t>
      </w:r>
      <w:r w:rsidR="00534FCD">
        <w:t xml:space="preserve"> to assess ecological responses to environmental water delivery in the </w:t>
      </w:r>
      <w:r w:rsidR="006C282C">
        <w:t>Lower Murray</w:t>
      </w:r>
      <w:r w:rsidR="00534FCD">
        <w:t>. Three indicators (</w:t>
      </w:r>
      <w:r w:rsidR="00534FCD" w:rsidRPr="00B417DC">
        <w:rPr>
          <w:b/>
          <w:i/>
        </w:rPr>
        <w:t>Hydrology (channel)</w:t>
      </w:r>
      <w:r w:rsidR="00130926" w:rsidRPr="0065397A">
        <w:rPr>
          <w:rStyle w:val="FootnoteReference"/>
          <w:bCs/>
          <w:iCs/>
        </w:rPr>
        <w:footnoteReference w:id="6"/>
      </w:r>
      <w:r w:rsidR="00534FCD">
        <w:t xml:space="preserve">, </w:t>
      </w:r>
      <w:r w:rsidR="00534FCD" w:rsidRPr="00B417DC">
        <w:rPr>
          <w:b/>
          <w:i/>
        </w:rPr>
        <w:t>Stream Metabolism</w:t>
      </w:r>
      <w:r w:rsidR="00352806">
        <w:rPr>
          <w:b/>
          <w:i/>
        </w:rPr>
        <w:t xml:space="preserve"> and Water Quality</w:t>
      </w:r>
      <w:r w:rsidR="00534FCD" w:rsidRPr="00B417DC">
        <w:rPr>
          <w:b/>
          <w:i/>
        </w:rPr>
        <w:t xml:space="preserve"> </w:t>
      </w:r>
      <w:r w:rsidR="00534FCD">
        <w:t xml:space="preserve">and </w:t>
      </w:r>
      <w:r w:rsidR="00534FCD" w:rsidRPr="00B417DC">
        <w:rPr>
          <w:b/>
          <w:i/>
        </w:rPr>
        <w:t>Fish (channel)</w:t>
      </w:r>
      <w:r w:rsidR="00534FCD">
        <w:t xml:space="preserve">) followed standard protocols to support quantitative Basin-wide and Selected Area evaluation, where applicable (Hale </w:t>
      </w:r>
      <w:r w:rsidR="00534FCD" w:rsidRPr="00B73F5A">
        <w:rPr>
          <w:i/>
        </w:rPr>
        <w:t>et al.</w:t>
      </w:r>
      <w:r w:rsidR="00534FCD">
        <w:t xml:space="preserve"> 2014). </w:t>
      </w:r>
      <w:r w:rsidR="00A51D6D">
        <w:t>Six</w:t>
      </w:r>
      <w:r w:rsidR="00534FCD">
        <w:t xml:space="preserve"> indicators (</w:t>
      </w:r>
      <w:r w:rsidR="00534FCD" w:rsidRPr="00B417DC">
        <w:rPr>
          <w:b/>
          <w:i/>
        </w:rPr>
        <w:t>Hydr</w:t>
      </w:r>
      <w:r w:rsidR="006873BB">
        <w:rPr>
          <w:b/>
          <w:i/>
        </w:rPr>
        <w:t>aulic</w:t>
      </w:r>
      <w:r w:rsidR="00534FCD" w:rsidRPr="00B417DC">
        <w:rPr>
          <w:b/>
          <w:i/>
        </w:rPr>
        <w:t xml:space="preserve"> Regime</w:t>
      </w:r>
      <w:r w:rsidR="00534FCD">
        <w:t xml:space="preserve">, </w:t>
      </w:r>
      <w:r w:rsidR="00534FCD" w:rsidRPr="00B417DC">
        <w:rPr>
          <w:b/>
          <w:i/>
        </w:rPr>
        <w:t>Matter Transport</w:t>
      </w:r>
      <w:r w:rsidR="00352806">
        <w:rPr>
          <w:b/>
          <w:i/>
        </w:rPr>
        <w:t xml:space="preserve"> and Coorong Habitat</w:t>
      </w:r>
      <w:r w:rsidR="00534FCD">
        <w:t xml:space="preserve">, </w:t>
      </w:r>
      <w:r w:rsidR="00A51D6D">
        <w:rPr>
          <w:b/>
          <w:i/>
        </w:rPr>
        <w:t xml:space="preserve">Littoral Vegetation Diversity and Productivity, </w:t>
      </w:r>
      <w:r w:rsidR="00534FCD" w:rsidRPr="00B417DC">
        <w:rPr>
          <w:b/>
          <w:i/>
        </w:rPr>
        <w:t>Microinvertebrate</w:t>
      </w:r>
      <w:r w:rsidR="00352806">
        <w:rPr>
          <w:b/>
          <w:i/>
        </w:rPr>
        <w:t xml:space="preserve"> Assemblage</w:t>
      </w:r>
      <w:r w:rsidR="006873BB">
        <w:rPr>
          <w:b/>
          <w:i/>
        </w:rPr>
        <w:t>,</w:t>
      </w:r>
      <w:r w:rsidR="00534FCD">
        <w:t xml:space="preserve"> </w:t>
      </w:r>
      <w:r w:rsidR="00A51D6D">
        <w:rPr>
          <w:b/>
          <w:i/>
        </w:rPr>
        <w:t xml:space="preserve">Murray Cod Recruitment </w:t>
      </w:r>
      <w:r w:rsidR="00534FCD">
        <w:t xml:space="preserve">and </w:t>
      </w:r>
      <w:r w:rsidR="00F46757" w:rsidRPr="00F46757">
        <w:rPr>
          <w:b/>
          <w:i/>
        </w:rPr>
        <w:t xml:space="preserve">Flow-cued Spawning Fish </w:t>
      </w:r>
      <w:r w:rsidR="00721813">
        <w:rPr>
          <w:b/>
          <w:i/>
        </w:rPr>
        <w:t>Reproduction</w:t>
      </w:r>
      <w:r w:rsidR="00534FCD">
        <w:t xml:space="preserve">) were developed to address </w:t>
      </w:r>
      <w:r w:rsidR="00F24595">
        <w:t xml:space="preserve">Selected Area-specific </w:t>
      </w:r>
      <w:r w:rsidR="00534FCD">
        <w:t xml:space="preserve">objectives and </w:t>
      </w:r>
      <w:r w:rsidR="00534FCD" w:rsidRPr="00C757C7">
        <w:t>test a series of</w:t>
      </w:r>
      <w:r w:rsidR="00534FCD">
        <w:t xml:space="preserve"> </w:t>
      </w:r>
      <w:r w:rsidR="00534FCD" w:rsidRPr="00C757C7">
        <w:t>hypotheses</w:t>
      </w:r>
      <w:r w:rsidR="00534FCD">
        <w:t xml:space="preserve"> with respect to biological/ecological response to environmental flows</w:t>
      </w:r>
      <w:r w:rsidR="00534FCD" w:rsidRPr="00374FAA">
        <w:t xml:space="preserve">. </w:t>
      </w:r>
      <w:r w:rsidR="00AC7B3D">
        <w:t>U</w:t>
      </w:r>
      <w:r w:rsidR="006D7405">
        <w:t xml:space="preserve">nder the </w:t>
      </w:r>
      <w:r w:rsidR="00636414">
        <w:t>Flow-</w:t>
      </w:r>
      <w:r w:rsidR="006D7405">
        <w:t>MER Project, a</w:t>
      </w:r>
      <w:r w:rsidR="006D7405" w:rsidRPr="006D7405">
        <w:t>n integrated research project explore</w:t>
      </w:r>
      <w:r w:rsidR="00A45B90">
        <w:t>s</w:t>
      </w:r>
      <w:r w:rsidR="006D7405" w:rsidRPr="006D7405">
        <w:t xml:space="preserve"> the links between key indicators </w:t>
      </w:r>
      <w:r w:rsidR="00BF0B10">
        <w:t xml:space="preserve">to </w:t>
      </w:r>
      <w:r w:rsidR="006D7405" w:rsidRPr="006D7405">
        <w:t>improve our understanding of how flow influences the ecological processes that drive recruitment of key fish species (Murray cod)</w:t>
      </w:r>
      <w:r w:rsidR="00BE02CA">
        <w:t xml:space="preserve"> (Bice </w:t>
      </w:r>
      <w:r w:rsidR="00BE02CA" w:rsidRPr="000D2C3D">
        <w:rPr>
          <w:i/>
          <w:iCs/>
        </w:rPr>
        <w:t>et al.</w:t>
      </w:r>
      <w:r w:rsidR="00BE02CA">
        <w:t xml:space="preserve"> 2023)</w:t>
      </w:r>
      <w:r w:rsidR="006D7405" w:rsidRPr="006D7405">
        <w:t xml:space="preserve">. </w:t>
      </w:r>
      <w:r w:rsidR="00A45B90">
        <w:t>C</w:t>
      </w:r>
      <w:r w:rsidR="006D7405" w:rsidRPr="006D7405">
        <w:t xml:space="preserve">ontingency monitoring activities </w:t>
      </w:r>
      <w:r w:rsidR="00C13987">
        <w:t>(</w:t>
      </w:r>
      <w:r w:rsidR="000754C3">
        <w:t>i.e.</w:t>
      </w:r>
      <w:r w:rsidR="00C13987">
        <w:t xml:space="preserve"> </w:t>
      </w:r>
      <w:r w:rsidR="005B3F06">
        <w:t>spawning</w:t>
      </w:r>
      <w:r w:rsidR="00F91A46">
        <w:t xml:space="preserve"> </w:t>
      </w:r>
      <w:r w:rsidR="00D06C48">
        <w:t xml:space="preserve">and natal origin </w:t>
      </w:r>
      <w:r w:rsidR="00F91A46">
        <w:t>of flow-cued spawn</w:t>
      </w:r>
      <w:r w:rsidR="00D06C48">
        <w:t>ing fishes</w:t>
      </w:r>
      <w:r w:rsidR="000754C3">
        <w:t xml:space="preserve"> </w:t>
      </w:r>
      <w:r w:rsidR="00C13987">
        <w:t xml:space="preserve">in </w:t>
      </w:r>
      <w:r w:rsidR="005353AC">
        <w:t>2020</w:t>
      </w:r>
      <w:r w:rsidR="00BE02CA">
        <w:t>–2024</w:t>
      </w:r>
      <w:r w:rsidR="009259F6">
        <w:t xml:space="preserve"> (Ye </w:t>
      </w:r>
      <w:r w:rsidR="009259F6" w:rsidRPr="000D2C3D">
        <w:rPr>
          <w:i/>
          <w:iCs/>
        </w:rPr>
        <w:t>et al.</w:t>
      </w:r>
      <w:r w:rsidR="009259F6">
        <w:t xml:space="preserve"> 2022, 2023,  2024, this report)</w:t>
      </w:r>
      <w:r w:rsidR="005353AC">
        <w:t>, monitoring lamprey migration in 2019-20</w:t>
      </w:r>
      <w:r w:rsidR="009259F6">
        <w:t xml:space="preserve"> (Ye </w:t>
      </w:r>
      <w:r w:rsidR="009259F6" w:rsidRPr="000D2C3D">
        <w:rPr>
          <w:i/>
          <w:iCs/>
        </w:rPr>
        <w:t>et al.</w:t>
      </w:r>
      <w:r w:rsidR="009259F6">
        <w:t xml:space="preserve"> 2021)</w:t>
      </w:r>
      <w:r w:rsidR="005353AC">
        <w:t>, and soil seed bank composition of the littoral zone in 2020-21</w:t>
      </w:r>
      <w:r w:rsidR="00BE02CA">
        <w:t xml:space="preserve"> (</w:t>
      </w:r>
      <w:r w:rsidR="009259F6">
        <w:t xml:space="preserve">Ye </w:t>
      </w:r>
      <w:r w:rsidR="009259F6" w:rsidRPr="000D2C3D">
        <w:rPr>
          <w:i/>
          <w:iCs/>
        </w:rPr>
        <w:t>et al.</w:t>
      </w:r>
      <w:r w:rsidR="009259F6">
        <w:t xml:space="preserve"> 2022</w:t>
      </w:r>
      <w:r w:rsidR="00C13987">
        <w:t xml:space="preserve">) </w:t>
      </w:r>
      <w:r w:rsidR="005353AC">
        <w:t>were also</w:t>
      </w:r>
      <w:r w:rsidR="008B54CA">
        <w:t xml:space="preserve"> </w:t>
      </w:r>
      <w:r w:rsidR="003423B8" w:rsidRPr="006D7405">
        <w:t>undertaken</w:t>
      </w:r>
      <w:r w:rsidR="003423B8">
        <w:t xml:space="preserve"> in response to opportunities as they ar</w:t>
      </w:r>
      <w:r w:rsidR="005353AC">
        <w:t>o</w:t>
      </w:r>
      <w:r w:rsidR="003423B8">
        <w:t>se</w:t>
      </w:r>
      <w:r w:rsidR="003423B8" w:rsidRPr="006D7405">
        <w:t xml:space="preserve"> </w:t>
      </w:r>
      <w:r w:rsidR="003423B8">
        <w:t xml:space="preserve">to </w:t>
      </w:r>
      <w:r w:rsidR="00AE4D55">
        <w:t xml:space="preserve">complement </w:t>
      </w:r>
      <w:r w:rsidR="003423B8">
        <w:t>current monitoring</w:t>
      </w:r>
      <w:r w:rsidR="00AE4D55">
        <w:t xml:space="preserve"> and</w:t>
      </w:r>
      <w:r w:rsidR="000754C3">
        <w:t xml:space="preserve"> evaluation,</w:t>
      </w:r>
      <w:r w:rsidR="003423B8">
        <w:t xml:space="preserve"> and/or </w:t>
      </w:r>
      <w:r w:rsidR="003423B8" w:rsidRPr="006D7405">
        <w:t>to inform environmental water use planning and management.</w:t>
      </w:r>
    </w:p>
    <w:p w14:paraId="5F1A12EA" w14:textId="6D1133C8" w:rsidR="00986C11" w:rsidRDefault="007037CC" w:rsidP="00986C11">
      <w:pPr>
        <w:jc w:val="center"/>
      </w:pPr>
      <w:bookmarkStart w:id="33" w:name="_Hlk95919525"/>
      <w:r>
        <w:rPr>
          <w:noProof/>
        </w:rPr>
        <w:lastRenderedPageBreak/>
        <w:drawing>
          <wp:inline distT="0" distB="0" distL="0" distR="0" wp14:anchorId="515D816C" wp14:editId="3A67587D">
            <wp:extent cx="5731510" cy="5320030"/>
            <wp:effectExtent l="0" t="0" r="2540" b="0"/>
            <wp:docPr id="15" name="Picture 15" descr="Map of the Lower Murray Selected Area showing the Lower Murray River floodpla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Map of the Lower Murray Selected Area showing the Lower Murray River floodplain. "/>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5320030"/>
                    </a:xfrm>
                    <a:prstGeom prst="rect">
                      <a:avLst/>
                    </a:prstGeom>
                    <a:noFill/>
                    <a:ln>
                      <a:noFill/>
                    </a:ln>
                  </pic:spPr>
                </pic:pic>
              </a:graphicData>
            </a:graphic>
          </wp:inline>
        </w:drawing>
      </w:r>
    </w:p>
    <w:p w14:paraId="06548E40" w14:textId="2F416922" w:rsidR="00986C11" w:rsidRDefault="00986C11" w:rsidP="00986C11">
      <w:pPr>
        <w:pStyle w:val="Caption"/>
      </w:pPr>
      <w:bookmarkStart w:id="34" w:name="_Ref469926522"/>
      <w:bookmarkStart w:id="35" w:name="_Toc3558352"/>
      <w:bookmarkStart w:id="36" w:name="_Toc101963793"/>
      <w:bookmarkStart w:id="37" w:name="_Toc103170056"/>
      <w:bookmarkStart w:id="38" w:name="_Toc200464452"/>
      <w:r>
        <w:t xml:space="preserve">Figure </w:t>
      </w:r>
      <w:r>
        <w:fldChar w:fldCharType="begin"/>
      </w:r>
      <w:r>
        <w:instrText>SEQ Figure \* ARABIC</w:instrText>
      </w:r>
      <w:r>
        <w:fldChar w:fldCharType="separate"/>
      </w:r>
      <w:r w:rsidR="00102828">
        <w:rPr>
          <w:noProof/>
        </w:rPr>
        <w:t>1</w:t>
      </w:r>
      <w:r>
        <w:fldChar w:fldCharType="end"/>
      </w:r>
      <w:bookmarkEnd w:id="34"/>
      <w:r>
        <w:t xml:space="preserve">. </w:t>
      </w:r>
      <w:r w:rsidRPr="00F33316">
        <w:t xml:space="preserve">Map of the </w:t>
      </w:r>
      <w:r w:rsidR="006C282C">
        <w:t>Lower Murray</w:t>
      </w:r>
      <w:r w:rsidR="006C282C" w:rsidRPr="00F33316">
        <w:t xml:space="preserve"> </w:t>
      </w:r>
      <w:r w:rsidRPr="00F33316">
        <w:t xml:space="preserve">Selected Area showing the </w:t>
      </w:r>
      <w:r w:rsidR="00482768">
        <w:t xml:space="preserve">Lower Murray River </w:t>
      </w:r>
      <w:r w:rsidRPr="00F33316">
        <w:t xml:space="preserve">floodplain (blue), gorge (green) and swamplands (orange) geomorphic zones, and the Lower Lakes </w:t>
      </w:r>
      <w:r w:rsidR="00847B1A">
        <w:t xml:space="preserve">and </w:t>
      </w:r>
      <w:r w:rsidRPr="00F33316">
        <w:t xml:space="preserve">Coorong (yellow). </w:t>
      </w:r>
      <w:r w:rsidR="006928CA" w:rsidRPr="006928CA">
        <w:t>Sampling sites are indicated by coloured circles (field monitoring) and triangles (modelling)</w:t>
      </w:r>
      <w:r w:rsidR="006928CA">
        <w:t>.</w:t>
      </w:r>
      <w:bookmarkEnd w:id="35"/>
      <w:bookmarkEnd w:id="36"/>
      <w:bookmarkEnd w:id="37"/>
      <w:bookmarkEnd w:id="38"/>
    </w:p>
    <w:p w14:paraId="1A8DB931" w14:textId="370E2B5F" w:rsidR="00986C11" w:rsidRDefault="006A51BA" w:rsidP="008756F6">
      <w:pPr>
        <w:pStyle w:val="Heading2"/>
      </w:pPr>
      <w:bookmarkStart w:id="39" w:name="_Toc200467854"/>
      <w:bookmarkEnd w:id="33"/>
      <w:r w:rsidRPr="00C92154">
        <w:t>Expected outcomes</w:t>
      </w:r>
      <w:r>
        <w:t xml:space="preserve"> in the Lower Murray</w:t>
      </w:r>
      <w:bookmarkEnd w:id="39"/>
    </w:p>
    <w:p w14:paraId="683C3000" w14:textId="5C365F26" w:rsidR="0054677D" w:rsidRDefault="001214E8" w:rsidP="008A5B20">
      <w:r>
        <w:t>During</w:t>
      </w:r>
      <w:r w:rsidRPr="00A51D6D">
        <w:t xml:space="preserve"> </w:t>
      </w:r>
      <w:r w:rsidR="00A51D6D" w:rsidRPr="00A51D6D">
        <w:t>the</w:t>
      </w:r>
      <w:r>
        <w:t xml:space="preserve"> five-year</w:t>
      </w:r>
      <w:r w:rsidR="00A51D6D" w:rsidRPr="00A51D6D">
        <w:t xml:space="preserve"> period of the </w:t>
      </w:r>
      <w:r>
        <w:t>Flow-</w:t>
      </w:r>
      <w:r w:rsidR="00A51D6D" w:rsidRPr="00A51D6D">
        <w:t>MER Project (2019</w:t>
      </w:r>
      <w:r w:rsidR="00182F08">
        <w:t>-</w:t>
      </w:r>
      <w:r w:rsidR="00A51D6D" w:rsidRPr="00A51D6D">
        <w:t xml:space="preserve">20 to </w:t>
      </w:r>
      <w:r w:rsidR="00263649">
        <w:t>202</w:t>
      </w:r>
      <w:r w:rsidR="0083288A">
        <w:t>3</w:t>
      </w:r>
      <w:r w:rsidR="00263649">
        <w:t>-2</w:t>
      </w:r>
      <w:r w:rsidR="0083288A">
        <w:t>4</w:t>
      </w:r>
      <w:r w:rsidR="00A51D6D" w:rsidRPr="00A51D6D">
        <w:t xml:space="preserve">), Commonwealth environmental water </w:t>
      </w:r>
      <w:r>
        <w:t>in</w:t>
      </w:r>
      <w:r w:rsidR="00A51D6D" w:rsidRPr="00A51D6D">
        <w:t xml:space="preserve"> the Lower Murray</w:t>
      </w:r>
      <w:r>
        <w:t xml:space="preserve"> was primarily used to </w:t>
      </w:r>
      <w:r w:rsidR="00517FD6" w:rsidRPr="002C286B">
        <w:t xml:space="preserve">contribute </w:t>
      </w:r>
      <w:r w:rsidR="002C286B" w:rsidRPr="002C286B">
        <w:t>to</w:t>
      </w:r>
      <w:r w:rsidR="00F85100">
        <w:t xml:space="preserve"> base</w:t>
      </w:r>
      <w:r w:rsidR="000E012E">
        <w:t xml:space="preserve"> </w:t>
      </w:r>
      <w:r w:rsidR="00F85100">
        <w:t>flows and</w:t>
      </w:r>
      <w:r w:rsidR="002C286B" w:rsidRPr="002C286B">
        <w:t xml:space="preserve"> freshes</w:t>
      </w:r>
      <w:r w:rsidR="0054677D" w:rsidRPr="0054677D">
        <w:t xml:space="preserve"> in the </w:t>
      </w:r>
      <w:r w:rsidR="00553181">
        <w:t>LMR</w:t>
      </w:r>
      <w:r w:rsidR="0054677D" w:rsidRPr="0054677D">
        <w:t xml:space="preserve"> channel</w:t>
      </w:r>
      <w:r w:rsidR="00F24595">
        <w:t xml:space="preserve"> (</w:t>
      </w:r>
      <w:r w:rsidR="00F24595">
        <w:fldChar w:fldCharType="begin"/>
      </w:r>
      <w:r w:rsidR="00F24595">
        <w:instrText xml:space="preserve"> REF _Ref14098373 \h </w:instrText>
      </w:r>
      <w:r w:rsidR="00F24595">
        <w:fldChar w:fldCharType="separate"/>
      </w:r>
      <w:r w:rsidR="00102828">
        <w:t xml:space="preserve">Figure </w:t>
      </w:r>
      <w:r w:rsidR="00102828">
        <w:rPr>
          <w:noProof/>
        </w:rPr>
        <w:t>2</w:t>
      </w:r>
      <w:r w:rsidR="00F24595">
        <w:fldChar w:fldCharType="end"/>
      </w:r>
      <w:r w:rsidR="00E0142F">
        <w:t>)</w:t>
      </w:r>
      <w:r w:rsidR="0054677D" w:rsidRPr="0054677D">
        <w:t xml:space="preserve">, and </w:t>
      </w:r>
      <w:r w:rsidR="007C505A">
        <w:t>maintain river</w:t>
      </w:r>
      <w:r w:rsidR="0054677D" w:rsidRPr="0054677D">
        <w:t xml:space="preserve"> flows </w:t>
      </w:r>
      <w:r w:rsidR="007C505A">
        <w:t>to</w:t>
      </w:r>
      <w:r w:rsidR="00D21A8F">
        <w:t xml:space="preserve"> the Lower Lakes and </w:t>
      </w:r>
      <w:r w:rsidR="0054677D" w:rsidRPr="0054677D">
        <w:t>Coorong</w:t>
      </w:r>
      <w:r w:rsidR="002C286B" w:rsidRPr="002C286B">
        <w:t>.</w:t>
      </w:r>
      <w:r w:rsidR="005D6662" w:rsidRPr="005D6662">
        <w:t xml:space="preserve"> </w:t>
      </w:r>
      <w:r w:rsidR="0054677D" w:rsidRPr="0054677D">
        <w:t xml:space="preserve">These particular flows </w:t>
      </w:r>
      <w:r w:rsidR="007C505A">
        <w:t>aim</w:t>
      </w:r>
      <w:r>
        <w:t>ed</w:t>
      </w:r>
      <w:r w:rsidR="0054677D" w:rsidRPr="0054677D">
        <w:t xml:space="preserve"> to achieve a variety of </w:t>
      </w:r>
      <w:r w:rsidR="007C505A">
        <w:t xml:space="preserve">environmental </w:t>
      </w:r>
      <w:r w:rsidR="0054677D" w:rsidRPr="0054677D">
        <w:t>outcomes including those relating to fish, vegetation,</w:t>
      </w:r>
      <w:r w:rsidR="007C505A">
        <w:t xml:space="preserve"> birds, water quality and</w:t>
      </w:r>
      <w:r w:rsidR="0054677D" w:rsidRPr="0054677D">
        <w:t xml:space="preserve"> river </w:t>
      </w:r>
      <w:r w:rsidR="0054677D" w:rsidRPr="00553181">
        <w:t>function, Lower Lakes water levels</w:t>
      </w:r>
      <w:r w:rsidR="00D21A8F" w:rsidRPr="00553181">
        <w:t>,</w:t>
      </w:r>
      <w:r w:rsidR="0054677D" w:rsidRPr="00553181">
        <w:t xml:space="preserve"> salt export</w:t>
      </w:r>
      <w:r w:rsidR="00D21A8F" w:rsidRPr="00553181">
        <w:t xml:space="preserve"> and connectivity between freshwater, estuarine and </w:t>
      </w:r>
      <w:r w:rsidR="00D21A8F" w:rsidRPr="00E60E7B">
        <w:t>marine environment</w:t>
      </w:r>
      <w:r w:rsidR="0071569C" w:rsidRPr="00E60E7B">
        <w:t>s</w:t>
      </w:r>
      <w:r w:rsidR="0054677D" w:rsidRPr="00E60E7B">
        <w:t xml:space="preserve"> (</w:t>
      </w:r>
      <w:r w:rsidR="00817439">
        <w:fldChar w:fldCharType="begin"/>
      </w:r>
      <w:r w:rsidR="00817439">
        <w:instrText xml:space="preserve"> REF _Ref174368209 \h </w:instrText>
      </w:r>
      <w:r w:rsidR="00817439">
        <w:fldChar w:fldCharType="separate"/>
      </w:r>
      <w:r w:rsidR="00102828">
        <w:t>T</w:t>
      </w:r>
      <w:r w:rsidR="00102828" w:rsidRPr="001214E8">
        <w:t xml:space="preserve">able </w:t>
      </w:r>
      <w:r w:rsidR="00102828">
        <w:rPr>
          <w:noProof/>
        </w:rPr>
        <w:t>3</w:t>
      </w:r>
      <w:r w:rsidR="00817439">
        <w:fldChar w:fldCharType="end"/>
      </w:r>
      <w:r w:rsidR="00817439">
        <w:t xml:space="preserve">; </w:t>
      </w:r>
      <w:r w:rsidR="008849C5" w:rsidRPr="00E60E7B">
        <w:t>Appendix A</w:t>
      </w:r>
      <w:r w:rsidR="0054677D" w:rsidRPr="00E60E7B">
        <w:t>),</w:t>
      </w:r>
      <w:r w:rsidR="0054677D" w:rsidRPr="0054677D">
        <w:t xml:space="preserve"> although </w:t>
      </w:r>
      <w:r w:rsidR="00114345">
        <w:t xml:space="preserve">only some </w:t>
      </w:r>
      <w:r w:rsidR="0054677D" w:rsidRPr="0054677D">
        <w:t xml:space="preserve">of these </w:t>
      </w:r>
      <w:r w:rsidR="007C505A">
        <w:t>are</w:t>
      </w:r>
      <w:r w:rsidR="0013251B">
        <w:t xml:space="preserve"> </w:t>
      </w:r>
      <w:r w:rsidR="0054677D" w:rsidRPr="0054677D">
        <w:t>monitored through this project.</w:t>
      </w:r>
    </w:p>
    <w:p w14:paraId="6A5EAC22" w14:textId="7C2092E9" w:rsidR="002C286B" w:rsidRDefault="003A4C0E" w:rsidP="00A230B1">
      <w:pPr>
        <w:jc w:val="center"/>
      </w:pPr>
      <w:r w:rsidRPr="003A4C0E">
        <w:rPr>
          <w:noProof/>
        </w:rPr>
        <w:lastRenderedPageBreak/>
        <w:drawing>
          <wp:inline distT="0" distB="0" distL="0" distR="0" wp14:anchorId="3C199161" wp14:editId="6E49D960">
            <wp:extent cx="5615544" cy="2518913"/>
            <wp:effectExtent l="0" t="0" r="4445" b="0"/>
            <wp:docPr id="22" name="Picture 22" descr="Overview of the various flow types of the Lower Murray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Overview of the various flow types of the Lower Murray River."/>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054" r="4126"/>
                    <a:stretch/>
                  </pic:blipFill>
                  <pic:spPr bwMode="auto">
                    <a:xfrm>
                      <a:off x="0" y="0"/>
                      <a:ext cx="5619997" cy="2520910"/>
                    </a:xfrm>
                    <a:prstGeom prst="rect">
                      <a:avLst/>
                    </a:prstGeom>
                    <a:noFill/>
                    <a:ln>
                      <a:noFill/>
                    </a:ln>
                    <a:extLst>
                      <a:ext uri="{53640926-AAD7-44D8-BBD7-CCE9431645EC}">
                        <a14:shadowObscured xmlns:a14="http://schemas.microsoft.com/office/drawing/2010/main"/>
                      </a:ext>
                    </a:extLst>
                  </pic:spPr>
                </pic:pic>
              </a:graphicData>
            </a:graphic>
          </wp:inline>
        </w:drawing>
      </w:r>
    </w:p>
    <w:p w14:paraId="38D66FBC" w14:textId="61CB3EEF" w:rsidR="00503001" w:rsidRDefault="002C286B" w:rsidP="00605FB2">
      <w:pPr>
        <w:pStyle w:val="Captions"/>
      </w:pPr>
      <w:bookmarkStart w:id="40" w:name="_Ref14098373"/>
      <w:bookmarkStart w:id="41" w:name="_Toc103170057"/>
      <w:bookmarkStart w:id="42" w:name="_Toc200464453"/>
      <w:bookmarkStart w:id="43" w:name="_Hlk118378655"/>
      <w:r>
        <w:t xml:space="preserve">Figure </w:t>
      </w:r>
      <w:r w:rsidR="00967BB2">
        <w:fldChar w:fldCharType="begin"/>
      </w:r>
      <w:r w:rsidR="00967BB2">
        <w:instrText xml:space="preserve"> SEQ Figure \* ARABIC </w:instrText>
      </w:r>
      <w:r w:rsidR="00967BB2">
        <w:fldChar w:fldCharType="separate"/>
      </w:r>
      <w:r w:rsidR="00102828">
        <w:rPr>
          <w:noProof/>
        </w:rPr>
        <w:t>2</w:t>
      </w:r>
      <w:r w:rsidR="00967BB2">
        <w:rPr>
          <w:noProof/>
        </w:rPr>
        <w:fldChar w:fldCharType="end"/>
      </w:r>
      <w:bookmarkEnd w:id="40"/>
      <w:r w:rsidR="007055C4">
        <w:t xml:space="preserve">. </w:t>
      </w:r>
      <w:r w:rsidR="007055C4" w:rsidRPr="002C286B">
        <w:t xml:space="preserve">The various flow types </w:t>
      </w:r>
      <w:r w:rsidR="007055C4">
        <w:t>of the Lower Murray River</w:t>
      </w:r>
      <w:r w:rsidR="00A230B1">
        <w:t xml:space="preserve"> (LMR)</w:t>
      </w:r>
      <w:r w:rsidR="007055C4">
        <w:t xml:space="preserve"> </w:t>
      </w:r>
      <w:r w:rsidR="007055C4" w:rsidRPr="002C286B">
        <w:t xml:space="preserve">as described </w:t>
      </w:r>
      <w:r w:rsidR="007055C4">
        <w:t xml:space="preserve">in </w:t>
      </w:r>
      <w:r w:rsidR="007055C4" w:rsidRPr="002C286B">
        <w:t>the Murray–Darling Basin Plan (</w:t>
      </w:r>
      <w:r w:rsidR="00DD241A">
        <w:t xml:space="preserve">MDBA </w:t>
      </w:r>
      <w:r w:rsidR="007055C4" w:rsidRPr="002C286B">
        <w:t>201</w:t>
      </w:r>
      <w:r w:rsidR="00DD241A">
        <w:t>1</w:t>
      </w:r>
      <w:r w:rsidR="007055C4" w:rsidRPr="002C286B">
        <w:t>)</w:t>
      </w:r>
      <w:r w:rsidR="00A230B1">
        <w:t xml:space="preserve"> and how flow volumes translate to lotic habitat in the contemporary</w:t>
      </w:r>
      <w:bookmarkEnd w:id="41"/>
      <w:r w:rsidR="00163742">
        <w:t xml:space="preserve"> LMR</w:t>
      </w:r>
      <w:r w:rsidR="008C10C6">
        <w:t xml:space="preserve"> (Lock 1 to Lock 6 reach)</w:t>
      </w:r>
      <w:r w:rsidR="00163742" w:rsidRPr="002C286B">
        <w:t>.</w:t>
      </w:r>
      <w:bookmarkEnd w:id="42"/>
    </w:p>
    <w:bookmarkEnd w:id="43"/>
    <w:p w14:paraId="0114F888" w14:textId="31447278" w:rsidR="003423B8" w:rsidRDefault="003423B8" w:rsidP="003423B8">
      <w:r>
        <w:t xml:space="preserve">In the Lower Murray, </w:t>
      </w:r>
      <w:r w:rsidR="001214E8">
        <w:t xml:space="preserve">it was anticipated that </w:t>
      </w:r>
      <w:r>
        <w:t>environmental water delivery that contribute</w:t>
      </w:r>
      <w:r w:rsidR="001214E8">
        <w:t>d</w:t>
      </w:r>
      <w:r>
        <w:t xml:space="preserve"> to base flows and freshes </w:t>
      </w:r>
      <w:r w:rsidR="00235726">
        <w:t xml:space="preserve">would: </w:t>
      </w:r>
      <w:r>
        <w:t xml:space="preserve">increase stream velocity, mixing and </w:t>
      </w:r>
      <w:r w:rsidR="00636199">
        <w:t>dilution; increase variability in water levels; increase the inundated area of</w:t>
      </w:r>
      <w:r w:rsidR="00E0142F">
        <w:t xml:space="preserve"> the</w:t>
      </w:r>
      <w:r w:rsidR="00636199">
        <w:t xml:space="preserve"> littoral zone of channels, low-lying wetlands and floodplains; and</w:t>
      </w:r>
      <w:r>
        <w:t xml:space="preserve"> improve connectivity</w:t>
      </w:r>
      <w:r w:rsidRPr="00AA6B63">
        <w:t xml:space="preserve"> between freshwater, estuarine and marine environments</w:t>
      </w:r>
      <w:r>
        <w:t xml:space="preserve"> (Ye </w:t>
      </w:r>
      <w:r w:rsidRPr="003423B8">
        <w:rPr>
          <w:i/>
          <w:iCs/>
        </w:rPr>
        <w:t>et al.</w:t>
      </w:r>
      <w:r>
        <w:t xml:space="preserve"> 2020</w:t>
      </w:r>
      <w:r w:rsidR="0036505B">
        <w:t>a</w:t>
      </w:r>
      <w:r>
        <w:t xml:space="preserve">). These changes to hydrological/hydraulic conditions in the LMR </w:t>
      </w:r>
      <w:r w:rsidR="00235726">
        <w:t>were</w:t>
      </w:r>
      <w:r>
        <w:t xml:space="preserve"> expected to lead to:</w:t>
      </w:r>
    </w:p>
    <w:p w14:paraId="265B4DB8" w14:textId="77777777" w:rsidR="006E6A7E" w:rsidRDefault="006E6A7E" w:rsidP="006E6A7E">
      <w:pPr>
        <w:pStyle w:val="ListParagraph"/>
        <w:numPr>
          <w:ilvl w:val="0"/>
          <w:numId w:val="4"/>
        </w:numPr>
      </w:pPr>
      <w:r>
        <w:t>Maintained dissolved oxygen and water quality due to increased mixing and discharge;</w:t>
      </w:r>
    </w:p>
    <w:p w14:paraId="2D5D80BC" w14:textId="523A7D6C" w:rsidR="00115809" w:rsidRDefault="00115809" w:rsidP="007B56CE">
      <w:pPr>
        <w:pStyle w:val="ListParagraph"/>
        <w:numPr>
          <w:ilvl w:val="0"/>
          <w:numId w:val="4"/>
        </w:numPr>
      </w:pPr>
      <w:r>
        <w:t xml:space="preserve">Increased productivity </w:t>
      </w:r>
      <w:r w:rsidR="00076584">
        <w:t xml:space="preserve">due to lateral </w:t>
      </w:r>
      <w:r>
        <w:t>transport of organic material</w:t>
      </w:r>
      <w:r w:rsidR="005961D7">
        <w:t>;</w:t>
      </w:r>
    </w:p>
    <w:p w14:paraId="77208755" w14:textId="28EA8901" w:rsidR="00115809" w:rsidRDefault="00115809" w:rsidP="007B56CE">
      <w:pPr>
        <w:pStyle w:val="ListParagraph"/>
        <w:numPr>
          <w:ilvl w:val="0"/>
          <w:numId w:val="4"/>
        </w:numPr>
      </w:pPr>
      <w:r>
        <w:t>Increased transport of dissolved and particulate matter (salt and nutrients) downstream due to mobilisation and increased discharge</w:t>
      </w:r>
      <w:r w:rsidR="005961D7">
        <w:t>;</w:t>
      </w:r>
    </w:p>
    <w:p w14:paraId="74348421" w14:textId="67C8F8E1" w:rsidR="004D4CA4" w:rsidRDefault="004D4CA4" w:rsidP="007B56CE">
      <w:pPr>
        <w:pStyle w:val="ListParagraph"/>
        <w:numPr>
          <w:ilvl w:val="0"/>
          <w:numId w:val="4"/>
        </w:numPr>
      </w:pPr>
      <w:r w:rsidRPr="004D4CA4">
        <w:t>Increased littoral understorey vegetation diversity, productivity and community resilience</w:t>
      </w:r>
      <w:r w:rsidR="00F46757">
        <w:t xml:space="preserve"> due to increased water level</w:t>
      </w:r>
      <w:r w:rsidR="00F64EF3">
        <w:t xml:space="preserve"> variability</w:t>
      </w:r>
      <w:r w:rsidR="005961D7">
        <w:t>;</w:t>
      </w:r>
    </w:p>
    <w:p w14:paraId="35F4BC52" w14:textId="7C3DD628" w:rsidR="00115809" w:rsidRDefault="00115809" w:rsidP="007B56CE">
      <w:pPr>
        <w:pStyle w:val="ListParagraph"/>
        <w:numPr>
          <w:ilvl w:val="0"/>
          <w:numId w:val="4"/>
        </w:numPr>
      </w:pPr>
      <w:r>
        <w:t xml:space="preserve">Increased </w:t>
      </w:r>
      <w:r w:rsidR="004D4CA4">
        <w:t xml:space="preserve">microinvertebrate </w:t>
      </w:r>
      <w:r w:rsidR="00DD4808">
        <w:t>(</w:t>
      </w:r>
      <w:r w:rsidR="004D4CA4">
        <w:t>and egg-bank</w:t>
      </w:r>
      <w:r w:rsidR="00DD4808">
        <w:t>)</w:t>
      </w:r>
      <w:r w:rsidR="004D4CA4">
        <w:t xml:space="preserve"> </w:t>
      </w:r>
      <w:r w:rsidR="00DD4808">
        <w:t>diversity and abundance d</w:t>
      </w:r>
      <w:r w:rsidR="00076584">
        <w:t xml:space="preserve">ue to </w:t>
      </w:r>
      <w:r w:rsidR="00144D9C">
        <w:t xml:space="preserve">increased inundated area </w:t>
      </w:r>
      <w:r w:rsidR="00794A20">
        <w:t xml:space="preserve">in littoral and off-channel habitats </w:t>
      </w:r>
      <w:r w:rsidR="00076584">
        <w:t>from increased water levels and discharge</w:t>
      </w:r>
      <w:r w:rsidR="005961D7">
        <w:t>;</w:t>
      </w:r>
    </w:p>
    <w:p w14:paraId="4168C1F0" w14:textId="7BC8528B" w:rsidR="008649B5" w:rsidRPr="008649B5" w:rsidRDefault="008649B5" w:rsidP="008649B5">
      <w:pPr>
        <w:pStyle w:val="ListParagraph"/>
        <w:numPr>
          <w:ilvl w:val="0"/>
          <w:numId w:val="4"/>
        </w:numPr>
      </w:pPr>
      <w:r w:rsidRPr="008649B5">
        <w:t xml:space="preserve">Increased </w:t>
      </w:r>
      <w:r w:rsidR="002B1324">
        <w:t>abundance</w:t>
      </w:r>
      <w:r w:rsidRPr="008649B5">
        <w:t xml:space="preserve"> of </w:t>
      </w:r>
      <w:r w:rsidR="008424FF">
        <w:t xml:space="preserve">microinvertebrate </w:t>
      </w:r>
      <w:r w:rsidRPr="008649B5">
        <w:t>taxa common to upstream areas and those that have been found to proliferate during times of high velocity and longitudinal connectivity due to entrainment and downstream transportation</w:t>
      </w:r>
      <w:r>
        <w:t>;</w:t>
      </w:r>
    </w:p>
    <w:p w14:paraId="08E953C2" w14:textId="1EFB8B3B" w:rsidR="00115809" w:rsidRDefault="00115809" w:rsidP="007B56CE">
      <w:pPr>
        <w:pStyle w:val="ListParagraph"/>
        <w:numPr>
          <w:ilvl w:val="0"/>
          <w:numId w:val="4"/>
        </w:numPr>
      </w:pPr>
      <w:r>
        <w:t>Increased larval abundance of flow-</w:t>
      </w:r>
      <w:r w:rsidR="002D7509">
        <w:t>cued spawning</w:t>
      </w:r>
      <w:r>
        <w:t xml:space="preserve"> fish species </w:t>
      </w:r>
      <w:r w:rsidR="004D4CA4">
        <w:t>(golden perch</w:t>
      </w:r>
      <w:r w:rsidR="009A7E89">
        <w:t>,</w:t>
      </w:r>
      <w:r w:rsidR="00144D9C">
        <w:t xml:space="preserve"> </w:t>
      </w:r>
      <w:r w:rsidR="00A7193C" w:rsidRPr="00A7193C">
        <w:rPr>
          <w:i/>
          <w:iCs/>
        </w:rPr>
        <w:t>Macqu</w:t>
      </w:r>
      <w:r w:rsidR="00A7193C">
        <w:rPr>
          <w:i/>
          <w:iCs/>
        </w:rPr>
        <w:t>a</w:t>
      </w:r>
      <w:r w:rsidR="00A7193C" w:rsidRPr="00A7193C">
        <w:rPr>
          <w:i/>
          <w:iCs/>
        </w:rPr>
        <w:t>ria ambigua</w:t>
      </w:r>
      <w:r w:rsidR="00A7193C">
        <w:t xml:space="preserve"> </w:t>
      </w:r>
      <w:r w:rsidR="00144D9C">
        <w:t>and silver perch</w:t>
      </w:r>
      <w:r w:rsidR="004D4CA4">
        <w:t xml:space="preserve">) </w:t>
      </w:r>
      <w:r>
        <w:t>due to the provision of flow-cues for spawning and increased larval drift and dispersion</w:t>
      </w:r>
      <w:r w:rsidR="005961D7">
        <w:t>;</w:t>
      </w:r>
    </w:p>
    <w:p w14:paraId="7A3EF544" w14:textId="5BC2841F" w:rsidR="00115809" w:rsidRDefault="00115809" w:rsidP="007B56CE">
      <w:pPr>
        <w:pStyle w:val="ListParagraph"/>
        <w:numPr>
          <w:ilvl w:val="0"/>
          <w:numId w:val="4"/>
        </w:numPr>
      </w:pPr>
      <w:r>
        <w:t xml:space="preserve">Increased recruitment of </w:t>
      </w:r>
      <w:r w:rsidR="002D7509">
        <w:t>flow-cued spawning</w:t>
      </w:r>
      <w:r>
        <w:t xml:space="preserve"> fish species due to increased spawning and larval drift, and enhanced survival rate due to increased productivity</w:t>
      </w:r>
      <w:r w:rsidR="005961D7">
        <w:t>;</w:t>
      </w:r>
    </w:p>
    <w:p w14:paraId="5A56DEEF" w14:textId="45DDD50F" w:rsidR="004D4CA4" w:rsidRDefault="004D4CA4" w:rsidP="007B56CE">
      <w:pPr>
        <w:pStyle w:val="ListParagraph"/>
        <w:numPr>
          <w:ilvl w:val="0"/>
          <w:numId w:val="4"/>
        </w:numPr>
      </w:pPr>
      <w:r w:rsidRPr="004D4CA4">
        <w:t>Improved recruitment and population resilience of main channel specialist fish species (Murray cod)</w:t>
      </w:r>
      <w:r>
        <w:t xml:space="preserve"> due to</w:t>
      </w:r>
      <w:r w:rsidR="00E376F1">
        <w:t xml:space="preserve"> increase in lotic habitat and </w:t>
      </w:r>
      <w:r w:rsidR="00F46757">
        <w:t>productivity</w:t>
      </w:r>
      <w:r w:rsidR="005961D7">
        <w:t>;</w:t>
      </w:r>
    </w:p>
    <w:p w14:paraId="22521E0E" w14:textId="0B4B4BE7" w:rsidR="006E6A7E" w:rsidRDefault="006E6A7E" w:rsidP="006E6A7E">
      <w:pPr>
        <w:pStyle w:val="ListParagraph"/>
        <w:numPr>
          <w:ilvl w:val="0"/>
          <w:numId w:val="4"/>
        </w:numPr>
      </w:pPr>
      <w:r w:rsidRPr="004D4CA4">
        <w:t>Increased salt export out of the MDB</w:t>
      </w:r>
      <w:r w:rsidR="009A7E89">
        <w:t>,</w:t>
      </w:r>
      <w:r w:rsidRPr="004D4CA4">
        <w:t xml:space="preserve"> </w:t>
      </w:r>
      <w:r>
        <w:t xml:space="preserve">reduced salt import into the Coorong, </w:t>
      </w:r>
      <w:r w:rsidRPr="004D4CA4">
        <w:t>and reduced salinities</w:t>
      </w:r>
      <w:r>
        <w:t>; and</w:t>
      </w:r>
    </w:p>
    <w:p w14:paraId="4357CE4A" w14:textId="669C408F" w:rsidR="006E6A7E" w:rsidRDefault="006E6A7E" w:rsidP="006E6A7E">
      <w:pPr>
        <w:pStyle w:val="ListParagraph"/>
        <w:numPr>
          <w:ilvl w:val="0"/>
          <w:numId w:val="4"/>
        </w:numPr>
      </w:pPr>
      <w:r>
        <w:lastRenderedPageBreak/>
        <w:t>I</w:t>
      </w:r>
      <w:r w:rsidRPr="004D4CA4">
        <w:t>mproved fish habitats in the Coorong, and</w:t>
      </w:r>
      <w:r>
        <w:t xml:space="preserve"> </w:t>
      </w:r>
      <w:r w:rsidRPr="004D4CA4">
        <w:rPr>
          <w:i/>
        </w:rPr>
        <w:t>Ruppia tuberosa</w:t>
      </w:r>
      <w:r w:rsidRPr="004D4CA4">
        <w:t xml:space="preserve"> habitats at higher flow.</w:t>
      </w:r>
    </w:p>
    <w:p w14:paraId="040A1906" w14:textId="30A8AE7A" w:rsidR="00503001" w:rsidRDefault="00503001" w:rsidP="00503001">
      <w:pPr>
        <w:rPr>
          <w:rFonts w:asciiTheme="minorHAnsi" w:hAnsiTheme="minorHAnsi"/>
        </w:rPr>
      </w:pPr>
      <w:r w:rsidRPr="00503001">
        <w:t>Over the long-term</w:t>
      </w:r>
      <w:r w:rsidR="00F65A33">
        <w:t xml:space="preserve"> (decades)</w:t>
      </w:r>
      <w:r w:rsidRPr="00503001">
        <w:t xml:space="preserve">, environmental water delivery </w:t>
      </w:r>
      <w:r w:rsidR="00E954E0">
        <w:t>i</w:t>
      </w:r>
      <w:r w:rsidRPr="00503001">
        <w:t>s expected to make a significant contribution to achieving eco</w:t>
      </w:r>
      <w:r w:rsidR="00994ED4">
        <w:t xml:space="preserve">system </w:t>
      </w:r>
      <w:r w:rsidRPr="00503001">
        <w:t xml:space="preserve">outcomes in the </w:t>
      </w:r>
      <w:r w:rsidR="00DE56E1">
        <w:t>Lower Murray</w:t>
      </w:r>
      <w:r w:rsidRPr="00503001">
        <w:t xml:space="preserve">, through restoring ecological processes and improving habitat for biota in the main channel and floodplain/wetlands. A consolidated view of the expected outcomes </w:t>
      </w:r>
      <w:r w:rsidR="005E2E99">
        <w:t xml:space="preserve">driven by flow </w:t>
      </w:r>
      <w:r w:rsidRPr="00503001">
        <w:t xml:space="preserve">for the </w:t>
      </w:r>
      <w:r w:rsidR="00DE56E1">
        <w:t>Lower Murray</w:t>
      </w:r>
      <w:r w:rsidR="00DE56E1" w:rsidRPr="00503001">
        <w:t xml:space="preserve"> </w:t>
      </w:r>
      <w:r w:rsidRPr="00503001">
        <w:t xml:space="preserve">is presented in </w:t>
      </w:r>
      <w:r w:rsidRPr="00503001">
        <w:fldChar w:fldCharType="begin"/>
      </w:r>
      <w:r w:rsidRPr="00503001">
        <w:instrText xml:space="preserve"> REF _Ref15999013 \h  \* MERGEFORMAT </w:instrText>
      </w:r>
      <w:r w:rsidRPr="00503001">
        <w:fldChar w:fldCharType="separate"/>
      </w:r>
      <w:r w:rsidR="00102828">
        <w:t xml:space="preserve">Figure </w:t>
      </w:r>
      <w:r w:rsidR="00102828">
        <w:rPr>
          <w:noProof/>
        </w:rPr>
        <w:t>3</w:t>
      </w:r>
      <w:r w:rsidRPr="00503001">
        <w:fldChar w:fldCharType="end"/>
      </w:r>
      <w:r w:rsidRPr="00503001">
        <w:t xml:space="preserve">, which includes core monitoring indicators of the </w:t>
      </w:r>
      <w:r w:rsidR="001F0CE6">
        <w:t>Flow-</w:t>
      </w:r>
      <w:r w:rsidR="00DE56E1">
        <w:t>MER</w:t>
      </w:r>
      <w:r w:rsidRPr="00503001">
        <w:t xml:space="preserve"> Project</w:t>
      </w:r>
      <w:r w:rsidR="005F4769">
        <w:t xml:space="preserve">. The conceptual diagram </w:t>
      </w:r>
      <w:r w:rsidR="00353D1D">
        <w:t xml:space="preserve">demonstrates the inter-relationships between </w:t>
      </w:r>
      <w:r w:rsidR="005F4769">
        <w:t xml:space="preserve">the changes of </w:t>
      </w:r>
      <w:r w:rsidR="00353D1D">
        <w:t>hydrological</w:t>
      </w:r>
      <w:r w:rsidR="005F4769">
        <w:t xml:space="preserve">/hydraulic regime and </w:t>
      </w:r>
      <w:r w:rsidR="00353D1D">
        <w:t xml:space="preserve">riverine productivity (stream metabolism, </w:t>
      </w:r>
      <w:r w:rsidR="00412AC1">
        <w:t xml:space="preserve">vegetation, </w:t>
      </w:r>
      <w:r w:rsidR="00353D1D">
        <w:t>microinvertebrates) and</w:t>
      </w:r>
      <w:r w:rsidR="005F4769">
        <w:t xml:space="preserve"> matter transport, and </w:t>
      </w:r>
      <w:r w:rsidR="00353D1D">
        <w:t>how these may influence</w:t>
      </w:r>
      <w:r w:rsidR="00412AC1">
        <w:t xml:space="preserve"> fish</w:t>
      </w:r>
      <w:r w:rsidR="00353D1D">
        <w:t xml:space="preserve"> spawning and recruitment </w:t>
      </w:r>
      <w:r w:rsidR="005F4769">
        <w:t xml:space="preserve">and the overall fish assemblage in the </w:t>
      </w:r>
      <w:r w:rsidR="00412AC1">
        <w:t>Lower Murray</w:t>
      </w:r>
      <w:r w:rsidRPr="00503001">
        <w:t>.</w:t>
      </w:r>
    </w:p>
    <w:p w14:paraId="0A2EB9FC" w14:textId="684ADC55" w:rsidR="00A940FE" w:rsidRDefault="00A940FE" w:rsidP="00A940FE">
      <w:pPr>
        <w:jc w:val="center"/>
        <w:rPr>
          <w:kern w:val="0"/>
          <w:lang w:val="en-US"/>
        </w:rPr>
      </w:pPr>
      <w:bookmarkStart w:id="44" w:name="_Ref391538119"/>
      <w:r>
        <w:rPr>
          <w:kern w:val="0"/>
          <w:lang w:val="en-US"/>
        </w:rPr>
        <w:t xml:space="preserve">     </w:t>
      </w:r>
      <w:r w:rsidR="000F4CCA" w:rsidRPr="000F4CCA">
        <w:rPr>
          <w:noProof/>
        </w:rPr>
        <w:drawing>
          <wp:inline distT="0" distB="0" distL="0" distR="0" wp14:anchorId="17FB3D43" wp14:editId="0CEA8116">
            <wp:extent cx="3444735" cy="4323283"/>
            <wp:effectExtent l="0" t="0" r="3810" b="1270"/>
            <wp:docPr id="28" name="Picture 28" descr="Cause and effect diagram of flow for the main channel of the Lower Murray with respect to the proposed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ause and effect diagram of flow for the main channel of the Lower Murray with respect to the proposed indicator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55874" cy="4337262"/>
                    </a:xfrm>
                    <a:prstGeom prst="rect">
                      <a:avLst/>
                    </a:prstGeom>
                    <a:noFill/>
                    <a:ln>
                      <a:noFill/>
                    </a:ln>
                  </pic:spPr>
                </pic:pic>
              </a:graphicData>
            </a:graphic>
          </wp:inline>
        </w:drawing>
      </w:r>
    </w:p>
    <w:p w14:paraId="0E596A44" w14:textId="0A1209FD" w:rsidR="00621E28" w:rsidRDefault="00A940FE" w:rsidP="00A940FE">
      <w:pPr>
        <w:pStyle w:val="Caption"/>
        <w:rPr>
          <w:rFonts w:eastAsiaTheme="minorEastAsia"/>
          <w:kern w:val="24"/>
          <w:lang w:val="en-US"/>
        </w:rPr>
      </w:pPr>
      <w:bookmarkStart w:id="45" w:name="_Ref15999013"/>
      <w:bookmarkStart w:id="46" w:name="_Toc12630431"/>
      <w:bookmarkStart w:id="47" w:name="_Toc103170058"/>
      <w:bookmarkStart w:id="48" w:name="_Toc200464454"/>
      <w:bookmarkEnd w:id="44"/>
      <w:r>
        <w:t xml:space="preserve">Figure </w:t>
      </w:r>
      <w:r>
        <w:fldChar w:fldCharType="begin"/>
      </w:r>
      <w:r>
        <w:instrText>SEQ Figure \* ARABIC</w:instrText>
      </w:r>
      <w:r>
        <w:fldChar w:fldCharType="separate"/>
      </w:r>
      <w:r w:rsidR="00102828">
        <w:rPr>
          <w:noProof/>
        </w:rPr>
        <w:t>3</w:t>
      </w:r>
      <w:r>
        <w:fldChar w:fldCharType="end"/>
      </w:r>
      <w:bookmarkEnd w:id="45"/>
      <w:r>
        <w:t xml:space="preserve">. </w:t>
      </w:r>
      <w:bookmarkEnd w:id="46"/>
      <w:r w:rsidRPr="00A940FE">
        <w:rPr>
          <w:rFonts w:eastAsiaTheme="minorEastAsia"/>
          <w:kern w:val="24"/>
          <w:lang w:val="en-US"/>
        </w:rPr>
        <w:t xml:space="preserve">Cause and effect diagram of flow for the main channel of the </w:t>
      </w:r>
      <w:r w:rsidR="00314F1A">
        <w:rPr>
          <w:rFonts w:eastAsiaTheme="minorEastAsia"/>
          <w:kern w:val="24"/>
          <w:lang w:val="en-US"/>
        </w:rPr>
        <w:t>Lower Murray</w:t>
      </w:r>
      <w:r w:rsidR="00314F1A" w:rsidRPr="00A940FE">
        <w:rPr>
          <w:rFonts w:eastAsiaTheme="minorEastAsia"/>
          <w:kern w:val="24"/>
          <w:lang w:val="en-US"/>
        </w:rPr>
        <w:t xml:space="preserve"> </w:t>
      </w:r>
      <w:r w:rsidRPr="00A940FE">
        <w:rPr>
          <w:rFonts w:eastAsiaTheme="minorEastAsia"/>
          <w:kern w:val="24"/>
          <w:lang w:val="en-US"/>
        </w:rPr>
        <w:t>with respect to the proposed indicators. Magnitude, timing and duration are factors of flow (in black).</w:t>
      </w:r>
      <w:r w:rsidR="003B7B0C">
        <w:rPr>
          <w:rFonts w:eastAsiaTheme="minorEastAsia"/>
          <w:kern w:val="24"/>
          <w:lang w:val="en-US"/>
        </w:rPr>
        <w:t xml:space="preserve"> </w:t>
      </w:r>
      <w:r w:rsidR="00C87E9E">
        <w:rPr>
          <w:rFonts w:eastAsiaTheme="minorEastAsia"/>
          <w:kern w:val="24"/>
          <w:lang w:val="en-US"/>
        </w:rPr>
        <w:t>Yellow</w:t>
      </w:r>
      <w:r w:rsidR="003B7B0C" w:rsidRPr="003B7B0C">
        <w:rPr>
          <w:rFonts w:eastAsiaTheme="minorEastAsia"/>
          <w:kern w:val="24"/>
          <w:lang w:val="en-US"/>
        </w:rPr>
        <w:t xml:space="preserve"> indicators followed standard protocols to support quantitative Basin-wide and Selected Ar</w:t>
      </w:r>
      <w:r w:rsidR="003B7B0C">
        <w:rPr>
          <w:rFonts w:eastAsiaTheme="minorEastAsia"/>
          <w:kern w:val="24"/>
          <w:lang w:val="en-US"/>
        </w:rPr>
        <w:t xml:space="preserve">ea evaluation, where applicable. </w:t>
      </w:r>
      <w:r w:rsidR="00C87E9E">
        <w:rPr>
          <w:rFonts w:eastAsiaTheme="minorEastAsia"/>
          <w:kern w:val="24"/>
          <w:lang w:val="en-US"/>
        </w:rPr>
        <w:t>Purple</w:t>
      </w:r>
      <w:r w:rsidR="003B7B0C" w:rsidRPr="003B7B0C">
        <w:rPr>
          <w:rFonts w:eastAsiaTheme="minorEastAsia"/>
          <w:kern w:val="24"/>
          <w:lang w:val="en-US"/>
        </w:rPr>
        <w:t xml:space="preserve"> indicators were developed to address objectives and test Selected Area-specific hypotheses with respect to biological/ecological response to environmental flows.</w:t>
      </w:r>
      <w:bookmarkEnd w:id="47"/>
      <w:bookmarkEnd w:id="48"/>
    </w:p>
    <w:p w14:paraId="4A9DBB74" w14:textId="77777777" w:rsidR="00621E28" w:rsidRDefault="00621E28">
      <w:pPr>
        <w:spacing w:before="0" w:after="160" w:line="259" w:lineRule="auto"/>
        <w:jc w:val="left"/>
        <w:rPr>
          <w:rFonts w:eastAsiaTheme="minorEastAsia"/>
          <w:b/>
          <w:bCs/>
          <w:color w:val="auto"/>
          <w:kern w:val="24"/>
          <w:sz w:val="20"/>
          <w:szCs w:val="18"/>
          <w:lang w:val="en-US"/>
        </w:rPr>
      </w:pPr>
      <w:r>
        <w:rPr>
          <w:rFonts w:eastAsiaTheme="minorEastAsia"/>
          <w:kern w:val="24"/>
          <w:lang w:val="en-US"/>
        </w:rPr>
        <w:br w:type="page"/>
      </w:r>
    </w:p>
    <w:p w14:paraId="56067737" w14:textId="2117298B" w:rsidR="00986C11" w:rsidRDefault="00986C11" w:rsidP="008756F6">
      <w:pPr>
        <w:pStyle w:val="Heading2"/>
      </w:pPr>
      <w:bookmarkStart w:id="49" w:name="_Ref25159400"/>
      <w:bookmarkStart w:id="50" w:name="_Ref25159866"/>
      <w:bookmarkStart w:id="51" w:name="_Ref25331850"/>
      <w:bookmarkStart w:id="52" w:name="_Ref25846459"/>
      <w:bookmarkStart w:id="53" w:name="_Ref30588609"/>
      <w:bookmarkStart w:id="54" w:name="_Toc200467855"/>
      <w:r>
        <w:lastRenderedPageBreak/>
        <w:t>Environmental water delivery</w:t>
      </w:r>
      <w:bookmarkEnd w:id="49"/>
      <w:bookmarkEnd w:id="50"/>
      <w:bookmarkEnd w:id="51"/>
      <w:bookmarkEnd w:id="52"/>
      <w:bookmarkEnd w:id="53"/>
      <w:bookmarkEnd w:id="54"/>
    </w:p>
    <w:p w14:paraId="00381542" w14:textId="1E26B142" w:rsidR="002C286B" w:rsidRDefault="00FB5172" w:rsidP="002C286B">
      <w:r>
        <w:t>Since 2011-</w:t>
      </w:r>
      <w:r w:rsidRPr="00FB5172">
        <w:t>12</w:t>
      </w:r>
      <w:r w:rsidR="00822A0C">
        <w:t>,</w:t>
      </w:r>
      <w:r w:rsidR="002D23DD">
        <w:t xml:space="preserve"> </w:t>
      </w:r>
      <w:r w:rsidR="00822A0C">
        <w:t xml:space="preserve">environmental water has been delivered to the </w:t>
      </w:r>
      <w:r w:rsidR="00086886">
        <w:t>LMR</w:t>
      </w:r>
      <w:r w:rsidR="00BE0669">
        <w:t xml:space="preserve"> </w:t>
      </w:r>
      <w:r w:rsidR="00522796">
        <w:t>to</w:t>
      </w:r>
      <w:r w:rsidR="00BE0669">
        <w:t xml:space="preserve"> increase</w:t>
      </w:r>
      <w:r w:rsidR="00F94034">
        <w:t xml:space="preserve"> or maintain</w:t>
      </w:r>
      <w:r w:rsidR="00BE0669">
        <w:t xml:space="preserve"> </w:t>
      </w:r>
      <w:r w:rsidR="00522796">
        <w:t xml:space="preserve">river </w:t>
      </w:r>
      <w:r w:rsidR="00BE0669">
        <w:t>flows</w:t>
      </w:r>
      <w:r w:rsidR="00822A0C">
        <w:t xml:space="preserve"> </w:t>
      </w:r>
      <w:r w:rsidR="002D23DD">
        <w:t>(</w:t>
      </w:r>
      <w:r w:rsidR="002D23DD">
        <w:fldChar w:fldCharType="begin"/>
      </w:r>
      <w:r w:rsidR="002D23DD">
        <w:instrText xml:space="preserve"> REF _Ref416335393 \h </w:instrText>
      </w:r>
      <w:r w:rsidR="002D23DD">
        <w:fldChar w:fldCharType="separate"/>
      </w:r>
      <w:r w:rsidR="00102828" w:rsidRPr="0007443D">
        <w:t xml:space="preserve">Figure </w:t>
      </w:r>
      <w:r w:rsidR="00102828">
        <w:rPr>
          <w:noProof/>
        </w:rPr>
        <w:t>4</w:t>
      </w:r>
      <w:r w:rsidR="002D23DD">
        <w:fldChar w:fldCharType="end"/>
      </w:r>
      <w:r w:rsidR="002D23DD">
        <w:t>)</w:t>
      </w:r>
      <w:r w:rsidR="00522796">
        <w:t xml:space="preserve"> and</w:t>
      </w:r>
      <w:r w:rsidR="00636199" w:rsidRPr="00FB5172">
        <w:t xml:space="preserve"> </w:t>
      </w:r>
      <w:r w:rsidR="00522796">
        <w:t>i</w:t>
      </w:r>
      <w:r w:rsidR="00240309">
        <w:t>mprove</w:t>
      </w:r>
      <w:r w:rsidR="00636199" w:rsidRPr="00FB5172">
        <w:t xml:space="preserve"> ecological</w:t>
      </w:r>
      <w:r w:rsidRPr="00FB5172">
        <w:t xml:space="preserve"> health </w:t>
      </w:r>
      <w:r w:rsidR="00BE6D9A" w:rsidRPr="00FB5172">
        <w:t>(</w:t>
      </w:r>
      <w:r w:rsidR="00BE6D9A" w:rsidRPr="00CF4D8B">
        <w:rPr>
          <w:rStyle w:val="Hyperlink"/>
        </w:rPr>
        <w:t>https://www.dcceew.gov.au/water/cewo</w:t>
      </w:r>
      <w:r w:rsidR="00BE6D9A">
        <w:t>)</w:t>
      </w:r>
      <w:r w:rsidR="00BE6D9A" w:rsidRPr="00FB5172">
        <w:t xml:space="preserve">. </w:t>
      </w:r>
      <w:r w:rsidR="002C286B" w:rsidRPr="00A6316B">
        <w:t>During the LTIM</w:t>
      </w:r>
      <w:r w:rsidR="003A7A72" w:rsidRPr="00A6316B">
        <w:t xml:space="preserve"> and </w:t>
      </w:r>
      <w:r w:rsidR="00AA5E8B">
        <w:t>Flow-</w:t>
      </w:r>
      <w:r w:rsidR="003A7A72" w:rsidRPr="00A6316B">
        <w:t>MER</w:t>
      </w:r>
      <w:r w:rsidR="002C286B" w:rsidRPr="00A6316B">
        <w:t xml:space="preserve"> </w:t>
      </w:r>
      <w:r w:rsidR="00807804">
        <w:t>P</w:t>
      </w:r>
      <w:r w:rsidR="002C286B" w:rsidRPr="00A6316B">
        <w:t>roject</w:t>
      </w:r>
      <w:r w:rsidR="001C2B46" w:rsidRPr="00A6316B">
        <w:t xml:space="preserve"> period</w:t>
      </w:r>
      <w:r w:rsidR="002C286B" w:rsidRPr="00A6316B">
        <w:t xml:space="preserve"> (2014-15 to 20</w:t>
      </w:r>
      <w:r w:rsidR="00013589" w:rsidRPr="00A6316B">
        <w:t>2</w:t>
      </w:r>
      <w:r w:rsidR="001F0CE6">
        <w:t>3</w:t>
      </w:r>
      <w:r w:rsidR="003A7A72" w:rsidRPr="00A6316B">
        <w:t>-2</w:t>
      </w:r>
      <w:r w:rsidR="001F0CE6">
        <w:t>4</w:t>
      </w:r>
      <w:r w:rsidR="002C286B" w:rsidRPr="00A6316B">
        <w:t xml:space="preserve">), </w:t>
      </w:r>
      <w:r w:rsidR="00676B77" w:rsidRPr="00A6316B">
        <w:t>a</w:t>
      </w:r>
      <w:r w:rsidR="004066B3" w:rsidRPr="00A6316B">
        <w:t xml:space="preserve">n average </w:t>
      </w:r>
      <w:r w:rsidR="004066B3" w:rsidRPr="00F86301">
        <w:t xml:space="preserve">of </w:t>
      </w:r>
      <w:r w:rsidR="00594158" w:rsidRPr="00F86301">
        <w:t>~</w:t>
      </w:r>
      <w:r w:rsidR="00A03885">
        <w:t>7</w:t>
      </w:r>
      <w:r w:rsidR="004F471C">
        <w:t>81</w:t>
      </w:r>
      <w:r w:rsidR="001F0CE6" w:rsidRPr="00F86301">
        <w:t> </w:t>
      </w:r>
      <w:r w:rsidR="009F092A" w:rsidRPr="00F86301">
        <w:t>GL</w:t>
      </w:r>
      <w:r w:rsidR="004066B3" w:rsidRPr="00F86301">
        <w:t>/y</w:t>
      </w:r>
      <w:r w:rsidR="009F092A" w:rsidRPr="00F86301">
        <w:t xml:space="preserve"> of </w:t>
      </w:r>
      <w:r w:rsidR="002C286B" w:rsidRPr="00F86301">
        <w:t>Common</w:t>
      </w:r>
      <w:r w:rsidR="002C286B" w:rsidRPr="00A6316B">
        <w:t xml:space="preserve">wealth environmental water </w:t>
      </w:r>
      <w:r w:rsidR="003A7A72" w:rsidRPr="00A6316B">
        <w:t>has been</w:t>
      </w:r>
      <w:r w:rsidR="002C286B" w:rsidRPr="00A6316B">
        <w:t xml:space="preserve"> delivered to the L</w:t>
      </w:r>
      <w:r w:rsidR="00676B77" w:rsidRPr="00A6316B">
        <w:t>MR</w:t>
      </w:r>
      <w:r w:rsidR="002C286B" w:rsidRPr="00A6316B">
        <w:t xml:space="preserve">, in conjunction with other environmental flows (i.e. </w:t>
      </w:r>
      <w:r w:rsidR="00E90C66" w:rsidRPr="00A6316B">
        <w:t xml:space="preserve">water from </w:t>
      </w:r>
      <w:r w:rsidR="002C286B" w:rsidRPr="00A6316B">
        <w:t>The Living Murray (TLM) Initiative, Victorian Environmental Water Holder</w:t>
      </w:r>
      <w:r w:rsidR="00676B77" w:rsidRPr="00A6316B">
        <w:t xml:space="preserve">, </w:t>
      </w:r>
      <w:r w:rsidR="00ED2CD6" w:rsidRPr="00A6316B">
        <w:t>River Murray Increased Flows</w:t>
      </w:r>
      <w:r w:rsidR="005B06B4" w:rsidRPr="00A6316B">
        <w:t>, and New South Wales Department of Planning, Industry and Environment</w:t>
      </w:r>
      <w:r w:rsidR="00ED2CD6" w:rsidRPr="00A6316B">
        <w:t>)</w:t>
      </w:r>
      <w:r w:rsidR="00831DD8">
        <w:t xml:space="preserve"> (</w:t>
      </w:r>
      <w:r w:rsidR="00831DD8">
        <w:fldChar w:fldCharType="begin"/>
      </w:r>
      <w:r w:rsidR="00831DD8">
        <w:instrText xml:space="preserve"> REF _Ref155771888 \h </w:instrText>
      </w:r>
      <w:r w:rsidR="00831DD8">
        <w:fldChar w:fldCharType="separate"/>
      </w:r>
      <w:r w:rsidR="00102828">
        <w:t xml:space="preserve">Table </w:t>
      </w:r>
      <w:r w:rsidR="00102828">
        <w:rPr>
          <w:noProof/>
        </w:rPr>
        <w:t>1</w:t>
      </w:r>
      <w:r w:rsidR="00831DD8">
        <w:fldChar w:fldCharType="end"/>
      </w:r>
      <w:r w:rsidR="00831DD8">
        <w:t>)</w:t>
      </w:r>
      <w:r w:rsidR="003B08B0" w:rsidRPr="00A6316B">
        <w:t>, with</w:t>
      </w:r>
      <w:r w:rsidR="004066B3" w:rsidRPr="00A6316B">
        <w:t xml:space="preserve"> an </w:t>
      </w:r>
      <w:r w:rsidR="004066B3" w:rsidRPr="00F86301">
        <w:t>average of</w:t>
      </w:r>
      <w:r w:rsidR="003B08B0" w:rsidRPr="00F86301">
        <w:t xml:space="preserve"> </w:t>
      </w:r>
      <w:r w:rsidR="00C14767" w:rsidRPr="00F86301">
        <w:t>~</w:t>
      </w:r>
      <w:r w:rsidR="00A03885">
        <w:t>716</w:t>
      </w:r>
      <w:r w:rsidR="004066B3" w:rsidRPr="00F86301">
        <w:t> </w:t>
      </w:r>
      <w:r w:rsidR="003B08B0" w:rsidRPr="00F86301">
        <w:t>GL</w:t>
      </w:r>
      <w:r w:rsidR="004066B3" w:rsidRPr="00F86301">
        <w:t>/y</w:t>
      </w:r>
      <w:r w:rsidR="003B08B0" w:rsidRPr="00F86301">
        <w:t xml:space="preserve"> of Commonwealth</w:t>
      </w:r>
      <w:r w:rsidR="003B08B0">
        <w:t xml:space="preserve"> environmental water </w:t>
      </w:r>
      <w:r w:rsidR="00864240">
        <w:t>flowing</w:t>
      </w:r>
      <w:r w:rsidR="003B08B0">
        <w:t xml:space="preserve"> </w:t>
      </w:r>
      <w:r w:rsidR="006539CB">
        <w:t xml:space="preserve">through </w:t>
      </w:r>
      <w:r w:rsidR="003B08B0">
        <w:t xml:space="preserve">the barrages into the Coorong </w:t>
      </w:r>
      <w:r w:rsidR="00E23C17">
        <w:t>(</w:t>
      </w:r>
      <w:r w:rsidR="00E23C17">
        <w:fldChar w:fldCharType="begin"/>
      </w:r>
      <w:r w:rsidR="00E23C17">
        <w:instrText xml:space="preserve"> REF _Ref57211234 \h </w:instrText>
      </w:r>
      <w:r w:rsidR="00E23C17">
        <w:fldChar w:fldCharType="separate"/>
      </w:r>
      <w:r w:rsidR="00102828" w:rsidRPr="00521E10">
        <w:t xml:space="preserve">Table </w:t>
      </w:r>
      <w:r w:rsidR="00102828">
        <w:rPr>
          <w:noProof/>
        </w:rPr>
        <w:t>2</w:t>
      </w:r>
      <w:r w:rsidR="00E23C17">
        <w:fldChar w:fldCharType="end"/>
      </w:r>
      <w:r w:rsidR="00E23C17">
        <w:t>)</w:t>
      </w:r>
      <w:r w:rsidR="00A430AA">
        <w:t xml:space="preserve">. </w:t>
      </w:r>
      <w:r w:rsidR="00F70D0C">
        <w:t xml:space="preserve">In 2023-24, the volume of Commonwealth environmental water </w:t>
      </w:r>
      <w:r w:rsidR="00A76938">
        <w:t xml:space="preserve">delivered to </w:t>
      </w:r>
      <w:r w:rsidR="00F70D0C">
        <w:t xml:space="preserve">the LMR </w:t>
      </w:r>
      <w:r w:rsidR="00A76938">
        <w:t xml:space="preserve">has been the </w:t>
      </w:r>
      <w:r w:rsidR="00F70D0C">
        <w:t>highest</w:t>
      </w:r>
      <w:r w:rsidR="00DF2041">
        <w:t xml:space="preserve"> </w:t>
      </w:r>
      <w:r w:rsidR="00A76938">
        <w:t>(</w:t>
      </w:r>
      <w:r w:rsidR="00F70D0C">
        <w:t>1,384</w:t>
      </w:r>
      <w:r w:rsidR="00522CB9">
        <w:t> </w:t>
      </w:r>
      <w:r w:rsidR="00F70D0C">
        <w:t>GL/y</w:t>
      </w:r>
      <w:r w:rsidR="00A76938">
        <w:t xml:space="preserve">) with </w:t>
      </w:r>
      <w:r w:rsidR="00F70D0C">
        <w:t xml:space="preserve">1,146 GL/y </w:t>
      </w:r>
      <w:r w:rsidR="00DF2041">
        <w:t>to support</w:t>
      </w:r>
      <w:r w:rsidR="00F70D0C">
        <w:t xml:space="preserve"> barrage flows. </w:t>
      </w:r>
      <w:r w:rsidR="00522CB9">
        <w:t>Across the ten-year</w:t>
      </w:r>
      <w:r w:rsidR="00ED4504">
        <w:t xml:space="preserve"> period, environmental water d</w:t>
      </w:r>
      <w:r w:rsidR="00ED2CD6">
        <w:t>eliveries</w:t>
      </w:r>
      <w:r w:rsidR="003A7A72">
        <w:t xml:space="preserve"> </w:t>
      </w:r>
      <w:r w:rsidR="00F92CF2">
        <w:t xml:space="preserve">to </w:t>
      </w:r>
      <w:r w:rsidR="003A7A72">
        <w:t>the LMR</w:t>
      </w:r>
      <w:r w:rsidR="002C286B">
        <w:t xml:space="preserve"> largely </w:t>
      </w:r>
      <w:r w:rsidR="00ED2CD6">
        <w:t xml:space="preserve">occurred </w:t>
      </w:r>
      <w:r w:rsidR="002C286B">
        <w:t>as return flows</w:t>
      </w:r>
      <w:r w:rsidR="00FA0F53">
        <w:t>, during winter and spring–early summer,</w:t>
      </w:r>
      <w:r w:rsidR="002C286B">
        <w:t xml:space="preserve"> through coordinated watering events across the southern connected Basin to achieve multi-site environmental outcomes. Direct orders of environmental water to the South Australian border also occurred for specific purposes, often during summer</w:t>
      </w:r>
      <w:r w:rsidR="00676B77">
        <w:rPr>
          <w:rFonts w:ascii="Symbol" w:eastAsia="Symbol" w:hAnsi="Symbol" w:cs="Symbol"/>
        </w:rPr>
        <w:t>-</w:t>
      </w:r>
      <w:r w:rsidR="002C286B">
        <w:t>autumn, to provide flow for the</w:t>
      </w:r>
      <w:r w:rsidR="00B903E1" w:rsidRPr="00B903E1">
        <w:t xml:space="preserve"> </w:t>
      </w:r>
      <w:r w:rsidR="00B903E1">
        <w:t xml:space="preserve">Lower Lakes </w:t>
      </w:r>
      <w:r w:rsidR="002C286B">
        <w:t xml:space="preserve">and Coorong. </w:t>
      </w:r>
    </w:p>
    <w:p w14:paraId="11F90B7F" w14:textId="5E6F4F14" w:rsidR="00857106" w:rsidRDefault="00DC4882" w:rsidP="00FA1238">
      <w:pPr>
        <w:pStyle w:val="Caption"/>
        <w:jc w:val="center"/>
      </w:pPr>
      <w:bookmarkStart w:id="55" w:name="_Ref15997729"/>
      <w:bookmarkStart w:id="56" w:name="_Ref27394892"/>
      <w:bookmarkStart w:id="57" w:name="_Ref34296992"/>
      <w:r>
        <w:rPr>
          <w:noProof/>
        </w:rPr>
        <w:drawing>
          <wp:inline distT="0" distB="0" distL="0" distR="0" wp14:anchorId="6F39A79A" wp14:editId="6E585824">
            <wp:extent cx="5731510" cy="3510280"/>
            <wp:effectExtent l="0" t="0" r="2540" b="0"/>
            <wp:docPr id="2087984635" name="Picture 1" descr="Graph of daily flow and modelled flow in the Lower Murray River at the South Australian border from July 1996 to July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984635" name="Picture 1" descr="Graph of daily flow and modelled flow in the Lower Murray River at the South Australian border from July 1996 to July 2024."/>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31510" cy="3510280"/>
                    </a:xfrm>
                    <a:prstGeom prst="rect">
                      <a:avLst/>
                    </a:prstGeom>
                  </pic:spPr>
                </pic:pic>
              </a:graphicData>
            </a:graphic>
          </wp:inline>
        </w:drawing>
      </w:r>
    </w:p>
    <w:p w14:paraId="26A6B019" w14:textId="100B2B69" w:rsidR="002B1C0D" w:rsidRPr="002B1C0D" w:rsidRDefault="00857106" w:rsidP="00605FB2">
      <w:pPr>
        <w:pStyle w:val="Captions"/>
      </w:pPr>
      <w:bookmarkStart w:id="58" w:name="_Ref416335393"/>
      <w:bookmarkStart w:id="59" w:name="_Toc442173724"/>
      <w:bookmarkStart w:id="60" w:name="_Toc3558353"/>
      <w:bookmarkStart w:id="61" w:name="_Toc103170059"/>
      <w:bookmarkStart w:id="62" w:name="_Toc200464455"/>
      <w:r w:rsidRPr="0007443D">
        <w:t xml:space="preserve">Figure </w:t>
      </w:r>
      <w:r w:rsidR="00967BB2">
        <w:fldChar w:fldCharType="begin"/>
      </w:r>
      <w:r w:rsidR="00967BB2">
        <w:instrText xml:space="preserve"> SEQ Figure \* ARABIC </w:instrText>
      </w:r>
      <w:r w:rsidR="00967BB2">
        <w:fldChar w:fldCharType="separate"/>
      </w:r>
      <w:r w:rsidR="00102828">
        <w:rPr>
          <w:noProof/>
        </w:rPr>
        <w:t>4</w:t>
      </w:r>
      <w:r w:rsidR="00967BB2">
        <w:rPr>
          <w:noProof/>
        </w:rPr>
        <w:fldChar w:fldCharType="end"/>
      </w:r>
      <w:bookmarkEnd w:id="58"/>
      <w:r w:rsidRPr="0007443D">
        <w:rPr>
          <w:noProof/>
        </w:rPr>
        <w:t>.</w:t>
      </w:r>
      <w:r w:rsidRPr="0007443D">
        <w:t xml:space="preserve"> </w:t>
      </w:r>
      <w:r w:rsidRPr="00952C29">
        <w:t>Daily flow (</w:t>
      </w:r>
      <w:r w:rsidRPr="00DC4882">
        <w:t xml:space="preserve">ML/d) in the </w:t>
      </w:r>
      <w:r w:rsidR="00B2342E" w:rsidRPr="00DC4882">
        <w:t>Lower Murray River</w:t>
      </w:r>
      <w:r w:rsidR="008C22A9" w:rsidRPr="00DC4882">
        <w:t xml:space="preserve"> (LMR)</w:t>
      </w:r>
      <w:r w:rsidR="00B2342E" w:rsidRPr="00DC4882">
        <w:t xml:space="preserve"> </w:t>
      </w:r>
      <w:r w:rsidRPr="00DC4882">
        <w:t>at the South Australian border (blue solid line) from J</w:t>
      </w:r>
      <w:r w:rsidR="00AA2618" w:rsidRPr="00DC4882">
        <w:t>uly</w:t>
      </w:r>
      <w:r w:rsidRPr="00DC4882">
        <w:t xml:space="preserve"> 1996 to July 20</w:t>
      </w:r>
      <w:r w:rsidR="00013589" w:rsidRPr="00DC4882">
        <w:t>2</w:t>
      </w:r>
      <w:r w:rsidR="009D5103" w:rsidRPr="00DC4882">
        <w:t>4</w:t>
      </w:r>
      <w:r w:rsidRPr="00DC4882">
        <w:t xml:space="preserve">, compared to modelled flow under natural conditions (grey dashed line). Approximate bankfull flow in the main channel of the </w:t>
      </w:r>
      <w:bookmarkEnd w:id="59"/>
      <w:r w:rsidRPr="00DC4882">
        <w:t>LMR is shown (black dashed line).</w:t>
      </w:r>
      <w:bookmarkEnd w:id="60"/>
      <w:bookmarkEnd w:id="61"/>
      <w:bookmarkEnd w:id="62"/>
      <w:r w:rsidR="002B1C0D">
        <w:t xml:space="preserve"> </w:t>
      </w:r>
    </w:p>
    <w:p w14:paraId="0D266CD8" w14:textId="77777777" w:rsidR="00BE579A" w:rsidRDefault="00BE579A" w:rsidP="00605FB2">
      <w:pPr>
        <w:pStyle w:val="Captions"/>
        <w:sectPr w:rsidR="00BE579A" w:rsidSect="008D628A">
          <w:footnotePr>
            <w:numFmt w:val="lowerLetter"/>
          </w:footnotePr>
          <w:pgSz w:w="11906" w:h="16838"/>
          <w:pgMar w:top="1440" w:right="1440" w:bottom="1440" w:left="1440" w:header="709" w:footer="709" w:gutter="0"/>
          <w:pgNumType w:start="1"/>
          <w:cols w:space="708"/>
          <w:docGrid w:linePitch="360"/>
        </w:sectPr>
      </w:pPr>
      <w:bookmarkStart w:id="63" w:name="_Ref50048539"/>
      <w:bookmarkStart w:id="64" w:name="_Toc101963859"/>
    </w:p>
    <w:p w14:paraId="05B226D0" w14:textId="1C3FA56F" w:rsidR="00432774" w:rsidRDefault="00432774" w:rsidP="00605FB2">
      <w:pPr>
        <w:pStyle w:val="Captions"/>
      </w:pPr>
      <w:bookmarkStart w:id="65" w:name="_Ref155771888"/>
      <w:bookmarkStart w:id="66" w:name="_Toc200464525"/>
      <w:r>
        <w:lastRenderedPageBreak/>
        <w:t xml:space="preserve">Table </w:t>
      </w:r>
      <w:r w:rsidR="0082737A">
        <w:fldChar w:fldCharType="begin"/>
      </w:r>
      <w:r w:rsidR="0082737A">
        <w:instrText xml:space="preserve"> SEQ Table \* ARABIC </w:instrText>
      </w:r>
      <w:r w:rsidR="0082737A">
        <w:fldChar w:fldCharType="separate"/>
      </w:r>
      <w:r w:rsidR="00102828">
        <w:rPr>
          <w:noProof/>
        </w:rPr>
        <w:t>1</w:t>
      </w:r>
      <w:r w:rsidR="0082737A">
        <w:rPr>
          <w:noProof/>
        </w:rPr>
        <w:fldChar w:fldCharType="end"/>
      </w:r>
      <w:bookmarkEnd w:id="55"/>
      <w:bookmarkEnd w:id="56"/>
      <w:bookmarkEnd w:id="57"/>
      <w:bookmarkEnd w:id="63"/>
      <w:bookmarkEnd w:id="65"/>
      <w:r>
        <w:t>.</w:t>
      </w:r>
      <w:r w:rsidRPr="009E24AC">
        <w:t xml:space="preserve"> </w:t>
      </w:r>
      <w:r w:rsidR="0056123D">
        <w:t xml:space="preserve">Total </w:t>
      </w:r>
      <w:r w:rsidRPr="009E24AC">
        <w:t>annual volumes (gigalitres</w:t>
      </w:r>
      <w:r w:rsidR="00660C9B">
        <w:t xml:space="preserve">, </w:t>
      </w:r>
      <w:r w:rsidR="00DA6DA1">
        <w:t>GL</w:t>
      </w:r>
      <w:r w:rsidRPr="009E24AC">
        <w:t>) of environmental water</w:t>
      </w:r>
      <w:r w:rsidR="008C0947">
        <w:t xml:space="preserve"> (eWater)</w:t>
      </w:r>
      <w:r w:rsidRPr="009E24AC">
        <w:t xml:space="preserve">, including Commonwealth environmental water (CEW), delivered to the </w:t>
      </w:r>
      <w:r w:rsidR="00B2342E">
        <w:t>Lower Murray River (</w:t>
      </w:r>
      <w:r w:rsidRPr="009E24AC">
        <w:t>LMR</w:t>
      </w:r>
      <w:r w:rsidR="00B2342E">
        <w:t>)</w:t>
      </w:r>
      <w:r w:rsidR="00A479A4">
        <w:t xml:space="preserve"> channel</w:t>
      </w:r>
      <w:r w:rsidRPr="009E24AC">
        <w:t xml:space="preserve"> (excludes wetland </w:t>
      </w:r>
      <w:r w:rsidR="00E6009A">
        <w:t>use</w:t>
      </w:r>
      <w:r w:rsidR="00DF4EBE">
        <w:t>*</w:t>
      </w:r>
      <w:r w:rsidRPr="009E24AC">
        <w:t>)</w:t>
      </w:r>
      <w:r w:rsidR="00FF6C90">
        <w:t xml:space="preserve"> and the proportion contribution towards total flow to the LMR (QSA)</w:t>
      </w:r>
      <w:r w:rsidR="00BE579A">
        <w:t xml:space="preserve"> </w:t>
      </w:r>
      <w:r w:rsidR="00BE579A" w:rsidRPr="00521E10">
        <w:t>from 2014</w:t>
      </w:r>
      <w:r w:rsidR="00BE579A">
        <w:t>-15 to 202</w:t>
      </w:r>
      <w:r w:rsidR="00844D96">
        <w:t>3</w:t>
      </w:r>
      <w:r w:rsidR="00BE579A">
        <w:t>-</w:t>
      </w:r>
      <w:r w:rsidR="00BE579A" w:rsidRPr="00521E10">
        <w:t>2</w:t>
      </w:r>
      <w:r w:rsidR="00844D96">
        <w:t>4</w:t>
      </w:r>
      <w:r w:rsidRPr="009E24AC">
        <w:t xml:space="preserve">. </w:t>
      </w:r>
      <w:r w:rsidR="00522796">
        <w:t>Accounted v</w:t>
      </w:r>
      <w:r w:rsidRPr="00542D50">
        <w:t xml:space="preserve">olumes </w:t>
      </w:r>
      <w:r w:rsidR="00522796">
        <w:t xml:space="preserve">are </w:t>
      </w:r>
      <w:r w:rsidR="00636199" w:rsidRPr="00542D50">
        <w:t xml:space="preserve">provided </w:t>
      </w:r>
      <w:r w:rsidR="00D330F1" w:rsidRPr="00542D50">
        <w:t>by</w:t>
      </w:r>
      <w:r w:rsidRPr="00542D50">
        <w:t xml:space="preserve"> the </w:t>
      </w:r>
      <w:r w:rsidR="0036587D">
        <w:t>CEWH</w:t>
      </w:r>
      <w:r w:rsidR="00E6009A">
        <w:t>,</w:t>
      </w:r>
      <w:r w:rsidRPr="009E24AC">
        <w:t xml:space="preserve"> include the environmental components of the South Australian entitlement</w:t>
      </w:r>
      <w:r w:rsidR="00A479A4">
        <w:t xml:space="preserve"> </w:t>
      </w:r>
      <w:r w:rsidR="0047563D">
        <w:t xml:space="preserve">(Ent.) </w:t>
      </w:r>
      <w:r w:rsidR="00A479A4">
        <w:t xml:space="preserve">and exclude environmental water delivered from the </w:t>
      </w:r>
      <w:r w:rsidR="00A479A4" w:rsidRPr="00A479A4">
        <w:t>S</w:t>
      </w:r>
      <w:r w:rsidR="00AE106F">
        <w:t xml:space="preserve">outh </w:t>
      </w:r>
      <w:r w:rsidR="00A479A4" w:rsidRPr="00A479A4">
        <w:t>A</w:t>
      </w:r>
      <w:r w:rsidR="00AE106F">
        <w:t>ustralian</w:t>
      </w:r>
      <w:r w:rsidR="00A479A4" w:rsidRPr="00A479A4">
        <w:t xml:space="preserve"> Minister for Environment and Water</w:t>
      </w:r>
      <w:r w:rsidR="00A479A4">
        <w:t xml:space="preserve"> and Accolade Wines (predominantly for wetland</w:t>
      </w:r>
      <w:r w:rsidR="007218AC">
        <w:t>s</w:t>
      </w:r>
      <w:r w:rsidR="00A479A4">
        <w:t>)</w:t>
      </w:r>
      <w:r w:rsidRPr="009E24AC">
        <w:t>. TLM = The Living Murray, VEWH = Victorian Environmental Water Holder, RMIF = River Murray Increased Flows</w:t>
      </w:r>
      <w:r w:rsidR="00676B77">
        <w:t>,</w:t>
      </w:r>
      <w:r w:rsidR="00345712">
        <w:t xml:space="preserve"> </w:t>
      </w:r>
      <w:r w:rsidR="00E858F2">
        <w:t>NSW</w:t>
      </w:r>
      <w:r w:rsidR="00345712">
        <w:t xml:space="preserve"> = NSW Office of Environment and Heritage</w:t>
      </w:r>
      <w:r w:rsidR="00E858F2">
        <w:t xml:space="preserve"> and NSW Department of Planning, Industry and Environment</w:t>
      </w:r>
      <w:r w:rsidR="00345712">
        <w:t>,</w:t>
      </w:r>
      <w:r w:rsidR="00676B77">
        <w:t xml:space="preserve"> </w:t>
      </w:r>
      <w:r w:rsidR="00A46CE8">
        <w:t>Other</w:t>
      </w:r>
      <w:r w:rsidR="00E44E3C">
        <w:t xml:space="preserve"> </w:t>
      </w:r>
      <w:r w:rsidR="00E858F2">
        <w:t xml:space="preserve">SA </w:t>
      </w:r>
      <w:r w:rsidR="00E44E3C">
        <w:t>=</w:t>
      </w:r>
      <w:r w:rsidR="00A46CE8">
        <w:t xml:space="preserve"> </w:t>
      </w:r>
      <w:r w:rsidR="00E858F2">
        <w:t xml:space="preserve">other </w:t>
      </w:r>
      <w:r w:rsidR="00A46CE8">
        <w:t>South Australian</w:t>
      </w:r>
      <w:r w:rsidR="00E858F2">
        <w:t xml:space="preserve"> </w:t>
      </w:r>
      <w:r w:rsidR="00A46CE8">
        <w:t xml:space="preserve">sources including </w:t>
      </w:r>
      <w:r w:rsidR="00C97B74">
        <w:t>Tolderol Wetland, Loveday Wetland, PCMW (Banrock), PCMW (Minister) and Minister's Reserve (Desal agreement)</w:t>
      </w:r>
      <w:r w:rsidRPr="009E24AC">
        <w:t>.</w:t>
      </w:r>
      <w:bookmarkEnd w:id="64"/>
      <w:bookmarkEnd w:id="66"/>
    </w:p>
    <w:tbl>
      <w:tblPr>
        <w:tblW w:w="12695" w:type="dxa"/>
        <w:jc w:val="center"/>
        <w:tblLayout w:type="fixed"/>
        <w:tblLook w:val="04A0" w:firstRow="1" w:lastRow="0" w:firstColumn="1" w:lastColumn="0" w:noHBand="0" w:noVBand="1"/>
        <w:tblDescription w:val="Total annual volumes of environmental water, including Commonwealth environmental water, delivered to the Lower Murray River channel and the proportion contribution towards total flow to the LMR from 2014-15 to 2023-24."/>
      </w:tblPr>
      <w:tblGrid>
        <w:gridCol w:w="2381"/>
        <w:gridCol w:w="1020"/>
        <w:gridCol w:w="1020"/>
        <w:gridCol w:w="1020"/>
        <w:gridCol w:w="1020"/>
        <w:gridCol w:w="1020"/>
        <w:gridCol w:w="1020"/>
        <w:gridCol w:w="1020"/>
        <w:gridCol w:w="1020"/>
        <w:gridCol w:w="1077"/>
        <w:gridCol w:w="1077"/>
      </w:tblGrid>
      <w:tr w:rsidR="00AA5E8B" w:rsidRPr="009E24AC" w14:paraId="76899856" w14:textId="24E1E66D" w:rsidTr="00B1144B">
        <w:trPr>
          <w:trHeight w:val="283"/>
          <w:jc w:val="center"/>
        </w:trPr>
        <w:tc>
          <w:tcPr>
            <w:tcW w:w="2381" w:type="dxa"/>
            <w:tcBorders>
              <w:top w:val="single" w:sz="4" w:space="0" w:color="auto"/>
              <w:bottom w:val="single" w:sz="4" w:space="0" w:color="auto"/>
            </w:tcBorders>
            <w:vAlign w:val="center"/>
          </w:tcPr>
          <w:p w14:paraId="3CA754CC" w14:textId="77777777" w:rsidR="00AA5E8B" w:rsidRPr="003A6966" w:rsidRDefault="00AA5E8B" w:rsidP="00073893">
            <w:pPr>
              <w:spacing w:line="240" w:lineRule="auto"/>
              <w:contextualSpacing/>
              <w:jc w:val="left"/>
              <w:rPr>
                <w:sz w:val="20"/>
              </w:rPr>
            </w:pPr>
            <w:r w:rsidRPr="003A6966">
              <w:rPr>
                <w:sz w:val="20"/>
              </w:rPr>
              <w:t>Water year</w:t>
            </w:r>
          </w:p>
        </w:tc>
        <w:tc>
          <w:tcPr>
            <w:tcW w:w="1020" w:type="dxa"/>
            <w:tcBorders>
              <w:top w:val="single" w:sz="4" w:space="0" w:color="auto"/>
              <w:bottom w:val="single" w:sz="4" w:space="0" w:color="auto"/>
            </w:tcBorders>
            <w:vAlign w:val="center"/>
          </w:tcPr>
          <w:p w14:paraId="7A6CDDBD" w14:textId="77777777" w:rsidR="00AA5E8B" w:rsidRPr="003A6966" w:rsidRDefault="00AA5E8B" w:rsidP="00073893">
            <w:pPr>
              <w:spacing w:line="240" w:lineRule="auto"/>
              <w:contextualSpacing/>
              <w:jc w:val="center"/>
              <w:rPr>
                <w:sz w:val="20"/>
              </w:rPr>
            </w:pPr>
            <w:r w:rsidRPr="003A6966">
              <w:rPr>
                <w:sz w:val="20"/>
              </w:rPr>
              <w:t>2014-15</w:t>
            </w:r>
          </w:p>
        </w:tc>
        <w:tc>
          <w:tcPr>
            <w:tcW w:w="1020" w:type="dxa"/>
            <w:tcBorders>
              <w:top w:val="single" w:sz="4" w:space="0" w:color="auto"/>
              <w:bottom w:val="single" w:sz="4" w:space="0" w:color="auto"/>
            </w:tcBorders>
            <w:vAlign w:val="center"/>
          </w:tcPr>
          <w:p w14:paraId="3D838E60" w14:textId="77777777" w:rsidR="00AA5E8B" w:rsidRPr="003A6966" w:rsidRDefault="00AA5E8B" w:rsidP="00073893">
            <w:pPr>
              <w:spacing w:line="240" w:lineRule="auto"/>
              <w:contextualSpacing/>
              <w:jc w:val="center"/>
              <w:rPr>
                <w:sz w:val="20"/>
              </w:rPr>
            </w:pPr>
            <w:r w:rsidRPr="003A6966">
              <w:rPr>
                <w:sz w:val="20"/>
              </w:rPr>
              <w:t>2015-16</w:t>
            </w:r>
          </w:p>
        </w:tc>
        <w:tc>
          <w:tcPr>
            <w:tcW w:w="1020" w:type="dxa"/>
            <w:tcBorders>
              <w:top w:val="single" w:sz="4" w:space="0" w:color="auto"/>
              <w:bottom w:val="single" w:sz="4" w:space="0" w:color="auto"/>
            </w:tcBorders>
            <w:vAlign w:val="center"/>
          </w:tcPr>
          <w:p w14:paraId="7AF9D64F" w14:textId="77777777" w:rsidR="00AA5E8B" w:rsidRPr="003A6966" w:rsidRDefault="00AA5E8B" w:rsidP="00073893">
            <w:pPr>
              <w:spacing w:line="240" w:lineRule="auto"/>
              <w:contextualSpacing/>
              <w:jc w:val="center"/>
              <w:rPr>
                <w:sz w:val="20"/>
              </w:rPr>
            </w:pPr>
            <w:r w:rsidRPr="003A6966">
              <w:rPr>
                <w:sz w:val="20"/>
              </w:rPr>
              <w:t>2016-17</w:t>
            </w:r>
          </w:p>
        </w:tc>
        <w:tc>
          <w:tcPr>
            <w:tcW w:w="1020" w:type="dxa"/>
            <w:tcBorders>
              <w:top w:val="single" w:sz="4" w:space="0" w:color="auto"/>
              <w:bottom w:val="single" w:sz="4" w:space="0" w:color="auto"/>
            </w:tcBorders>
            <w:vAlign w:val="center"/>
          </w:tcPr>
          <w:p w14:paraId="5D9F81F1" w14:textId="77777777" w:rsidR="00AA5E8B" w:rsidRPr="003A6966" w:rsidRDefault="00AA5E8B" w:rsidP="00073893">
            <w:pPr>
              <w:spacing w:line="240" w:lineRule="auto"/>
              <w:contextualSpacing/>
              <w:jc w:val="center"/>
              <w:rPr>
                <w:sz w:val="20"/>
              </w:rPr>
            </w:pPr>
            <w:r w:rsidRPr="003A6966">
              <w:rPr>
                <w:sz w:val="20"/>
              </w:rPr>
              <w:t>2017-18</w:t>
            </w:r>
          </w:p>
        </w:tc>
        <w:tc>
          <w:tcPr>
            <w:tcW w:w="1020" w:type="dxa"/>
            <w:tcBorders>
              <w:top w:val="single" w:sz="4" w:space="0" w:color="auto"/>
              <w:bottom w:val="single" w:sz="4" w:space="0" w:color="auto"/>
            </w:tcBorders>
            <w:vAlign w:val="center"/>
          </w:tcPr>
          <w:p w14:paraId="4B48F475" w14:textId="77777777" w:rsidR="00AA5E8B" w:rsidRPr="003A6966" w:rsidRDefault="00AA5E8B" w:rsidP="00073893">
            <w:pPr>
              <w:spacing w:line="240" w:lineRule="auto"/>
              <w:contextualSpacing/>
              <w:jc w:val="center"/>
              <w:rPr>
                <w:sz w:val="20"/>
              </w:rPr>
            </w:pPr>
            <w:r w:rsidRPr="003A6966">
              <w:rPr>
                <w:sz w:val="20"/>
              </w:rPr>
              <w:t>2018-19</w:t>
            </w:r>
          </w:p>
        </w:tc>
        <w:tc>
          <w:tcPr>
            <w:tcW w:w="1020" w:type="dxa"/>
            <w:tcBorders>
              <w:top w:val="single" w:sz="4" w:space="0" w:color="auto"/>
              <w:bottom w:val="single" w:sz="4" w:space="0" w:color="auto"/>
            </w:tcBorders>
            <w:vAlign w:val="center"/>
          </w:tcPr>
          <w:p w14:paraId="48D71AA6" w14:textId="77777777" w:rsidR="00AA5E8B" w:rsidRPr="006568D4" w:rsidRDefault="00AA5E8B" w:rsidP="00073893">
            <w:pPr>
              <w:spacing w:line="240" w:lineRule="auto"/>
              <w:contextualSpacing/>
              <w:jc w:val="center"/>
              <w:rPr>
                <w:sz w:val="20"/>
              </w:rPr>
            </w:pPr>
            <w:r w:rsidRPr="006568D4">
              <w:rPr>
                <w:sz w:val="20"/>
              </w:rPr>
              <w:t>2019-20</w:t>
            </w:r>
          </w:p>
        </w:tc>
        <w:tc>
          <w:tcPr>
            <w:tcW w:w="1020" w:type="dxa"/>
            <w:tcBorders>
              <w:top w:val="single" w:sz="4" w:space="0" w:color="auto"/>
              <w:bottom w:val="single" w:sz="4" w:space="0" w:color="auto"/>
            </w:tcBorders>
            <w:vAlign w:val="center"/>
          </w:tcPr>
          <w:p w14:paraId="7F262C97" w14:textId="77777777" w:rsidR="00AA5E8B" w:rsidRPr="006568D4" w:rsidRDefault="00AA5E8B" w:rsidP="00073893">
            <w:pPr>
              <w:spacing w:line="240" w:lineRule="auto"/>
              <w:contextualSpacing/>
              <w:jc w:val="center"/>
              <w:rPr>
                <w:sz w:val="20"/>
              </w:rPr>
            </w:pPr>
            <w:r>
              <w:rPr>
                <w:sz w:val="20"/>
              </w:rPr>
              <w:t>2020-21</w:t>
            </w:r>
          </w:p>
        </w:tc>
        <w:tc>
          <w:tcPr>
            <w:tcW w:w="1020" w:type="dxa"/>
            <w:tcBorders>
              <w:top w:val="single" w:sz="4" w:space="0" w:color="auto"/>
              <w:bottom w:val="single" w:sz="4" w:space="0" w:color="auto"/>
            </w:tcBorders>
            <w:vAlign w:val="center"/>
          </w:tcPr>
          <w:p w14:paraId="38BCBE23" w14:textId="5B8402F7" w:rsidR="00AA5E8B" w:rsidRPr="00A6316B" w:rsidRDefault="00AA5E8B" w:rsidP="0083288A">
            <w:pPr>
              <w:spacing w:line="240" w:lineRule="auto"/>
              <w:contextualSpacing/>
              <w:jc w:val="center"/>
              <w:rPr>
                <w:sz w:val="20"/>
              </w:rPr>
            </w:pPr>
            <w:r w:rsidRPr="00A6316B">
              <w:rPr>
                <w:sz w:val="20"/>
              </w:rPr>
              <w:t>2021-22</w:t>
            </w:r>
          </w:p>
        </w:tc>
        <w:tc>
          <w:tcPr>
            <w:tcW w:w="1077" w:type="dxa"/>
            <w:tcBorders>
              <w:top w:val="single" w:sz="4" w:space="0" w:color="auto"/>
              <w:bottom w:val="single" w:sz="4" w:space="0" w:color="auto"/>
            </w:tcBorders>
            <w:vAlign w:val="center"/>
          </w:tcPr>
          <w:p w14:paraId="06C2FBDD" w14:textId="2B9921CE" w:rsidR="00AA5E8B" w:rsidRPr="00F86301" w:rsidRDefault="00AA5E8B" w:rsidP="00BE579A">
            <w:pPr>
              <w:spacing w:line="240" w:lineRule="auto"/>
              <w:contextualSpacing/>
              <w:jc w:val="center"/>
              <w:rPr>
                <w:color w:val="auto"/>
                <w:sz w:val="20"/>
              </w:rPr>
            </w:pPr>
            <w:r w:rsidRPr="00F86301">
              <w:rPr>
                <w:color w:val="auto"/>
                <w:sz w:val="20"/>
              </w:rPr>
              <w:t>2022-23</w:t>
            </w:r>
          </w:p>
        </w:tc>
        <w:tc>
          <w:tcPr>
            <w:tcW w:w="1077" w:type="dxa"/>
            <w:tcBorders>
              <w:top w:val="single" w:sz="4" w:space="0" w:color="auto"/>
              <w:bottom w:val="single" w:sz="4" w:space="0" w:color="auto"/>
            </w:tcBorders>
            <w:vAlign w:val="center"/>
          </w:tcPr>
          <w:p w14:paraId="0951B80C" w14:textId="6F14845E" w:rsidR="00AA5E8B" w:rsidRPr="008B60C6" w:rsidRDefault="00B1144B" w:rsidP="00B1144B">
            <w:pPr>
              <w:spacing w:line="240" w:lineRule="auto"/>
              <w:contextualSpacing/>
              <w:jc w:val="center"/>
              <w:rPr>
                <w:color w:val="auto"/>
                <w:sz w:val="20"/>
              </w:rPr>
            </w:pPr>
            <w:r w:rsidRPr="008B60C6">
              <w:rPr>
                <w:color w:val="auto"/>
                <w:sz w:val="20"/>
              </w:rPr>
              <w:t>2023-24*</w:t>
            </w:r>
          </w:p>
        </w:tc>
      </w:tr>
      <w:tr w:rsidR="00AA5E8B" w:rsidRPr="009E24AC" w14:paraId="7E19FDEE" w14:textId="1F0E4CAC" w:rsidTr="00B1144B">
        <w:trPr>
          <w:trHeight w:val="283"/>
          <w:jc w:val="center"/>
        </w:trPr>
        <w:tc>
          <w:tcPr>
            <w:tcW w:w="2381" w:type="dxa"/>
            <w:tcBorders>
              <w:top w:val="single" w:sz="4" w:space="0" w:color="auto"/>
            </w:tcBorders>
            <w:vAlign w:val="center"/>
          </w:tcPr>
          <w:p w14:paraId="17A60245" w14:textId="77777777" w:rsidR="00AA5E8B" w:rsidRPr="003A6966" w:rsidRDefault="00AA5E8B" w:rsidP="00073893">
            <w:pPr>
              <w:spacing w:line="240" w:lineRule="auto"/>
              <w:contextualSpacing/>
              <w:jc w:val="left"/>
              <w:rPr>
                <w:sz w:val="20"/>
              </w:rPr>
            </w:pPr>
            <w:r w:rsidRPr="003A6966">
              <w:rPr>
                <w:sz w:val="20"/>
              </w:rPr>
              <w:t>CEW</w:t>
            </w:r>
          </w:p>
        </w:tc>
        <w:tc>
          <w:tcPr>
            <w:tcW w:w="1020" w:type="dxa"/>
            <w:tcBorders>
              <w:top w:val="single" w:sz="4" w:space="0" w:color="auto"/>
            </w:tcBorders>
            <w:vAlign w:val="center"/>
          </w:tcPr>
          <w:p w14:paraId="56B1E19D" w14:textId="77777777" w:rsidR="00AA5E8B" w:rsidRPr="003A6966" w:rsidRDefault="00AA5E8B" w:rsidP="00073893">
            <w:pPr>
              <w:spacing w:line="240" w:lineRule="auto"/>
              <w:contextualSpacing/>
              <w:jc w:val="center"/>
              <w:rPr>
                <w:sz w:val="20"/>
              </w:rPr>
            </w:pPr>
            <w:r w:rsidRPr="003A6966">
              <w:rPr>
                <w:sz w:val="20"/>
              </w:rPr>
              <w:t>581</w:t>
            </w:r>
          </w:p>
        </w:tc>
        <w:tc>
          <w:tcPr>
            <w:tcW w:w="1020" w:type="dxa"/>
            <w:tcBorders>
              <w:top w:val="single" w:sz="4" w:space="0" w:color="auto"/>
            </w:tcBorders>
            <w:vAlign w:val="center"/>
          </w:tcPr>
          <w:p w14:paraId="012927FE" w14:textId="77777777" w:rsidR="00AA5E8B" w:rsidRPr="003A6966" w:rsidRDefault="00AA5E8B" w:rsidP="00073893">
            <w:pPr>
              <w:spacing w:line="240" w:lineRule="auto"/>
              <w:contextualSpacing/>
              <w:jc w:val="center"/>
              <w:rPr>
                <w:sz w:val="20"/>
              </w:rPr>
            </w:pPr>
            <w:r w:rsidRPr="003A6966">
              <w:rPr>
                <w:sz w:val="20"/>
              </w:rPr>
              <w:t>798</w:t>
            </w:r>
          </w:p>
        </w:tc>
        <w:tc>
          <w:tcPr>
            <w:tcW w:w="1020" w:type="dxa"/>
            <w:tcBorders>
              <w:top w:val="single" w:sz="4" w:space="0" w:color="auto"/>
            </w:tcBorders>
            <w:vAlign w:val="center"/>
          </w:tcPr>
          <w:p w14:paraId="22EFFA97" w14:textId="77777777" w:rsidR="00AA5E8B" w:rsidRPr="003A6966" w:rsidRDefault="00AA5E8B" w:rsidP="00073893">
            <w:pPr>
              <w:spacing w:line="240" w:lineRule="auto"/>
              <w:contextualSpacing/>
              <w:jc w:val="center"/>
              <w:rPr>
                <w:sz w:val="20"/>
              </w:rPr>
            </w:pPr>
            <w:r w:rsidRPr="003A6966">
              <w:rPr>
                <w:sz w:val="20"/>
              </w:rPr>
              <w:t>618</w:t>
            </w:r>
          </w:p>
        </w:tc>
        <w:tc>
          <w:tcPr>
            <w:tcW w:w="1020" w:type="dxa"/>
            <w:tcBorders>
              <w:top w:val="single" w:sz="4" w:space="0" w:color="auto"/>
            </w:tcBorders>
            <w:vAlign w:val="center"/>
          </w:tcPr>
          <w:p w14:paraId="6B6D38FD" w14:textId="413A12A9" w:rsidR="00AA5E8B" w:rsidRPr="003A6966" w:rsidRDefault="00AA5E8B" w:rsidP="00073893">
            <w:pPr>
              <w:spacing w:line="240" w:lineRule="auto"/>
              <w:contextualSpacing/>
              <w:jc w:val="center"/>
              <w:rPr>
                <w:sz w:val="20"/>
              </w:rPr>
            </w:pPr>
            <w:r w:rsidRPr="003A6966">
              <w:rPr>
                <w:sz w:val="20"/>
              </w:rPr>
              <w:t>89</w:t>
            </w:r>
            <w:r>
              <w:rPr>
                <w:sz w:val="20"/>
              </w:rPr>
              <w:t>8</w:t>
            </w:r>
          </w:p>
        </w:tc>
        <w:tc>
          <w:tcPr>
            <w:tcW w:w="1020" w:type="dxa"/>
            <w:tcBorders>
              <w:top w:val="single" w:sz="4" w:space="0" w:color="auto"/>
            </w:tcBorders>
            <w:vAlign w:val="center"/>
          </w:tcPr>
          <w:p w14:paraId="583027D9" w14:textId="6BEABD00" w:rsidR="00AA5E8B" w:rsidRPr="003A6966" w:rsidRDefault="00AA5E8B" w:rsidP="00073893">
            <w:pPr>
              <w:spacing w:line="240" w:lineRule="auto"/>
              <w:contextualSpacing/>
              <w:jc w:val="center"/>
              <w:rPr>
                <w:sz w:val="20"/>
              </w:rPr>
            </w:pPr>
            <w:r w:rsidRPr="003A6966">
              <w:rPr>
                <w:sz w:val="20"/>
              </w:rPr>
              <w:t>549</w:t>
            </w:r>
          </w:p>
        </w:tc>
        <w:tc>
          <w:tcPr>
            <w:tcW w:w="1020" w:type="dxa"/>
            <w:tcBorders>
              <w:top w:val="single" w:sz="4" w:space="0" w:color="auto"/>
            </w:tcBorders>
          </w:tcPr>
          <w:p w14:paraId="4A75A1A6" w14:textId="2761A083" w:rsidR="00AA5E8B" w:rsidRPr="006568D4" w:rsidRDefault="00AA5E8B" w:rsidP="00073893">
            <w:pPr>
              <w:spacing w:line="240" w:lineRule="auto"/>
              <w:contextualSpacing/>
              <w:jc w:val="center"/>
              <w:rPr>
                <w:sz w:val="20"/>
              </w:rPr>
            </w:pPr>
            <w:r w:rsidRPr="006568D4">
              <w:rPr>
                <w:sz w:val="20"/>
              </w:rPr>
              <w:t>750</w:t>
            </w:r>
          </w:p>
        </w:tc>
        <w:tc>
          <w:tcPr>
            <w:tcW w:w="1020" w:type="dxa"/>
            <w:tcBorders>
              <w:top w:val="single" w:sz="4" w:space="0" w:color="auto"/>
            </w:tcBorders>
          </w:tcPr>
          <w:p w14:paraId="1DC733C6" w14:textId="675790A3" w:rsidR="00AA5E8B" w:rsidRPr="00004979" w:rsidRDefault="00AA5E8B" w:rsidP="00073893">
            <w:pPr>
              <w:spacing w:line="240" w:lineRule="auto"/>
              <w:contextualSpacing/>
              <w:jc w:val="center"/>
              <w:rPr>
                <w:sz w:val="20"/>
              </w:rPr>
            </w:pPr>
            <w:r>
              <w:rPr>
                <w:sz w:val="20"/>
              </w:rPr>
              <w:t>687</w:t>
            </w:r>
          </w:p>
        </w:tc>
        <w:tc>
          <w:tcPr>
            <w:tcW w:w="1020" w:type="dxa"/>
            <w:tcBorders>
              <w:top w:val="single" w:sz="4" w:space="0" w:color="auto"/>
            </w:tcBorders>
          </w:tcPr>
          <w:p w14:paraId="4329E862" w14:textId="72D79019" w:rsidR="00AA5E8B" w:rsidRPr="00A6316B" w:rsidRDefault="00AA5E8B" w:rsidP="00073893">
            <w:pPr>
              <w:spacing w:line="240" w:lineRule="auto"/>
              <w:contextualSpacing/>
              <w:jc w:val="center"/>
              <w:rPr>
                <w:sz w:val="20"/>
              </w:rPr>
            </w:pPr>
            <w:r>
              <w:rPr>
                <w:sz w:val="20"/>
              </w:rPr>
              <w:t>781</w:t>
            </w:r>
          </w:p>
        </w:tc>
        <w:tc>
          <w:tcPr>
            <w:tcW w:w="1077" w:type="dxa"/>
            <w:tcBorders>
              <w:top w:val="single" w:sz="4" w:space="0" w:color="auto"/>
            </w:tcBorders>
          </w:tcPr>
          <w:p w14:paraId="5151B275" w14:textId="5D60557E" w:rsidR="00AA5E8B" w:rsidRPr="00F86301" w:rsidRDefault="00AA5E8B" w:rsidP="00073893">
            <w:pPr>
              <w:spacing w:line="240" w:lineRule="auto"/>
              <w:contextualSpacing/>
              <w:jc w:val="center"/>
              <w:rPr>
                <w:color w:val="auto"/>
                <w:sz w:val="20"/>
              </w:rPr>
            </w:pPr>
            <w:r w:rsidRPr="00F86301">
              <w:rPr>
                <w:color w:val="auto"/>
                <w:sz w:val="20"/>
              </w:rPr>
              <w:t>764</w:t>
            </w:r>
          </w:p>
        </w:tc>
        <w:tc>
          <w:tcPr>
            <w:tcW w:w="1077" w:type="dxa"/>
            <w:tcBorders>
              <w:top w:val="single" w:sz="4" w:space="0" w:color="auto"/>
            </w:tcBorders>
          </w:tcPr>
          <w:p w14:paraId="02A031B0" w14:textId="05A761A0" w:rsidR="00AA5E8B" w:rsidRPr="008B60C6" w:rsidRDefault="001B6C88" w:rsidP="00073893">
            <w:pPr>
              <w:spacing w:line="240" w:lineRule="auto"/>
              <w:contextualSpacing/>
              <w:jc w:val="center"/>
              <w:rPr>
                <w:color w:val="auto"/>
                <w:sz w:val="20"/>
              </w:rPr>
            </w:pPr>
            <w:r w:rsidRPr="008B60C6">
              <w:rPr>
                <w:color w:val="auto"/>
                <w:sz w:val="20"/>
              </w:rPr>
              <w:t>1,</w:t>
            </w:r>
            <w:r w:rsidR="008B60C6" w:rsidRPr="008B60C6">
              <w:rPr>
                <w:color w:val="auto"/>
                <w:sz w:val="20"/>
              </w:rPr>
              <w:t>384</w:t>
            </w:r>
          </w:p>
        </w:tc>
      </w:tr>
      <w:tr w:rsidR="00AA5E8B" w:rsidRPr="009E24AC" w14:paraId="67E8CCA0" w14:textId="569EE030" w:rsidTr="00B1144B">
        <w:trPr>
          <w:trHeight w:val="283"/>
          <w:jc w:val="center"/>
        </w:trPr>
        <w:tc>
          <w:tcPr>
            <w:tcW w:w="2381" w:type="dxa"/>
            <w:vAlign w:val="center"/>
          </w:tcPr>
          <w:p w14:paraId="462F8CD8" w14:textId="77777777" w:rsidR="00AA5E8B" w:rsidRPr="003A6966" w:rsidRDefault="00AA5E8B" w:rsidP="00073893">
            <w:pPr>
              <w:spacing w:line="240" w:lineRule="auto"/>
              <w:contextualSpacing/>
              <w:jc w:val="left"/>
              <w:rPr>
                <w:sz w:val="20"/>
              </w:rPr>
            </w:pPr>
            <w:r w:rsidRPr="003A6966">
              <w:rPr>
                <w:sz w:val="20"/>
              </w:rPr>
              <w:t>TLM</w:t>
            </w:r>
          </w:p>
        </w:tc>
        <w:tc>
          <w:tcPr>
            <w:tcW w:w="1020" w:type="dxa"/>
            <w:vAlign w:val="center"/>
          </w:tcPr>
          <w:p w14:paraId="293B1E33" w14:textId="77777777" w:rsidR="00AA5E8B" w:rsidRPr="003A6966" w:rsidRDefault="00AA5E8B" w:rsidP="00073893">
            <w:pPr>
              <w:spacing w:line="240" w:lineRule="auto"/>
              <w:contextualSpacing/>
              <w:jc w:val="center"/>
              <w:rPr>
                <w:sz w:val="20"/>
              </w:rPr>
            </w:pPr>
            <w:r w:rsidRPr="003A6966">
              <w:rPr>
                <w:sz w:val="20"/>
              </w:rPr>
              <w:t>107</w:t>
            </w:r>
          </w:p>
        </w:tc>
        <w:tc>
          <w:tcPr>
            <w:tcW w:w="1020" w:type="dxa"/>
            <w:vAlign w:val="center"/>
          </w:tcPr>
          <w:p w14:paraId="5C025B4C" w14:textId="77777777" w:rsidR="00AA5E8B" w:rsidRPr="003A6966" w:rsidRDefault="00AA5E8B" w:rsidP="00073893">
            <w:pPr>
              <w:spacing w:line="240" w:lineRule="auto"/>
              <w:contextualSpacing/>
              <w:jc w:val="center"/>
              <w:rPr>
                <w:sz w:val="20"/>
              </w:rPr>
            </w:pPr>
            <w:r w:rsidRPr="003A6966">
              <w:rPr>
                <w:sz w:val="20"/>
              </w:rPr>
              <w:t>101</w:t>
            </w:r>
          </w:p>
        </w:tc>
        <w:tc>
          <w:tcPr>
            <w:tcW w:w="1020" w:type="dxa"/>
            <w:vAlign w:val="center"/>
          </w:tcPr>
          <w:p w14:paraId="61756B78" w14:textId="77777777" w:rsidR="00AA5E8B" w:rsidRPr="003A6966" w:rsidRDefault="00AA5E8B" w:rsidP="00073893">
            <w:pPr>
              <w:spacing w:line="240" w:lineRule="auto"/>
              <w:contextualSpacing/>
              <w:jc w:val="center"/>
              <w:rPr>
                <w:sz w:val="20"/>
              </w:rPr>
            </w:pPr>
            <w:r w:rsidRPr="003A6966">
              <w:rPr>
                <w:sz w:val="20"/>
              </w:rPr>
              <w:t>234</w:t>
            </w:r>
          </w:p>
        </w:tc>
        <w:tc>
          <w:tcPr>
            <w:tcW w:w="1020" w:type="dxa"/>
            <w:vAlign w:val="center"/>
          </w:tcPr>
          <w:p w14:paraId="70A8B3E8" w14:textId="2554AF42" w:rsidR="00AA5E8B" w:rsidRPr="003A6966" w:rsidRDefault="00AA5E8B" w:rsidP="00073893">
            <w:pPr>
              <w:spacing w:line="240" w:lineRule="auto"/>
              <w:contextualSpacing/>
              <w:jc w:val="center"/>
              <w:rPr>
                <w:sz w:val="20"/>
              </w:rPr>
            </w:pPr>
            <w:r w:rsidRPr="003A6966">
              <w:rPr>
                <w:sz w:val="20"/>
              </w:rPr>
              <w:t>176</w:t>
            </w:r>
          </w:p>
        </w:tc>
        <w:tc>
          <w:tcPr>
            <w:tcW w:w="1020" w:type="dxa"/>
            <w:vAlign w:val="center"/>
          </w:tcPr>
          <w:p w14:paraId="130AB8E8" w14:textId="77777777" w:rsidR="00AA5E8B" w:rsidRPr="003A6966" w:rsidRDefault="00AA5E8B" w:rsidP="00073893">
            <w:pPr>
              <w:spacing w:line="240" w:lineRule="auto"/>
              <w:contextualSpacing/>
              <w:jc w:val="center"/>
              <w:rPr>
                <w:sz w:val="20"/>
              </w:rPr>
            </w:pPr>
            <w:r>
              <w:rPr>
                <w:sz w:val="20"/>
              </w:rPr>
              <w:t>96</w:t>
            </w:r>
          </w:p>
        </w:tc>
        <w:tc>
          <w:tcPr>
            <w:tcW w:w="1020" w:type="dxa"/>
          </w:tcPr>
          <w:p w14:paraId="1D6445DE" w14:textId="77777777" w:rsidR="00AA5E8B" w:rsidRPr="006568D4" w:rsidRDefault="00AA5E8B" w:rsidP="00073893">
            <w:pPr>
              <w:spacing w:line="240" w:lineRule="auto"/>
              <w:contextualSpacing/>
              <w:jc w:val="center"/>
              <w:rPr>
                <w:sz w:val="20"/>
              </w:rPr>
            </w:pPr>
            <w:r w:rsidRPr="006568D4">
              <w:rPr>
                <w:sz w:val="20"/>
              </w:rPr>
              <w:t>68</w:t>
            </w:r>
          </w:p>
        </w:tc>
        <w:tc>
          <w:tcPr>
            <w:tcW w:w="1020" w:type="dxa"/>
          </w:tcPr>
          <w:p w14:paraId="2AD92839" w14:textId="77777777" w:rsidR="00AA5E8B" w:rsidRPr="00004979" w:rsidRDefault="00AA5E8B" w:rsidP="00073893">
            <w:pPr>
              <w:spacing w:line="240" w:lineRule="auto"/>
              <w:contextualSpacing/>
              <w:jc w:val="center"/>
              <w:rPr>
                <w:sz w:val="20"/>
              </w:rPr>
            </w:pPr>
            <w:r>
              <w:rPr>
                <w:sz w:val="20"/>
              </w:rPr>
              <w:t>175</w:t>
            </w:r>
          </w:p>
        </w:tc>
        <w:tc>
          <w:tcPr>
            <w:tcW w:w="1020" w:type="dxa"/>
          </w:tcPr>
          <w:p w14:paraId="4F7E23E5" w14:textId="2CFD5682" w:rsidR="00AA5E8B" w:rsidRPr="00A6316B" w:rsidRDefault="00AA5E8B" w:rsidP="00073893">
            <w:pPr>
              <w:spacing w:line="240" w:lineRule="auto"/>
              <w:contextualSpacing/>
              <w:jc w:val="center"/>
              <w:rPr>
                <w:sz w:val="20"/>
              </w:rPr>
            </w:pPr>
            <w:r>
              <w:rPr>
                <w:sz w:val="20"/>
              </w:rPr>
              <w:t>246</w:t>
            </w:r>
          </w:p>
        </w:tc>
        <w:tc>
          <w:tcPr>
            <w:tcW w:w="1077" w:type="dxa"/>
          </w:tcPr>
          <w:p w14:paraId="6F49E896" w14:textId="279F43C5" w:rsidR="00AA5E8B" w:rsidRPr="00F86301" w:rsidRDefault="00AA5E8B" w:rsidP="00073893">
            <w:pPr>
              <w:spacing w:line="240" w:lineRule="auto"/>
              <w:contextualSpacing/>
              <w:jc w:val="center"/>
              <w:rPr>
                <w:color w:val="auto"/>
                <w:sz w:val="20"/>
              </w:rPr>
            </w:pPr>
            <w:r w:rsidRPr="00F86301">
              <w:rPr>
                <w:color w:val="auto"/>
                <w:sz w:val="20"/>
              </w:rPr>
              <w:t>310</w:t>
            </w:r>
          </w:p>
        </w:tc>
        <w:tc>
          <w:tcPr>
            <w:tcW w:w="1077" w:type="dxa"/>
          </w:tcPr>
          <w:p w14:paraId="280B7492" w14:textId="6F92E2F9" w:rsidR="00AA5E8B" w:rsidRPr="008B60C6" w:rsidRDefault="005353EE" w:rsidP="00073893">
            <w:pPr>
              <w:spacing w:line="240" w:lineRule="auto"/>
              <w:contextualSpacing/>
              <w:jc w:val="center"/>
              <w:rPr>
                <w:color w:val="auto"/>
                <w:sz w:val="20"/>
              </w:rPr>
            </w:pPr>
            <w:r w:rsidRPr="008B60C6">
              <w:rPr>
                <w:color w:val="auto"/>
                <w:sz w:val="20"/>
              </w:rPr>
              <w:t>293</w:t>
            </w:r>
          </w:p>
        </w:tc>
      </w:tr>
      <w:tr w:rsidR="00AA5E8B" w:rsidRPr="009E24AC" w14:paraId="38D51C67" w14:textId="5A83DB6E" w:rsidTr="00B1144B">
        <w:trPr>
          <w:trHeight w:val="283"/>
          <w:jc w:val="center"/>
        </w:trPr>
        <w:tc>
          <w:tcPr>
            <w:tcW w:w="2381" w:type="dxa"/>
            <w:vAlign w:val="center"/>
          </w:tcPr>
          <w:p w14:paraId="68FEFF9F" w14:textId="77777777" w:rsidR="00AA5E8B" w:rsidRPr="003A6966" w:rsidRDefault="00AA5E8B" w:rsidP="00073893">
            <w:pPr>
              <w:spacing w:line="240" w:lineRule="auto"/>
              <w:contextualSpacing/>
              <w:jc w:val="left"/>
              <w:rPr>
                <w:sz w:val="20"/>
              </w:rPr>
            </w:pPr>
            <w:r w:rsidRPr="003A6966">
              <w:rPr>
                <w:sz w:val="20"/>
              </w:rPr>
              <w:t>VEWH</w:t>
            </w:r>
          </w:p>
        </w:tc>
        <w:tc>
          <w:tcPr>
            <w:tcW w:w="1020" w:type="dxa"/>
            <w:vAlign w:val="center"/>
          </w:tcPr>
          <w:p w14:paraId="19A16D60" w14:textId="77777777" w:rsidR="00AA5E8B" w:rsidRPr="003A6966" w:rsidRDefault="00AA5E8B" w:rsidP="00073893">
            <w:pPr>
              <w:spacing w:line="240" w:lineRule="auto"/>
              <w:contextualSpacing/>
              <w:jc w:val="center"/>
              <w:rPr>
                <w:sz w:val="20"/>
              </w:rPr>
            </w:pPr>
            <w:r w:rsidRPr="003A6966">
              <w:rPr>
                <w:sz w:val="20"/>
              </w:rPr>
              <w:t>26</w:t>
            </w:r>
          </w:p>
        </w:tc>
        <w:tc>
          <w:tcPr>
            <w:tcW w:w="1020" w:type="dxa"/>
            <w:vAlign w:val="center"/>
          </w:tcPr>
          <w:p w14:paraId="60EDC3F4" w14:textId="77777777" w:rsidR="00AA5E8B" w:rsidRPr="003A6966" w:rsidRDefault="00AA5E8B" w:rsidP="00073893">
            <w:pPr>
              <w:spacing w:line="240" w:lineRule="auto"/>
              <w:contextualSpacing/>
              <w:jc w:val="center"/>
              <w:rPr>
                <w:sz w:val="20"/>
              </w:rPr>
            </w:pPr>
            <w:r w:rsidRPr="003A6966">
              <w:rPr>
                <w:sz w:val="20"/>
              </w:rPr>
              <w:t>15</w:t>
            </w:r>
          </w:p>
        </w:tc>
        <w:tc>
          <w:tcPr>
            <w:tcW w:w="1020" w:type="dxa"/>
            <w:vAlign w:val="center"/>
          </w:tcPr>
          <w:p w14:paraId="1C835DCE" w14:textId="77777777" w:rsidR="00AA5E8B" w:rsidRPr="003A6966" w:rsidRDefault="00AA5E8B" w:rsidP="00073893">
            <w:pPr>
              <w:spacing w:line="240" w:lineRule="auto"/>
              <w:contextualSpacing/>
              <w:jc w:val="center"/>
              <w:rPr>
                <w:sz w:val="20"/>
              </w:rPr>
            </w:pPr>
            <w:r w:rsidRPr="003A6966">
              <w:rPr>
                <w:sz w:val="20"/>
              </w:rPr>
              <w:t>43</w:t>
            </w:r>
          </w:p>
        </w:tc>
        <w:tc>
          <w:tcPr>
            <w:tcW w:w="1020" w:type="dxa"/>
            <w:vAlign w:val="center"/>
          </w:tcPr>
          <w:p w14:paraId="76B26C78" w14:textId="77777777" w:rsidR="00AA5E8B" w:rsidRPr="003A6966" w:rsidRDefault="00AA5E8B" w:rsidP="00073893">
            <w:pPr>
              <w:spacing w:line="240" w:lineRule="auto"/>
              <w:contextualSpacing/>
              <w:jc w:val="center"/>
              <w:rPr>
                <w:sz w:val="20"/>
              </w:rPr>
            </w:pPr>
            <w:r>
              <w:rPr>
                <w:sz w:val="20"/>
              </w:rPr>
              <w:t>30</w:t>
            </w:r>
          </w:p>
        </w:tc>
        <w:tc>
          <w:tcPr>
            <w:tcW w:w="1020" w:type="dxa"/>
            <w:vAlign w:val="center"/>
          </w:tcPr>
          <w:p w14:paraId="35F8201F" w14:textId="77777777" w:rsidR="00AA5E8B" w:rsidRPr="003A6966" w:rsidRDefault="00AA5E8B" w:rsidP="00073893">
            <w:pPr>
              <w:spacing w:line="240" w:lineRule="auto"/>
              <w:contextualSpacing/>
              <w:jc w:val="center"/>
              <w:rPr>
                <w:sz w:val="20"/>
              </w:rPr>
            </w:pPr>
            <w:r w:rsidRPr="003A6966">
              <w:rPr>
                <w:sz w:val="20"/>
              </w:rPr>
              <w:t>35</w:t>
            </w:r>
          </w:p>
        </w:tc>
        <w:tc>
          <w:tcPr>
            <w:tcW w:w="1020" w:type="dxa"/>
          </w:tcPr>
          <w:p w14:paraId="0AF507BA" w14:textId="77777777" w:rsidR="00AA5E8B" w:rsidRPr="006568D4" w:rsidRDefault="00AA5E8B" w:rsidP="00073893">
            <w:pPr>
              <w:spacing w:line="240" w:lineRule="auto"/>
              <w:contextualSpacing/>
              <w:jc w:val="center"/>
              <w:rPr>
                <w:sz w:val="20"/>
              </w:rPr>
            </w:pPr>
            <w:r w:rsidRPr="006568D4">
              <w:rPr>
                <w:sz w:val="20"/>
              </w:rPr>
              <w:t>60</w:t>
            </w:r>
          </w:p>
        </w:tc>
        <w:tc>
          <w:tcPr>
            <w:tcW w:w="1020" w:type="dxa"/>
          </w:tcPr>
          <w:p w14:paraId="75362277" w14:textId="77777777" w:rsidR="00AA5E8B" w:rsidRPr="00322509" w:rsidRDefault="00AA5E8B" w:rsidP="00073893">
            <w:pPr>
              <w:spacing w:line="240" w:lineRule="auto"/>
              <w:contextualSpacing/>
              <w:jc w:val="center"/>
              <w:rPr>
                <w:sz w:val="20"/>
              </w:rPr>
            </w:pPr>
            <w:r w:rsidRPr="00322509">
              <w:rPr>
                <w:sz w:val="20"/>
              </w:rPr>
              <w:t>56</w:t>
            </w:r>
          </w:p>
        </w:tc>
        <w:tc>
          <w:tcPr>
            <w:tcW w:w="1020" w:type="dxa"/>
          </w:tcPr>
          <w:p w14:paraId="21706A38" w14:textId="1DD225C2" w:rsidR="00AA5E8B" w:rsidRPr="00A6316B" w:rsidRDefault="00AA5E8B" w:rsidP="00073893">
            <w:pPr>
              <w:spacing w:line="240" w:lineRule="auto"/>
              <w:contextualSpacing/>
              <w:jc w:val="center"/>
              <w:rPr>
                <w:sz w:val="20"/>
              </w:rPr>
            </w:pPr>
            <w:r>
              <w:rPr>
                <w:sz w:val="20"/>
              </w:rPr>
              <w:t>64</w:t>
            </w:r>
          </w:p>
        </w:tc>
        <w:tc>
          <w:tcPr>
            <w:tcW w:w="1077" w:type="dxa"/>
          </w:tcPr>
          <w:p w14:paraId="40B8C38D" w14:textId="37E3785B" w:rsidR="00AA5E8B" w:rsidRPr="00F86301" w:rsidRDefault="00AA5E8B" w:rsidP="00073893">
            <w:pPr>
              <w:spacing w:line="240" w:lineRule="auto"/>
              <w:contextualSpacing/>
              <w:jc w:val="center"/>
              <w:rPr>
                <w:color w:val="auto"/>
                <w:sz w:val="20"/>
              </w:rPr>
            </w:pPr>
            <w:r w:rsidRPr="00F86301">
              <w:rPr>
                <w:color w:val="auto"/>
                <w:sz w:val="20"/>
              </w:rPr>
              <w:t>38</w:t>
            </w:r>
          </w:p>
        </w:tc>
        <w:tc>
          <w:tcPr>
            <w:tcW w:w="1077" w:type="dxa"/>
          </w:tcPr>
          <w:p w14:paraId="0F85F55D" w14:textId="5BC3B299" w:rsidR="00AA5E8B" w:rsidRPr="008B60C6" w:rsidRDefault="008B60C6" w:rsidP="00073893">
            <w:pPr>
              <w:spacing w:line="240" w:lineRule="auto"/>
              <w:contextualSpacing/>
              <w:jc w:val="center"/>
              <w:rPr>
                <w:color w:val="auto"/>
                <w:sz w:val="20"/>
              </w:rPr>
            </w:pPr>
            <w:r w:rsidRPr="008B60C6">
              <w:rPr>
                <w:color w:val="auto"/>
                <w:sz w:val="20"/>
              </w:rPr>
              <w:t>50</w:t>
            </w:r>
          </w:p>
        </w:tc>
      </w:tr>
      <w:tr w:rsidR="00AA5E8B" w:rsidRPr="009E24AC" w14:paraId="29B48532" w14:textId="2122A191" w:rsidTr="00B1144B">
        <w:trPr>
          <w:trHeight w:val="283"/>
          <w:jc w:val="center"/>
        </w:trPr>
        <w:tc>
          <w:tcPr>
            <w:tcW w:w="2381" w:type="dxa"/>
            <w:vAlign w:val="center"/>
          </w:tcPr>
          <w:p w14:paraId="62AF67EB" w14:textId="60F150E0" w:rsidR="00AA5E8B" w:rsidRPr="003A6966" w:rsidRDefault="00AA5E8B" w:rsidP="00073893">
            <w:pPr>
              <w:spacing w:line="240" w:lineRule="auto"/>
              <w:contextualSpacing/>
              <w:jc w:val="left"/>
              <w:rPr>
                <w:sz w:val="20"/>
              </w:rPr>
            </w:pPr>
            <w:r w:rsidRPr="003A6966">
              <w:rPr>
                <w:sz w:val="20"/>
              </w:rPr>
              <w:t>RMIF</w:t>
            </w:r>
          </w:p>
        </w:tc>
        <w:tc>
          <w:tcPr>
            <w:tcW w:w="1020" w:type="dxa"/>
            <w:vAlign w:val="center"/>
          </w:tcPr>
          <w:p w14:paraId="7E328DAA" w14:textId="77777777" w:rsidR="00AA5E8B" w:rsidRPr="003A6966" w:rsidRDefault="00AA5E8B" w:rsidP="00073893">
            <w:pPr>
              <w:spacing w:line="240" w:lineRule="auto"/>
              <w:contextualSpacing/>
              <w:jc w:val="center"/>
              <w:rPr>
                <w:sz w:val="20"/>
              </w:rPr>
            </w:pPr>
          </w:p>
        </w:tc>
        <w:tc>
          <w:tcPr>
            <w:tcW w:w="1020" w:type="dxa"/>
            <w:vAlign w:val="center"/>
          </w:tcPr>
          <w:p w14:paraId="7471B727" w14:textId="77777777" w:rsidR="00AA5E8B" w:rsidRPr="003A6966" w:rsidRDefault="00AA5E8B" w:rsidP="00073893">
            <w:pPr>
              <w:spacing w:line="240" w:lineRule="auto"/>
              <w:contextualSpacing/>
              <w:jc w:val="center"/>
              <w:rPr>
                <w:sz w:val="20"/>
              </w:rPr>
            </w:pPr>
          </w:p>
        </w:tc>
        <w:tc>
          <w:tcPr>
            <w:tcW w:w="1020" w:type="dxa"/>
            <w:vAlign w:val="center"/>
          </w:tcPr>
          <w:p w14:paraId="498C51DF" w14:textId="77777777" w:rsidR="00AA5E8B" w:rsidRPr="003A6966" w:rsidRDefault="00AA5E8B" w:rsidP="00073893">
            <w:pPr>
              <w:spacing w:line="240" w:lineRule="auto"/>
              <w:contextualSpacing/>
              <w:jc w:val="center"/>
              <w:rPr>
                <w:sz w:val="20"/>
              </w:rPr>
            </w:pPr>
            <w:r w:rsidRPr="003A6966">
              <w:rPr>
                <w:sz w:val="20"/>
              </w:rPr>
              <w:t>100</w:t>
            </w:r>
          </w:p>
        </w:tc>
        <w:tc>
          <w:tcPr>
            <w:tcW w:w="1020" w:type="dxa"/>
            <w:vAlign w:val="center"/>
          </w:tcPr>
          <w:p w14:paraId="272DB7D9" w14:textId="77777777" w:rsidR="00AA5E8B" w:rsidRPr="003A6966" w:rsidRDefault="00AA5E8B" w:rsidP="00073893">
            <w:pPr>
              <w:spacing w:line="240" w:lineRule="auto"/>
              <w:contextualSpacing/>
              <w:jc w:val="center"/>
              <w:rPr>
                <w:sz w:val="20"/>
              </w:rPr>
            </w:pPr>
            <w:r w:rsidRPr="003A6966">
              <w:rPr>
                <w:sz w:val="20"/>
              </w:rPr>
              <w:t>53</w:t>
            </w:r>
          </w:p>
        </w:tc>
        <w:tc>
          <w:tcPr>
            <w:tcW w:w="1020" w:type="dxa"/>
            <w:vAlign w:val="center"/>
          </w:tcPr>
          <w:p w14:paraId="1FF2BF86" w14:textId="77777777" w:rsidR="00AA5E8B" w:rsidRPr="003A6966" w:rsidRDefault="00AA5E8B" w:rsidP="00073893">
            <w:pPr>
              <w:spacing w:line="240" w:lineRule="auto"/>
              <w:contextualSpacing/>
              <w:jc w:val="center"/>
              <w:rPr>
                <w:sz w:val="20"/>
              </w:rPr>
            </w:pPr>
            <w:r w:rsidRPr="003A6966">
              <w:rPr>
                <w:sz w:val="20"/>
              </w:rPr>
              <w:t>111</w:t>
            </w:r>
          </w:p>
        </w:tc>
        <w:tc>
          <w:tcPr>
            <w:tcW w:w="1020" w:type="dxa"/>
          </w:tcPr>
          <w:p w14:paraId="3EAA3A4B" w14:textId="3CD43BFC" w:rsidR="00AA5E8B" w:rsidRPr="006568D4" w:rsidRDefault="00AA5E8B" w:rsidP="00073893">
            <w:pPr>
              <w:spacing w:line="240" w:lineRule="auto"/>
              <w:contextualSpacing/>
              <w:jc w:val="center"/>
              <w:rPr>
                <w:sz w:val="20"/>
              </w:rPr>
            </w:pPr>
            <w:r w:rsidRPr="006568D4">
              <w:rPr>
                <w:sz w:val="20"/>
              </w:rPr>
              <w:t>52</w:t>
            </w:r>
          </w:p>
        </w:tc>
        <w:tc>
          <w:tcPr>
            <w:tcW w:w="1020" w:type="dxa"/>
          </w:tcPr>
          <w:p w14:paraId="238B1515" w14:textId="77777777" w:rsidR="00AA5E8B" w:rsidRPr="00322509" w:rsidRDefault="00AA5E8B" w:rsidP="00073893">
            <w:pPr>
              <w:spacing w:line="240" w:lineRule="auto"/>
              <w:contextualSpacing/>
              <w:jc w:val="center"/>
              <w:rPr>
                <w:sz w:val="20"/>
              </w:rPr>
            </w:pPr>
            <w:r w:rsidRPr="00322509">
              <w:rPr>
                <w:sz w:val="20"/>
              </w:rPr>
              <w:t>5</w:t>
            </w:r>
          </w:p>
        </w:tc>
        <w:tc>
          <w:tcPr>
            <w:tcW w:w="1020" w:type="dxa"/>
          </w:tcPr>
          <w:p w14:paraId="6C8AB381" w14:textId="5A221B53" w:rsidR="00AA5E8B" w:rsidRPr="00A6316B" w:rsidRDefault="00AA5E8B" w:rsidP="00073893">
            <w:pPr>
              <w:spacing w:line="240" w:lineRule="auto"/>
              <w:contextualSpacing/>
              <w:jc w:val="center"/>
              <w:rPr>
                <w:sz w:val="20"/>
              </w:rPr>
            </w:pPr>
            <w:r>
              <w:rPr>
                <w:sz w:val="20"/>
              </w:rPr>
              <w:t>23</w:t>
            </w:r>
          </w:p>
        </w:tc>
        <w:tc>
          <w:tcPr>
            <w:tcW w:w="1077" w:type="dxa"/>
          </w:tcPr>
          <w:p w14:paraId="3866A4CD" w14:textId="5F4FE2E3" w:rsidR="00AA5E8B" w:rsidRPr="00F86301" w:rsidRDefault="00AA5E8B" w:rsidP="00073893">
            <w:pPr>
              <w:spacing w:line="240" w:lineRule="auto"/>
              <w:contextualSpacing/>
              <w:jc w:val="center"/>
              <w:rPr>
                <w:color w:val="auto"/>
                <w:sz w:val="20"/>
              </w:rPr>
            </w:pPr>
            <w:r w:rsidRPr="00F86301">
              <w:rPr>
                <w:color w:val="auto"/>
                <w:sz w:val="20"/>
              </w:rPr>
              <w:t>4</w:t>
            </w:r>
          </w:p>
        </w:tc>
        <w:tc>
          <w:tcPr>
            <w:tcW w:w="1077" w:type="dxa"/>
          </w:tcPr>
          <w:p w14:paraId="489CF4AB" w14:textId="1BA00EF2" w:rsidR="00AA5E8B" w:rsidRPr="008B60C6" w:rsidRDefault="008B60C6" w:rsidP="00073893">
            <w:pPr>
              <w:spacing w:line="240" w:lineRule="auto"/>
              <w:contextualSpacing/>
              <w:jc w:val="center"/>
              <w:rPr>
                <w:color w:val="auto"/>
                <w:sz w:val="20"/>
              </w:rPr>
            </w:pPr>
            <w:r w:rsidRPr="008B60C6">
              <w:rPr>
                <w:color w:val="auto"/>
                <w:sz w:val="20"/>
              </w:rPr>
              <w:t>16</w:t>
            </w:r>
          </w:p>
        </w:tc>
      </w:tr>
      <w:tr w:rsidR="00AA5E8B" w:rsidRPr="009E24AC" w14:paraId="217F19C6" w14:textId="4863186A" w:rsidTr="00B1144B">
        <w:trPr>
          <w:trHeight w:val="283"/>
          <w:jc w:val="center"/>
        </w:trPr>
        <w:tc>
          <w:tcPr>
            <w:tcW w:w="2381" w:type="dxa"/>
            <w:vAlign w:val="center"/>
          </w:tcPr>
          <w:p w14:paraId="1AD3D0BA" w14:textId="112EC2E0" w:rsidR="00AA5E8B" w:rsidRPr="003A6966" w:rsidRDefault="00AA5E8B" w:rsidP="00073893">
            <w:pPr>
              <w:spacing w:line="240" w:lineRule="auto"/>
              <w:contextualSpacing/>
              <w:jc w:val="left"/>
              <w:rPr>
                <w:sz w:val="20"/>
              </w:rPr>
            </w:pPr>
            <w:r>
              <w:rPr>
                <w:sz w:val="20"/>
              </w:rPr>
              <w:t>NSW</w:t>
            </w:r>
          </w:p>
        </w:tc>
        <w:tc>
          <w:tcPr>
            <w:tcW w:w="1020" w:type="dxa"/>
            <w:vAlign w:val="center"/>
          </w:tcPr>
          <w:p w14:paraId="4AFB30D5" w14:textId="77777777" w:rsidR="00AA5E8B" w:rsidRPr="003A6966" w:rsidRDefault="00AA5E8B" w:rsidP="00073893">
            <w:pPr>
              <w:spacing w:line="240" w:lineRule="auto"/>
              <w:contextualSpacing/>
              <w:jc w:val="center"/>
              <w:rPr>
                <w:sz w:val="20"/>
              </w:rPr>
            </w:pPr>
          </w:p>
        </w:tc>
        <w:tc>
          <w:tcPr>
            <w:tcW w:w="1020" w:type="dxa"/>
            <w:vAlign w:val="center"/>
          </w:tcPr>
          <w:p w14:paraId="218D3D3D" w14:textId="77777777" w:rsidR="00AA5E8B" w:rsidRPr="003A6966" w:rsidRDefault="00AA5E8B" w:rsidP="00073893">
            <w:pPr>
              <w:spacing w:line="240" w:lineRule="auto"/>
              <w:contextualSpacing/>
              <w:jc w:val="center"/>
              <w:rPr>
                <w:sz w:val="20"/>
              </w:rPr>
            </w:pPr>
          </w:p>
        </w:tc>
        <w:tc>
          <w:tcPr>
            <w:tcW w:w="1020" w:type="dxa"/>
            <w:vAlign w:val="center"/>
          </w:tcPr>
          <w:p w14:paraId="4273092E" w14:textId="77777777" w:rsidR="00AA5E8B" w:rsidRPr="003A6966" w:rsidRDefault="00AA5E8B" w:rsidP="00073893">
            <w:pPr>
              <w:spacing w:line="240" w:lineRule="auto"/>
              <w:contextualSpacing/>
              <w:jc w:val="center"/>
              <w:rPr>
                <w:sz w:val="20"/>
              </w:rPr>
            </w:pPr>
          </w:p>
        </w:tc>
        <w:tc>
          <w:tcPr>
            <w:tcW w:w="1020" w:type="dxa"/>
            <w:vAlign w:val="center"/>
          </w:tcPr>
          <w:p w14:paraId="5233F025" w14:textId="2CF6E2A7" w:rsidR="00AA5E8B" w:rsidRPr="003A6966" w:rsidRDefault="00AA5E8B" w:rsidP="00073893">
            <w:pPr>
              <w:spacing w:line="240" w:lineRule="auto"/>
              <w:contextualSpacing/>
              <w:jc w:val="center"/>
              <w:rPr>
                <w:sz w:val="20"/>
              </w:rPr>
            </w:pPr>
            <w:r>
              <w:rPr>
                <w:sz w:val="20"/>
              </w:rPr>
              <w:t>9</w:t>
            </w:r>
          </w:p>
        </w:tc>
        <w:tc>
          <w:tcPr>
            <w:tcW w:w="1020" w:type="dxa"/>
            <w:vAlign w:val="center"/>
          </w:tcPr>
          <w:p w14:paraId="2D908B64" w14:textId="77777777" w:rsidR="00AA5E8B" w:rsidRPr="003A6966" w:rsidRDefault="00AA5E8B" w:rsidP="00073893">
            <w:pPr>
              <w:spacing w:line="240" w:lineRule="auto"/>
              <w:contextualSpacing/>
              <w:jc w:val="center"/>
              <w:rPr>
                <w:sz w:val="20"/>
              </w:rPr>
            </w:pPr>
          </w:p>
        </w:tc>
        <w:tc>
          <w:tcPr>
            <w:tcW w:w="1020" w:type="dxa"/>
          </w:tcPr>
          <w:p w14:paraId="1D404DE7" w14:textId="77777777" w:rsidR="00AA5E8B" w:rsidRPr="006568D4" w:rsidRDefault="00AA5E8B" w:rsidP="00073893">
            <w:pPr>
              <w:spacing w:line="240" w:lineRule="auto"/>
              <w:contextualSpacing/>
              <w:jc w:val="center"/>
              <w:rPr>
                <w:sz w:val="20"/>
              </w:rPr>
            </w:pPr>
          </w:p>
        </w:tc>
        <w:tc>
          <w:tcPr>
            <w:tcW w:w="1020" w:type="dxa"/>
          </w:tcPr>
          <w:p w14:paraId="46F950D6" w14:textId="77777777" w:rsidR="00AA5E8B" w:rsidRPr="00322509" w:rsidRDefault="00AA5E8B" w:rsidP="00073893">
            <w:pPr>
              <w:spacing w:line="240" w:lineRule="auto"/>
              <w:contextualSpacing/>
              <w:jc w:val="center"/>
              <w:rPr>
                <w:sz w:val="20"/>
              </w:rPr>
            </w:pPr>
          </w:p>
        </w:tc>
        <w:tc>
          <w:tcPr>
            <w:tcW w:w="1020" w:type="dxa"/>
          </w:tcPr>
          <w:p w14:paraId="659F0B3D" w14:textId="635E1FCD" w:rsidR="00AA5E8B" w:rsidRDefault="00AA5E8B" w:rsidP="00073893">
            <w:pPr>
              <w:spacing w:line="240" w:lineRule="auto"/>
              <w:contextualSpacing/>
              <w:jc w:val="center"/>
              <w:rPr>
                <w:sz w:val="20"/>
              </w:rPr>
            </w:pPr>
            <w:r>
              <w:rPr>
                <w:sz w:val="20"/>
              </w:rPr>
              <w:t>28</w:t>
            </w:r>
          </w:p>
        </w:tc>
        <w:tc>
          <w:tcPr>
            <w:tcW w:w="1077" w:type="dxa"/>
          </w:tcPr>
          <w:p w14:paraId="5D54DBF5" w14:textId="1B6B0E4C" w:rsidR="00AA5E8B" w:rsidRPr="00F86301" w:rsidRDefault="00AA5E8B" w:rsidP="00073893">
            <w:pPr>
              <w:spacing w:line="240" w:lineRule="auto"/>
              <w:contextualSpacing/>
              <w:jc w:val="center"/>
              <w:rPr>
                <w:color w:val="auto"/>
                <w:sz w:val="20"/>
              </w:rPr>
            </w:pPr>
            <w:r w:rsidRPr="00F86301">
              <w:rPr>
                <w:color w:val="auto"/>
                <w:sz w:val="20"/>
              </w:rPr>
              <w:t>20</w:t>
            </w:r>
          </w:p>
        </w:tc>
        <w:tc>
          <w:tcPr>
            <w:tcW w:w="1077" w:type="dxa"/>
          </w:tcPr>
          <w:p w14:paraId="1CAC819D" w14:textId="0CB610D5" w:rsidR="00AA5E8B" w:rsidRPr="008B60C6" w:rsidRDefault="008B60C6" w:rsidP="00073893">
            <w:pPr>
              <w:spacing w:line="240" w:lineRule="auto"/>
              <w:contextualSpacing/>
              <w:jc w:val="center"/>
              <w:rPr>
                <w:color w:val="auto"/>
                <w:sz w:val="20"/>
              </w:rPr>
            </w:pPr>
            <w:r w:rsidRPr="008B60C6">
              <w:rPr>
                <w:color w:val="auto"/>
                <w:sz w:val="20"/>
              </w:rPr>
              <w:t>24</w:t>
            </w:r>
          </w:p>
        </w:tc>
      </w:tr>
      <w:tr w:rsidR="00AA5E8B" w:rsidRPr="009E24AC" w14:paraId="72DDF4D3" w14:textId="20F5151E" w:rsidTr="00B1144B">
        <w:trPr>
          <w:trHeight w:val="283"/>
          <w:jc w:val="center"/>
        </w:trPr>
        <w:tc>
          <w:tcPr>
            <w:tcW w:w="2381" w:type="dxa"/>
            <w:vAlign w:val="center"/>
          </w:tcPr>
          <w:p w14:paraId="13AC4FC8" w14:textId="42AA33C0" w:rsidR="00AA5E8B" w:rsidRPr="003A6966" w:rsidRDefault="00AA5E8B" w:rsidP="00073893">
            <w:pPr>
              <w:spacing w:line="240" w:lineRule="auto"/>
              <w:contextualSpacing/>
              <w:jc w:val="left"/>
              <w:rPr>
                <w:sz w:val="20"/>
              </w:rPr>
            </w:pPr>
            <w:r>
              <w:rPr>
                <w:sz w:val="20"/>
              </w:rPr>
              <w:t>Other SA</w:t>
            </w:r>
          </w:p>
        </w:tc>
        <w:tc>
          <w:tcPr>
            <w:tcW w:w="1020" w:type="dxa"/>
            <w:vAlign w:val="center"/>
          </w:tcPr>
          <w:p w14:paraId="547D7323" w14:textId="77777777" w:rsidR="00AA5E8B" w:rsidRPr="003A6966" w:rsidRDefault="00AA5E8B" w:rsidP="00073893">
            <w:pPr>
              <w:spacing w:line="240" w:lineRule="auto"/>
              <w:contextualSpacing/>
              <w:jc w:val="center"/>
              <w:rPr>
                <w:sz w:val="20"/>
              </w:rPr>
            </w:pPr>
          </w:p>
        </w:tc>
        <w:tc>
          <w:tcPr>
            <w:tcW w:w="1020" w:type="dxa"/>
            <w:vAlign w:val="center"/>
          </w:tcPr>
          <w:p w14:paraId="6BB6EA7E" w14:textId="77777777" w:rsidR="00AA5E8B" w:rsidRPr="003A6966" w:rsidRDefault="00AA5E8B" w:rsidP="00073893">
            <w:pPr>
              <w:spacing w:line="240" w:lineRule="auto"/>
              <w:contextualSpacing/>
              <w:jc w:val="center"/>
              <w:rPr>
                <w:sz w:val="20"/>
              </w:rPr>
            </w:pPr>
          </w:p>
        </w:tc>
        <w:tc>
          <w:tcPr>
            <w:tcW w:w="1020" w:type="dxa"/>
            <w:vAlign w:val="center"/>
          </w:tcPr>
          <w:p w14:paraId="634EC960" w14:textId="77777777" w:rsidR="00AA5E8B" w:rsidRPr="003A6966" w:rsidRDefault="00AA5E8B" w:rsidP="00073893">
            <w:pPr>
              <w:spacing w:line="240" w:lineRule="auto"/>
              <w:contextualSpacing/>
              <w:jc w:val="center"/>
              <w:rPr>
                <w:sz w:val="20"/>
              </w:rPr>
            </w:pPr>
          </w:p>
        </w:tc>
        <w:tc>
          <w:tcPr>
            <w:tcW w:w="1020" w:type="dxa"/>
            <w:vAlign w:val="center"/>
          </w:tcPr>
          <w:p w14:paraId="60904D67" w14:textId="1661D8B8" w:rsidR="00AA5E8B" w:rsidRPr="003A6966" w:rsidRDefault="00AA5E8B" w:rsidP="00073893">
            <w:pPr>
              <w:spacing w:line="240" w:lineRule="auto"/>
              <w:contextualSpacing/>
              <w:jc w:val="center"/>
              <w:rPr>
                <w:sz w:val="20"/>
              </w:rPr>
            </w:pPr>
          </w:p>
        </w:tc>
        <w:tc>
          <w:tcPr>
            <w:tcW w:w="1020" w:type="dxa"/>
            <w:vAlign w:val="center"/>
          </w:tcPr>
          <w:p w14:paraId="1AF646FB" w14:textId="77777777" w:rsidR="00AA5E8B" w:rsidRPr="003A6966" w:rsidRDefault="00AA5E8B" w:rsidP="00073893">
            <w:pPr>
              <w:spacing w:line="240" w:lineRule="auto"/>
              <w:contextualSpacing/>
              <w:jc w:val="center"/>
              <w:rPr>
                <w:sz w:val="20"/>
              </w:rPr>
            </w:pPr>
          </w:p>
        </w:tc>
        <w:tc>
          <w:tcPr>
            <w:tcW w:w="1020" w:type="dxa"/>
          </w:tcPr>
          <w:p w14:paraId="750DC77F" w14:textId="77777777" w:rsidR="00AA5E8B" w:rsidRPr="006568D4" w:rsidRDefault="00AA5E8B" w:rsidP="00073893">
            <w:pPr>
              <w:spacing w:line="240" w:lineRule="auto"/>
              <w:contextualSpacing/>
              <w:jc w:val="center"/>
              <w:rPr>
                <w:sz w:val="20"/>
              </w:rPr>
            </w:pPr>
          </w:p>
        </w:tc>
        <w:tc>
          <w:tcPr>
            <w:tcW w:w="1020" w:type="dxa"/>
          </w:tcPr>
          <w:p w14:paraId="2CAB5BCF" w14:textId="77777777" w:rsidR="00AA5E8B" w:rsidRPr="00D96D99" w:rsidRDefault="00AA5E8B" w:rsidP="00073893">
            <w:pPr>
              <w:spacing w:line="240" w:lineRule="auto"/>
              <w:contextualSpacing/>
              <w:jc w:val="center"/>
              <w:rPr>
                <w:sz w:val="20"/>
                <w:highlight w:val="yellow"/>
              </w:rPr>
            </w:pPr>
          </w:p>
        </w:tc>
        <w:tc>
          <w:tcPr>
            <w:tcW w:w="1020" w:type="dxa"/>
          </w:tcPr>
          <w:p w14:paraId="44EDD3AA" w14:textId="41A08C0D" w:rsidR="00AA5E8B" w:rsidRDefault="00AA5E8B" w:rsidP="00073893">
            <w:pPr>
              <w:spacing w:line="240" w:lineRule="auto"/>
              <w:contextualSpacing/>
              <w:jc w:val="center"/>
              <w:rPr>
                <w:sz w:val="20"/>
              </w:rPr>
            </w:pPr>
            <w:r>
              <w:rPr>
                <w:sz w:val="20"/>
              </w:rPr>
              <w:t>60</w:t>
            </w:r>
          </w:p>
        </w:tc>
        <w:tc>
          <w:tcPr>
            <w:tcW w:w="1077" w:type="dxa"/>
          </w:tcPr>
          <w:p w14:paraId="2BD75C61" w14:textId="77777777" w:rsidR="00AA5E8B" w:rsidRPr="00F86301" w:rsidRDefault="00AA5E8B" w:rsidP="00073893">
            <w:pPr>
              <w:spacing w:line="240" w:lineRule="auto"/>
              <w:contextualSpacing/>
              <w:jc w:val="center"/>
              <w:rPr>
                <w:color w:val="auto"/>
                <w:sz w:val="20"/>
              </w:rPr>
            </w:pPr>
          </w:p>
        </w:tc>
        <w:tc>
          <w:tcPr>
            <w:tcW w:w="1077" w:type="dxa"/>
          </w:tcPr>
          <w:p w14:paraId="7537D266" w14:textId="263035AB" w:rsidR="00AA5E8B" w:rsidRPr="008B60C6" w:rsidRDefault="00AA5E8B" w:rsidP="00073893">
            <w:pPr>
              <w:spacing w:line="240" w:lineRule="auto"/>
              <w:contextualSpacing/>
              <w:jc w:val="center"/>
              <w:rPr>
                <w:color w:val="auto"/>
                <w:sz w:val="20"/>
              </w:rPr>
            </w:pPr>
          </w:p>
        </w:tc>
      </w:tr>
      <w:tr w:rsidR="00AA5E8B" w:rsidRPr="009E24AC" w14:paraId="5E94E347" w14:textId="798F7D3A" w:rsidTr="00B1144B">
        <w:trPr>
          <w:trHeight w:val="283"/>
          <w:jc w:val="center"/>
        </w:trPr>
        <w:tc>
          <w:tcPr>
            <w:tcW w:w="2381" w:type="dxa"/>
            <w:tcBorders>
              <w:bottom w:val="single" w:sz="4" w:space="0" w:color="auto"/>
            </w:tcBorders>
            <w:vAlign w:val="center"/>
          </w:tcPr>
          <w:p w14:paraId="69DC63E0" w14:textId="379DD880" w:rsidR="00AA5E8B" w:rsidRPr="003A6966" w:rsidRDefault="00AA5E8B" w:rsidP="00BE579A">
            <w:pPr>
              <w:spacing w:line="240" w:lineRule="auto"/>
              <w:contextualSpacing/>
              <w:jc w:val="left"/>
              <w:rPr>
                <w:sz w:val="20"/>
              </w:rPr>
            </w:pPr>
            <w:r w:rsidRPr="003A6966">
              <w:rPr>
                <w:sz w:val="20"/>
              </w:rPr>
              <w:t>Total</w:t>
            </w:r>
            <w:r>
              <w:rPr>
                <w:sz w:val="20"/>
              </w:rPr>
              <w:t xml:space="preserve"> eWater (% QSA)</w:t>
            </w:r>
          </w:p>
        </w:tc>
        <w:tc>
          <w:tcPr>
            <w:tcW w:w="1020" w:type="dxa"/>
            <w:tcBorders>
              <w:bottom w:val="single" w:sz="4" w:space="0" w:color="auto"/>
            </w:tcBorders>
            <w:vAlign w:val="center"/>
          </w:tcPr>
          <w:p w14:paraId="46F070AD" w14:textId="77777777" w:rsidR="00AA5E8B" w:rsidRPr="003A6966" w:rsidRDefault="00AA5E8B" w:rsidP="00073893">
            <w:pPr>
              <w:spacing w:line="240" w:lineRule="auto"/>
              <w:contextualSpacing/>
              <w:jc w:val="center"/>
              <w:rPr>
                <w:sz w:val="20"/>
              </w:rPr>
            </w:pPr>
            <w:r w:rsidRPr="003A6966">
              <w:rPr>
                <w:sz w:val="20"/>
              </w:rPr>
              <w:t>714</w:t>
            </w:r>
            <w:r>
              <w:rPr>
                <w:sz w:val="20"/>
              </w:rPr>
              <w:t xml:space="preserve"> (25%)</w:t>
            </w:r>
          </w:p>
        </w:tc>
        <w:tc>
          <w:tcPr>
            <w:tcW w:w="1020" w:type="dxa"/>
            <w:tcBorders>
              <w:bottom w:val="single" w:sz="4" w:space="0" w:color="auto"/>
            </w:tcBorders>
            <w:vAlign w:val="center"/>
          </w:tcPr>
          <w:p w14:paraId="111F70B2" w14:textId="77777777" w:rsidR="00AA5E8B" w:rsidRPr="003A6966" w:rsidRDefault="00AA5E8B" w:rsidP="00073893">
            <w:pPr>
              <w:spacing w:line="240" w:lineRule="auto"/>
              <w:contextualSpacing/>
              <w:jc w:val="center"/>
              <w:rPr>
                <w:sz w:val="20"/>
              </w:rPr>
            </w:pPr>
            <w:r w:rsidRPr="003A6966">
              <w:rPr>
                <w:sz w:val="20"/>
              </w:rPr>
              <w:t>914</w:t>
            </w:r>
            <w:r>
              <w:rPr>
                <w:sz w:val="20"/>
              </w:rPr>
              <w:t xml:space="preserve"> (37%)</w:t>
            </w:r>
          </w:p>
        </w:tc>
        <w:tc>
          <w:tcPr>
            <w:tcW w:w="1020" w:type="dxa"/>
            <w:tcBorders>
              <w:bottom w:val="single" w:sz="4" w:space="0" w:color="auto"/>
            </w:tcBorders>
            <w:vAlign w:val="center"/>
          </w:tcPr>
          <w:p w14:paraId="7E3319F4" w14:textId="77777777" w:rsidR="00AA5E8B" w:rsidRPr="003A6966" w:rsidRDefault="00AA5E8B" w:rsidP="00073893">
            <w:pPr>
              <w:spacing w:line="240" w:lineRule="auto"/>
              <w:contextualSpacing/>
              <w:jc w:val="center"/>
              <w:rPr>
                <w:sz w:val="20"/>
              </w:rPr>
            </w:pPr>
            <w:r w:rsidRPr="003A6966">
              <w:rPr>
                <w:sz w:val="20"/>
              </w:rPr>
              <w:t>99</w:t>
            </w:r>
            <w:r>
              <w:rPr>
                <w:sz w:val="20"/>
              </w:rPr>
              <w:t>6 (11%)</w:t>
            </w:r>
          </w:p>
        </w:tc>
        <w:tc>
          <w:tcPr>
            <w:tcW w:w="1020" w:type="dxa"/>
            <w:tcBorders>
              <w:bottom w:val="single" w:sz="4" w:space="0" w:color="auto"/>
            </w:tcBorders>
            <w:vAlign w:val="center"/>
          </w:tcPr>
          <w:p w14:paraId="097795D0" w14:textId="55D5DEF7" w:rsidR="00AA5E8B" w:rsidRPr="003A6966" w:rsidRDefault="00AA5E8B" w:rsidP="00073893">
            <w:pPr>
              <w:spacing w:line="240" w:lineRule="auto"/>
              <w:contextualSpacing/>
              <w:jc w:val="center"/>
              <w:rPr>
                <w:sz w:val="20"/>
              </w:rPr>
            </w:pPr>
            <w:r w:rsidRPr="003A6966">
              <w:rPr>
                <w:sz w:val="20"/>
              </w:rPr>
              <w:t>1</w:t>
            </w:r>
            <w:r>
              <w:rPr>
                <w:sz w:val="20"/>
              </w:rPr>
              <w:t>,</w:t>
            </w:r>
            <w:r w:rsidRPr="003A6966">
              <w:rPr>
                <w:sz w:val="20"/>
              </w:rPr>
              <w:t>16</w:t>
            </w:r>
            <w:r>
              <w:rPr>
                <w:sz w:val="20"/>
              </w:rPr>
              <w:t>7 (43%)</w:t>
            </w:r>
          </w:p>
        </w:tc>
        <w:tc>
          <w:tcPr>
            <w:tcW w:w="1020" w:type="dxa"/>
            <w:tcBorders>
              <w:bottom w:val="single" w:sz="4" w:space="0" w:color="auto"/>
            </w:tcBorders>
            <w:vAlign w:val="center"/>
          </w:tcPr>
          <w:p w14:paraId="4BBAFCE4" w14:textId="77777777" w:rsidR="00AA5E8B" w:rsidRPr="003A6966" w:rsidRDefault="00AA5E8B" w:rsidP="00073893">
            <w:pPr>
              <w:spacing w:line="240" w:lineRule="auto"/>
              <w:contextualSpacing/>
              <w:jc w:val="center"/>
              <w:rPr>
                <w:sz w:val="20"/>
              </w:rPr>
            </w:pPr>
            <w:r w:rsidRPr="003A6966">
              <w:rPr>
                <w:sz w:val="20"/>
              </w:rPr>
              <w:t>7</w:t>
            </w:r>
            <w:r>
              <w:rPr>
                <w:sz w:val="20"/>
              </w:rPr>
              <w:t>91 (32%)</w:t>
            </w:r>
          </w:p>
        </w:tc>
        <w:tc>
          <w:tcPr>
            <w:tcW w:w="1020" w:type="dxa"/>
            <w:tcBorders>
              <w:bottom w:val="single" w:sz="4" w:space="0" w:color="auto"/>
            </w:tcBorders>
          </w:tcPr>
          <w:p w14:paraId="5F8496BC" w14:textId="77777777" w:rsidR="00AA5E8B" w:rsidRPr="00D94AAF" w:rsidRDefault="00AA5E8B" w:rsidP="00073893">
            <w:pPr>
              <w:spacing w:line="240" w:lineRule="auto"/>
              <w:contextualSpacing/>
              <w:jc w:val="center"/>
              <w:rPr>
                <w:sz w:val="20"/>
              </w:rPr>
            </w:pPr>
            <w:r w:rsidRPr="00D94AAF">
              <w:rPr>
                <w:sz w:val="20"/>
              </w:rPr>
              <w:t>931 (39%)</w:t>
            </w:r>
          </w:p>
        </w:tc>
        <w:tc>
          <w:tcPr>
            <w:tcW w:w="1020" w:type="dxa"/>
            <w:tcBorders>
              <w:bottom w:val="single" w:sz="4" w:space="0" w:color="auto"/>
            </w:tcBorders>
          </w:tcPr>
          <w:p w14:paraId="7C979750" w14:textId="28478D16" w:rsidR="00AA5E8B" w:rsidRPr="00D96D99" w:rsidRDefault="00AA5E8B" w:rsidP="00073893">
            <w:pPr>
              <w:spacing w:line="240" w:lineRule="auto"/>
              <w:contextualSpacing/>
              <w:jc w:val="center"/>
              <w:rPr>
                <w:sz w:val="20"/>
                <w:highlight w:val="yellow"/>
              </w:rPr>
            </w:pPr>
            <w:r>
              <w:rPr>
                <w:sz w:val="20"/>
              </w:rPr>
              <w:t>922</w:t>
            </w:r>
            <w:r w:rsidRPr="00004979">
              <w:rPr>
                <w:sz w:val="20"/>
              </w:rPr>
              <w:t xml:space="preserve"> (</w:t>
            </w:r>
            <w:r>
              <w:rPr>
                <w:sz w:val="20"/>
              </w:rPr>
              <w:t>31</w:t>
            </w:r>
            <w:r w:rsidRPr="00004979">
              <w:rPr>
                <w:sz w:val="20"/>
              </w:rPr>
              <w:t>%)</w:t>
            </w:r>
          </w:p>
        </w:tc>
        <w:tc>
          <w:tcPr>
            <w:tcW w:w="1020" w:type="dxa"/>
            <w:tcBorders>
              <w:bottom w:val="single" w:sz="4" w:space="0" w:color="auto"/>
            </w:tcBorders>
          </w:tcPr>
          <w:p w14:paraId="0D9BA9F1" w14:textId="59CA3665" w:rsidR="00AA5E8B" w:rsidRPr="00A6316B" w:rsidRDefault="00AA5E8B" w:rsidP="00073893">
            <w:pPr>
              <w:spacing w:line="240" w:lineRule="auto"/>
              <w:contextualSpacing/>
              <w:jc w:val="center"/>
              <w:rPr>
                <w:sz w:val="20"/>
              </w:rPr>
            </w:pPr>
            <w:r>
              <w:rPr>
                <w:sz w:val="20"/>
              </w:rPr>
              <w:t>1,202</w:t>
            </w:r>
          </w:p>
          <w:p w14:paraId="174E6F6F" w14:textId="4204B4C1" w:rsidR="00AA5E8B" w:rsidRPr="00A6316B" w:rsidRDefault="00AA5E8B" w:rsidP="00073893">
            <w:pPr>
              <w:spacing w:line="240" w:lineRule="auto"/>
              <w:contextualSpacing/>
              <w:jc w:val="center"/>
              <w:rPr>
                <w:sz w:val="20"/>
              </w:rPr>
            </w:pPr>
            <w:r w:rsidRPr="00A6316B">
              <w:rPr>
                <w:sz w:val="20"/>
              </w:rPr>
              <w:t>(1</w:t>
            </w:r>
            <w:r>
              <w:rPr>
                <w:sz w:val="20"/>
              </w:rPr>
              <w:t>3</w:t>
            </w:r>
            <w:r w:rsidRPr="00A6316B">
              <w:rPr>
                <w:sz w:val="20"/>
              </w:rPr>
              <w:t>%)</w:t>
            </w:r>
          </w:p>
        </w:tc>
        <w:tc>
          <w:tcPr>
            <w:tcW w:w="1077" w:type="dxa"/>
            <w:tcBorders>
              <w:bottom w:val="single" w:sz="4" w:space="0" w:color="auto"/>
            </w:tcBorders>
          </w:tcPr>
          <w:p w14:paraId="14C0DE2C" w14:textId="6391C702" w:rsidR="00AA5E8B" w:rsidRPr="00F86301" w:rsidRDefault="00AA5E8B" w:rsidP="00073893">
            <w:pPr>
              <w:spacing w:line="240" w:lineRule="auto"/>
              <w:contextualSpacing/>
              <w:jc w:val="center"/>
              <w:rPr>
                <w:color w:val="auto"/>
                <w:sz w:val="20"/>
              </w:rPr>
            </w:pPr>
            <w:r w:rsidRPr="00F86301">
              <w:rPr>
                <w:color w:val="auto"/>
                <w:sz w:val="20"/>
              </w:rPr>
              <w:t>1</w:t>
            </w:r>
            <w:r>
              <w:rPr>
                <w:color w:val="auto"/>
                <w:sz w:val="20"/>
              </w:rPr>
              <w:t>,</w:t>
            </w:r>
            <w:r w:rsidRPr="00F86301">
              <w:rPr>
                <w:color w:val="auto"/>
                <w:sz w:val="20"/>
              </w:rPr>
              <w:t>136</w:t>
            </w:r>
          </w:p>
          <w:p w14:paraId="1430BE82" w14:textId="4C54EBA1" w:rsidR="00AA5E8B" w:rsidRPr="00F86301" w:rsidRDefault="00AA5E8B" w:rsidP="00073893">
            <w:pPr>
              <w:spacing w:line="240" w:lineRule="auto"/>
              <w:contextualSpacing/>
              <w:jc w:val="center"/>
              <w:rPr>
                <w:color w:val="auto"/>
                <w:sz w:val="20"/>
              </w:rPr>
            </w:pPr>
            <w:r w:rsidRPr="00F86301">
              <w:rPr>
                <w:color w:val="auto"/>
                <w:sz w:val="20"/>
              </w:rPr>
              <w:t>(5%)</w:t>
            </w:r>
          </w:p>
        </w:tc>
        <w:tc>
          <w:tcPr>
            <w:tcW w:w="1077" w:type="dxa"/>
            <w:tcBorders>
              <w:bottom w:val="single" w:sz="4" w:space="0" w:color="auto"/>
            </w:tcBorders>
          </w:tcPr>
          <w:p w14:paraId="6F805EF4" w14:textId="56643658" w:rsidR="001B6C88" w:rsidRPr="008B60C6" w:rsidRDefault="001B6C88" w:rsidP="00073893">
            <w:pPr>
              <w:spacing w:line="240" w:lineRule="auto"/>
              <w:contextualSpacing/>
              <w:jc w:val="center"/>
              <w:rPr>
                <w:color w:val="auto"/>
                <w:sz w:val="20"/>
              </w:rPr>
            </w:pPr>
            <w:r w:rsidRPr="008B60C6">
              <w:rPr>
                <w:color w:val="auto"/>
                <w:sz w:val="20"/>
              </w:rPr>
              <w:t>1,</w:t>
            </w:r>
            <w:r w:rsidR="008B60C6" w:rsidRPr="008B60C6">
              <w:rPr>
                <w:color w:val="auto"/>
                <w:sz w:val="20"/>
              </w:rPr>
              <w:t>767</w:t>
            </w:r>
          </w:p>
          <w:p w14:paraId="10C402C0" w14:textId="1F18DB20" w:rsidR="00AA5E8B" w:rsidRPr="008B60C6" w:rsidRDefault="001B6C88" w:rsidP="00073893">
            <w:pPr>
              <w:spacing w:line="240" w:lineRule="auto"/>
              <w:contextualSpacing/>
              <w:jc w:val="center"/>
              <w:rPr>
                <w:color w:val="auto"/>
                <w:sz w:val="20"/>
              </w:rPr>
            </w:pPr>
            <w:r w:rsidRPr="008B60C6">
              <w:rPr>
                <w:color w:val="auto"/>
                <w:sz w:val="20"/>
              </w:rPr>
              <w:t>(</w:t>
            </w:r>
            <w:r w:rsidR="008B60C6" w:rsidRPr="008B60C6">
              <w:rPr>
                <w:color w:val="auto"/>
                <w:sz w:val="20"/>
              </w:rPr>
              <w:t>24</w:t>
            </w:r>
            <w:r w:rsidRPr="008B60C6">
              <w:rPr>
                <w:color w:val="auto"/>
                <w:sz w:val="20"/>
              </w:rPr>
              <w:t>%)</w:t>
            </w:r>
          </w:p>
        </w:tc>
      </w:tr>
    </w:tbl>
    <w:p w14:paraId="24C7B6F4" w14:textId="56C391D2" w:rsidR="009F092A" w:rsidRPr="00DF4EBE" w:rsidRDefault="00DF4EBE" w:rsidP="009F092A">
      <w:pPr>
        <w:rPr>
          <w:sz w:val="18"/>
          <w:szCs w:val="16"/>
        </w:rPr>
      </w:pPr>
      <w:r w:rsidRPr="002C0919">
        <w:rPr>
          <w:sz w:val="18"/>
          <w:szCs w:val="16"/>
        </w:rPr>
        <w:t>*</w:t>
      </w:r>
      <w:r w:rsidR="00A479A4" w:rsidRPr="002C0919">
        <w:rPr>
          <w:sz w:val="18"/>
          <w:szCs w:val="16"/>
        </w:rPr>
        <w:t>A</w:t>
      </w:r>
      <w:r w:rsidR="008364F5">
        <w:rPr>
          <w:sz w:val="18"/>
          <w:szCs w:val="16"/>
        </w:rPr>
        <w:t>pproximately 9.7,</w:t>
      </w:r>
      <w:r w:rsidR="00A479A4" w:rsidRPr="00F86301">
        <w:rPr>
          <w:sz w:val="18"/>
          <w:szCs w:val="16"/>
        </w:rPr>
        <w:t xml:space="preserve"> </w:t>
      </w:r>
      <w:r w:rsidR="008364F5">
        <w:rPr>
          <w:sz w:val="18"/>
          <w:szCs w:val="16"/>
        </w:rPr>
        <w:t xml:space="preserve">12.5, 11.6, &lt;1 and </w:t>
      </w:r>
      <w:r w:rsidR="008B60C6">
        <w:rPr>
          <w:sz w:val="18"/>
          <w:szCs w:val="16"/>
        </w:rPr>
        <w:t>21.7</w:t>
      </w:r>
      <w:r w:rsidRPr="00F86301">
        <w:rPr>
          <w:sz w:val="18"/>
          <w:szCs w:val="16"/>
        </w:rPr>
        <w:t xml:space="preserve"> </w:t>
      </w:r>
      <w:r w:rsidR="008364F5">
        <w:rPr>
          <w:sz w:val="18"/>
          <w:szCs w:val="16"/>
        </w:rPr>
        <w:t>G</w:t>
      </w:r>
      <w:r w:rsidRPr="00F86301">
        <w:rPr>
          <w:sz w:val="18"/>
          <w:szCs w:val="16"/>
        </w:rPr>
        <w:t>L of</w:t>
      </w:r>
      <w:r w:rsidR="00B314D5" w:rsidRPr="00F86301">
        <w:rPr>
          <w:sz w:val="18"/>
          <w:szCs w:val="16"/>
        </w:rPr>
        <w:t xml:space="preserve"> CEW</w:t>
      </w:r>
      <w:r w:rsidRPr="002C0919">
        <w:rPr>
          <w:sz w:val="18"/>
          <w:szCs w:val="16"/>
        </w:rPr>
        <w:t xml:space="preserve"> w</w:t>
      </w:r>
      <w:r w:rsidR="008364F5">
        <w:rPr>
          <w:sz w:val="18"/>
          <w:szCs w:val="16"/>
        </w:rPr>
        <w:t>ere</w:t>
      </w:r>
      <w:r w:rsidRPr="002C0919">
        <w:rPr>
          <w:sz w:val="18"/>
          <w:szCs w:val="16"/>
        </w:rPr>
        <w:t xml:space="preserve"> </w:t>
      </w:r>
      <w:r w:rsidR="00B314D5" w:rsidRPr="002C0919">
        <w:rPr>
          <w:sz w:val="18"/>
          <w:szCs w:val="16"/>
        </w:rPr>
        <w:t>also delivered</w:t>
      </w:r>
      <w:r w:rsidRPr="002C0919">
        <w:rPr>
          <w:sz w:val="18"/>
          <w:szCs w:val="16"/>
        </w:rPr>
        <w:t xml:space="preserve"> for wetland watering in</w:t>
      </w:r>
      <w:r w:rsidR="008364F5">
        <w:rPr>
          <w:sz w:val="18"/>
          <w:szCs w:val="16"/>
        </w:rPr>
        <w:t xml:space="preserve"> 2019-20, 2020-21, 2021-22, 2022-23 </w:t>
      </w:r>
      <w:r w:rsidR="008364F5" w:rsidRPr="00A03885">
        <w:rPr>
          <w:sz w:val="18"/>
          <w:szCs w:val="16"/>
        </w:rPr>
        <w:t>and</w:t>
      </w:r>
      <w:r w:rsidRPr="00A03885">
        <w:rPr>
          <w:sz w:val="18"/>
          <w:szCs w:val="16"/>
        </w:rPr>
        <w:t xml:space="preserve"> </w:t>
      </w:r>
      <w:r w:rsidR="00F9578C" w:rsidRPr="00A03885">
        <w:rPr>
          <w:sz w:val="18"/>
          <w:szCs w:val="16"/>
        </w:rPr>
        <w:t>202</w:t>
      </w:r>
      <w:r w:rsidR="00B1144B" w:rsidRPr="00A03885">
        <w:rPr>
          <w:sz w:val="18"/>
          <w:szCs w:val="16"/>
        </w:rPr>
        <w:t>3</w:t>
      </w:r>
      <w:r w:rsidR="00F9578C" w:rsidRPr="00A03885">
        <w:rPr>
          <w:sz w:val="18"/>
          <w:szCs w:val="16"/>
        </w:rPr>
        <w:t>-2</w:t>
      </w:r>
      <w:r w:rsidR="00B1144B" w:rsidRPr="00A03885">
        <w:rPr>
          <w:sz w:val="18"/>
          <w:szCs w:val="16"/>
        </w:rPr>
        <w:t>4</w:t>
      </w:r>
      <w:r w:rsidR="008364F5" w:rsidRPr="00A03885">
        <w:rPr>
          <w:sz w:val="18"/>
          <w:szCs w:val="16"/>
        </w:rPr>
        <w:t>, respectively</w:t>
      </w:r>
      <w:r w:rsidR="00F9578C" w:rsidRPr="002C0919">
        <w:rPr>
          <w:sz w:val="18"/>
          <w:szCs w:val="16"/>
        </w:rPr>
        <w:t>.</w:t>
      </w:r>
    </w:p>
    <w:p w14:paraId="1BFED295" w14:textId="1A54D619" w:rsidR="002E40C5" w:rsidRPr="00F86301" w:rsidRDefault="002E40C5" w:rsidP="002E40C5">
      <w:pPr>
        <w:pStyle w:val="Caption"/>
      </w:pPr>
      <w:bookmarkStart w:id="67" w:name="_Ref30779384"/>
      <w:bookmarkStart w:id="68" w:name="_Ref57211234"/>
      <w:bookmarkStart w:id="69" w:name="_Toc101963860"/>
      <w:bookmarkStart w:id="70" w:name="_Toc200464526"/>
      <w:r w:rsidRPr="00521E10">
        <w:t xml:space="preserve">Table </w:t>
      </w:r>
      <w:r>
        <w:fldChar w:fldCharType="begin"/>
      </w:r>
      <w:r>
        <w:instrText>SEQ Table \* ARABIC</w:instrText>
      </w:r>
      <w:r>
        <w:fldChar w:fldCharType="separate"/>
      </w:r>
      <w:r w:rsidR="00102828">
        <w:rPr>
          <w:noProof/>
        </w:rPr>
        <w:t>2</w:t>
      </w:r>
      <w:r>
        <w:fldChar w:fldCharType="end"/>
      </w:r>
      <w:bookmarkEnd w:id="67"/>
      <w:bookmarkEnd w:id="68"/>
      <w:r w:rsidRPr="00521E10">
        <w:t xml:space="preserve">. Annual flow </w:t>
      </w:r>
      <w:r w:rsidR="00AE106F">
        <w:t>through</w:t>
      </w:r>
      <w:r w:rsidRPr="00521E10">
        <w:t xml:space="preserve"> the Murray barrages (total volume, GL) from 2014</w:t>
      </w:r>
      <w:r w:rsidR="00B2342E">
        <w:t>-15 to 20</w:t>
      </w:r>
      <w:r w:rsidR="00D060F1">
        <w:t>2</w:t>
      </w:r>
      <w:r w:rsidR="008364F5">
        <w:t>3</w:t>
      </w:r>
      <w:r w:rsidR="00B2342E">
        <w:t>-</w:t>
      </w:r>
      <w:r w:rsidRPr="00521E10">
        <w:t>2</w:t>
      </w:r>
      <w:r w:rsidR="008364F5">
        <w:t>4</w:t>
      </w:r>
      <w:r>
        <w:t xml:space="preserve">, showing contribution by Commonwealth environmental water (CEW). </w:t>
      </w:r>
      <w:r w:rsidR="009A6818">
        <w:t>CEW and total flow volumes are based on S</w:t>
      </w:r>
      <w:r w:rsidR="00DD4808">
        <w:t xml:space="preserve">outh </w:t>
      </w:r>
      <w:r w:rsidR="009A6818">
        <w:t>A</w:t>
      </w:r>
      <w:r w:rsidR="00DD4808">
        <w:t>ustralian</w:t>
      </w:r>
      <w:r w:rsidR="009A6818">
        <w:t xml:space="preserve"> barrage dashboard accounting data</w:t>
      </w:r>
      <w:r>
        <w:t>.</w:t>
      </w:r>
      <w:r w:rsidR="00E1034E" w:rsidRPr="00E1034E">
        <w:t xml:space="preserve"> Matter transport results in Section </w:t>
      </w:r>
      <w:r w:rsidR="00864175">
        <w:fldChar w:fldCharType="begin"/>
      </w:r>
      <w:r w:rsidR="00864175">
        <w:instrText xml:space="preserve"> REF _Ref127871951 \r \h </w:instrText>
      </w:r>
      <w:r w:rsidR="00864175">
        <w:fldChar w:fldCharType="separate"/>
      </w:r>
      <w:r w:rsidR="00102828">
        <w:t>2.3</w:t>
      </w:r>
      <w:r w:rsidR="00864175">
        <w:fldChar w:fldCharType="end"/>
      </w:r>
      <w:r w:rsidR="00864175">
        <w:t>.</w:t>
      </w:r>
      <w:r w:rsidR="00E1034E" w:rsidRPr="00E1034E">
        <w:t xml:space="preserve">1 are based on barrage-specific modelled data, and may differ </w:t>
      </w:r>
      <w:r w:rsidR="00E1034E" w:rsidRPr="00F86301">
        <w:t>slightly compared to the account</w:t>
      </w:r>
      <w:r w:rsidR="00585F5F" w:rsidRPr="00F86301">
        <w:t>ing</w:t>
      </w:r>
      <w:r w:rsidR="00E1034E" w:rsidRPr="00F86301">
        <w:t xml:space="preserve"> data presented here.</w:t>
      </w:r>
      <w:bookmarkEnd w:id="69"/>
      <w:bookmarkEnd w:id="70"/>
      <w:r w:rsidR="00F30A23" w:rsidRPr="00F86301">
        <w:t xml:space="preserve"> </w:t>
      </w:r>
    </w:p>
    <w:tbl>
      <w:tblPr>
        <w:tblW w:w="0" w:type="auto"/>
        <w:jc w:val="center"/>
        <w:tblLook w:val="04A0" w:firstRow="1" w:lastRow="0" w:firstColumn="1" w:lastColumn="0" w:noHBand="0" w:noVBand="1"/>
        <w:tblDescription w:val="Table showing annual flow through the Murray barrages from 2014-15 to 2023-24, showing contribution by Commonwealth environmental water. "/>
      </w:tblPr>
      <w:tblGrid>
        <w:gridCol w:w="1292"/>
        <w:gridCol w:w="948"/>
        <w:gridCol w:w="948"/>
        <w:gridCol w:w="948"/>
        <w:gridCol w:w="948"/>
        <w:gridCol w:w="948"/>
        <w:gridCol w:w="948"/>
        <w:gridCol w:w="948"/>
        <w:gridCol w:w="948"/>
        <w:gridCol w:w="948"/>
        <w:gridCol w:w="948"/>
      </w:tblGrid>
      <w:tr w:rsidR="00C007DA" w:rsidRPr="00F86301" w14:paraId="357E834F" w14:textId="18A5A739" w:rsidTr="00C007DA">
        <w:trPr>
          <w:trHeight w:val="283"/>
          <w:jc w:val="center"/>
        </w:trPr>
        <w:tc>
          <w:tcPr>
            <w:tcW w:w="0" w:type="auto"/>
            <w:tcBorders>
              <w:top w:val="single" w:sz="4" w:space="0" w:color="auto"/>
              <w:bottom w:val="single" w:sz="4" w:space="0" w:color="auto"/>
            </w:tcBorders>
            <w:vAlign w:val="bottom"/>
          </w:tcPr>
          <w:p w14:paraId="0CF003DF" w14:textId="77777777" w:rsidR="00C007DA" w:rsidRPr="00F86301" w:rsidRDefault="00C007DA" w:rsidP="00C007DA">
            <w:pPr>
              <w:contextualSpacing/>
              <w:jc w:val="center"/>
              <w:rPr>
                <w:sz w:val="20"/>
              </w:rPr>
            </w:pPr>
            <w:bookmarkStart w:id="71" w:name="_Ref16673617"/>
            <w:r w:rsidRPr="00F86301">
              <w:rPr>
                <w:sz w:val="20"/>
              </w:rPr>
              <w:t>Water year</w:t>
            </w:r>
          </w:p>
        </w:tc>
        <w:tc>
          <w:tcPr>
            <w:tcW w:w="0" w:type="auto"/>
            <w:tcBorders>
              <w:top w:val="single" w:sz="4" w:space="0" w:color="auto"/>
              <w:bottom w:val="single" w:sz="4" w:space="0" w:color="auto"/>
            </w:tcBorders>
            <w:vAlign w:val="bottom"/>
          </w:tcPr>
          <w:p w14:paraId="6ED14692" w14:textId="77777777" w:rsidR="00C007DA" w:rsidRPr="00F86301" w:rsidRDefault="00C007DA" w:rsidP="00C007DA">
            <w:pPr>
              <w:contextualSpacing/>
              <w:jc w:val="center"/>
              <w:rPr>
                <w:sz w:val="20"/>
              </w:rPr>
            </w:pPr>
            <w:r w:rsidRPr="00F86301">
              <w:rPr>
                <w:sz w:val="20"/>
              </w:rPr>
              <w:t>2014-15</w:t>
            </w:r>
          </w:p>
        </w:tc>
        <w:tc>
          <w:tcPr>
            <w:tcW w:w="0" w:type="auto"/>
            <w:tcBorders>
              <w:top w:val="single" w:sz="4" w:space="0" w:color="auto"/>
              <w:bottom w:val="single" w:sz="4" w:space="0" w:color="auto"/>
            </w:tcBorders>
            <w:vAlign w:val="bottom"/>
          </w:tcPr>
          <w:p w14:paraId="6D8D3098" w14:textId="77777777" w:rsidR="00C007DA" w:rsidRPr="00F86301" w:rsidRDefault="00C007DA" w:rsidP="00C007DA">
            <w:pPr>
              <w:contextualSpacing/>
              <w:jc w:val="center"/>
              <w:rPr>
                <w:sz w:val="20"/>
              </w:rPr>
            </w:pPr>
            <w:r w:rsidRPr="00F86301">
              <w:rPr>
                <w:sz w:val="20"/>
              </w:rPr>
              <w:t>2015-16</w:t>
            </w:r>
          </w:p>
        </w:tc>
        <w:tc>
          <w:tcPr>
            <w:tcW w:w="0" w:type="auto"/>
            <w:tcBorders>
              <w:top w:val="single" w:sz="4" w:space="0" w:color="auto"/>
              <w:bottom w:val="single" w:sz="4" w:space="0" w:color="auto"/>
            </w:tcBorders>
            <w:vAlign w:val="bottom"/>
          </w:tcPr>
          <w:p w14:paraId="5C8E243D" w14:textId="77777777" w:rsidR="00C007DA" w:rsidRPr="00F86301" w:rsidRDefault="00C007DA" w:rsidP="00C007DA">
            <w:pPr>
              <w:contextualSpacing/>
              <w:jc w:val="center"/>
              <w:rPr>
                <w:sz w:val="20"/>
              </w:rPr>
            </w:pPr>
            <w:r w:rsidRPr="00F86301">
              <w:rPr>
                <w:sz w:val="20"/>
              </w:rPr>
              <w:t>2016-17</w:t>
            </w:r>
          </w:p>
        </w:tc>
        <w:tc>
          <w:tcPr>
            <w:tcW w:w="0" w:type="auto"/>
            <w:tcBorders>
              <w:top w:val="single" w:sz="4" w:space="0" w:color="auto"/>
              <w:bottom w:val="single" w:sz="4" w:space="0" w:color="auto"/>
            </w:tcBorders>
            <w:vAlign w:val="bottom"/>
          </w:tcPr>
          <w:p w14:paraId="54111D16" w14:textId="77777777" w:rsidR="00C007DA" w:rsidRPr="00F86301" w:rsidRDefault="00C007DA" w:rsidP="00C007DA">
            <w:pPr>
              <w:contextualSpacing/>
              <w:jc w:val="center"/>
              <w:rPr>
                <w:sz w:val="20"/>
              </w:rPr>
            </w:pPr>
            <w:r w:rsidRPr="00F86301">
              <w:rPr>
                <w:sz w:val="20"/>
              </w:rPr>
              <w:t>2017-18</w:t>
            </w:r>
          </w:p>
        </w:tc>
        <w:tc>
          <w:tcPr>
            <w:tcW w:w="0" w:type="auto"/>
            <w:tcBorders>
              <w:top w:val="single" w:sz="4" w:space="0" w:color="auto"/>
              <w:bottom w:val="single" w:sz="4" w:space="0" w:color="auto"/>
            </w:tcBorders>
            <w:vAlign w:val="bottom"/>
          </w:tcPr>
          <w:p w14:paraId="2F95C888" w14:textId="77777777" w:rsidR="00C007DA" w:rsidRPr="00F86301" w:rsidRDefault="00C007DA" w:rsidP="00C007DA">
            <w:pPr>
              <w:contextualSpacing/>
              <w:jc w:val="center"/>
              <w:rPr>
                <w:sz w:val="20"/>
              </w:rPr>
            </w:pPr>
            <w:r w:rsidRPr="00F86301">
              <w:rPr>
                <w:sz w:val="20"/>
              </w:rPr>
              <w:t>2018-19</w:t>
            </w:r>
          </w:p>
        </w:tc>
        <w:tc>
          <w:tcPr>
            <w:tcW w:w="0" w:type="auto"/>
            <w:tcBorders>
              <w:top w:val="single" w:sz="4" w:space="0" w:color="auto"/>
              <w:bottom w:val="single" w:sz="4" w:space="0" w:color="auto"/>
            </w:tcBorders>
            <w:vAlign w:val="bottom"/>
          </w:tcPr>
          <w:p w14:paraId="203AE6B2" w14:textId="77777777" w:rsidR="00C007DA" w:rsidRPr="00F86301" w:rsidRDefault="00C007DA" w:rsidP="00C007DA">
            <w:pPr>
              <w:contextualSpacing/>
              <w:jc w:val="center"/>
              <w:rPr>
                <w:sz w:val="20"/>
              </w:rPr>
            </w:pPr>
            <w:r w:rsidRPr="00F86301">
              <w:rPr>
                <w:sz w:val="20"/>
              </w:rPr>
              <w:t>2019-20</w:t>
            </w:r>
          </w:p>
        </w:tc>
        <w:tc>
          <w:tcPr>
            <w:tcW w:w="0" w:type="auto"/>
            <w:tcBorders>
              <w:top w:val="single" w:sz="4" w:space="0" w:color="auto"/>
              <w:bottom w:val="single" w:sz="4" w:space="0" w:color="auto"/>
            </w:tcBorders>
            <w:vAlign w:val="bottom"/>
          </w:tcPr>
          <w:p w14:paraId="0EB0F39D" w14:textId="77777777" w:rsidR="00C007DA" w:rsidRPr="00F86301" w:rsidRDefault="00C007DA" w:rsidP="00C007DA">
            <w:pPr>
              <w:contextualSpacing/>
              <w:jc w:val="center"/>
              <w:rPr>
                <w:sz w:val="20"/>
              </w:rPr>
            </w:pPr>
            <w:r w:rsidRPr="00F86301">
              <w:rPr>
                <w:sz w:val="20"/>
              </w:rPr>
              <w:t>2020-21</w:t>
            </w:r>
          </w:p>
        </w:tc>
        <w:tc>
          <w:tcPr>
            <w:tcW w:w="0" w:type="auto"/>
            <w:tcBorders>
              <w:top w:val="single" w:sz="4" w:space="0" w:color="auto"/>
              <w:bottom w:val="single" w:sz="4" w:space="0" w:color="auto"/>
            </w:tcBorders>
            <w:vAlign w:val="bottom"/>
          </w:tcPr>
          <w:p w14:paraId="52039D8E" w14:textId="3DD4CA2E" w:rsidR="00C007DA" w:rsidRPr="00F86301" w:rsidRDefault="00C007DA" w:rsidP="00C007DA">
            <w:pPr>
              <w:contextualSpacing/>
              <w:jc w:val="center"/>
              <w:rPr>
                <w:sz w:val="20"/>
              </w:rPr>
            </w:pPr>
            <w:r w:rsidRPr="00F86301">
              <w:rPr>
                <w:sz w:val="20"/>
              </w:rPr>
              <w:t>2021-22</w:t>
            </w:r>
          </w:p>
        </w:tc>
        <w:tc>
          <w:tcPr>
            <w:tcW w:w="0" w:type="auto"/>
            <w:tcBorders>
              <w:top w:val="single" w:sz="4" w:space="0" w:color="auto"/>
              <w:bottom w:val="single" w:sz="4" w:space="0" w:color="auto"/>
            </w:tcBorders>
            <w:vAlign w:val="bottom"/>
          </w:tcPr>
          <w:p w14:paraId="30878709" w14:textId="2E9958A1" w:rsidR="00C007DA" w:rsidRPr="00F86301" w:rsidRDefault="00C007DA" w:rsidP="00C007DA">
            <w:pPr>
              <w:contextualSpacing/>
              <w:jc w:val="center"/>
              <w:rPr>
                <w:color w:val="auto"/>
                <w:sz w:val="20"/>
              </w:rPr>
            </w:pPr>
            <w:r w:rsidRPr="00F86301">
              <w:rPr>
                <w:color w:val="auto"/>
                <w:sz w:val="20"/>
              </w:rPr>
              <w:t>2022-23</w:t>
            </w:r>
          </w:p>
        </w:tc>
        <w:tc>
          <w:tcPr>
            <w:tcW w:w="0" w:type="auto"/>
            <w:tcBorders>
              <w:top w:val="single" w:sz="4" w:space="0" w:color="auto"/>
              <w:bottom w:val="single" w:sz="4" w:space="0" w:color="auto"/>
            </w:tcBorders>
            <w:vAlign w:val="bottom"/>
          </w:tcPr>
          <w:p w14:paraId="260CF360" w14:textId="1D7A0CAD" w:rsidR="00C007DA" w:rsidRPr="008B60C6" w:rsidRDefault="00C007DA" w:rsidP="00C007DA">
            <w:pPr>
              <w:contextualSpacing/>
              <w:jc w:val="center"/>
              <w:rPr>
                <w:color w:val="auto"/>
                <w:sz w:val="20"/>
              </w:rPr>
            </w:pPr>
            <w:r w:rsidRPr="008B60C6">
              <w:rPr>
                <w:color w:val="auto"/>
                <w:sz w:val="20"/>
              </w:rPr>
              <w:t>2023-24</w:t>
            </w:r>
          </w:p>
        </w:tc>
      </w:tr>
      <w:tr w:rsidR="00C007DA" w:rsidRPr="00F86301" w14:paraId="2445850D" w14:textId="59E17028" w:rsidTr="00C007DA">
        <w:trPr>
          <w:trHeight w:val="283"/>
          <w:jc w:val="center"/>
        </w:trPr>
        <w:tc>
          <w:tcPr>
            <w:tcW w:w="0" w:type="auto"/>
            <w:vAlign w:val="bottom"/>
          </w:tcPr>
          <w:p w14:paraId="51804D28" w14:textId="77777777" w:rsidR="00C007DA" w:rsidRPr="00F86301" w:rsidRDefault="00C007DA" w:rsidP="00C007DA">
            <w:pPr>
              <w:contextualSpacing/>
              <w:jc w:val="center"/>
              <w:rPr>
                <w:sz w:val="20"/>
              </w:rPr>
            </w:pPr>
            <w:r w:rsidRPr="00F86301">
              <w:rPr>
                <w:sz w:val="20"/>
              </w:rPr>
              <w:t>Total</w:t>
            </w:r>
          </w:p>
        </w:tc>
        <w:tc>
          <w:tcPr>
            <w:tcW w:w="0" w:type="auto"/>
            <w:vAlign w:val="bottom"/>
          </w:tcPr>
          <w:p w14:paraId="421CE11B" w14:textId="350E178D" w:rsidR="00C007DA" w:rsidRPr="00F86301" w:rsidRDefault="00C007DA" w:rsidP="00C007DA">
            <w:pPr>
              <w:contextualSpacing/>
              <w:jc w:val="center"/>
              <w:rPr>
                <w:sz w:val="20"/>
              </w:rPr>
            </w:pPr>
            <w:r w:rsidRPr="00F86301">
              <w:rPr>
                <w:sz w:val="20"/>
              </w:rPr>
              <w:t>987</w:t>
            </w:r>
          </w:p>
        </w:tc>
        <w:tc>
          <w:tcPr>
            <w:tcW w:w="0" w:type="auto"/>
            <w:vAlign w:val="bottom"/>
          </w:tcPr>
          <w:p w14:paraId="68F4A006" w14:textId="78AA505D" w:rsidR="00C007DA" w:rsidRPr="00F86301" w:rsidRDefault="00C007DA" w:rsidP="00C007DA">
            <w:pPr>
              <w:contextualSpacing/>
              <w:jc w:val="center"/>
              <w:rPr>
                <w:sz w:val="20"/>
              </w:rPr>
            </w:pPr>
            <w:r w:rsidRPr="00F86301">
              <w:rPr>
                <w:sz w:val="20"/>
              </w:rPr>
              <w:t>561</w:t>
            </w:r>
          </w:p>
        </w:tc>
        <w:tc>
          <w:tcPr>
            <w:tcW w:w="0" w:type="auto"/>
            <w:vAlign w:val="bottom"/>
          </w:tcPr>
          <w:p w14:paraId="0BABF082" w14:textId="657A2890" w:rsidR="00C007DA" w:rsidRPr="00F86301" w:rsidRDefault="00C007DA" w:rsidP="00C007DA">
            <w:pPr>
              <w:contextualSpacing/>
              <w:jc w:val="center"/>
              <w:rPr>
                <w:sz w:val="20"/>
              </w:rPr>
            </w:pPr>
            <w:r w:rsidRPr="00F86301">
              <w:rPr>
                <w:sz w:val="20"/>
              </w:rPr>
              <w:t>6</w:t>
            </w:r>
            <w:r>
              <w:rPr>
                <w:sz w:val="20"/>
              </w:rPr>
              <w:t>,</w:t>
            </w:r>
            <w:r w:rsidRPr="00F86301">
              <w:rPr>
                <w:sz w:val="20"/>
              </w:rPr>
              <w:t>484</w:t>
            </w:r>
          </w:p>
        </w:tc>
        <w:tc>
          <w:tcPr>
            <w:tcW w:w="0" w:type="auto"/>
            <w:vAlign w:val="bottom"/>
          </w:tcPr>
          <w:p w14:paraId="5E365509" w14:textId="1E247FE6" w:rsidR="00C007DA" w:rsidRPr="00F86301" w:rsidRDefault="00C007DA" w:rsidP="00C007DA">
            <w:pPr>
              <w:contextualSpacing/>
              <w:jc w:val="center"/>
              <w:rPr>
                <w:sz w:val="20"/>
              </w:rPr>
            </w:pPr>
            <w:r w:rsidRPr="00F86301">
              <w:rPr>
                <w:sz w:val="20"/>
              </w:rPr>
              <w:t>854</w:t>
            </w:r>
          </w:p>
        </w:tc>
        <w:tc>
          <w:tcPr>
            <w:tcW w:w="0" w:type="auto"/>
            <w:vAlign w:val="bottom"/>
          </w:tcPr>
          <w:p w14:paraId="656921BE" w14:textId="794B5A3E" w:rsidR="00C007DA" w:rsidRPr="00F86301" w:rsidRDefault="00C007DA" w:rsidP="00C007DA">
            <w:pPr>
              <w:contextualSpacing/>
              <w:jc w:val="center"/>
              <w:rPr>
                <w:sz w:val="20"/>
              </w:rPr>
            </w:pPr>
            <w:r w:rsidRPr="00F86301">
              <w:rPr>
                <w:sz w:val="20"/>
              </w:rPr>
              <w:t>377</w:t>
            </w:r>
          </w:p>
        </w:tc>
        <w:tc>
          <w:tcPr>
            <w:tcW w:w="0" w:type="auto"/>
            <w:vAlign w:val="bottom"/>
          </w:tcPr>
          <w:p w14:paraId="0D40704F" w14:textId="77777777" w:rsidR="00C007DA" w:rsidRPr="00F86301" w:rsidRDefault="00C007DA" w:rsidP="00C007DA">
            <w:pPr>
              <w:contextualSpacing/>
              <w:jc w:val="center"/>
              <w:rPr>
                <w:sz w:val="20"/>
              </w:rPr>
            </w:pPr>
            <w:r w:rsidRPr="00F86301">
              <w:rPr>
                <w:sz w:val="20"/>
              </w:rPr>
              <w:t>685</w:t>
            </w:r>
          </w:p>
        </w:tc>
        <w:tc>
          <w:tcPr>
            <w:tcW w:w="0" w:type="auto"/>
            <w:vAlign w:val="bottom"/>
          </w:tcPr>
          <w:p w14:paraId="7C214AF5" w14:textId="68AC2FFB" w:rsidR="00C007DA" w:rsidRPr="00F86301" w:rsidRDefault="00C007DA" w:rsidP="00C007DA">
            <w:pPr>
              <w:contextualSpacing/>
              <w:jc w:val="center"/>
              <w:rPr>
                <w:sz w:val="20"/>
              </w:rPr>
            </w:pPr>
            <w:r w:rsidRPr="00F86301">
              <w:rPr>
                <w:sz w:val="20"/>
              </w:rPr>
              <w:t>1</w:t>
            </w:r>
            <w:r>
              <w:rPr>
                <w:sz w:val="20"/>
              </w:rPr>
              <w:t>,</w:t>
            </w:r>
            <w:r w:rsidRPr="00F86301">
              <w:rPr>
                <w:sz w:val="20"/>
              </w:rPr>
              <w:t>247</w:t>
            </w:r>
          </w:p>
        </w:tc>
        <w:tc>
          <w:tcPr>
            <w:tcW w:w="0" w:type="auto"/>
            <w:vAlign w:val="bottom"/>
          </w:tcPr>
          <w:p w14:paraId="38E677C1" w14:textId="55794DA0" w:rsidR="00C007DA" w:rsidRPr="00F86301" w:rsidRDefault="00C007DA" w:rsidP="00C007DA">
            <w:pPr>
              <w:contextualSpacing/>
              <w:jc w:val="center"/>
              <w:rPr>
                <w:sz w:val="20"/>
              </w:rPr>
            </w:pPr>
            <w:r w:rsidRPr="00F86301">
              <w:rPr>
                <w:sz w:val="20"/>
              </w:rPr>
              <w:t>6</w:t>
            </w:r>
            <w:r>
              <w:rPr>
                <w:sz w:val="20"/>
              </w:rPr>
              <w:t>,</w:t>
            </w:r>
            <w:r w:rsidRPr="00F86301">
              <w:rPr>
                <w:sz w:val="20"/>
              </w:rPr>
              <w:t>161</w:t>
            </w:r>
          </w:p>
        </w:tc>
        <w:tc>
          <w:tcPr>
            <w:tcW w:w="0" w:type="auto"/>
            <w:vAlign w:val="bottom"/>
          </w:tcPr>
          <w:p w14:paraId="686D3D0E" w14:textId="49E68E14" w:rsidR="00C007DA" w:rsidRPr="00F86301" w:rsidRDefault="00C007DA" w:rsidP="00C007DA">
            <w:pPr>
              <w:contextualSpacing/>
              <w:jc w:val="center"/>
              <w:rPr>
                <w:color w:val="auto"/>
                <w:sz w:val="20"/>
              </w:rPr>
            </w:pPr>
            <w:r w:rsidRPr="00F86301">
              <w:rPr>
                <w:color w:val="auto"/>
                <w:sz w:val="20"/>
              </w:rPr>
              <w:t>21</w:t>
            </w:r>
            <w:r>
              <w:rPr>
                <w:color w:val="auto"/>
                <w:sz w:val="20"/>
              </w:rPr>
              <w:t>,</w:t>
            </w:r>
            <w:r w:rsidRPr="00F86301">
              <w:rPr>
                <w:color w:val="auto"/>
                <w:sz w:val="20"/>
              </w:rPr>
              <w:t>597</w:t>
            </w:r>
          </w:p>
        </w:tc>
        <w:tc>
          <w:tcPr>
            <w:tcW w:w="0" w:type="auto"/>
            <w:vAlign w:val="bottom"/>
          </w:tcPr>
          <w:p w14:paraId="389896E8" w14:textId="37E385AB" w:rsidR="00C007DA" w:rsidRPr="008B60C6" w:rsidRDefault="00E7366D" w:rsidP="00C007DA">
            <w:pPr>
              <w:contextualSpacing/>
              <w:jc w:val="center"/>
              <w:rPr>
                <w:color w:val="auto"/>
                <w:sz w:val="20"/>
              </w:rPr>
            </w:pPr>
            <w:r>
              <w:rPr>
                <w:color w:val="auto"/>
                <w:sz w:val="20"/>
              </w:rPr>
              <w:t>5,</w:t>
            </w:r>
            <w:r w:rsidR="00205FD2">
              <w:rPr>
                <w:color w:val="auto"/>
                <w:sz w:val="20"/>
              </w:rPr>
              <w:t>18</w:t>
            </w:r>
            <w:r w:rsidR="003578BD">
              <w:rPr>
                <w:color w:val="auto"/>
                <w:sz w:val="20"/>
              </w:rPr>
              <w:t>5</w:t>
            </w:r>
          </w:p>
        </w:tc>
      </w:tr>
      <w:tr w:rsidR="00C007DA" w:rsidRPr="00F86301" w14:paraId="03DC8B45" w14:textId="50E21D18" w:rsidTr="00C007DA">
        <w:trPr>
          <w:trHeight w:val="283"/>
          <w:jc w:val="center"/>
        </w:trPr>
        <w:tc>
          <w:tcPr>
            <w:tcW w:w="0" w:type="auto"/>
            <w:tcBorders>
              <w:bottom w:val="single" w:sz="4" w:space="0" w:color="auto"/>
            </w:tcBorders>
            <w:vAlign w:val="bottom"/>
          </w:tcPr>
          <w:p w14:paraId="1A0E1ADE" w14:textId="5D2DFE14" w:rsidR="00C007DA" w:rsidRPr="00F86301" w:rsidRDefault="00C007DA" w:rsidP="00C007DA">
            <w:pPr>
              <w:contextualSpacing/>
              <w:jc w:val="center"/>
              <w:rPr>
                <w:sz w:val="20"/>
              </w:rPr>
            </w:pPr>
            <w:r w:rsidRPr="00F86301">
              <w:rPr>
                <w:sz w:val="20"/>
              </w:rPr>
              <w:t>CEW*</w:t>
            </w:r>
          </w:p>
        </w:tc>
        <w:tc>
          <w:tcPr>
            <w:tcW w:w="0" w:type="auto"/>
            <w:tcBorders>
              <w:bottom w:val="single" w:sz="4" w:space="0" w:color="auto"/>
            </w:tcBorders>
            <w:vAlign w:val="bottom"/>
          </w:tcPr>
          <w:p w14:paraId="2A2973A4" w14:textId="77777777" w:rsidR="00C007DA" w:rsidRPr="00F86301" w:rsidRDefault="00C007DA" w:rsidP="00C007DA">
            <w:pPr>
              <w:contextualSpacing/>
              <w:jc w:val="center"/>
              <w:rPr>
                <w:sz w:val="20"/>
              </w:rPr>
            </w:pPr>
            <w:r w:rsidRPr="00F86301">
              <w:rPr>
                <w:sz w:val="20"/>
              </w:rPr>
              <w:t>454</w:t>
            </w:r>
          </w:p>
        </w:tc>
        <w:tc>
          <w:tcPr>
            <w:tcW w:w="0" w:type="auto"/>
            <w:tcBorders>
              <w:bottom w:val="single" w:sz="4" w:space="0" w:color="auto"/>
            </w:tcBorders>
            <w:vAlign w:val="bottom"/>
          </w:tcPr>
          <w:p w14:paraId="13462EE0" w14:textId="77777777" w:rsidR="00C007DA" w:rsidRPr="00F86301" w:rsidRDefault="00C007DA" w:rsidP="00C007DA">
            <w:pPr>
              <w:contextualSpacing/>
              <w:jc w:val="center"/>
              <w:rPr>
                <w:sz w:val="20"/>
              </w:rPr>
            </w:pPr>
            <w:r w:rsidRPr="00F86301">
              <w:rPr>
                <w:sz w:val="20"/>
              </w:rPr>
              <w:t>561</w:t>
            </w:r>
          </w:p>
        </w:tc>
        <w:tc>
          <w:tcPr>
            <w:tcW w:w="0" w:type="auto"/>
            <w:tcBorders>
              <w:bottom w:val="single" w:sz="4" w:space="0" w:color="auto"/>
            </w:tcBorders>
            <w:vAlign w:val="bottom"/>
          </w:tcPr>
          <w:p w14:paraId="0681081E" w14:textId="77777777" w:rsidR="00C007DA" w:rsidRPr="00F86301" w:rsidRDefault="00C007DA" w:rsidP="00C007DA">
            <w:pPr>
              <w:contextualSpacing/>
              <w:jc w:val="center"/>
              <w:rPr>
                <w:sz w:val="20"/>
              </w:rPr>
            </w:pPr>
            <w:r w:rsidRPr="00F86301">
              <w:rPr>
                <w:sz w:val="20"/>
              </w:rPr>
              <w:t>802</w:t>
            </w:r>
          </w:p>
        </w:tc>
        <w:tc>
          <w:tcPr>
            <w:tcW w:w="0" w:type="auto"/>
            <w:tcBorders>
              <w:bottom w:val="single" w:sz="4" w:space="0" w:color="auto"/>
            </w:tcBorders>
            <w:vAlign w:val="bottom"/>
          </w:tcPr>
          <w:p w14:paraId="1F2117FB" w14:textId="77777777" w:rsidR="00C007DA" w:rsidRPr="00F86301" w:rsidRDefault="00C007DA" w:rsidP="00C007DA">
            <w:pPr>
              <w:contextualSpacing/>
              <w:jc w:val="center"/>
              <w:rPr>
                <w:sz w:val="20"/>
              </w:rPr>
            </w:pPr>
            <w:r w:rsidRPr="00F86301">
              <w:rPr>
                <w:sz w:val="20"/>
              </w:rPr>
              <w:t>757</w:t>
            </w:r>
          </w:p>
        </w:tc>
        <w:tc>
          <w:tcPr>
            <w:tcW w:w="0" w:type="auto"/>
            <w:tcBorders>
              <w:bottom w:val="single" w:sz="4" w:space="0" w:color="auto"/>
            </w:tcBorders>
            <w:vAlign w:val="bottom"/>
          </w:tcPr>
          <w:p w14:paraId="53A1AAAF" w14:textId="77777777" w:rsidR="00C007DA" w:rsidRPr="00F86301" w:rsidRDefault="00C007DA" w:rsidP="00C007DA">
            <w:pPr>
              <w:contextualSpacing/>
              <w:jc w:val="center"/>
              <w:rPr>
                <w:sz w:val="20"/>
              </w:rPr>
            </w:pPr>
            <w:r w:rsidRPr="00F86301">
              <w:rPr>
                <w:sz w:val="20"/>
              </w:rPr>
              <w:t>377</w:t>
            </w:r>
          </w:p>
        </w:tc>
        <w:tc>
          <w:tcPr>
            <w:tcW w:w="0" w:type="auto"/>
            <w:tcBorders>
              <w:bottom w:val="single" w:sz="4" w:space="0" w:color="auto"/>
            </w:tcBorders>
            <w:vAlign w:val="bottom"/>
          </w:tcPr>
          <w:p w14:paraId="7C1DE5BF" w14:textId="77777777" w:rsidR="00C007DA" w:rsidRPr="00F86301" w:rsidRDefault="00C007DA" w:rsidP="00C007DA">
            <w:pPr>
              <w:contextualSpacing/>
              <w:jc w:val="center"/>
              <w:rPr>
                <w:sz w:val="20"/>
              </w:rPr>
            </w:pPr>
            <w:r w:rsidRPr="00F86301">
              <w:rPr>
                <w:sz w:val="20"/>
              </w:rPr>
              <w:t>685</w:t>
            </w:r>
          </w:p>
        </w:tc>
        <w:tc>
          <w:tcPr>
            <w:tcW w:w="0" w:type="auto"/>
            <w:tcBorders>
              <w:bottom w:val="single" w:sz="4" w:space="0" w:color="auto"/>
            </w:tcBorders>
            <w:vAlign w:val="bottom"/>
          </w:tcPr>
          <w:p w14:paraId="2203B8FD" w14:textId="77777777" w:rsidR="00C007DA" w:rsidRPr="00F86301" w:rsidRDefault="00C007DA" w:rsidP="00C007DA">
            <w:pPr>
              <w:contextualSpacing/>
              <w:jc w:val="center"/>
              <w:rPr>
                <w:sz w:val="20"/>
              </w:rPr>
            </w:pPr>
            <w:r w:rsidRPr="00F86301">
              <w:rPr>
                <w:sz w:val="20"/>
              </w:rPr>
              <w:t>808</w:t>
            </w:r>
          </w:p>
        </w:tc>
        <w:tc>
          <w:tcPr>
            <w:tcW w:w="0" w:type="auto"/>
            <w:tcBorders>
              <w:bottom w:val="single" w:sz="4" w:space="0" w:color="auto"/>
            </w:tcBorders>
            <w:vAlign w:val="bottom"/>
          </w:tcPr>
          <w:p w14:paraId="488CE0C3" w14:textId="036FEEF4" w:rsidR="00C007DA" w:rsidRPr="00F86301" w:rsidRDefault="00C007DA" w:rsidP="00C007DA">
            <w:pPr>
              <w:contextualSpacing/>
              <w:jc w:val="center"/>
              <w:rPr>
                <w:sz w:val="20"/>
              </w:rPr>
            </w:pPr>
            <w:r w:rsidRPr="00F86301">
              <w:rPr>
                <w:sz w:val="20"/>
              </w:rPr>
              <w:t>841</w:t>
            </w:r>
          </w:p>
        </w:tc>
        <w:tc>
          <w:tcPr>
            <w:tcW w:w="0" w:type="auto"/>
            <w:tcBorders>
              <w:bottom w:val="single" w:sz="4" w:space="0" w:color="auto"/>
            </w:tcBorders>
            <w:vAlign w:val="bottom"/>
          </w:tcPr>
          <w:p w14:paraId="516041DA" w14:textId="61CC17F3" w:rsidR="00C007DA" w:rsidRPr="00F86301" w:rsidRDefault="00C007DA" w:rsidP="00C007DA">
            <w:pPr>
              <w:contextualSpacing/>
              <w:jc w:val="center"/>
              <w:rPr>
                <w:color w:val="auto"/>
                <w:sz w:val="20"/>
              </w:rPr>
            </w:pPr>
            <w:r w:rsidRPr="00F86301">
              <w:rPr>
                <w:color w:val="auto"/>
                <w:sz w:val="20"/>
              </w:rPr>
              <w:t>753</w:t>
            </w:r>
          </w:p>
        </w:tc>
        <w:tc>
          <w:tcPr>
            <w:tcW w:w="0" w:type="auto"/>
            <w:tcBorders>
              <w:bottom w:val="single" w:sz="4" w:space="0" w:color="auto"/>
            </w:tcBorders>
            <w:vAlign w:val="bottom"/>
          </w:tcPr>
          <w:p w14:paraId="0D830141" w14:textId="5A0BD970" w:rsidR="00C007DA" w:rsidRPr="008B60C6" w:rsidRDefault="00A03885" w:rsidP="00C007DA">
            <w:pPr>
              <w:contextualSpacing/>
              <w:jc w:val="center"/>
              <w:rPr>
                <w:color w:val="auto"/>
                <w:sz w:val="20"/>
              </w:rPr>
            </w:pPr>
            <w:r w:rsidRPr="008B60C6">
              <w:rPr>
                <w:color w:val="auto"/>
                <w:sz w:val="20"/>
              </w:rPr>
              <w:t>1,1</w:t>
            </w:r>
            <w:r w:rsidR="008B60C6" w:rsidRPr="008B60C6">
              <w:rPr>
                <w:color w:val="auto"/>
                <w:sz w:val="20"/>
              </w:rPr>
              <w:t>46</w:t>
            </w:r>
          </w:p>
        </w:tc>
      </w:tr>
    </w:tbl>
    <w:p w14:paraId="3ED782E0" w14:textId="29984164" w:rsidR="00AD112B" w:rsidRPr="003B1198" w:rsidRDefault="00370814" w:rsidP="00D23C14">
      <w:pPr>
        <w:rPr>
          <w:sz w:val="18"/>
          <w:szCs w:val="18"/>
        </w:rPr>
      </w:pPr>
      <w:r w:rsidRPr="003B1198">
        <w:rPr>
          <w:sz w:val="18"/>
          <w:szCs w:val="18"/>
        </w:rPr>
        <w:t>*</w:t>
      </w:r>
      <w:r w:rsidR="000D7C15" w:rsidRPr="003B1198">
        <w:rPr>
          <w:sz w:val="18"/>
          <w:szCs w:val="18"/>
        </w:rPr>
        <w:t xml:space="preserve"> CEW </w:t>
      </w:r>
      <w:r w:rsidR="00C9183A" w:rsidRPr="003B1198">
        <w:rPr>
          <w:sz w:val="18"/>
          <w:szCs w:val="18"/>
        </w:rPr>
        <w:t xml:space="preserve">represented </w:t>
      </w:r>
      <w:r w:rsidR="008364F5">
        <w:rPr>
          <w:sz w:val="18"/>
          <w:szCs w:val="18"/>
        </w:rPr>
        <w:t xml:space="preserve">100, </w:t>
      </w:r>
      <w:r w:rsidR="008A4BFB">
        <w:rPr>
          <w:sz w:val="18"/>
          <w:szCs w:val="18"/>
        </w:rPr>
        <w:t>91</w:t>
      </w:r>
      <w:r w:rsidR="008364F5">
        <w:rPr>
          <w:sz w:val="18"/>
          <w:szCs w:val="18"/>
        </w:rPr>
        <w:t xml:space="preserve">, 61, 68 and </w:t>
      </w:r>
      <w:r w:rsidR="006D0F7A">
        <w:rPr>
          <w:sz w:val="18"/>
          <w:szCs w:val="18"/>
        </w:rPr>
        <w:t>63</w:t>
      </w:r>
      <w:r w:rsidR="00C9183A" w:rsidRPr="003B1198">
        <w:rPr>
          <w:sz w:val="18"/>
          <w:szCs w:val="18"/>
        </w:rPr>
        <w:t xml:space="preserve">% </w:t>
      </w:r>
      <w:r w:rsidR="000D7C15" w:rsidRPr="003B1198">
        <w:rPr>
          <w:sz w:val="18"/>
          <w:szCs w:val="18"/>
        </w:rPr>
        <w:t>of the eWater</w:t>
      </w:r>
      <w:r w:rsidR="008364F5">
        <w:rPr>
          <w:sz w:val="18"/>
          <w:szCs w:val="18"/>
        </w:rPr>
        <w:t xml:space="preserve"> in </w:t>
      </w:r>
      <w:r w:rsidR="008364F5" w:rsidRPr="008364F5">
        <w:rPr>
          <w:sz w:val="18"/>
          <w:szCs w:val="18"/>
        </w:rPr>
        <w:t xml:space="preserve">2019-20, 2020-21, 2021-22, 2022-23 and 2023-24, </w:t>
      </w:r>
      <w:r w:rsidR="008364F5" w:rsidRPr="00A03885">
        <w:rPr>
          <w:sz w:val="18"/>
          <w:szCs w:val="18"/>
        </w:rPr>
        <w:t>respectively</w:t>
      </w:r>
      <w:r w:rsidR="000D7C15" w:rsidRPr="00A03885">
        <w:rPr>
          <w:sz w:val="18"/>
          <w:szCs w:val="18"/>
        </w:rPr>
        <w:t xml:space="preserve">. </w:t>
      </w:r>
      <w:r w:rsidR="008A4BFB" w:rsidRPr="00A03885">
        <w:rPr>
          <w:sz w:val="18"/>
          <w:szCs w:val="18"/>
        </w:rPr>
        <w:t>In 2023-24, o</w:t>
      </w:r>
      <w:r w:rsidR="00AD112B" w:rsidRPr="00A03885">
        <w:rPr>
          <w:sz w:val="18"/>
          <w:szCs w:val="18"/>
        </w:rPr>
        <w:t>ther eWater</w:t>
      </w:r>
      <w:r w:rsidR="00936992" w:rsidRPr="00A03885">
        <w:rPr>
          <w:sz w:val="18"/>
          <w:szCs w:val="18"/>
        </w:rPr>
        <w:t xml:space="preserve"> </w:t>
      </w:r>
      <w:r w:rsidR="00AD112B" w:rsidRPr="00A03885">
        <w:rPr>
          <w:sz w:val="18"/>
          <w:szCs w:val="18"/>
        </w:rPr>
        <w:t xml:space="preserve">included </w:t>
      </w:r>
      <w:r w:rsidR="00A03885" w:rsidRPr="00A03885">
        <w:rPr>
          <w:sz w:val="18"/>
          <w:szCs w:val="18"/>
        </w:rPr>
        <w:t>44</w:t>
      </w:r>
      <w:r w:rsidR="008B60C6">
        <w:rPr>
          <w:sz w:val="18"/>
          <w:szCs w:val="18"/>
        </w:rPr>
        <w:t>4</w:t>
      </w:r>
      <w:r w:rsidR="00A03885" w:rsidRPr="00A03885">
        <w:rPr>
          <w:sz w:val="18"/>
          <w:szCs w:val="18"/>
        </w:rPr>
        <w:t>.</w:t>
      </w:r>
      <w:r w:rsidR="008B60C6">
        <w:rPr>
          <w:sz w:val="18"/>
          <w:szCs w:val="18"/>
        </w:rPr>
        <w:t>8</w:t>
      </w:r>
      <w:r w:rsidR="00A03885" w:rsidRPr="00A03885">
        <w:rPr>
          <w:sz w:val="18"/>
          <w:szCs w:val="18"/>
        </w:rPr>
        <w:t> </w:t>
      </w:r>
      <w:r w:rsidR="00AD112B" w:rsidRPr="00A03885">
        <w:rPr>
          <w:sz w:val="18"/>
          <w:szCs w:val="18"/>
        </w:rPr>
        <w:t>GL</w:t>
      </w:r>
      <w:r w:rsidR="00AD112B" w:rsidRPr="003B1198">
        <w:rPr>
          <w:sz w:val="18"/>
          <w:szCs w:val="18"/>
        </w:rPr>
        <w:t xml:space="preserve"> of TLM</w:t>
      </w:r>
      <w:r w:rsidR="00F86301" w:rsidRPr="003B1198">
        <w:rPr>
          <w:sz w:val="18"/>
          <w:szCs w:val="18"/>
        </w:rPr>
        <w:t xml:space="preserve"> and</w:t>
      </w:r>
      <w:r w:rsidR="00AD112B" w:rsidRPr="003B1198">
        <w:rPr>
          <w:sz w:val="18"/>
          <w:szCs w:val="18"/>
        </w:rPr>
        <w:t xml:space="preserve"> </w:t>
      </w:r>
      <w:r w:rsidR="008B60C6">
        <w:rPr>
          <w:sz w:val="18"/>
          <w:szCs w:val="18"/>
        </w:rPr>
        <w:t>237.7</w:t>
      </w:r>
      <w:r w:rsidR="00AD112B" w:rsidRPr="003B1198">
        <w:rPr>
          <w:sz w:val="18"/>
          <w:szCs w:val="18"/>
        </w:rPr>
        <w:t xml:space="preserve"> GL </w:t>
      </w:r>
      <w:r w:rsidR="00E858F2" w:rsidRPr="003B1198">
        <w:rPr>
          <w:sz w:val="18"/>
          <w:szCs w:val="18"/>
        </w:rPr>
        <w:t xml:space="preserve">of </w:t>
      </w:r>
      <w:r w:rsidR="00F86301" w:rsidRPr="003B1198">
        <w:rPr>
          <w:sz w:val="18"/>
          <w:szCs w:val="18"/>
        </w:rPr>
        <w:t xml:space="preserve">other </w:t>
      </w:r>
      <w:r w:rsidR="00E858F2" w:rsidRPr="003B1198">
        <w:rPr>
          <w:sz w:val="18"/>
          <w:szCs w:val="18"/>
        </w:rPr>
        <w:t xml:space="preserve">sources </w:t>
      </w:r>
      <w:r w:rsidR="000D7C15" w:rsidRPr="003B1198">
        <w:rPr>
          <w:sz w:val="18"/>
          <w:szCs w:val="18"/>
        </w:rPr>
        <w:t xml:space="preserve">(data source: </w:t>
      </w:r>
      <w:r w:rsidR="0036587D" w:rsidRPr="003B1198">
        <w:rPr>
          <w:sz w:val="18"/>
          <w:szCs w:val="18"/>
        </w:rPr>
        <w:t>CEWH</w:t>
      </w:r>
      <w:r w:rsidR="000D7C15" w:rsidRPr="003B1198">
        <w:rPr>
          <w:sz w:val="18"/>
          <w:szCs w:val="18"/>
        </w:rPr>
        <w:t>).</w:t>
      </w:r>
      <w:r w:rsidR="00D55CEF" w:rsidRPr="003B1198">
        <w:rPr>
          <w:sz w:val="18"/>
          <w:szCs w:val="18"/>
        </w:rPr>
        <w:t xml:space="preserve"> </w:t>
      </w:r>
      <w:r w:rsidR="000D7C15" w:rsidRPr="003B1198">
        <w:rPr>
          <w:sz w:val="18"/>
          <w:szCs w:val="18"/>
        </w:rPr>
        <w:t>See</w:t>
      </w:r>
      <w:r w:rsidR="00D23C14" w:rsidRPr="003B1198">
        <w:rPr>
          <w:sz w:val="18"/>
          <w:szCs w:val="18"/>
        </w:rPr>
        <w:t xml:space="preserve"> </w:t>
      </w:r>
      <w:r w:rsidR="00D23C14" w:rsidRPr="003B1198">
        <w:rPr>
          <w:sz w:val="18"/>
          <w:szCs w:val="18"/>
        </w:rPr>
        <w:fldChar w:fldCharType="begin"/>
      </w:r>
      <w:r w:rsidR="00D23C14" w:rsidRPr="003B1198">
        <w:rPr>
          <w:sz w:val="18"/>
          <w:szCs w:val="18"/>
        </w:rPr>
        <w:instrText xml:space="preserve"> REF _Ref155771888 \h </w:instrText>
      </w:r>
      <w:r w:rsidR="003B1198">
        <w:rPr>
          <w:sz w:val="18"/>
          <w:szCs w:val="18"/>
        </w:rPr>
        <w:instrText xml:space="preserve"> \* MERGEFORMAT </w:instrText>
      </w:r>
      <w:r w:rsidR="00D23C14" w:rsidRPr="003B1198">
        <w:rPr>
          <w:sz w:val="18"/>
          <w:szCs w:val="18"/>
        </w:rPr>
      </w:r>
      <w:r w:rsidR="00D23C14" w:rsidRPr="003B1198">
        <w:rPr>
          <w:sz w:val="18"/>
          <w:szCs w:val="18"/>
        </w:rPr>
        <w:fldChar w:fldCharType="separate"/>
      </w:r>
      <w:r w:rsidR="00102828" w:rsidRPr="00102828">
        <w:rPr>
          <w:sz w:val="18"/>
          <w:szCs w:val="18"/>
        </w:rPr>
        <w:t xml:space="preserve">Table </w:t>
      </w:r>
      <w:r w:rsidR="00102828" w:rsidRPr="00102828">
        <w:rPr>
          <w:noProof/>
          <w:sz w:val="18"/>
          <w:szCs w:val="18"/>
        </w:rPr>
        <w:t>1</w:t>
      </w:r>
      <w:r w:rsidR="00D23C14" w:rsidRPr="003B1198">
        <w:rPr>
          <w:sz w:val="18"/>
          <w:szCs w:val="18"/>
        </w:rPr>
        <w:fldChar w:fldCharType="end"/>
      </w:r>
      <w:r w:rsidR="000D7C15" w:rsidRPr="003B1198">
        <w:rPr>
          <w:sz w:val="18"/>
          <w:szCs w:val="18"/>
        </w:rPr>
        <w:t xml:space="preserve"> for abbreviations.</w:t>
      </w:r>
    </w:p>
    <w:p w14:paraId="162A6207" w14:textId="77777777" w:rsidR="00BE579A" w:rsidRDefault="00BE579A" w:rsidP="00864240">
      <w:pPr>
        <w:sectPr w:rsidR="00BE579A" w:rsidSect="008D628A">
          <w:headerReference w:type="even" r:id="rId42"/>
          <w:headerReference w:type="default" r:id="rId43"/>
          <w:footerReference w:type="even" r:id="rId44"/>
          <w:footerReference w:type="default" r:id="rId45"/>
          <w:headerReference w:type="first" r:id="rId46"/>
          <w:footerReference w:type="first" r:id="rId47"/>
          <w:footnotePr>
            <w:numFmt w:val="lowerLetter"/>
          </w:footnotePr>
          <w:pgSz w:w="16838" w:h="11906" w:orient="landscape"/>
          <w:pgMar w:top="1440" w:right="1440" w:bottom="1440" w:left="1440" w:header="709" w:footer="709" w:gutter="0"/>
          <w:cols w:space="708"/>
          <w:docGrid w:linePitch="360"/>
        </w:sectPr>
      </w:pPr>
    </w:p>
    <w:p w14:paraId="2BFEA581" w14:textId="02BF3856" w:rsidR="00BA7DE6" w:rsidRDefault="00BA7DE6" w:rsidP="003256F1">
      <w:pPr>
        <w:spacing w:before="100" w:after="100" w:line="274" w:lineRule="auto"/>
      </w:pPr>
      <w:r>
        <w:lastRenderedPageBreak/>
        <w:t xml:space="preserve">The first two years of monitoring were </w:t>
      </w:r>
      <w:r w:rsidRPr="00BA7DE6">
        <w:t xml:space="preserve">hydrologically dry (i.e. flow &lt;18,000 ML/d at the </w:t>
      </w:r>
      <w:r w:rsidR="00BD01E3">
        <w:t>S</w:t>
      </w:r>
      <w:r w:rsidR="00031CB0">
        <w:t>outh Australian</w:t>
      </w:r>
      <w:r w:rsidRPr="00BA7DE6">
        <w:t xml:space="preserve"> border, </w:t>
      </w:r>
      <w:r w:rsidR="00CF0150">
        <w:fldChar w:fldCharType="begin"/>
      </w:r>
      <w:r w:rsidR="00CF0150">
        <w:instrText xml:space="preserve"> REF _Ref416335393 \h </w:instrText>
      </w:r>
      <w:r w:rsidR="00CF0150">
        <w:fldChar w:fldCharType="separate"/>
      </w:r>
      <w:r w:rsidR="00102828" w:rsidRPr="0007443D">
        <w:t xml:space="preserve">Figure </w:t>
      </w:r>
      <w:r w:rsidR="00102828">
        <w:rPr>
          <w:noProof/>
        </w:rPr>
        <w:t>4</w:t>
      </w:r>
      <w:r w:rsidR="00CF0150">
        <w:fldChar w:fldCharType="end"/>
      </w:r>
      <w:r w:rsidRPr="00BA7DE6">
        <w:t>)</w:t>
      </w:r>
      <w:r>
        <w:t xml:space="preserve"> and </w:t>
      </w:r>
      <w:r w:rsidR="00F36B24" w:rsidRPr="00F36B24">
        <w:t xml:space="preserve">environmental water contributed </w:t>
      </w:r>
      <w:r w:rsidR="00AB7D71">
        <w:t xml:space="preserve">primarily </w:t>
      </w:r>
      <w:r w:rsidR="00F36B24" w:rsidRPr="00F36B24">
        <w:t xml:space="preserve">to freshes in the LMR, particularly as </w:t>
      </w:r>
      <w:r w:rsidR="00F36B24" w:rsidRPr="003769C6">
        <w:t>winter and spring–early summer flow pulses (</w:t>
      </w:r>
      <w:r w:rsidR="00934A07">
        <w:rPr>
          <w:highlight w:val="yellow"/>
        </w:rPr>
        <w:fldChar w:fldCharType="begin"/>
      </w:r>
      <w:r w:rsidR="00934A07">
        <w:instrText xml:space="preserve"> REF _Ref81474313 \h </w:instrText>
      </w:r>
      <w:r w:rsidR="00934A07">
        <w:rPr>
          <w:highlight w:val="yellow"/>
        </w:rPr>
      </w:r>
      <w:r w:rsidR="00934A07">
        <w:rPr>
          <w:highlight w:val="yellow"/>
        </w:rPr>
        <w:fldChar w:fldCharType="separate"/>
      </w:r>
      <w:r w:rsidR="00102828" w:rsidRPr="00F23935">
        <w:t xml:space="preserve">Figure </w:t>
      </w:r>
      <w:r w:rsidR="00102828">
        <w:rPr>
          <w:noProof/>
        </w:rPr>
        <w:t>5</w:t>
      </w:r>
      <w:r w:rsidR="00934A07">
        <w:rPr>
          <w:highlight w:val="yellow"/>
        </w:rPr>
        <w:fldChar w:fldCharType="end"/>
      </w:r>
      <w:r w:rsidR="00F36B24" w:rsidRPr="003769C6">
        <w:t>), following upstream watering events.</w:t>
      </w:r>
      <w:r w:rsidR="00494D46" w:rsidRPr="003769C6">
        <w:t xml:space="preserve"> </w:t>
      </w:r>
      <w:r w:rsidR="00494D46" w:rsidRPr="003769C6">
        <w:rPr>
          <w:color w:val="auto"/>
        </w:rPr>
        <w:t>Winter flows (</w:t>
      </w:r>
      <w:r w:rsidR="000867CE" w:rsidRPr="003769C6">
        <w:rPr>
          <w:color w:val="auto"/>
        </w:rPr>
        <w:t>11,000</w:t>
      </w:r>
      <w:r w:rsidR="00494D46" w:rsidRPr="003769C6">
        <w:rPr>
          <w:color w:val="auto"/>
        </w:rPr>
        <w:t xml:space="preserve"> ML/d) in 2019 consisted of return flows from the Goulburn River, whilst </w:t>
      </w:r>
      <w:r w:rsidR="003769C6" w:rsidRPr="003769C6">
        <w:rPr>
          <w:color w:val="auto"/>
        </w:rPr>
        <w:t xml:space="preserve">return flows from the Murray and Goulburn rivers and Barmah–Millewa Forest supported a </w:t>
      </w:r>
      <w:r w:rsidR="00494D46" w:rsidRPr="003769C6">
        <w:rPr>
          <w:color w:val="auto"/>
        </w:rPr>
        <w:t>flow pulse (</w:t>
      </w:r>
      <w:r w:rsidR="000867CE" w:rsidRPr="003769C6">
        <w:rPr>
          <w:color w:val="auto"/>
        </w:rPr>
        <w:t xml:space="preserve">15,600 </w:t>
      </w:r>
      <w:r w:rsidR="00494D46" w:rsidRPr="003769C6">
        <w:rPr>
          <w:color w:val="auto"/>
        </w:rPr>
        <w:t xml:space="preserve">ML/d) in the LMR during </w:t>
      </w:r>
      <w:r w:rsidR="003769C6" w:rsidRPr="003769C6">
        <w:rPr>
          <w:color w:val="auto"/>
        </w:rPr>
        <w:t xml:space="preserve">October </w:t>
      </w:r>
      <w:r w:rsidR="00494D46" w:rsidRPr="003769C6">
        <w:rPr>
          <w:color w:val="auto"/>
        </w:rPr>
        <w:t>201</w:t>
      </w:r>
      <w:r w:rsidR="003769C6" w:rsidRPr="003769C6">
        <w:rPr>
          <w:color w:val="auto"/>
        </w:rPr>
        <w:t>9</w:t>
      </w:r>
      <w:r w:rsidR="00934A07">
        <w:rPr>
          <w:color w:val="auto"/>
        </w:rPr>
        <w:t xml:space="preserve"> (</w:t>
      </w:r>
      <w:r w:rsidR="00934A07">
        <w:rPr>
          <w:color w:val="auto"/>
        </w:rPr>
        <w:fldChar w:fldCharType="begin"/>
      </w:r>
      <w:r w:rsidR="00934A07">
        <w:rPr>
          <w:color w:val="auto"/>
        </w:rPr>
        <w:instrText xml:space="preserve"> REF _Ref174373793 \h </w:instrText>
      </w:r>
      <w:r w:rsidR="00934A07">
        <w:rPr>
          <w:color w:val="auto"/>
        </w:rPr>
      </w:r>
      <w:r w:rsidR="00934A07">
        <w:rPr>
          <w:color w:val="auto"/>
        </w:rPr>
        <w:fldChar w:fldCharType="separate"/>
      </w:r>
      <w:r w:rsidR="00102828" w:rsidRPr="00F23935">
        <w:t xml:space="preserve">Figure </w:t>
      </w:r>
      <w:r w:rsidR="00102828">
        <w:rPr>
          <w:noProof/>
        </w:rPr>
        <w:t>6</w:t>
      </w:r>
      <w:r w:rsidR="00934A07">
        <w:rPr>
          <w:color w:val="auto"/>
        </w:rPr>
        <w:fldChar w:fldCharType="end"/>
      </w:r>
      <w:r w:rsidR="00934A07">
        <w:rPr>
          <w:color w:val="auto"/>
        </w:rPr>
        <w:t>)</w:t>
      </w:r>
      <w:r w:rsidR="003769C6" w:rsidRPr="003769C6">
        <w:rPr>
          <w:color w:val="auto"/>
        </w:rPr>
        <w:t>. Multiple flow pulses</w:t>
      </w:r>
      <w:r w:rsidR="003769C6">
        <w:rPr>
          <w:color w:val="auto"/>
        </w:rPr>
        <w:t xml:space="preserve"> during spring</w:t>
      </w:r>
      <w:r w:rsidR="00AB7D71">
        <w:rPr>
          <w:color w:val="auto"/>
        </w:rPr>
        <w:t>–</w:t>
      </w:r>
      <w:r w:rsidR="003769C6">
        <w:rPr>
          <w:color w:val="auto"/>
        </w:rPr>
        <w:t>summer 2020</w:t>
      </w:r>
      <w:r w:rsidR="00113AED">
        <w:rPr>
          <w:color w:val="auto"/>
        </w:rPr>
        <w:t>-21</w:t>
      </w:r>
      <w:r w:rsidR="003769C6" w:rsidRPr="003769C6">
        <w:rPr>
          <w:color w:val="auto"/>
        </w:rPr>
        <w:t>, peaking in late November (17,900</w:t>
      </w:r>
      <w:r w:rsidR="003769C6">
        <w:rPr>
          <w:color w:val="auto"/>
        </w:rPr>
        <w:t> </w:t>
      </w:r>
      <w:r w:rsidR="003769C6" w:rsidRPr="003769C6">
        <w:rPr>
          <w:color w:val="auto"/>
        </w:rPr>
        <w:t xml:space="preserve">ML/d), </w:t>
      </w:r>
      <w:r w:rsidR="00494D46" w:rsidRPr="003769C6">
        <w:rPr>
          <w:color w:val="auto"/>
        </w:rPr>
        <w:t>w</w:t>
      </w:r>
      <w:r w:rsidR="003769C6" w:rsidRPr="003769C6">
        <w:rPr>
          <w:color w:val="auto"/>
        </w:rPr>
        <w:t>ere</w:t>
      </w:r>
      <w:r w:rsidR="00494D46" w:rsidRPr="003769C6">
        <w:rPr>
          <w:color w:val="auto"/>
        </w:rPr>
        <w:t xml:space="preserve"> attributed to return flows from the </w:t>
      </w:r>
      <w:r w:rsidR="003769C6" w:rsidRPr="003769C6">
        <w:rPr>
          <w:color w:val="auto"/>
        </w:rPr>
        <w:t xml:space="preserve">Murray, Goulburn, Murrumbidgee and Darling rivers </w:t>
      </w:r>
      <w:r w:rsidR="00494D46" w:rsidRPr="003769C6">
        <w:rPr>
          <w:color w:val="auto"/>
        </w:rPr>
        <w:t>(</w:t>
      </w:r>
      <w:r w:rsidR="00934A07">
        <w:rPr>
          <w:highlight w:val="yellow"/>
        </w:rPr>
        <w:fldChar w:fldCharType="begin"/>
      </w:r>
      <w:r w:rsidR="00934A07">
        <w:rPr>
          <w:color w:val="auto"/>
        </w:rPr>
        <w:instrText xml:space="preserve"> REF _Ref174373793 \h </w:instrText>
      </w:r>
      <w:r w:rsidR="00934A07">
        <w:rPr>
          <w:highlight w:val="yellow"/>
        </w:rPr>
      </w:r>
      <w:r w:rsidR="00934A07">
        <w:rPr>
          <w:highlight w:val="yellow"/>
        </w:rPr>
        <w:fldChar w:fldCharType="separate"/>
      </w:r>
      <w:r w:rsidR="00102828" w:rsidRPr="00F23935">
        <w:t xml:space="preserve">Figure </w:t>
      </w:r>
      <w:r w:rsidR="00102828">
        <w:rPr>
          <w:noProof/>
        </w:rPr>
        <w:t>6</w:t>
      </w:r>
      <w:r w:rsidR="00934A07">
        <w:rPr>
          <w:highlight w:val="yellow"/>
        </w:rPr>
        <w:fldChar w:fldCharType="end"/>
      </w:r>
      <w:r w:rsidR="00934A07">
        <w:t>)</w:t>
      </w:r>
      <w:r w:rsidR="00494D46" w:rsidRPr="003769C6">
        <w:rPr>
          <w:color w:val="auto"/>
        </w:rPr>
        <w:t xml:space="preserve">. </w:t>
      </w:r>
    </w:p>
    <w:p w14:paraId="269BB137" w14:textId="040DB769" w:rsidR="00144749" w:rsidRDefault="004D1F64" w:rsidP="003256F1">
      <w:pPr>
        <w:spacing w:before="100" w:after="100" w:line="274" w:lineRule="auto"/>
      </w:pPr>
      <w:r>
        <w:t>In contrast, t</w:t>
      </w:r>
      <w:r w:rsidR="002F311C">
        <w:t xml:space="preserve">he last three </w:t>
      </w:r>
      <w:r w:rsidR="002F311C" w:rsidRPr="00C03331">
        <w:rPr>
          <w:color w:val="auto"/>
        </w:rPr>
        <w:t>years were characterised by unregulated flows, resulting in high, in-channel flows in 2021-22</w:t>
      </w:r>
      <w:r w:rsidRPr="00C03331">
        <w:rPr>
          <w:color w:val="auto"/>
        </w:rPr>
        <w:t xml:space="preserve"> (</w:t>
      </w:r>
      <w:bookmarkStart w:id="72" w:name="_Hlk187235703"/>
      <w:r w:rsidR="00AB7D71">
        <w:rPr>
          <w:color w:val="auto"/>
        </w:rPr>
        <w:t>37,5</w:t>
      </w:r>
      <w:r w:rsidRPr="00C03331">
        <w:rPr>
          <w:color w:val="auto"/>
        </w:rPr>
        <w:t>00 ML/d</w:t>
      </w:r>
      <w:r w:rsidR="00AB7D71">
        <w:rPr>
          <w:color w:val="auto"/>
        </w:rPr>
        <w:t xml:space="preserve"> in late December</w:t>
      </w:r>
      <w:bookmarkEnd w:id="72"/>
      <w:r w:rsidRPr="00C03331">
        <w:rPr>
          <w:color w:val="auto"/>
        </w:rPr>
        <w:t xml:space="preserve">) and </w:t>
      </w:r>
      <w:r w:rsidR="002F311C" w:rsidRPr="00C03331">
        <w:rPr>
          <w:color w:val="auto"/>
        </w:rPr>
        <w:t xml:space="preserve">overbank flows </w:t>
      </w:r>
      <w:r w:rsidRPr="00C03331">
        <w:rPr>
          <w:color w:val="auto"/>
        </w:rPr>
        <w:t>during 2022-23 (187,600 ML/d in late December) and 2023-24 (52,800 ML/d in early September). In 2021</w:t>
      </w:r>
      <w:r>
        <w:t xml:space="preserve">-22, </w:t>
      </w:r>
      <w:r w:rsidRPr="004D1F64">
        <w:t>environmental water was delivered to South Australia between early September and early February to fill gaps in the hydrograph and maintain flow rates</w:t>
      </w:r>
      <w:r w:rsidR="00A14F3F">
        <w:t xml:space="preserve"> &gt;20,000 ML/d</w:t>
      </w:r>
      <w:r w:rsidR="00934A07">
        <w:t xml:space="preserve"> </w:t>
      </w:r>
      <w:r w:rsidR="00934A07">
        <w:rPr>
          <w:color w:val="auto"/>
        </w:rPr>
        <w:t>(</w:t>
      </w:r>
      <w:r w:rsidR="00934A07">
        <w:rPr>
          <w:color w:val="auto"/>
        </w:rPr>
        <w:fldChar w:fldCharType="begin"/>
      </w:r>
      <w:r w:rsidR="00934A07">
        <w:rPr>
          <w:color w:val="auto"/>
        </w:rPr>
        <w:instrText xml:space="preserve"> REF _Ref81474313 \h </w:instrText>
      </w:r>
      <w:r w:rsidR="00934A07">
        <w:rPr>
          <w:color w:val="auto"/>
        </w:rPr>
      </w:r>
      <w:r w:rsidR="00934A07">
        <w:rPr>
          <w:color w:val="auto"/>
        </w:rPr>
        <w:fldChar w:fldCharType="separate"/>
      </w:r>
      <w:r w:rsidR="00102828" w:rsidRPr="00F23935">
        <w:t xml:space="preserve">Figure </w:t>
      </w:r>
      <w:r w:rsidR="00102828">
        <w:rPr>
          <w:noProof/>
        </w:rPr>
        <w:t>5</w:t>
      </w:r>
      <w:r w:rsidR="00934A07">
        <w:rPr>
          <w:color w:val="auto"/>
        </w:rPr>
        <w:fldChar w:fldCharType="end"/>
      </w:r>
      <w:r w:rsidR="00934A07">
        <w:rPr>
          <w:color w:val="auto"/>
        </w:rPr>
        <w:t>)</w:t>
      </w:r>
      <w:r w:rsidR="00415ED8">
        <w:t xml:space="preserve">. Environmental water delivery </w:t>
      </w:r>
      <w:r w:rsidR="00A052B3">
        <w:t xml:space="preserve">during this period </w:t>
      </w:r>
      <w:r w:rsidR="00415ED8" w:rsidRPr="00415ED8">
        <w:t xml:space="preserve">comprised </w:t>
      </w:r>
      <w:r w:rsidR="00415ED8">
        <w:t xml:space="preserve">of return </w:t>
      </w:r>
      <w:r w:rsidR="00415ED8" w:rsidRPr="00415ED8">
        <w:t>flow</w:t>
      </w:r>
      <w:r w:rsidR="00415ED8">
        <w:t>s</w:t>
      </w:r>
      <w:r w:rsidR="00415ED8" w:rsidRPr="00415ED8">
        <w:t xml:space="preserve"> from the upper Murray</w:t>
      </w:r>
      <w:r w:rsidR="00415ED8">
        <w:t xml:space="preserve"> and </w:t>
      </w:r>
      <w:r w:rsidR="00415ED8" w:rsidRPr="00415ED8">
        <w:t>Goulburn</w:t>
      </w:r>
      <w:r w:rsidR="00A052B3">
        <w:t xml:space="preserve"> rivers</w:t>
      </w:r>
      <w:r w:rsidR="00415ED8" w:rsidRPr="00415ED8">
        <w:t xml:space="preserve">, </w:t>
      </w:r>
      <w:r w:rsidR="00415ED8">
        <w:t>and a directed release from Lake Victoria</w:t>
      </w:r>
      <w:r w:rsidR="00934A07">
        <w:t xml:space="preserve"> (</w:t>
      </w:r>
      <w:r w:rsidR="00934A07">
        <w:fldChar w:fldCharType="begin"/>
      </w:r>
      <w:r w:rsidR="00934A07">
        <w:instrText xml:space="preserve"> REF _Ref174373793 \h </w:instrText>
      </w:r>
      <w:r w:rsidR="00934A07">
        <w:fldChar w:fldCharType="separate"/>
      </w:r>
      <w:r w:rsidR="00102828" w:rsidRPr="00F23935">
        <w:t xml:space="preserve">Figure </w:t>
      </w:r>
      <w:r w:rsidR="00102828">
        <w:rPr>
          <w:noProof/>
        </w:rPr>
        <w:t>6</w:t>
      </w:r>
      <w:r w:rsidR="00934A07">
        <w:fldChar w:fldCharType="end"/>
      </w:r>
      <w:r w:rsidR="00934A07">
        <w:t>)</w:t>
      </w:r>
      <w:r w:rsidR="00415ED8">
        <w:t>.</w:t>
      </w:r>
      <w:r w:rsidR="00144749">
        <w:t xml:space="preserve"> </w:t>
      </w:r>
      <w:r w:rsidR="00A052B3">
        <w:t>In 2022-23, e</w:t>
      </w:r>
      <w:r w:rsidR="00A052B3" w:rsidRPr="00A052B3">
        <w:t>nvironmental water delivery</w:t>
      </w:r>
      <w:r w:rsidR="00C03331" w:rsidRPr="00C03331">
        <w:t xml:space="preserve"> </w:t>
      </w:r>
      <w:r w:rsidR="00C03331" w:rsidRPr="00A052B3">
        <w:t>during late July 2022</w:t>
      </w:r>
      <w:r w:rsidR="00A052B3" w:rsidRPr="00A052B3">
        <w:t>, through directed releases from Lake Victoria, maintained flow ≥42,000 ML/d</w:t>
      </w:r>
      <w:r w:rsidR="00A14F3F">
        <w:t xml:space="preserve"> and supported an overbank flow event</w:t>
      </w:r>
      <w:r w:rsidR="00A052B3" w:rsidRPr="00A052B3">
        <w:t xml:space="preserve"> </w:t>
      </w:r>
      <w:r w:rsidR="001479AC">
        <w:t xml:space="preserve">(54,500 ML/d) in mid-August </w:t>
      </w:r>
      <w:r w:rsidR="00A052B3" w:rsidRPr="00A052B3">
        <w:t>(</w:t>
      </w:r>
      <w:r w:rsidR="00934A07">
        <w:fldChar w:fldCharType="begin"/>
      </w:r>
      <w:r w:rsidR="00934A07">
        <w:instrText xml:space="preserve"> REF _Ref81474313 \h </w:instrText>
      </w:r>
      <w:r w:rsidR="00934A07">
        <w:fldChar w:fldCharType="separate"/>
      </w:r>
      <w:r w:rsidR="00102828" w:rsidRPr="00F23935">
        <w:t xml:space="preserve">Figure </w:t>
      </w:r>
      <w:r w:rsidR="00102828">
        <w:rPr>
          <w:noProof/>
        </w:rPr>
        <w:t>5</w:t>
      </w:r>
      <w:r w:rsidR="00934A07">
        <w:fldChar w:fldCharType="end"/>
      </w:r>
      <w:r w:rsidR="00A052B3" w:rsidRPr="00A052B3">
        <w:t>).</w:t>
      </w:r>
      <w:r w:rsidR="00A14F3F">
        <w:t xml:space="preserve"> </w:t>
      </w:r>
      <w:r w:rsidR="001C14D5">
        <w:t>Later in that year</w:t>
      </w:r>
      <w:r w:rsidR="00C37392">
        <w:t>,</w:t>
      </w:r>
      <w:r w:rsidR="005E066C">
        <w:t xml:space="preserve"> from late December to June</w:t>
      </w:r>
      <w:r w:rsidR="001C14D5" w:rsidRPr="001C14D5">
        <w:t>, environmental water originating from mixed upstream sources including the Goulburn</w:t>
      </w:r>
      <w:r w:rsidR="00AB7D71">
        <w:t xml:space="preserve"> and </w:t>
      </w:r>
      <w:r w:rsidR="001C14D5" w:rsidRPr="001C14D5">
        <w:t>Murrumbidgee</w:t>
      </w:r>
      <w:r w:rsidR="001C14D5">
        <w:t xml:space="preserve"> rivers</w:t>
      </w:r>
      <w:r w:rsidR="001C14D5" w:rsidRPr="001C14D5">
        <w:t>, and Barmah-Millewa Forest, assisted in reduc</w:t>
      </w:r>
      <w:r w:rsidR="001C14D5">
        <w:t>ing</w:t>
      </w:r>
      <w:r w:rsidR="001C14D5" w:rsidRPr="001C14D5">
        <w:t xml:space="preserve"> the rate of the flow recession and maintain</w:t>
      </w:r>
      <w:r w:rsidR="001C14D5">
        <w:t>ing</w:t>
      </w:r>
      <w:r w:rsidR="001C14D5" w:rsidRPr="001C14D5">
        <w:t xml:space="preserve"> lotic conditions as flow reduced</w:t>
      </w:r>
      <w:r w:rsidR="001C14D5">
        <w:t xml:space="preserve"> </w:t>
      </w:r>
      <w:r w:rsidR="00A14F3F">
        <w:t>(</w:t>
      </w:r>
      <w:r w:rsidR="00A14F3F">
        <w:fldChar w:fldCharType="begin"/>
      </w:r>
      <w:r w:rsidR="00A14F3F">
        <w:instrText xml:space="preserve"> REF _Ref81474313 \h </w:instrText>
      </w:r>
      <w:r w:rsidR="00A14F3F">
        <w:fldChar w:fldCharType="separate"/>
      </w:r>
      <w:r w:rsidR="00102828" w:rsidRPr="00F23935">
        <w:t xml:space="preserve">Figure </w:t>
      </w:r>
      <w:r w:rsidR="00102828">
        <w:rPr>
          <w:noProof/>
        </w:rPr>
        <w:t>5</w:t>
      </w:r>
      <w:r w:rsidR="00A14F3F">
        <w:fldChar w:fldCharType="end"/>
      </w:r>
      <w:r w:rsidR="00934A07">
        <w:t xml:space="preserve">; </w:t>
      </w:r>
      <w:r w:rsidR="00934A07">
        <w:fldChar w:fldCharType="begin"/>
      </w:r>
      <w:r w:rsidR="00934A07">
        <w:instrText xml:space="preserve"> REF _Ref174373793 \h </w:instrText>
      </w:r>
      <w:r w:rsidR="00934A07">
        <w:fldChar w:fldCharType="separate"/>
      </w:r>
      <w:r w:rsidR="00102828" w:rsidRPr="00F23935">
        <w:t xml:space="preserve">Figure </w:t>
      </w:r>
      <w:r w:rsidR="00102828">
        <w:rPr>
          <w:noProof/>
        </w:rPr>
        <w:t>6</w:t>
      </w:r>
      <w:r w:rsidR="00934A07">
        <w:fldChar w:fldCharType="end"/>
      </w:r>
      <w:r w:rsidR="00A14F3F">
        <w:t>).</w:t>
      </w:r>
      <w:r w:rsidR="003C0C27">
        <w:t xml:space="preserve"> </w:t>
      </w:r>
    </w:p>
    <w:p w14:paraId="1CA418A4" w14:textId="42996979" w:rsidR="001C14D5" w:rsidRDefault="004C53F8" w:rsidP="003256F1">
      <w:pPr>
        <w:spacing w:before="100" w:after="100" w:line="274" w:lineRule="auto"/>
      </w:pPr>
      <w:r>
        <w:t xml:space="preserve">Unregulated flows continued in 2023-24, with flow increasing from 25,000 ML/d in early July </w:t>
      </w:r>
      <w:r w:rsidR="00F30337">
        <w:t xml:space="preserve">2023 </w:t>
      </w:r>
      <w:r>
        <w:t>to a peak of 52,</w:t>
      </w:r>
      <w:r w:rsidR="00144749">
        <w:t>8</w:t>
      </w:r>
      <w:r>
        <w:t>00 ML/d in early September</w:t>
      </w:r>
      <w:r w:rsidR="00F30337">
        <w:t xml:space="preserve"> 2023</w:t>
      </w:r>
      <w:r>
        <w:t>. Return flows from environmental water delivery in the Goulburn</w:t>
      </w:r>
      <w:r w:rsidR="00F30337">
        <w:t xml:space="preserve"> and</w:t>
      </w:r>
      <w:r>
        <w:t xml:space="preserve"> Mur</w:t>
      </w:r>
      <w:r w:rsidR="000C4A9A">
        <w:t>r</w:t>
      </w:r>
      <w:r>
        <w:t>umbidgee rivers and Barmah–Millewa Forest, in conjunction with unregulated flows</w:t>
      </w:r>
      <w:r w:rsidR="00F30337">
        <w:t xml:space="preserve"> and directed release</w:t>
      </w:r>
      <w:r w:rsidR="00144749">
        <w:t>s</w:t>
      </w:r>
      <w:r w:rsidR="00F30337">
        <w:t xml:space="preserve"> from Lake Victoria</w:t>
      </w:r>
      <w:r>
        <w:t xml:space="preserve">, maintained flow to South </w:t>
      </w:r>
      <w:r w:rsidRPr="00F30337">
        <w:t>Australia &gt;</w:t>
      </w:r>
      <w:r w:rsidR="00F30337" w:rsidRPr="00F30337">
        <w:t>25</w:t>
      </w:r>
      <w:r w:rsidRPr="00F30337">
        <w:t>,000 ML/d from</w:t>
      </w:r>
      <w:r>
        <w:t xml:space="preserve"> late September to </w:t>
      </w:r>
      <w:r w:rsidR="00F30337">
        <w:t>early December 2023</w:t>
      </w:r>
      <w:r>
        <w:t xml:space="preserve">. </w:t>
      </w:r>
      <w:r w:rsidR="00144749">
        <w:t xml:space="preserve">In this water year, </w:t>
      </w:r>
      <w:r w:rsidR="00F30337">
        <w:t>a</w:t>
      </w:r>
      <w:r w:rsidR="00215162">
        <w:t>n</w:t>
      </w:r>
      <w:r w:rsidR="00F30337">
        <w:t xml:space="preserve"> unregulated flow pulse </w:t>
      </w:r>
      <w:r w:rsidR="00144749">
        <w:t xml:space="preserve">occurred </w:t>
      </w:r>
      <w:r w:rsidR="00F30337">
        <w:t xml:space="preserve">in </w:t>
      </w:r>
      <w:r w:rsidR="000B2BE0">
        <w:t>early February (peak 30,300 ML/d)</w:t>
      </w:r>
      <w:r w:rsidR="00215162">
        <w:t>,</w:t>
      </w:r>
      <w:r w:rsidR="000B2BE0">
        <w:t xml:space="preserve"> </w:t>
      </w:r>
      <w:r w:rsidR="00215162">
        <w:t>following</w:t>
      </w:r>
      <w:r w:rsidR="000B2BE0">
        <w:t xml:space="preserve"> return flows </w:t>
      </w:r>
      <w:r w:rsidR="000B2BE0" w:rsidRPr="009C271D">
        <w:t xml:space="preserve">from </w:t>
      </w:r>
      <w:r w:rsidR="00215162" w:rsidRPr="009C271D">
        <w:t>northern Victoria and</w:t>
      </w:r>
      <w:r w:rsidR="00215162">
        <w:t xml:space="preserve"> the </w:t>
      </w:r>
      <w:r w:rsidR="000B2BE0">
        <w:t>Darling River</w:t>
      </w:r>
      <w:r w:rsidR="00215162">
        <w:t xml:space="preserve">, direct trade at the South Australian border </w:t>
      </w:r>
      <w:r w:rsidR="00215162" w:rsidRPr="00215162">
        <w:t>support</w:t>
      </w:r>
      <w:r w:rsidR="00215162">
        <w:t>ed</w:t>
      </w:r>
      <w:r w:rsidR="00215162" w:rsidRPr="00215162">
        <w:t xml:space="preserve"> end of system flows in summer/early autumn</w:t>
      </w:r>
      <w:r w:rsidR="00215162">
        <w:t>.</w:t>
      </w:r>
      <w:r w:rsidR="00A8589F">
        <w:t xml:space="preserve"> </w:t>
      </w:r>
    </w:p>
    <w:p w14:paraId="3D0538FD" w14:textId="3155C48E" w:rsidR="00BF5DD2" w:rsidRPr="00934A07" w:rsidRDefault="002F311C" w:rsidP="003256F1">
      <w:pPr>
        <w:spacing w:before="100" w:after="100" w:line="274" w:lineRule="auto"/>
      </w:pPr>
      <w:r w:rsidRPr="002F311C">
        <w:t xml:space="preserve">During </w:t>
      </w:r>
      <w:r>
        <w:t>2020</w:t>
      </w:r>
      <w:r w:rsidR="00761D9D">
        <w:t>,</w:t>
      </w:r>
      <w:r>
        <w:t xml:space="preserve"> </w:t>
      </w:r>
      <w:r w:rsidRPr="00934A07">
        <w:t>2021</w:t>
      </w:r>
      <w:r w:rsidR="00761D9D">
        <w:t xml:space="preserve"> and 2024</w:t>
      </w:r>
      <w:r w:rsidRPr="00934A07">
        <w:t xml:space="preserve">, environmental water delivery to the LMR from summer–late autumn was through direct trades at the South Australian border </w:t>
      </w:r>
      <w:r w:rsidR="00761D9D">
        <w:t>and/</w:t>
      </w:r>
      <w:r w:rsidRPr="00934A07">
        <w:t xml:space="preserve">or return flows </w:t>
      </w:r>
      <w:r w:rsidR="00F84C4A">
        <w:t>from upstream watering events</w:t>
      </w:r>
      <w:r w:rsidRPr="00934A07">
        <w:t xml:space="preserve"> (</w:t>
      </w:r>
      <w:r w:rsidR="00934A07" w:rsidRPr="00934A07">
        <w:fldChar w:fldCharType="begin"/>
      </w:r>
      <w:r w:rsidR="00934A07" w:rsidRPr="00934A07">
        <w:instrText xml:space="preserve"> REF _Ref81474313 \h </w:instrText>
      </w:r>
      <w:r w:rsidR="00934A07">
        <w:instrText xml:space="preserve"> \* MERGEFORMAT </w:instrText>
      </w:r>
      <w:r w:rsidR="00934A07" w:rsidRPr="00934A07">
        <w:fldChar w:fldCharType="separate"/>
      </w:r>
      <w:r w:rsidR="00102828" w:rsidRPr="00F23935">
        <w:t xml:space="preserve">Figure </w:t>
      </w:r>
      <w:r w:rsidR="00102828">
        <w:rPr>
          <w:noProof/>
        </w:rPr>
        <w:t>5</w:t>
      </w:r>
      <w:r w:rsidR="00934A07" w:rsidRPr="00934A07">
        <w:fldChar w:fldCharType="end"/>
      </w:r>
      <w:r w:rsidR="00934A07" w:rsidRPr="00934A07">
        <w:t xml:space="preserve">; </w:t>
      </w:r>
      <w:r w:rsidR="00934A07" w:rsidRPr="00934A07">
        <w:fldChar w:fldCharType="begin"/>
      </w:r>
      <w:r w:rsidR="00934A07" w:rsidRPr="00934A07">
        <w:instrText xml:space="preserve"> REF _Ref174373793 \h </w:instrText>
      </w:r>
      <w:r w:rsidR="00934A07">
        <w:instrText xml:space="preserve"> \* MERGEFORMAT </w:instrText>
      </w:r>
      <w:r w:rsidR="00934A07" w:rsidRPr="00934A07">
        <w:fldChar w:fldCharType="separate"/>
      </w:r>
      <w:r w:rsidR="00102828" w:rsidRPr="00F23935">
        <w:t xml:space="preserve">Figure </w:t>
      </w:r>
      <w:r w:rsidR="00102828">
        <w:rPr>
          <w:noProof/>
        </w:rPr>
        <w:t>6</w:t>
      </w:r>
      <w:r w:rsidR="00934A07" w:rsidRPr="00934A07">
        <w:fldChar w:fldCharType="end"/>
      </w:r>
      <w:r w:rsidRPr="00934A07">
        <w:t>). During this period, Commonwealth environmental water played a critical role in maintaining barrage releases</w:t>
      </w:r>
      <w:r w:rsidR="00144749">
        <w:t xml:space="preserve"> and contributing to &gt;</w:t>
      </w:r>
      <w:r w:rsidR="00CF71ED">
        <w:t>60</w:t>
      </w:r>
      <w:r w:rsidR="00144749">
        <w:t>% of total barrage flow for the</w:t>
      </w:r>
      <w:r w:rsidR="00761D9D">
        <w:t>se</w:t>
      </w:r>
      <w:r w:rsidR="00144749">
        <w:t xml:space="preserve"> water year</w:t>
      </w:r>
      <w:r w:rsidR="00761D9D">
        <w:t>s</w:t>
      </w:r>
      <w:r w:rsidRPr="00934A07">
        <w:t xml:space="preserve"> (</w:t>
      </w:r>
      <w:r w:rsidRPr="00934A07">
        <w:fldChar w:fldCharType="begin"/>
      </w:r>
      <w:r w:rsidRPr="00934A07">
        <w:instrText xml:space="preserve"> REF _Ref30779384 \h </w:instrText>
      </w:r>
      <w:r w:rsidR="00934A07">
        <w:instrText xml:space="preserve"> \* MERGEFORMAT </w:instrText>
      </w:r>
      <w:r w:rsidRPr="00934A07">
        <w:fldChar w:fldCharType="separate"/>
      </w:r>
      <w:r w:rsidR="00102828" w:rsidRPr="00521E10">
        <w:t xml:space="preserve">Table </w:t>
      </w:r>
      <w:r w:rsidR="00102828">
        <w:rPr>
          <w:noProof/>
        </w:rPr>
        <w:t>2</w:t>
      </w:r>
      <w:r w:rsidRPr="00934A07">
        <w:fldChar w:fldCharType="end"/>
      </w:r>
      <w:r w:rsidRPr="00934A07">
        <w:t>).</w:t>
      </w:r>
      <w:r w:rsidR="00A8589F">
        <w:t xml:space="preserve"> </w:t>
      </w:r>
    </w:p>
    <w:p w14:paraId="6D914930" w14:textId="7E847886" w:rsidR="00872C33" w:rsidRDefault="003C031D" w:rsidP="003256F1">
      <w:pPr>
        <w:spacing w:before="100" w:after="100" w:line="274" w:lineRule="auto"/>
      </w:pPr>
      <w:r w:rsidRPr="00934A07">
        <w:t>The physical source of flows to the</w:t>
      </w:r>
      <w:r w:rsidRPr="00B3097F">
        <w:t xml:space="preserve"> LMR are presented in</w:t>
      </w:r>
      <w:r>
        <w:t xml:space="preserve"> </w:t>
      </w:r>
      <w:r>
        <w:fldChar w:fldCharType="begin"/>
      </w:r>
      <w:r>
        <w:instrText xml:space="preserve"> REF _Ref174373793 \h </w:instrText>
      </w:r>
      <w:r>
        <w:fldChar w:fldCharType="separate"/>
      </w:r>
      <w:r w:rsidR="00102828" w:rsidRPr="00F23935">
        <w:t xml:space="preserve">Figure </w:t>
      </w:r>
      <w:r w:rsidR="00102828">
        <w:rPr>
          <w:noProof/>
        </w:rPr>
        <w:t>6</w:t>
      </w:r>
      <w:r>
        <w:fldChar w:fldCharType="end"/>
      </w:r>
      <w:r w:rsidRPr="00B3097F">
        <w:t xml:space="preserve">. </w:t>
      </w:r>
      <w:r>
        <w:t>During most years, f</w:t>
      </w:r>
      <w:r w:rsidRPr="00B3097F">
        <w:t xml:space="preserve">low to South Australia mainly comprised flow from </w:t>
      </w:r>
      <w:r>
        <w:t xml:space="preserve">the Murray, Goulburn and Murrumbidgee rivers. However, Darling River flow to South Australia increased during unregulated flows from </w:t>
      </w:r>
      <w:r w:rsidR="00812727">
        <w:t>December 2022 to May 2023</w:t>
      </w:r>
      <w:r>
        <w:t>.</w:t>
      </w:r>
      <w:r w:rsidR="00A8589F">
        <w:t xml:space="preserve"> </w:t>
      </w:r>
      <w:r w:rsidRPr="001422BE">
        <w:t xml:space="preserve">Key watering events in the LMR </w:t>
      </w:r>
      <w:r>
        <w:t>over the last five years</w:t>
      </w:r>
      <w:r w:rsidRPr="001422BE">
        <w:t xml:space="preserve"> and the targeted expected outcomes of these deliveries are presente</w:t>
      </w:r>
      <w:r w:rsidR="002F311C">
        <w:t xml:space="preserve">d in </w:t>
      </w:r>
      <w:r w:rsidR="002F311C">
        <w:fldChar w:fldCharType="begin"/>
      </w:r>
      <w:r w:rsidR="002F311C">
        <w:instrText xml:space="preserve"> REF _Ref174368209 \h </w:instrText>
      </w:r>
      <w:r w:rsidR="002F311C">
        <w:fldChar w:fldCharType="separate"/>
      </w:r>
      <w:r w:rsidR="00102828">
        <w:t>T</w:t>
      </w:r>
      <w:r w:rsidR="00102828" w:rsidRPr="001214E8">
        <w:t xml:space="preserve">able </w:t>
      </w:r>
      <w:r w:rsidR="00102828">
        <w:rPr>
          <w:noProof/>
        </w:rPr>
        <w:t>3</w:t>
      </w:r>
      <w:r w:rsidR="002F311C">
        <w:fldChar w:fldCharType="end"/>
      </w:r>
      <w:r>
        <w:t xml:space="preserve"> </w:t>
      </w:r>
      <w:r w:rsidRPr="003C031D">
        <w:t xml:space="preserve">and </w:t>
      </w:r>
      <w:r>
        <w:t xml:space="preserve">the annual </w:t>
      </w:r>
      <w:r w:rsidRPr="003C031D">
        <w:t xml:space="preserve">South Australian River Murray Water for the Environment </w:t>
      </w:r>
      <w:r>
        <w:t>r</w:t>
      </w:r>
      <w:r w:rsidRPr="003C031D">
        <w:t>eport</w:t>
      </w:r>
      <w:r>
        <w:t>s</w:t>
      </w:r>
      <w:r w:rsidRPr="003C031D">
        <w:t xml:space="preserve"> (</w:t>
      </w:r>
      <w:r>
        <w:t xml:space="preserve">e.g. </w:t>
      </w:r>
      <w:r w:rsidRPr="003C031D">
        <w:t>DEW 2024).</w:t>
      </w:r>
      <w:r w:rsidR="002F311C">
        <w:t xml:space="preserve"> These events are also marked on </w:t>
      </w:r>
      <w:r w:rsidR="002F311C">
        <w:fldChar w:fldCharType="begin"/>
      </w:r>
      <w:r w:rsidR="002F311C">
        <w:instrText xml:space="preserve"> REF _Ref81474313 \h </w:instrText>
      </w:r>
      <w:r w:rsidR="002F311C">
        <w:fldChar w:fldCharType="separate"/>
      </w:r>
      <w:r w:rsidR="00102828" w:rsidRPr="00F23935">
        <w:t xml:space="preserve">Figure </w:t>
      </w:r>
      <w:r w:rsidR="00102828">
        <w:rPr>
          <w:noProof/>
        </w:rPr>
        <w:t>5</w:t>
      </w:r>
      <w:r w:rsidR="002F311C">
        <w:fldChar w:fldCharType="end"/>
      </w:r>
      <w:r w:rsidR="002F311C">
        <w:t>.</w:t>
      </w:r>
      <w:r w:rsidRPr="003C031D">
        <w:t xml:space="preserve"> </w:t>
      </w:r>
      <w:r>
        <w:t>Environmental water supported other complementary management actions to achieve ecological outcomes in the LMR. These included weir pool manipulations, operation of environmental regulators and wetland watering by pumping</w:t>
      </w:r>
      <w:r w:rsidR="000C4A9A">
        <w:t>, with</w:t>
      </w:r>
      <w:r>
        <w:t xml:space="preserve"> </w:t>
      </w:r>
      <w:r w:rsidR="00CD41EB" w:rsidRPr="001422BE">
        <w:t xml:space="preserve">key activities summarised in </w:t>
      </w:r>
      <w:r w:rsidR="00864240" w:rsidRPr="001422BE">
        <w:t>Appendix B.</w:t>
      </w:r>
    </w:p>
    <w:bookmarkEnd w:id="71"/>
    <w:p w14:paraId="1195A1CD" w14:textId="77777777" w:rsidR="000A0EBE" w:rsidRDefault="000A0EBE">
      <w:pPr>
        <w:sectPr w:rsidR="000A0EBE" w:rsidSect="008D628A">
          <w:headerReference w:type="even" r:id="rId48"/>
          <w:headerReference w:type="default" r:id="rId49"/>
          <w:footerReference w:type="even" r:id="rId50"/>
          <w:footerReference w:type="default" r:id="rId51"/>
          <w:headerReference w:type="first" r:id="rId52"/>
          <w:footerReference w:type="first" r:id="rId53"/>
          <w:footnotePr>
            <w:numFmt w:val="lowerLetter"/>
          </w:footnotePr>
          <w:pgSz w:w="11906" w:h="16838"/>
          <w:pgMar w:top="1440" w:right="1440" w:bottom="1440" w:left="1440" w:header="709" w:footer="709" w:gutter="0"/>
          <w:cols w:space="708"/>
          <w:docGrid w:linePitch="360"/>
        </w:sectPr>
      </w:pPr>
    </w:p>
    <w:p w14:paraId="0EB663D7" w14:textId="5336D44C" w:rsidR="008B5883" w:rsidRDefault="00FE5645" w:rsidP="008B5883">
      <w:pPr>
        <w:jc w:val="center"/>
      </w:pPr>
      <w:r>
        <w:rPr>
          <w:noProof/>
        </w:rPr>
        <w:lastRenderedPageBreak/>
        <w:drawing>
          <wp:inline distT="0" distB="0" distL="0" distR="0" wp14:anchorId="1251E127" wp14:editId="0B84D260">
            <wp:extent cx="8863330" cy="4235450"/>
            <wp:effectExtent l="0" t="0" r="0" b="0"/>
            <wp:docPr id="2059755536" name="Picture 4" descr="Graph of flow to South Australia from 1 July 2019 to 30 June 2024 showing the contribution of environmental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55536" name="Picture 4" descr="Graph of flow to South Australia from 1 July 2019 to 30 June 2024 showing the contribution of environmental water."/>
                    <pic:cNvPicPr/>
                  </pic:nvPicPr>
                  <pic:blipFill>
                    <a:blip r:embed="rId54" cstate="print">
                      <a:extLst>
                        <a:ext uri="{28A0092B-C50C-407E-A947-70E740481C1C}">
                          <a14:useLocalDpi xmlns:a14="http://schemas.microsoft.com/office/drawing/2010/main" val="0"/>
                        </a:ext>
                      </a:extLst>
                    </a:blip>
                    <a:stretch>
                      <a:fillRect/>
                    </a:stretch>
                  </pic:blipFill>
                  <pic:spPr>
                    <a:xfrm>
                      <a:off x="0" y="0"/>
                      <a:ext cx="8863330" cy="4235450"/>
                    </a:xfrm>
                    <a:prstGeom prst="rect">
                      <a:avLst/>
                    </a:prstGeom>
                  </pic:spPr>
                </pic:pic>
              </a:graphicData>
            </a:graphic>
          </wp:inline>
        </w:drawing>
      </w:r>
    </w:p>
    <w:p w14:paraId="4B4A87AE" w14:textId="7D286BA3" w:rsidR="005742AA" w:rsidRDefault="008B5883" w:rsidP="00605FB2">
      <w:pPr>
        <w:pStyle w:val="Captions"/>
        <w:rPr>
          <w:bCs/>
          <w:szCs w:val="18"/>
        </w:rPr>
      </w:pPr>
      <w:bookmarkStart w:id="73" w:name="_Ref81474313"/>
      <w:bookmarkStart w:id="74" w:name="_Ref427583483"/>
      <w:bookmarkStart w:id="75" w:name="_Toc442173727"/>
      <w:bookmarkStart w:id="76" w:name="_Toc3558355"/>
      <w:bookmarkStart w:id="77" w:name="_Toc103170060"/>
      <w:bookmarkStart w:id="78" w:name="_Toc200464456"/>
      <w:r w:rsidRPr="00F23935">
        <w:t xml:space="preserve">Figure </w:t>
      </w:r>
      <w:r w:rsidR="00967BB2">
        <w:fldChar w:fldCharType="begin"/>
      </w:r>
      <w:r w:rsidR="00967BB2">
        <w:instrText xml:space="preserve"> SEQ Figure \* ARABIC </w:instrText>
      </w:r>
      <w:r w:rsidR="00967BB2">
        <w:fldChar w:fldCharType="separate"/>
      </w:r>
      <w:r w:rsidR="00102828">
        <w:rPr>
          <w:noProof/>
        </w:rPr>
        <w:t>5</w:t>
      </w:r>
      <w:r w:rsidR="00967BB2">
        <w:rPr>
          <w:noProof/>
        </w:rPr>
        <w:fldChar w:fldCharType="end"/>
      </w:r>
      <w:bookmarkEnd w:id="73"/>
      <w:bookmarkEnd w:id="74"/>
      <w:r w:rsidRPr="00F23935">
        <w:rPr>
          <w:noProof/>
        </w:rPr>
        <w:t>.</w:t>
      </w:r>
      <w:r w:rsidRPr="00F23935">
        <w:t xml:space="preserve"> </w:t>
      </w:r>
      <w:bookmarkStart w:id="79" w:name="_Ref172813244"/>
      <w:bookmarkStart w:id="80" w:name="_Toc37775525"/>
      <w:bookmarkEnd w:id="75"/>
      <w:bookmarkEnd w:id="76"/>
      <w:bookmarkEnd w:id="77"/>
      <w:r w:rsidR="001C6050">
        <w:t>Flow to South Australia</w:t>
      </w:r>
      <w:r w:rsidR="001C6050" w:rsidRPr="008B5883">
        <w:t xml:space="preserve"> </w:t>
      </w:r>
      <w:r w:rsidR="001C6050" w:rsidRPr="00CC6A57">
        <w:t xml:space="preserve">from </w:t>
      </w:r>
      <w:r w:rsidR="001C6050">
        <w:t xml:space="preserve">1 </w:t>
      </w:r>
      <w:r w:rsidR="001C6050" w:rsidRPr="00CC6A57">
        <w:t>July 20</w:t>
      </w:r>
      <w:r w:rsidR="001C6050">
        <w:t>19</w:t>
      </w:r>
      <w:r w:rsidR="001C6050" w:rsidRPr="00CC6A57">
        <w:t xml:space="preserve"> to </w:t>
      </w:r>
      <w:r w:rsidR="001C6050">
        <w:t xml:space="preserve">30 </w:t>
      </w:r>
      <w:r w:rsidR="001C6050" w:rsidRPr="00CC6A57">
        <w:t>Ju</w:t>
      </w:r>
      <w:r w:rsidR="001C6050">
        <w:t>ne</w:t>
      </w:r>
      <w:r w:rsidR="001C6050" w:rsidRPr="00CC6A57">
        <w:t xml:space="preserve"> 202</w:t>
      </w:r>
      <w:r w:rsidR="001C6050">
        <w:t>4</w:t>
      </w:r>
      <w:r w:rsidR="001C6050" w:rsidRPr="00CC6A57">
        <w:t xml:space="preserve"> showing</w:t>
      </w:r>
      <w:r w:rsidR="001C6050">
        <w:t xml:space="preserve"> the</w:t>
      </w:r>
      <w:r w:rsidR="001C6050" w:rsidRPr="008B5883">
        <w:t xml:space="preserve"> contribution of environmental water</w:t>
      </w:r>
      <w:r w:rsidR="001C6050">
        <w:t xml:space="preserve"> (eWater)</w:t>
      </w:r>
      <w:r w:rsidR="001C6050" w:rsidRPr="008B5883">
        <w:t xml:space="preserve">. CEW = Commonwealth environmental water. </w:t>
      </w:r>
      <w:r w:rsidR="001C6050" w:rsidRPr="005742AA">
        <w:t>Other eWater = The Living Murray</w:t>
      </w:r>
      <w:r w:rsidR="00844D96">
        <w:t xml:space="preserve"> (TLM)</w:t>
      </w:r>
      <w:r w:rsidR="001C6050" w:rsidRPr="005742AA">
        <w:t>, Victorian Environmental Water Holder, New South Wales Department of Planning, Industry and Environment and water delivered as part of River Murray Increased Flows. Specific watering events</w:t>
      </w:r>
      <w:r w:rsidR="001C6050">
        <w:t xml:space="preserve"> for 2019–2024</w:t>
      </w:r>
      <w:r w:rsidR="001C6050" w:rsidRPr="005742AA">
        <w:t xml:space="preserve"> (</w:t>
      </w:r>
      <w:r w:rsidR="00817439">
        <w:fldChar w:fldCharType="begin"/>
      </w:r>
      <w:r w:rsidR="00817439">
        <w:instrText xml:space="preserve"> REF _Ref174368209 \h </w:instrText>
      </w:r>
      <w:r w:rsidR="00817439">
        <w:fldChar w:fldCharType="separate"/>
      </w:r>
      <w:r w:rsidR="00102828">
        <w:t>T</w:t>
      </w:r>
      <w:r w:rsidR="00102828" w:rsidRPr="001214E8">
        <w:t xml:space="preserve">able </w:t>
      </w:r>
      <w:r w:rsidR="00102828">
        <w:rPr>
          <w:noProof/>
        </w:rPr>
        <w:t>3</w:t>
      </w:r>
      <w:r w:rsidR="00817439">
        <w:fldChar w:fldCharType="end"/>
      </w:r>
      <w:r w:rsidR="001C6050" w:rsidRPr="005742AA">
        <w:t xml:space="preserve">) are shown, except base flows and weir pool manipulations. The ‘no eWater’ component includes South Australian entitlement held by the Commonwealth Environmental Water Holder and by TLM. </w:t>
      </w:r>
      <w:r w:rsidR="001C6050">
        <w:t>A</w:t>
      </w:r>
      <w:r w:rsidR="001C6050" w:rsidRPr="00F50D2F">
        <w:t xml:space="preserve">pproximate bankfull flow </w:t>
      </w:r>
      <w:r w:rsidR="001C6050">
        <w:t>(orange dotted line) is</w:t>
      </w:r>
      <w:r w:rsidR="001C6050" w:rsidRPr="00F50D2F">
        <w:t xml:space="preserve"> shown</w:t>
      </w:r>
      <w:r w:rsidR="001C6050" w:rsidRPr="001C6050">
        <w:t xml:space="preserve">. Modelled flow under natural conditions </w:t>
      </w:r>
      <w:r w:rsidR="00094273">
        <w:t>(dot</w:t>
      </w:r>
      <w:r w:rsidR="002E461D">
        <w:t>t</w:t>
      </w:r>
      <w:r w:rsidR="00094273">
        <w:t xml:space="preserve">ed black line) </w:t>
      </w:r>
      <w:r w:rsidR="001C6050" w:rsidRPr="001C6050">
        <w:t>is not reliable for 2022-23.</w:t>
      </w:r>
      <w:r w:rsidR="001C6050">
        <w:t xml:space="preserve"> </w:t>
      </w:r>
      <w:r w:rsidR="00CE2307" w:rsidRPr="00CE2307">
        <w:t xml:space="preserve">Refer to Ye </w:t>
      </w:r>
      <w:r w:rsidR="00CE2307" w:rsidRPr="000D2C3D">
        <w:rPr>
          <w:i/>
          <w:iCs/>
        </w:rPr>
        <w:t>et al.</w:t>
      </w:r>
      <w:r w:rsidR="00CE2307" w:rsidRPr="00CE2307">
        <w:t xml:space="preserve"> (2020a) for </w:t>
      </w:r>
      <w:r w:rsidR="00F02C1D">
        <w:t xml:space="preserve">eWater delivery and </w:t>
      </w:r>
      <w:r w:rsidR="00F02C1D" w:rsidRPr="00F02C1D">
        <w:t xml:space="preserve">timing of events </w:t>
      </w:r>
      <w:r w:rsidR="00CE2307" w:rsidRPr="00CE2307">
        <w:t>from 2014–2019.</w:t>
      </w:r>
      <w:bookmarkEnd w:id="78"/>
      <w:r w:rsidR="005742AA">
        <w:br w:type="page"/>
      </w:r>
    </w:p>
    <w:p w14:paraId="340334FB" w14:textId="10939EEE" w:rsidR="000A0EBE" w:rsidRPr="000A0EBE" w:rsidRDefault="001214E8" w:rsidP="001214E8">
      <w:pPr>
        <w:pStyle w:val="Caption"/>
        <w:rPr>
          <w:highlight w:val="yellow"/>
          <w:lang w:val="en-US"/>
        </w:rPr>
      </w:pPr>
      <w:bookmarkStart w:id="81" w:name="_Ref174368209"/>
      <w:bookmarkStart w:id="82" w:name="_Toc200464527"/>
      <w:r>
        <w:lastRenderedPageBreak/>
        <w:t>T</w:t>
      </w:r>
      <w:r w:rsidRPr="001214E8">
        <w:t xml:space="preserve">able </w:t>
      </w:r>
      <w:r>
        <w:fldChar w:fldCharType="begin"/>
      </w:r>
      <w:r>
        <w:instrText>SEQ Table \* ARABIC</w:instrText>
      </w:r>
      <w:r>
        <w:fldChar w:fldCharType="separate"/>
      </w:r>
      <w:r w:rsidR="00102828">
        <w:rPr>
          <w:noProof/>
        </w:rPr>
        <w:t>3</w:t>
      </w:r>
      <w:r>
        <w:fldChar w:fldCharType="end"/>
      </w:r>
      <w:bookmarkEnd w:id="79"/>
      <w:bookmarkEnd w:id="81"/>
      <w:r w:rsidR="000A0EBE" w:rsidRPr="001214E8">
        <w:t>. Specific C</w:t>
      </w:r>
      <w:r w:rsidR="00E4079A">
        <w:t>ommonwealth environmental water (C</w:t>
      </w:r>
      <w:r w:rsidR="000A0EBE" w:rsidRPr="001214E8">
        <w:t>EW</w:t>
      </w:r>
      <w:r w:rsidR="00E4079A">
        <w:t>)</w:t>
      </w:r>
      <w:r w:rsidR="000A0EBE" w:rsidRPr="001214E8">
        <w:t xml:space="preserve"> watering events and expected outcomes for the L</w:t>
      </w:r>
      <w:r w:rsidR="00A925D5">
        <w:t xml:space="preserve">ower </w:t>
      </w:r>
      <w:r w:rsidR="000A0EBE" w:rsidRPr="001214E8">
        <w:t>M</w:t>
      </w:r>
      <w:r w:rsidR="00A925D5">
        <w:t xml:space="preserve">urray </w:t>
      </w:r>
      <w:r w:rsidR="000A0EBE" w:rsidRPr="001214E8">
        <w:t>R</w:t>
      </w:r>
      <w:r w:rsidR="00A925D5">
        <w:t>iver</w:t>
      </w:r>
      <w:r w:rsidR="000A0EBE" w:rsidRPr="001214E8">
        <w:t xml:space="preserve"> and Coorong, Lower Lakes and Murray Mouth from 201</w:t>
      </w:r>
      <w:r w:rsidR="00AB5F99" w:rsidRPr="001214E8">
        <w:t>9</w:t>
      </w:r>
      <w:r w:rsidR="000A0EBE" w:rsidRPr="001214E8">
        <w:t>–20</w:t>
      </w:r>
      <w:r w:rsidR="00AB5F99" w:rsidRPr="001214E8">
        <w:t>24</w:t>
      </w:r>
      <w:r w:rsidR="000A0EBE" w:rsidRPr="001214E8">
        <w:t xml:space="preserve"> (source, CEW</w:t>
      </w:r>
      <w:r w:rsidR="00AB5F99" w:rsidRPr="001214E8">
        <w:t>H</w:t>
      </w:r>
      <w:r w:rsidR="000A0EBE" w:rsidRPr="001214E8">
        <w:t xml:space="preserve">). </w:t>
      </w:r>
      <w:r w:rsidR="008634BE">
        <w:t>Some outcomes are specific to 2019-20 (</w:t>
      </w:r>
      <w:r w:rsidR="008634BE" w:rsidRPr="008634BE">
        <w:rPr>
          <w:vertAlign w:val="superscript"/>
        </w:rPr>
        <w:t>a</w:t>
      </w:r>
      <w:r w:rsidR="008634BE">
        <w:t>), 2020-21 (</w:t>
      </w:r>
      <w:r w:rsidR="008634BE" w:rsidRPr="008634BE">
        <w:rPr>
          <w:vertAlign w:val="superscript"/>
        </w:rPr>
        <w:t>b</w:t>
      </w:r>
      <w:r w:rsidR="008634BE">
        <w:t>)</w:t>
      </w:r>
      <w:r w:rsidR="00CB5614">
        <w:t>,</w:t>
      </w:r>
      <w:r w:rsidR="008634BE">
        <w:t xml:space="preserve"> 2021-22 (</w:t>
      </w:r>
      <w:r w:rsidR="008634BE" w:rsidRPr="008634BE">
        <w:rPr>
          <w:vertAlign w:val="superscript"/>
        </w:rPr>
        <w:t>c</w:t>
      </w:r>
      <w:r w:rsidR="008634BE">
        <w:t>)</w:t>
      </w:r>
      <w:r w:rsidR="00CB5614">
        <w:t xml:space="preserve"> and 2023-24 (</w:t>
      </w:r>
      <w:r w:rsidR="00CB5614" w:rsidRPr="00CB5614">
        <w:rPr>
          <w:vertAlign w:val="superscript"/>
        </w:rPr>
        <w:t>d</w:t>
      </w:r>
      <w:r w:rsidR="00CB5614">
        <w:t>)</w:t>
      </w:r>
      <w:r w:rsidR="008634BE">
        <w:t xml:space="preserve">. </w:t>
      </w:r>
      <w:r w:rsidR="000A0EBE" w:rsidRPr="001214E8">
        <w:t>Re</w:t>
      </w:r>
      <w:r w:rsidR="000A0EBE" w:rsidRPr="001C6050">
        <w:t xml:space="preserve">fer to </w:t>
      </w:r>
      <w:r w:rsidR="005742AA" w:rsidRPr="001C6050">
        <w:fldChar w:fldCharType="begin"/>
      </w:r>
      <w:r w:rsidR="005742AA" w:rsidRPr="001C6050">
        <w:instrText xml:space="preserve"> REF _Ref81474313 \h </w:instrText>
      </w:r>
      <w:r w:rsidR="001C6050">
        <w:instrText xml:space="preserve"> \* MERGEFORMAT </w:instrText>
      </w:r>
      <w:r w:rsidR="005742AA" w:rsidRPr="001C6050">
        <w:fldChar w:fldCharType="separate"/>
      </w:r>
      <w:r w:rsidR="00102828" w:rsidRPr="00F23935">
        <w:t xml:space="preserve">Figure </w:t>
      </w:r>
      <w:r w:rsidR="00102828">
        <w:rPr>
          <w:noProof/>
        </w:rPr>
        <w:t>5</w:t>
      </w:r>
      <w:r w:rsidR="005742AA" w:rsidRPr="001C6050">
        <w:fldChar w:fldCharType="end"/>
      </w:r>
      <w:r w:rsidR="00AB5F99" w:rsidRPr="001C6050">
        <w:t xml:space="preserve"> </w:t>
      </w:r>
      <w:r w:rsidR="000A0EBE" w:rsidRPr="001C6050">
        <w:t>for timing of events</w:t>
      </w:r>
      <w:r w:rsidR="005742AA" w:rsidRPr="001C6050">
        <w:t xml:space="preserve"> and Ye </w:t>
      </w:r>
      <w:r w:rsidR="005742AA" w:rsidRPr="000D2C3D">
        <w:rPr>
          <w:i/>
          <w:iCs/>
        </w:rPr>
        <w:t>et al.</w:t>
      </w:r>
      <w:r w:rsidR="005742AA" w:rsidRPr="001C6050">
        <w:t xml:space="preserve"> (2020a) for </w:t>
      </w:r>
      <w:r w:rsidR="001C6050" w:rsidRPr="001C6050">
        <w:t>expected outcomes from 2014–2019</w:t>
      </w:r>
      <w:r w:rsidR="000A0EBE" w:rsidRPr="001C6050">
        <w:t>.</w:t>
      </w:r>
      <w:bookmarkEnd w:id="80"/>
      <w:bookmarkEnd w:id="82"/>
    </w:p>
    <w:tbl>
      <w:tblPr>
        <w:tblW w:w="0" w:type="auto"/>
        <w:tblLook w:val="04A0" w:firstRow="1" w:lastRow="0" w:firstColumn="1" w:lastColumn="0" w:noHBand="0" w:noVBand="1"/>
        <w:tblDescription w:val="Table of specific Commonwealth environmental water watering events and expected outcomes for the Lower Murray River and Coorong, Lower Lakes and Murray Mouth from 2019–2024."/>
      </w:tblPr>
      <w:tblGrid>
        <w:gridCol w:w="2694"/>
        <w:gridCol w:w="992"/>
        <w:gridCol w:w="992"/>
        <w:gridCol w:w="992"/>
        <w:gridCol w:w="993"/>
        <w:gridCol w:w="992"/>
        <w:gridCol w:w="6303"/>
      </w:tblGrid>
      <w:tr w:rsidR="005C7AFB" w:rsidRPr="000A0EBE" w14:paraId="58516CD6" w14:textId="7ACB6863" w:rsidTr="00216297">
        <w:trPr>
          <w:tblHeader/>
        </w:trPr>
        <w:tc>
          <w:tcPr>
            <w:tcW w:w="2694" w:type="dxa"/>
            <w:vMerge w:val="restart"/>
            <w:tcBorders>
              <w:top w:val="single" w:sz="4" w:space="0" w:color="auto"/>
              <w:bottom w:val="single" w:sz="4" w:space="0" w:color="auto"/>
            </w:tcBorders>
            <w:vAlign w:val="center"/>
          </w:tcPr>
          <w:p w14:paraId="0FF7E65D" w14:textId="77777777" w:rsidR="005C7AFB" w:rsidRPr="001214E8" w:rsidRDefault="005C7AFB" w:rsidP="007265B1">
            <w:pPr>
              <w:spacing w:before="0" w:after="0" w:line="259" w:lineRule="auto"/>
              <w:contextualSpacing/>
              <w:jc w:val="left"/>
              <w:rPr>
                <w:sz w:val="20"/>
              </w:rPr>
            </w:pPr>
            <w:r w:rsidRPr="001214E8">
              <w:rPr>
                <w:sz w:val="20"/>
              </w:rPr>
              <w:t>Flow event</w:t>
            </w:r>
          </w:p>
        </w:tc>
        <w:tc>
          <w:tcPr>
            <w:tcW w:w="4961" w:type="dxa"/>
            <w:gridSpan w:val="5"/>
            <w:tcBorders>
              <w:top w:val="single" w:sz="4" w:space="0" w:color="auto"/>
            </w:tcBorders>
            <w:vAlign w:val="center"/>
          </w:tcPr>
          <w:p w14:paraId="0FDACF5A" w14:textId="77777777" w:rsidR="005C7AFB" w:rsidRPr="00D54CC3" w:rsidRDefault="005C7AFB" w:rsidP="007265B1">
            <w:pPr>
              <w:spacing w:before="0" w:after="0" w:line="259" w:lineRule="auto"/>
              <w:contextualSpacing/>
              <w:jc w:val="center"/>
              <w:rPr>
                <w:sz w:val="20"/>
              </w:rPr>
            </w:pPr>
            <w:r w:rsidRPr="00D54CC3">
              <w:rPr>
                <w:sz w:val="20"/>
              </w:rPr>
              <w:t>Flow event delivered</w:t>
            </w:r>
          </w:p>
        </w:tc>
        <w:tc>
          <w:tcPr>
            <w:tcW w:w="6303" w:type="dxa"/>
            <w:vMerge w:val="restart"/>
            <w:tcBorders>
              <w:top w:val="single" w:sz="4" w:space="0" w:color="auto"/>
            </w:tcBorders>
          </w:tcPr>
          <w:p w14:paraId="6870916D" w14:textId="14B27342" w:rsidR="005C7AFB" w:rsidRPr="00D54CC3" w:rsidRDefault="005C7AFB" w:rsidP="005C7AFB">
            <w:pPr>
              <w:spacing w:before="0" w:after="0" w:line="259" w:lineRule="auto"/>
              <w:contextualSpacing/>
              <w:jc w:val="left"/>
              <w:rPr>
                <w:sz w:val="20"/>
              </w:rPr>
            </w:pPr>
            <w:r w:rsidRPr="001214E8">
              <w:rPr>
                <w:sz w:val="20"/>
              </w:rPr>
              <w:t>Expected outcomes</w:t>
            </w:r>
          </w:p>
        </w:tc>
      </w:tr>
      <w:tr w:rsidR="00216297" w:rsidRPr="000A0EBE" w14:paraId="284C58C7" w14:textId="4187FF5A" w:rsidTr="00216297">
        <w:trPr>
          <w:tblHeader/>
        </w:trPr>
        <w:tc>
          <w:tcPr>
            <w:tcW w:w="2694" w:type="dxa"/>
            <w:vMerge/>
            <w:tcBorders>
              <w:bottom w:val="single" w:sz="4" w:space="0" w:color="auto"/>
            </w:tcBorders>
          </w:tcPr>
          <w:p w14:paraId="46C92FF9" w14:textId="77777777" w:rsidR="005C7AFB" w:rsidRPr="000A0EBE" w:rsidRDefault="005C7AFB" w:rsidP="007265B1">
            <w:pPr>
              <w:spacing w:before="0" w:after="0" w:line="259" w:lineRule="auto"/>
              <w:contextualSpacing/>
              <w:jc w:val="left"/>
              <w:rPr>
                <w:sz w:val="20"/>
                <w:highlight w:val="yellow"/>
              </w:rPr>
            </w:pPr>
          </w:p>
        </w:tc>
        <w:tc>
          <w:tcPr>
            <w:tcW w:w="992" w:type="dxa"/>
            <w:tcBorders>
              <w:bottom w:val="single" w:sz="4" w:space="0" w:color="auto"/>
            </w:tcBorders>
            <w:vAlign w:val="center"/>
          </w:tcPr>
          <w:p w14:paraId="1BF6F59E" w14:textId="77777777" w:rsidR="005C7AFB" w:rsidRPr="00D54CC3" w:rsidRDefault="005C7AFB" w:rsidP="007265B1">
            <w:pPr>
              <w:spacing w:before="0" w:after="0" w:line="259" w:lineRule="auto"/>
              <w:contextualSpacing/>
              <w:jc w:val="center"/>
              <w:rPr>
                <w:sz w:val="20"/>
              </w:rPr>
            </w:pPr>
            <w:r w:rsidRPr="00D54CC3">
              <w:rPr>
                <w:sz w:val="20"/>
              </w:rPr>
              <w:t>2019-20</w:t>
            </w:r>
          </w:p>
        </w:tc>
        <w:tc>
          <w:tcPr>
            <w:tcW w:w="992" w:type="dxa"/>
            <w:tcBorders>
              <w:bottom w:val="single" w:sz="4" w:space="0" w:color="auto"/>
            </w:tcBorders>
            <w:vAlign w:val="center"/>
          </w:tcPr>
          <w:p w14:paraId="6C398038" w14:textId="77777777" w:rsidR="005C7AFB" w:rsidRPr="00D54CC3" w:rsidRDefault="005C7AFB" w:rsidP="007265B1">
            <w:pPr>
              <w:spacing w:before="0" w:after="0" w:line="259" w:lineRule="auto"/>
              <w:contextualSpacing/>
              <w:jc w:val="center"/>
              <w:rPr>
                <w:sz w:val="20"/>
              </w:rPr>
            </w:pPr>
            <w:r w:rsidRPr="00D54CC3">
              <w:rPr>
                <w:sz w:val="20"/>
              </w:rPr>
              <w:t>2020-21</w:t>
            </w:r>
          </w:p>
        </w:tc>
        <w:tc>
          <w:tcPr>
            <w:tcW w:w="992" w:type="dxa"/>
            <w:tcBorders>
              <w:bottom w:val="single" w:sz="4" w:space="0" w:color="auto"/>
            </w:tcBorders>
            <w:vAlign w:val="center"/>
          </w:tcPr>
          <w:p w14:paraId="74F8CBAB" w14:textId="77777777" w:rsidR="005C7AFB" w:rsidRPr="00D54CC3" w:rsidRDefault="005C7AFB" w:rsidP="007265B1">
            <w:pPr>
              <w:spacing w:before="0" w:after="0" w:line="259" w:lineRule="auto"/>
              <w:contextualSpacing/>
              <w:jc w:val="center"/>
              <w:rPr>
                <w:sz w:val="20"/>
              </w:rPr>
            </w:pPr>
            <w:r w:rsidRPr="00D54CC3">
              <w:rPr>
                <w:sz w:val="20"/>
              </w:rPr>
              <w:t>2021-22</w:t>
            </w:r>
          </w:p>
        </w:tc>
        <w:tc>
          <w:tcPr>
            <w:tcW w:w="993" w:type="dxa"/>
            <w:tcBorders>
              <w:bottom w:val="single" w:sz="4" w:space="0" w:color="auto"/>
            </w:tcBorders>
            <w:vAlign w:val="center"/>
          </w:tcPr>
          <w:p w14:paraId="07AA4B8C" w14:textId="77777777" w:rsidR="005C7AFB" w:rsidRPr="00D54CC3" w:rsidRDefault="005C7AFB" w:rsidP="007265B1">
            <w:pPr>
              <w:spacing w:before="0" w:after="0" w:line="259" w:lineRule="auto"/>
              <w:contextualSpacing/>
              <w:jc w:val="center"/>
              <w:rPr>
                <w:sz w:val="20"/>
              </w:rPr>
            </w:pPr>
            <w:r w:rsidRPr="00D54CC3">
              <w:rPr>
                <w:sz w:val="20"/>
              </w:rPr>
              <w:t>2022-23</w:t>
            </w:r>
          </w:p>
        </w:tc>
        <w:tc>
          <w:tcPr>
            <w:tcW w:w="992" w:type="dxa"/>
            <w:tcBorders>
              <w:bottom w:val="single" w:sz="4" w:space="0" w:color="auto"/>
            </w:tcBorders>
            <w:vAlign w:val="center"/>
          </w:tcPr>
          <w:p w14:paraId="2B20E70B" w14:textId="77777777" w:rsidR="005C7AFB" w:rsidRPr="00CB5614" w:rsidRDefault="005C7AFB" w:rsidP="007265B1">
            <w:pPr>
              <w:spacing w:before="0" w:after="0" w:line="259" w:lineRule="auto"/>
              <w:contextualSpacing/>
              <w:jc w:val="center"/>
              <w:rPr>
                <w:sz w:val="20"/>
              </w:rPr>
            </w:pPr>
            <w:r w:rsidRPr="00CB5614">
              <w:rPr>
                <w:sz w:val="20"/>
              </w:rPr>
              <w:t>2023-24</w:t>
            </w:r>
          </w:p>
        </w:tc>
        <w:tc>
          <w:tcPr>
            <w:tcW w:w="6303" w:type="dxa"/>
            <w:vMerge/>
            <w:tcBorders>
              <w:bottom w:val="single" w:sz="4" w:space="0" w:color="auto"/>
            </w:tcBorders>
          </w:tcPr>
          <w:p w14:paraId="195C0A19" w14:textId="77777777" w:rsidR="005C7AFB" w:rsidRPr="00CB5614" w:rsidRDefault="005C7AFB" w:rsidP="007265B1">
            <w:pPr>
              <w:spacing w:before="0" w:after="0" w:line="259" w:lineRule="auto"/>
              <w:contextualSpacing/>
              <w:jc w:val="center"/>
              <w:rPr>
                <w:sz w:val="20"/>
              </w:rPr>
            </w:pPr>
          </w:p>
        </w:tc>
      </w:tr>
      <w:tr w:rsidR="00216297" w:rsidRPr="000A0EBE" w14:paraId="65D1071A" w14:textId="7AFC11DB" w:rsidTr="00216297">
        <w:tc>
          <w:tcPr>
            <w:tcW w:w="2694" w:type="dxa"/>
            <w:tcBorders>
              <w:top w:val="single" w:sz="4" w:space="0" w:color="auto"/>
              <w:bottom w:val="single" w:sz="4" w:space="0" w:color="auto"/>
            </w:tcBorders>
          </w:tcPr>
          <w:p w14:paraId="13F6A496" w14:textId="77777777" w:rsidR="005C7AFB" w:rsidRPr="00645EBF" w:rsidRDefault="005C7AFB" w:rsidP="005C7AFB">
            <w:pPr>
              <w:spacing w:before="0" w:after="0" w:line="259" w:lineRule="auto"/>
              <w:contextualSpacing/>
              <w:jc w:val="left"/>
              <w:rPr>
                <w:sz w:val="20"/>
              </w:rPr>
            </w:pPr>
            <w:r w:rsidRPr="00645EBF">
              <w:rPr>
                <w:sz w:val="20"/>
              </w:rPr>
              <w:t>Base flows (&lt;7,000 ML/d) and/or small freshes (7,000–15,000 ML/d)</w:t>
            </w:r>
            <w:r>
              <w:rPr>
                <w:sz w:val="20"/>
              </w:rPr>
              <w:t xml:space="preserve"> throughout the year</w:t>
            </w:r>
          </w:p>
        </w:tc>
        <w:tc>
          <w:tcPr>
            <w:tcW w:w="992" w:type="dxa"/>
            <w:tcBorders>
              <w:top w:val="single" w:sz="4" w:space="0" w:color="auto"/>
              <w:bottom w:val="single" w:sz="4" w:space="0" w:color="auto"/>
            </w:tcBorders>
            <w:vAlign w:val="center"/>
          </w:tcPr>
          <w:p w14:paraId="4EAD00EA" w14:textId="77777777" w:rsidR="005C7AFB" w:rsidRPr="00645EBF" w:rsidRDefault="005C7AFB" w:rsidP="005C7AFB">
            <w:pPr>
              <w:spacing w:before="0" w:after="0" w:line="259" w:lineRule="auto"/>
              <w:contextualSpacing/>
              <w:jc w:val="center"/>
              <w:rPr>
                <w:sz w:val="20"/>
              </w:rPr>
            </w:pPr>
            <w:r w:rsidRPr="00645EBF">
              <w:rPr>
                <w:sz w:val="20"/>
              </w:rPr>
              <w:t>Y</w:t>
            </w:r>
          </w:p>
        </w:tc>
        <w:tc>
          <w:tcPr>
            <w:tcW w:w="992" w:type="dxa"/>
            <w:tcBorders>
              <w:top w:val="single" w:sz="4" w:space="0" w:color="auto"/>
              <w:bottom w:val="single" w:sz="4" w:space="0" w:color="auto"/>
            </w:tcBorders>
            <w:vAlign w:val="center"/>
          </w:tcPr>
          <w:p w14:paraId="5E08E18E" w14:textId="77777777" w:rsidR="005C7AFB" w:rsidRPr="00645EBF" w:rsidRDefault="005C7AFB" w:rsidP="005C7AFB">
            <w:pPr>
              <w:spacing w:before="0" w:after="0" w:line="259" w:lineRule="auto"/>
              <w:contextualSpacing/>
              <w:jc w:val="center"/>
              <w:rPr>
                <w:sz w:val="20"/>
              </w:rPr>
            </w:pPr>
            <w:r w:rsidRPr="00645EBF">
              <w:rPr>
                <w:sz w:val="20"/>
              </w:rPr>
              <w:t>Y</w:t>
            </w:r>
          </w:p>
        </w:tc>
        <w:tc>
          <w:tcPr>
            <w:tcW w:w="992" w:type="dxa"/>
            <w:tcBorders>
              <w:top w:val="single" w:sz="4" w:space="0" w:color="auto"/>
              <w:bottom w:val="single" w:sz="4" w:space="0" w:color="auto"/>
            </w:tcBorders>
            <w:vAlign w:val="center"/>
          </w:tcPr>
          <w:p w14:paraId="15C1E88B" w14:textId="77777777" w:rsidR="005C7AFB" w:rsidRPr="00645EBF" w:rsidRDefault="005C7AFB" w:rsidP="005C7AFB">
            <w:pPr>
              <w:spacing w:before="0" w:after="0" w:line="259" w:lineRule="auto"/>
              <w:contextualSpacing/>
              <w:jc w:val="center"/>
              <w:rPr>
                <w:sz w:val="20"/>
              </w:rPr>
            </w:pPr>
            <w:r w:rsidRPr="00645EBF">
              <w:rPr>
                <w:sz w:val="20"/>
              </w:rPr>
              <w:t>Y</w:t>
            </w:r>
          </w:p>
        </w:tc>
        <w:tc>
          <w:tcPr>
            <w:tcW w:w="993" w:type="dxa"/>
            <w:tcBorders>
              <w:top w:val="single" w:sz="4" w:space="0" w:color="auto"/>
              <w:bottom w:val="single" w:sz="4" w:space="0" w:color="auto"/>
            </w:tcBorders>
            <w:vAlign w:val="center"/>
          </w:tcPr>
          <w:p w14:paraId="4B02DBCF" w14:textId="77777777" w:rsidR="005C7AFB" w:rsidRPr="00645EBF" w:rsidRDefault="005C7AFB" w:rsidP="005C7AFB">
            <w:pPr>
              <w:spacing w:before="0" w:after="0" w:line="259" w:lineRule="auto"/>
              <w:contextualSpacing/>
              <w:jc w:val="center"/>
              <w:rPr>
                <w:sz w:val="20"/>
              </w:rPr>
            </w:pPr>
            <w:r w:rsidRPr="00645EBF">
              <w:rPr>
                <w:sz w:val="20"/>
              </w:rPr>
              <w:t>Y</w:t>
            </w:r>
          </w:p>
        </w:tc>
        <w:tc>
          <w:tcPr>
            <w:tcW w:w="992" w:type="dxa"/>
            <w:tcBorders>
              <w:top w:val="single" w:sz="4" w:space="0" w:color="auto"/>
              <w:bottom w:val="single" w:sz="4" w:space="0" w:color="auto"/>
            </w:tcBorders>
            <w:vAlign w:val="center"/>
          </w:tcPr>
          <w:p w14:paraId="47B780B2" w14:textId="77777777" w:rsidR="005C7AFB" w:rsidRPr="00CB5614" w:rsidRDefault="005C7AFB" w:rsidP="005C7AFB">
            <w:pPr>
              <w:spacing w:before="0" w:after="0" w:line="259" w:lineRule="auto"/>
              <w:contextualSpacing/>
              <w:jc w:val="center"/>
              <w:rPr>
                <w:sz w:val="20"/>
              </w:rPr>
            </w:pPr>
            <w:r w:rsidRPr="00CB5614">
              <w:rPr>
                <w:sz w:val="20"/>
              </w:rPr>
              <w:t>Y</w:t>
            </w:r>
          </w:p>
        </w:tc>
        <w:tc>
          <w:tcPr>
            <w:tcW w:w="6303" w:type="dxa"/>
            <w:tcBorders>
              <w:top w:val="single" w:sz="4" w:space="0" w:color="auto"/>
              <w:bottom w:val="single" w:sz="4" w:space="0" w:color="auto"/>
            </w:tcBorders>
          </w:tcPr>
          <w:p w14:paraId="33460847" w14:textId="37295BE3" w:rsidR="005C7AFB" w:rsidRPr="00CB5614" w:rsidRDefault="005C7AFB" w:rsidP="005C7AFB">
            <w:pPr>
              <w:spacing w:before="0" w:after="0" w:line="259" w:lineRule="auto"/>
              <w:contextualSpacing/>
              <w:jc w:val="left"/>
              <w:rPr>
                <w:sz w:val="20"/>
              </w:rPr>
            </w:pPr>
            <w:r w:rsidRPr="00645EBF">
              <w:rPr>
                <w:sz w:val="20"/>
              </w:rPr>
              <w:t>Refer to Appendix A.</w:t>
            </w:r>
          </w:p>
        </w:tc>
      </w:tr>
      <w:tr w:rsidR="00216297" w:rsidRPr="000A0EBE" w14:paraId="008C1AA7" w14:textId="20B8603D" w:rsidTr="00216297">
        <w:tc>
          <w:tcPr>
            <w:tcW w:w="2694" w:type="dxa"/>
            <w:tcBorders>
              <w:top w:val="single" w:sz="4" w:space="0" w:color="auto"/>
              <w:bottom w:val="single" w:sz="4" w:space="0" w:color="auto"/>
            </w:tcBorders>
          </w:tcPr>
          <w:p w14:paraId="1F0A5381" w14:textId="77777777" w:rsidR="005C7AFB" w:rsidRPr="00F34595" w:rsidRDefault="005C7AFB" w:rsidP="005C7AFB">
            <w:pPr>
              <w:spacing w:before="0" w:after="0" w:line="259" w:lineRule="auto"/>
              <w:contextualSpacing/>
              <w:jc w:val="left"/>
              <w:rPr>
                <w:sz w:val="20"/>
              </w:rPr>
            </w:pPr>
            <w:r w:rsidRPr="00F34595">
              <w:rPr>
                <w:sz w:val="20"/>
              </w:rPr>
              <w:t>Winter pulse (small, &lt;15,000 ML/d)</w:t>
            </w:r>
          </w:p>
        </w:tc>
        <w:tc>
          <w:tcPr>
            <w:tcW w:w="992" w:type="dxa"/>
            <w:tcBorders>
              <w:top w:val="single" w:sz="4" w:space="0" w:color="auto"/>
              <w:bottom w:val="single" w:sz="4" w:space="0" w:color="auto"/>
            </w:tcBorders>
            <w:vAlign w:val="center"/>
          </w:tcPr>
          <w:p w14:paraId="78BCE1EF" w14:textId="5A72CEA9" w:rsidR="005C7AFB" w:rsidRPr="00F34595" w:rsidRDefault="005C7AFB" w:rsidP="005C7AFB">
            <w:pPr>
              <w:spacing w:before="0" w:after="0" w:line="259" w:lineRule="auto"/>
              <w:contextualSpacing/>
              <w:jc w:val="center"/>
              <w:rPr>
                <w:sz w:val="20"/>
              </w:rPr>
            </w:pPr>
            <w:r w:rsidRPr="00F34595">
              <w:rPr>
                <w:sz w:val="20"/>
              </w:rPr>
              <w:t>Y</w:t>
            </w:r>
          </w:p>
        </w:tc>
        <w:tc>
          <w:tcPr>
            <w:tcW w:w="992" w:type="dxa"/>
            <w:tcBorders>
              <w:top w:val="single" w:sz="4" w:space="0" w:color="auto"/>
              <w:bottom w:val="single" w:sz="4" w:space="0" w:color="auto"/>
            </w:tcBorders>
            <w:vAlign w:val="center"/>
          </w:tcPr>
          <w:p w14:paraId="01347D8C" w14:textId="77777777" w:rsidR="005C7AFB" w:rsidRPr="00F34595" w:rsidRDefault="005C7AFB" w:rsidP="005C7AFB">
            <w:pPr>
              <w:spacing w:before="0" w:after="0" w:line="259" w:lineRule="auto"/>
              <w:contextualSpacing/>
              <w:jc w:val="center"/>
              <w:rPr>
                <w:sz w:val="20"/>
              </w:rPr>
            </w:pPr>
          </w:p>
        </w:tc>
        <w:tc>
          <w:tcPr>
            <w:tcW w:w="992" w:type="dxa"/>
            <w:tcBorders>
              <w:top w:val="single" w:sz="4" w:space="0" w:color="auto"/>
              <w:bottom w:val="single" w:sz="4" w:space="0" w:color="auto"/>
            </w:tcBorders>
            <w:vAlign w:val="center"/>
          </w:tcPr>
          <w:p w14:paraId="55C110BE" w14:textId="77777777" w:rsidR="005C7AFB" w:rsidRPr="00F34595" w:rsidRDefault="005C7AFB" w:rsidP="005C7AFB">
            <w:pPr>
              <w:spacing w:before="0" w:after="0" w:line="259" w:lineRule="auto"/>
              <w:contextualSpacing/>
              <w:jc w:val="center"/>
              <w:rPr>
                <w:sz w:val="20"/>
              </w:rPr>
            </w:pPr>
          </w:p>
        </w:tc>
        <w:tc>
          <w:tcPr>
            <w:tcW w:w="993" w:type="dxa"/>
            <w:tcBorders>
              <w:top w:val="single" w:sz="4" w:space="0" w:color="auto"/>
              <w:bottom w:val="single" w:sz="4" w:space="0" w:color="auto"/>
            </w:tcBorders>
            <w:vAlign w:val="center"/>
          </w:tcPr>
          <w:p w14:paraId="6AAC1B4B" w14:textId="77777777" w:rsidR="005C7AFB" w:rsidRPr="00F34595" w:rsidRDefault="005C7AFB" w:rsidP="005C7AFB">
            <w:pPr>
              <w:spacing w:before="0" w:after="0" w:line="259" w:lineRule="auto"/>
              <w:contextualSpacing/>
              <w:jc w:val="center"/>
              <w:rPr>
                <w:sz w:val="20"/>
              </w:rPr>
            </w:pPr>
          </w:p>
        </w:tc>
        <w:tc>
          <w:tcPr>
            <w:tcW w:w="992" w:type="dxa"/>
            <w:tcBorders>
              <w:top w:val="single" w:sz="4" w:space="0" w:color="auto"/>
              <w:bottom w:val="single" w:sz="4" w:space="0" w:color="auto"/>
            </w:tcBorders>
            <w:vAlign w:val="center"/>
          </w:tcPr>
          <w:p w14:paraId="67A0027B" w14:textId="77777777" w:rsidR="005C7AFB" w:rsidRPr="00CB5614" w:rsidRDefault="005C7AFB" w:rsidP="005C7AFB">
            <w:pPr>
              <w:spacing w:before="0" w:after="0" w:line="259" w:lineRule="auto"/>
              <w:contextualSpacing/>
              <w:jc w:val="center"/>
              <w:rPr>
                <w:sz w:val="20"/>
              </w:rPr>
            </w:pPr>
          </w:p>
        </w:tc>
        <w:tc>
          <w:tcPr>
            <w:tcW w:w="6303" w:type="dxa"/>
            <w:tcBorders>
              <w:top w:val="single" w:sz="4" w:space="0" w:color="auto"/>
              <w:bottom w:val="single" w:sz="4" w:space="0" w:color="auto"/>
            </w:tcBorders>
          </w:tcPr>
          <w:p w14:paraId="48B6EBBB" w14:textId="77777777" w:rsidR="005C7AFB" w:rsidRPr="00BF64A2" w:rsidRDefault="005C7AFB" w:rsidP="005C7AFB">
            <w:pPr>
              <w:pStyle w:val="ListParagraph"/>
              <w:numPr>
                <w:ilvl w:val="0"/>
                <w:numId w:val="25"/>
              </w:numPr>
              <w:spacing w:before="0" w:after="0" w:line="259" w:lineRule="auto"/>
              <w:jc w:val="left"/>
              <w:rPr>
                <w:sz w:val="20"/>
              </w:rPr>
            </w:pPr>
            <w:r w:rsidRPr="00BF64A2">
              <w:rPr>
                <w:sz w:val="20"/>
              </w:rPr>
              <w:t>Coorong water quality/habitat suitability</w:t>
            </w:r>
          </w:p>
          <w:p w14:paraId="2C7E3DBA" w14:textId="77777777" w:rsidR="005C7AFB" w:rsidRPr="00BF64A2" w:rsidRDefault="005C7AFB" w:rsidP="005C7AFB">
            <w:pPr>
              <w:pStyle w:val="ListParagraph"/>
              <w:numPr>
                <w:ilvl w:val="0"/>
                <w:numId w:val="25"/>
              </w:numPr>
              <w:spacing w:before="0" w:after="0" w:line="259" w:lineRule="auto"/>
              <w:jc w:val="left"/>
              <w:rPr>
                <w:sz w:val="20"/>
              </w:rPr>
            </w:pPr>
            <w:r w:rsidRPr="00BF64A2">
              <w:rPr>
                <w:sz w:val="20"/>
              </w:rPr>
              <w:t>Riverine/ecosystem function</w:t>
            </w:r>
          </w:p>
          <w:p w14:paraId="0212C56B" w14:textId="77777777" w:rsidR="005C7AFB" w:rsidRPr="00BF64A2" w:rsidRDefault="005C7AFB" w:rsidP="005C7AFB">
            <w:pPr>
              <w:pStyle w:val="ListParagraph"/>
              <w:numPr>
                <w:ilvl w:val="0"/>
                <w:numId w:val="25"/>
              </w:numPr>
              <w:spacing w:before="0" w:after="0" w:line="259" w:lineRule="auto"/>
              <w:jc w:val="left"/>
              <w:rPr>
                <w:sz w:val="20"/>
              </w:rPr>
            </w:pPr>
            <w:r w:rsidRPr="00BF64A2">
              <w:rPr>
                <w:sz w:val="20"/>
              </w:rPr>
              <w:t>Lamprey and congolli migration</w:t>
            </w:r>
          </w:p>
          <w:p w14:paraId="0074E76E" w14:textId="77777777" w:rsidR="005C7AFB" w:rsidRDefault="005C7AFB" w:rsidP="005C7AFB">
            <w:pPr>
              <w:pStyle w:val="ListParagraph"/>
              <w:numPr>
                <w:ilvl w:val="0"/>
                <w:numId w:val="25"/>
              </w:numPr>
              <w:spacing w:before="0" w:after="0" w:line="259" w:lineRule="auto"/>
              <w:jc w:val="left"/>
              <w:rPr>
                <w:sz w:val="20"/>
              </w:rPr>
            </w:pPr>
            <w:r w:rsidRPr="00BF64A2">
              <w:rPr>
                <w:sz w:val="20"/>
              </w:rPr>
              <w:t>Increase lake levels in advance of spring pulse</w:t>
            </w:r>
          </w:p>
          <w:p w14:paraId="5C50D2D5" w14:textId="44DD7F99" w:rsidR="005C7AFB" w:rsidRPr="005C7AFB" w:rsidRDefault="005C7AFB" w:rsidP="005C7AFB">
            <w:pPr>
              <w:pStyle w:val="ListParagraph"/>
              <w:numPr>
                <w:ilvl w:val="0"/>
                <w:numId w:val="25"/>
              </w:numPr>
              <w:spacing w:before="0" w:after="0" w:line="259" w:lineRule="auto"/>
              <w:jc w:val="left"/>
              <w:rPr>
                <w:sz w:val="20"/>
              </w:rPr>
            </w:pPr>
            <w:r w:rsidRPr="005C7AFB">
              <w:rPr>
                <w:sz w:val="20"/>
              </w:rPr>
              <w:t>Fish habitat and condition</w:t>
            </w:r>
          </w:p>
        </w:tc>
      </w:tr>
      <w:tr w:rsidR="00216297" w:rsidRPr="000A0EBE" w14:paraId="0DA9280E" w14:textId="23B52AF2" w:rsidTr="00216297">
        <w:tc>
          <w:tcPr>
            <w:tcW w:w="2694" w:type="dxa"/>
            <w:tcBorders>
              <w:top w:val="single" w:sz="4" w:space="0" w:color="auto"/>
              <w:bottom w:val="single" w:sz="4" w:space="0" w:color="auto"/>
            </w:tcBorders>
          </w:tcPr>
          <w:p w14:paraId="19E736B6" w14:textId="77777777" w:rsidR="005C7AFB" w:rsidRPr="00F34595" w:rsidRDefault="005C7AFB" w:rsidP="005C7AFB">
            <w:pPr>
              <w:spacing w:before="0" w:after="0" w:line="259" w:lineRule="auto"/>
              <w:contextualSpacing/>
              <w:jc w:val="left"/>
              <w:rPr>
                <w:sz w:val="20"/>
              </w:rPr>
            </w:pPr>
            <w:r w:rsidRPr="00F34595">
              <w:rPr>
                <w:sz w:val="20"/>
              </w:rPr>
              <w:t>Winter overbank flows (&gt;45,000 ML/d)</w:t>
            </w:r>
          </w:p>
        </w:tc>
        <w:tc>
          <w:tcPr>
            <w:tcW w:w="992" w:type="dxa"/>
            <w:tcBorders>
              <w:top w:val="single" w:sz="4" w:space="0" w:color="auto"/>
              <w:bottom w:val="single" w:sz="4" w:space="0" w:color="auto"/>
            </w:tcBorders>
            <w:vAlign w:val="center"/>
          </w:tcPr>
          <w:p w14:paraId="3D50E503" w14:textId="77777777" w:rsidR="005C7AFB" w:rsidRPr="00F34595" w:rsidRDefault="005C7AFB" w:rsidP="005C7AFB">
            <w:pPr>
              <w:spacing w:before="0" w:after="0" w:line="259" w:lineRule="auto"/>
              <w:contextualSpacing/>
              <w:jc w:val="center"/>
              <w:rPr>
                <w:sz w:val="20"/>
              </w:rPr>
            </w:pPr>
          </w:p>
        </w:tc>
        <w:tc>
          <w:tcPr>
            <w:tcW w:w="992" w:type="dxa"/>
            <w:tcBorders>
              <w:top w:val="single" w:sz="4" w:space="0" w:color="auto"/>
              <w:bottom w:val="single" w:sz="4" w:space="0" w:color="auto"/>
            </w:tcBorders>
            <w:vAlign w:val="center"/>
          </w:tcPr>
          <w:p w14:paraId="636E6906" w14:textId="77777777" w:rsidR="005C7AFB" w:rsidRPr="00F34595" w:rsidRDefault="005C7AFB" w:rsidP="005C7AFB">
            <w:pPr>
              <w:spacing w:before="0" w:after="0" w:line="259" w:lineRule="auto"/>
              <w:contextualSpacing/>
              <w:jc w:val="center"/>
              <w:rPr>
                <w:sz w:val="20"/>
              </w:rPr>
            </w:pPr>
          </w:p>
        </w:tc>
        <w:tc>
          <w:tcPr>
            <w:tcW w:w="992" w:type="dxa"/>
            <w:tcBorders>
              <w:top w:val="single" w:sz="4" w:space="0" w:color="auto"/>
              <w:bottom w:val="single" w:sz="4" w:space="0" w:color="auto"/>
            </w:tcBorders>
            <w:vAlign w:val="center"/>
          </w:tcPr>
          <w:p w14:paraId="1DBFE938" w14:textId="77777777" w:rsidR="005C7AFB" w:rsidRPr="00F34595" w:rsidRDefault="005C7AFB" w:rsidP="005C7AFB">
            <w:pPr>
              <w:spacing w:before="0" w:after="0" w:line="259" w:lineRule="auto"/>
              <w:contextualSpacing/>
              <w:jc w:val="center"/>
              <w:rPr>
                <w:sz w:val="20"/>
              </w:rPr>
            </w:pPr>
          </w:p>
        </w:tc>
        <w:tc>
          <w:tcPr>
            <w:tcW w:w="993" w:type="dxa"/>
            <w:tcBorders>
              <w:top w:val="single" w:sz="4" w:space="0" w:color="auto"/>
              <w:bottom w:val="single" w:sz="4" w:space="0" w:color="auto"/>
            </w:tcBorders>
            <w:vAlign w:val="center"/>
          </w:tcPr>
          <w:p w14:paraId="6662BB3E" w14:textId="77777777" w:rsidR="005C7AFB" w:rsidRPr="002E7A77" w:rsidRDefault="005C7AFB" w:rsidP="005C7AFB">
            <w:pPr>
              <w:spacing w:before="0" w:after="0" w:line="259" w:lineRule="auto"/>
              <w:contextualSpacing/>
              <w:jc w:val="center"/>
              <w:rPr>
                <w:sz w:val="20"/>
              </w:rPr>
            </w:pPr>
            <w:r w:rsidRPr="00F34595">
              <w:rPr>
                <w:sz w:val="20"/>
              </w:rPr>
              <w:t>Y</w:t>
            </w:r>
          </w:p>
        </w:tc>
        <w:tc>
          <w:tcPr>
            <w:tcW w:w="992" w:type="dxa"/>
            <w:tcBorders>
              <w:top w:val="single" w:sz="4" w:space="0" w:color="auto"/>
              <w:bottom w:val="single" w:sz="4" w:space="0" w:color="auto"/>
            </w:tcBorders>
            <w:vAlign w:val="center"/>
          </w:tcPr>
          <w:p w14:paraId="74B638AD" w14:textId="77777777" w:rsidR="005C7AFB" w:rsidRPr="00CB5614" w:rsidRDefault="005C7AFB" w:rsidP="005C7AFB">
            <w:pPr>
              <w:spacing w:before="0" w:after="0" w:line="259" w:lineRule="auto"/>
              <w:contextualSpacing/>
              <w:jc w:val="center"/>
              <w:rPr>
                <w:sz w:val="20"/>
              </w:rPr>
            </w:pPr>
          </w:p>
        </w:tc>
        <w:tc>
          <w:tcPr>
            <w:tcW w:w="6303" w:type="dxa"/>
            <w:tcBorders>
              <w:top w:val="single" w:sz="4" w:space="0" w:color="auto"/>
              <w:bottom w:val="single" w:sz="4" w:space="0" w:color="auto"/>
            </w:tcBorders>
          </w:tcPr>
          <w:p w14:paraId="783D3929" w14:textId="4A45CC0C" w:rsidR="005C7AFB" w:rsidRPr="005C7AFB" w:rsidRDefault="005C7AFB" w:rsidP="005C7AFB">
            <w:pPr>
              <w:pStyle w:val="ListParagraph"/>
              <w:numPr>
                <w:ilvl w:val="0"/>
                <w:numId w:val="53"/>
              </w:numPr>
              <w:spacing w:before="0" w:after="0" w:line="259" w:lineRule="auto"/>
              <w:ind w:left="714" w:hanging="357"/>
              <w:jc w:val="left"/>
              <w:rPr>
                <w:sz w:val="20"/>
              </w:rPr>
            </w:pPr>
            <w:r w:rsidRPr="005C7AFB">
              <w:rPr>
                <w:sz w:val="20"/>
              </w:rPr>
              <w:t>Maintain extent and condition of long-lived and understorey floodplain vegetation</w:t>
            </w:r>
          </w:p>
        </w:tc>
      </w:tr>
      <w:tr w:rsidR="00216297" w:rsidRPr="000A0EBE" w14:paraId="588C7C40" w14:textId="5FC6E363" w:rsidTr="00216297">
        <w:tc>
          <w:tcPr>
            <w:tcW w:w="2694" w:type="dxa"/>
            <w:tcBorders>
              <w:top w:val="single" w:sz="4" w:space="0" w:color="auto"/>
              <w:bottom w:val="single" w:sz="4" w:space="0" w:color="auto"/>
            </w:tcBorders>
          </w:tcPr>
          <w:p w14:paraId="2D726772" w14:textId="77777777" w:rsidR="005C7AFB" w:rsidRPr="00645EBF" w:rsidRDefault="005C7AFB" w:rsidP="005C7AFB">
            <w:pPr>
              <w:spacing w:before="0" w:after="0" w:line="259" w:lineRule="auto"/>
              <w:contextualSpacing/>
              <w:jc w:val="left"/>
              <w:rPr>
                <w:sz w:val="20"/>
              </w:rPr>
            </w:pPr>
            <w:r w:rsidRPr="00645EBF">
              <w:rPr>
                <w:sz w:val="20"/>
              </w:rPr>
              <w:t>Spring–early summer pulse</w:t>
            </w:r>
            <w:r>
              <w:rPr>
                <w:sz w:val="20"/>
              </w:rPr>
              <w:t>/freshes</w:t>
            </w:r>
            <w:r w:rsidRPr="00645EBF">
              <w:rPr>
                <w:sz w:val="20"/>
              </w:rPr>
              <w:t xml:space="preserve"> (&gt;15,000 ML/d</w:t>
            </w:r>
            <w:r>
              <w:rPr>
                <w:sz w:val="20"/>
              </w:rPr>
              <w:t>, &gt;20,000 ML/d</w:t>
            </w:r>
            <w:r w:rsidRPr="00645EBF">
              <w:rPr>
                <w:sz w:val="20"/>
              </w:rPr>
              <w:t>)</w:t>
            </w:r>
          </w:p>
        </w:tc>
        <w:tc>
          <w:tcPr>
            <w:tcW w:w="992" w:type="dxa"/>
            <w:tcBorders>
              <w:top w:val="single" w:sz="4" w:space="0" w:color="auto"/>
              <w:bottom w:val="single" w:sz="4" w:space="0" w:color="auto"/>
            </w:tcBorders>
            <w:vAlign w:val="center"/>
          </w:tcPr>
          <w:p w14:paraId="2BB466CB" w14:textId="77777777" w:rsidR="005C7AFB" w:rsidRPr="006560AF" w:rsidRDefault="005C7AFB" w:rsidP="005C7AFB">
            <w:pPr>
              <w:spacing w:before="0" w:after="0" w:line="259" w:lineRule="auto"/>
              <w:contextualSpacing/>
              <w:jc w:val="center"/>
              <w:rPr>
                <w:sz w:val="20"/>
              </w:rPr>
            </w:pPr>
            <w:r w:rsidRPr="006560AF">
              <w:rPr>
                <w:sz w:val="20"/>
              </w:rPr>
              <w:t>Y</w:t>
            </w:r>
          </w:p>
        </w:tc>
        <w:tc>
          <w:tcPr>
            <w:tcW w:w="992" w:type="dxa"/>
            <w:tcBorders>
              <w:top w:val="single" w:sz="4" w:space="0" w:color="auto"/>
              <w:bottom w:val="single" w:sz="4" w:space="0" w:color="auto"/>
            </w:tcBorders>
            <w:vAlign w:val="center"/>
          </w:tcPr>
          <w:p w14:paraId="42D84772" w14:textId="77777777" w:rsidR="005C7AFB" w:rsidRPr="006560AF" w:rsidRDefault="005C7AFB" w:rsidP="005C7AFB">
            <w:pPr>
              <w:spacing w:before="0" w:after="0" w:line="259" w:lineRule="auto"/>
              <w:contextualSpacing/>
              <w:jc w:val="center"/>
              <w:rPr>
                <w:sz w:val="20"/>
              </w:rPr>
            </w:pPr>
            <w:r w:rsidRPr="006560AF">
              <w:rPr>
                <w:sz w:val="20"/>
              </w:rPr>
              <w:t>Y</w:t>
            </w:r>
          </w:p>
        </w:tc>
        <w:tc>
          <w:tcPr>
            <w:tcW w:w="992" w:type="dxa"/>
            <w:tcBorders>
              <w:top w:val="single" w:sz="4" w:space="0" w:color="auto"/>
              <w:bottom w:val="single" w:sz="4" w:space="0" w:color="auto"/>
            </w:tcBorders>
            <w:vAlign w:val="center"/>
          </w:tcPr>
          <w:p w14:paraId="7E39C81D" w14:textId="77777777" w:rsidR="005C7AFB" w:rsidRPr="006560AF" w:rsidRDefault="005C7AFB" w:rsidP="005C7AFB">
            <w:pPr>
              <w:spacing w:before="0" w:after="0" w:line="259" w:lineRule="auto"/>
              <w:contextualSpacing/>
              <w:jc w:val="center"/>
              <w:rPr>
                <w:sz w:val="20"/>
              </w:rPr>
            </w:pPr>
            <w:r w:rsidRPr="006560AF">
              <w:rPr>
                <w:sz w:val="20"/>
              </w:rPr>
              <w:t>Y</w:t>
            </w:r>
          </w:p>
        </w:tc>
        <w:tc>
          <w:tcPr>
            <w:tcW w:w="993" w:type="dxa"/>
            <w:tcBorders>
              <w:top w:val="single" w:sz="4" w:space="0" w:color="auto"/>
              <w:bottom w:val="single" w:sz="4" w:space="0" w:color="auto"/>
            </w:tcBorders>
            <w:vAlign w:val="center"/>
          </w:tcPr>
          <w:p w14:paraId="09BEE95D" w14:textId="77777777" w:rsidR="005C7AFB" w:rsidRPr="006560AF" w:rsidRDefault="005C7AFB" w:rsidP="005C7AFB">
            <w:pPr>
              <w:spacing w:before="0" w:after="0" w:line="259" w:lineRule="auto"/>
              <w:contextualSpacing/>
              <w:jc w:val="center"/>
              <w:rPr>
                <w:sz w:val="20"/>
              </w:rPr>
            </w:pPr>
          </w:p>
        </w:tc>
        <w:tc>
          <w:tcPr>
            <w:tcW w:w="992" w:type="dxa"/>
            <w:tcBorders>
              <w:top w:val="single" w:sz="4" w:space="0" w:color="auto"/>
              <w:bottom w:val="single" w:sz="4" w:space="0" w:color="auto"/>
            </w:tcBorders>
            <w:vAlign w:val="center"/>
          </w:tcPr>
          <w:p w14:paraId="7C0B4CC1" w14:textId="77777777" w:rsidR="005C7AFB" w:rsidRPr="00CB5614" w:rsidRDefault="005C7AFB" w:rsidP="005C7AFB">
            <w:pPr>
              <w:spacing w:before="0" w:after="0" w:line="259" w:lineRule="auto"/>
              <w:contextualSpacing/>
              <w:jc w:val="center"/>
              <w:rPr>
                <w:sz w:val="20"/>
              </w:rPr>
            </w:pPr>
            <w:r w:rsidRPr="00CB5614">
              <w:rPr>
                <w:sz w:val="20"/>
              </w:rPr>
              <w:t>Y</w:t>
            </w:r>
          </w:p>
        </w:tc>
        <w:tc>
          <w:tcPr>
            <w:tcW w:w="6303" w:type="dxa"/>
            <w:tcBorders>
              <w:top w:val="single" w:sz="4" w:space="0" w:color="auto"/>
              <w:bottom w:val="single" w:sz="4" w:space="0" w:color="auto"/>
            </w:tcBorders>
          </w:tcPr>
          <w:p w14:paraId="42C449EB" w14:textId="77777777" w:rsidR="005C7AFB" w:rsidRPr="00BF64A2" w:rsidRDefault="005C7AFB" w:rsidP="005C7AFB">
            <w:pPr>
              <w:pStyle w:val="ListParagraph"/>
              <w:numPr>
                <w:ilvl w:val="0"/>
                <w:numId w:val="25"/>
              </w:numPr>
              <w:spacing w:before="0" w:after="0" w:line="259" w:lineRule="auto"/>
              <w:jc w:val="left"/>
              <w:rPr>
                <w:sz w:val="20"/>
              </w:rPr>
            </w:pPr>
            <w:r w:rsidRPr="00BF64A2">
              <w:rPr>
                <w:sz w:val="20"/>
              </w:rPr>
              <w:t>Coorong water quality</w:t>
            </w:r>
            <w:r w:rsidRPr="00BF64A2">
              <w:rPr>
                <w:sz w:val="20"/>
                <w:vertAlign w:val="superscript"/>
              </w:rPr>
              <w:t xml:space="preserve"> a,b</w:t>
            </w:r>
          </w:p>
          <w:p w14:paraId="7F5483D9" w14:textId="77777777" w:rsidR="005C7AFB" w:rsidRPr="00BF64A2" w:rsidRDefault="005C7AFB" w:rsidP="005C7AFB">
            <w:pPr>
              <w:pStyle w:val="ListParagraph"/>
              <w:numPr>
                <w:ilvl w:val="0"/>
                <w:numId w:val="25"/>
              </w:numPr>
              <w:spacing w:before="0" w:after="0" w:line="259" w:lineRule="auto"/>
              <w:jc w:val="left"/>
              <w:rPr>
                <w:sz w:val="20"/>
              </w:rPr>
            </w:pPr>
            <w:r w:rsidRPr="00BF64A2">
              <w:rPr>
                <w:sz w:val="20"/>
              </w:rPr>
              <w:t>Estuarine habitat</w:t>
            </w:r>
            <w:r w:rsidRPr="00BF64A2">
              <w:rPr>
                <w:sz w:val="20"/>
                <w:vertAlign w:val="superscript"/>
              </w:rPr>
              <w:t xml:space="preserve"> a,b</w:t>
            </w:r>
          </w:p>
          <w:p w14:paraId="685326F9" w14:textId="77777777" w:rsidR="005C7AFB" w:rsidRPr="00BF64A2" w:rsidRDefault="005C7AFB" w:rsidP="005C7AFB">
            <w:pPr>
              <w:pStyle w:val="ListParagraph"/>
              <w:numPr>
                <w:ilvl w:val="0"/>
                <w:numId w:val="25"/>
              </w:numPr>
              <w:spacing w:before="0" w:after="0" w:line="259" w:lineRule="auto"/>
              <w:jc w:val="left"/>
              <w:rPr>
                <w:sz w:val="20"/>
              </w:rPr>
            </w:pPr>
            <w:r w:rsidRPr="00BF64A2">
              <w:rPr>
                <w:sz w:val="20"/>
              </w:rPr>
              <w:t>Fish habitat and condition</w:t>
            </w:r>
            <w:r w:rsidRPr="00BF64A2">
              <w:rPr>
                <w:sz w:val="20"/>
                <w:vertAlign w:val="superscript"/>
              </w:rPr>
              <w:t xml:space="preserve"> a,b</w:t>
            </w:r>
          </w:p>
          <w:p w14:paraId="590B0422" w14:textId="77777777" w:rsidR="005C7AFB" w:rsidRPr="00BF64A2" w:rsidRDefault="005C7AFB" w:rsidP="005C7AFB">
            <w:pPr>
              <w:pStyle w:val="ListParagraph"/>
              <w:numPr>
                <w:ilvl w:val="0"/>
                <w:numId w:val="25"/>
              </w:numPr>
              <w:spacing w:before="0" w:after="0" w:line="259" w:lineRule="auto"/>
              <w:jc w:val="left"/>
              <w:rPr>
                <w:sz w:val="20"/>
              </w:rPr>
            </w:pPr>
            <w:r w:rsidRPr="00BF64A2">
              <w:rPr>
                <w:sz w:val="20"/>
              </w:rPr>
              <w:t>Riverine function and productivity</w:t>
            </w:r>
            <w:r w:rsidRPr="00BF64A2">
              <w:rPr>
                <w:sz w:val="20"/>
                <w:vertAlign w:val="superscript"/>
              </w:rPr>
              <w:t xml:space="preserve"> a,b</w:t>
            </w:r>
          </w:p>
          <w:p w14:paraId="16AA78DA" w14:textId="77777777" w:rsidR="005C7AFB" w:rsidRPr="00BF64A2" w:rsidRDefault="005C7AFB" w:rsidP="005C7AFB">
            <w:pPr>
              <w:pStyle w:val="ListParagraph"/>
              <w:numPr>
                <w:ilvl w:val="0"/>
                <w:numId w:val="25"/>
              </w:numPr>
              <w:spacing w:before="0" w:after="0" w:line="259" w:lineRule="auto"/>
              <w:jc w:val="left"/>
              <w:rPr>
                <w:sz w:val="20"/>
              </w:rPr>
            </w:pPr>
            <w:r w:rsidRPr="00BF64A2">
              <w:rPr>
                <w:sz w:val="20"/>
              </w:rPr>
              <w:t>Lamprey and congolli migration</w:t>
            </w:r>
            <w:r w:rsidRPr="00BF64A2">
              <w:rPr>
                <w:sz w:val="20"/>
                <w:vertAlign w:val="superscript"/>
              </w:rPr>
              <w:t xml:space="preserve"> a,b</w:t>
            </w:r>
          </w:p>
          <w:p w14:paraId="24EAF746" w14:textId="77777777" w:rsidR="005C7AFB" w:rsidRPr="00BF64A2" w:rsidRDefault="005C7AFB" w:rsidP="005C7AFB">
            <w:pPr>
              <w:pStyle w:val="ListParagraph"/>
              <w:numPr>
                <w:ilvl w:val="0"/>
                <w:numId w:val="25"/>
              </w:numPr>
              <w:spacing w:before="0" w:after="0" w:line="259" w:lineRule="auto"/>
              <w:jc w:val="left"/>
              <w:rPr>
                <w:sz w:val="20"/>
              </w:rPr>
            </w:pPr>
            <w:r w:rsidRPr="00BF64A2">
              <w:rPr>
                <w:sz w:val="20"/>
              </w:rPr>
              <w:t>Lower lakes fish recruitment</w:t>
            </w:r>
            <w:r w:rsidRPr="00BF64A2">
              <w:rPr>
                <w:sz w:val="20"/>
                <w:vertAlign w:val="superscript"/>
              </w:rPr>
              <w:t xml:space="preserve"> a,b</w:t>
            </w:r>
          </w:p>
          <w:p w14:paraId="1FEEB816" w14:textId="77777777" w:rsidR="005C7AFB" w:rsidRPr="005C7AFB" w:rsidRDefault="005C7AFB" w:rsidP="005C7AFB">
            <w:pPr>
              <w:pStyle w:val="ListParagraph"/>
              <w:numPr>
                <w:ilvl w:val="0"/>
                <w:numId w:val="25"/>
              </w:numPr>
              <w:spacing w:before="0" w:after="0" w:line="259" w:lineRule="auto"/>
              <w:jc w:val="left"/>
              <w:rPr>
                <w:sz w:val="20"/>
              </w:rPr>
            </w:pPr>
            <w:r w:rsidRPr="00BF64A2">
              <w:rPr>
                <w:sz w:val="20"/>
              </w:rPr>
              <w:t>Support spawning and recruitment of flow-cued spawning fish species (golden and silver perch)</w:t>
            </w:r>
            <w:r w:rsidRPr="00BF64A2">
              <w:rPr>
                <w:sz w:val="20"/>
                <w:vertAlign w:val="superscript"/>
              </w:rPr>
              <w:t xml:space="preserve"> c</w:t>
            </w:r>
          </w:p>
          <w:p w14:paraId="6C0E32CA" w14:textId="605E6251" w:rsidR="005C7AFB" w:rsidRPr="005C7AFB" w:rsidRDefault="005C7AFB" w:rsidP="005C7AFB">
            <w:pPr>
              <w:pStyle w:val="ListParagraph"/>
              <w:numPr>
                <w:ilvl w:val="0"/>
                <w:numId w:val="25"/>
              </w:numPr>
              <w:spacing w:before="0" w:after="0" w:line="259" w:lineRule="auto"/>
              <w:jc w:val="left"/>
              <w:rPr>
                <w:sz w:val="20"/>
              </w:rPr>
            </w:pPr>
            <w:r w:rsidRPr="005C7AFB">
              <w:rPr>
                <w:sz w:val="20"/>
              </w:rPr>
              <w:t>Appendix A</w:t>
            </w:r>
            <w:r w:rsidRPr="005C7AFB">
              <w:rPr>
                <w:sz w:val="20"/>
                <w:vertAlign w:val="superscript"/>
              </w:rPr>
              <w:t xml:space="preserve"> c</w:t>
            </w:r>
          </w:p>
        </w:tc>
      </w:tr>
    </w:tbl>
    <w:p w14:paraId="40D22F2F" w14:textId="4E1439A6" w:rsidR="00707382" w:rsidRDefault="00707382" w:rsidP="000A0EBE">
      <w:pPr>
        <w:rPr>
          <w:sz w:val="18"/>
        </w:rPr>
      </w:pPr>
    </w:p>
    <w:p w14:paraId="78F4829F" w14:textId="77777777" w:rsidR="00707382" w:rsidRDefault="00707382">
      <w:pPr>
        <w:spacing w:before="0" w:after="160" w:line="259" w:lineRule="auto"/>
        <w:jc w:val="left"/>
        <w:rPr>
          <w:sz w:val="18"/>
        </w:rPr>
      </w:pPr>
      <w:r>
        <w:rPr>
          <w:sz w:val="18"/>
        </w:rPr>
        <w:br w:type="page"/>
      </w:r>
    </w:p>
    <w:tbl>
      <w:tblPr>
        <w:tblW w:w="0" w:type="auto"/>
        <w:tblLook w:val="04A0" w:firstRow="1" w:lastRow="0" w:firstColumn="1" w:lastColumn="0" w:noHBand="0" w:noVBand="1"/>
      </w:tblPr>
      <w:tblGrid>
        <w:gridCol w:w="2694"/>
        <w:gridCol w:w="992"/>
        <w:gridCol w:w="992"/>
        <w:gridCol w:w="992"/>
        <w:gridCol w:w="993"/>
        <w:gridCol w:w="992"/>
        <w:gridCol w:w="6303"/>
      </w:tblGrid>
      <w:tr w:rsidR="00707382" w:rsidRPr="000A0EBE" w14:paraId="7CDA2EBE" w14:textId="77777777" w:rsidTr="00951A02">
        <w:trPr>
          <w:tblHeader/>
        </w:trPr>
        <w:tc>
          <w:tcPr>
            <w:tcW w:w="2694" w:type="dxa"/>
            <w:vMerge w:val="restart"/>
            <w:tcBorders>
              <w:top w:val="single" w:sz="4" w:space="0" w:color="auto"/>
              <w:bottom w:val="single" w:sz="4" w:space="0" w:color="auto"/>
            </w:tcBorders>
            <w:vAlign w:val="center"/>
          </w:tcPr>
          <w:p w14:paraId="76271EA5" w14:textId="77777777" w:rsidR="00707382" w:rsidRPr="001214E8" w:rsidRDefault="00707382" w:rsidP="00951A02">
            <w:pPr>
              <w:spacing w:before="0" w:after="0" w:line="259" w:lineRule="auto"/>
              <w:contextualSpacing/>
              <w:jc w:val="left"/>
              <w:rPr>
                <w:sz w:val="20"/>
              </w:rPr>
            </w:pPr>
            <w:r w:rsidRPr="001214E8">
              <w:rPr>
                <w:sz w:val="20"/>
              </w:rPr>
              <w:lastRenderedPageBreak/>
              <w:t>Flow event</w:t>
            </w:r>
          </w:p>
        </w:tc>
        <w:tc>
          <w:tcPr>
            <w:tcW w:w="4961" w:type="dxa"/>
            <w:gridSpan w:val="5"/>
            <w:tcBorders>
              <w:top w:val="single" w:sz="4" w:space="0" w:color="auto"/>
            </w:tcBorders>
            <w:vAlign w:val="center"/>
          </w:tcPr>
          <w:p w14:paraId="55CF93EE" w14:textId="77777777" w:rsidR="00707382" w:rsidRPr="00D54CC3" w:rsidRDefault="00707382" w:rsidP="00951A02">
            <w:pPr>
              <w:spacing w:before="0" w:after="0" w:line="259" w:lineRule="auto"/>
              <w:contextualSpacing/>
              <w:jc w:val="center"/>
              <w:rPr>
                <w:sz w:val="20"/>
              </w:rPr>
            </w:pPr>
            <w:r w:rsidRPr="00D54CC3">
              <w:rPr>
                <w:sz w:val="20"/>
              </w:rPr>
              <w:t>Flow event delivered</w:t>
            </w:r>
          </w:p>
        </w:tc>
        <w:tc>
          <w:tcPr>
            <w:tcW w:w="6303" w:type="dxa"/>
            <w:vMerge w:val="restart"/>
            <w:tcBorders>
              <w:top w:val="single" w:sz="4" w:space="0" w:color="auto"/>
            </w:tcBorders>
          </w:tcPr>
          <w:p w14:paraId="176AF232" w14:textId="77777777" w:rsidR="00707382" w:rsidRPr="00D54CC3" w:rsidRDefault="00707382" w:rsidP="00951A02">
            <w:pPr>
              <w:spacing w:before="0" w:after="0" w:line="259" w:lineRule="auto"/>
              <w:contextualSpacing/>
              <w:jc w:val="left"/>
              <w:rPr>
                <w:sz w:val="20"/>
              </w:rPr>
            </w:pPr>
            <w:r w:rsidRPr="001214E8">
              <w:rPr>
                <w:sz w:val="20"/>
              </w:rPr>
              <w:t>Expected outcomes</w:t>
            </w:r>
          </w:p>
        </w:tc>
      </w:tr>
      <w:tr w:rsidR="00707382" w:rsidRPr="000A0EBE" w14:paraId="23BCE743" w14:textId="77777777" w:rsidTr="00951A02">
        <w:trPr>
          <w:tblHeader/>
        </w:trPr>
        <w:tc>
          <w:tcPr>
            <w:tcW w:w="2694" w:type="dxa"/>
            <w:vMerge/>
            <w:tcBorders>
              <w:bottom w:val="single" w:sz="4" w:space="0" w:color="auto"/>
            </w:tcBorders>
          </w:tcPr>
          <w:p w14:paraId="59403345" w14:textId="77777777" w:rsidR="00707382" w:rsidRPr="000A0EBE" w:rsidRDefault="00707382" w:rsidP="00951A02">
            <w:pPr>
              <w:spacing w:before="0" w:after="0" w:line="259" w:lineRule="auto"/>
              <w:contextualSpacing/>
              <w:jc w:val="left"/>
              <w:rPr>
                <w:sz w:val="20"/>
                <w:highlight w:val="yellow"/>
              </w:rPr>
            </w:pPr>
          </w:p>
        </w:tc>
        <w:tc>
          <w:tcPr>
            <w:tcW w:w="992" w:type="dxa"/>
            <w:tcBorders>
              <w:bottom w:val="single" w:sz="4" w:space="0" w:color="auto"/>
            </w:tcBorders>
            <w:vAlign w:val="center"/>
          </w:tcPr>
          <w:p w14:paraId="0EFBCED6" w14:textId="77777777" w:rsidR="00707382" w:rsidRPr="00D54CC3" w:rsidRDefault="00707382" w:rsidP="00951A02">
            <w:pPr>
              <w:spacing w:before="0" w:after="0" w:line="259" w:lineRule="auto"/>
              <w:contextualSpacing/>
              <w:jc w:val="center"/>
              <w:rPr>
                <w:sz w:val="20"/>
              </w:rPr>
            </w:pPr>
            <w:r w:rsidRPr="00D54CC3">
              <w:rPr>
                <w:sz w:val="20"/>
              </w:rPr>
              <w:t>2019-20</w:t>
            </w:r>
          </w:p>
        </w:tc>
        <w:tc>
          <w:tcPr>
            <w:tcW w:w="992" w:type="dxa"/>
            <w:tcBorders>
              <w:bottom w:val="single" w:sz="4" w:space="0" w:color="auto"/>
            </w:tcBorders>
            <w:vAlign w:val="center"/>
          </w:tcPr>
          <w:p w14:paraId="6D3AA960" w14:textId="77777777" w:rsidR="00707382" w:rsidRPr="00D54CC3" w:rsidRDefault="00707382" w:rsidP="00951A02">
            <w:pPr>
              <w:spacing w:before="0" w:after="0" w:line="259" w:lineRule="auto"/>
              <w:contextualSpacing/>
              <w:jc w:val="center"/>
              <w:rPr>
                <w:sz w:val="20"/>
              </w:rPr>
            </w:pPr>
            <w:r w:rsidRPr="00D54CC3">
              <w:rPr>
                <w:sz w:val="20"/>
              </w:rPr>
              <w:t>2020-21</w:t>
            </w:r>
          </w:p>
        </w:tc>
        <w:tc>
          <w:tcPr>
            <w:tcW w:w="992" w:type="dxa"/>
            <w:tcBorders>
              <w:bottom w:val="single" w:sz="4" w:space="0" w:color="auto"/>
            </w:tcBorders>
            <w:vAlign w:val="center"/>
          </w:tcPr>
          <w:p w14:paraId="7E80CC92" w14:textId="77777777" w:rsidR="00707382" w:rsidRPr="00D54CC3" w:rsidRDefault="00707382" w:rsidP="00951A02">
            <w:pPr>
              <w:spacing w:before="0" w:after="0" w:line="259" w:lineRule="auto"/>
              <w:contextualSpacing/>
              <w:jc w:val="center"/>
              <w:rPr>
                <w:sz w:val="20"/>
              </w:rPr>
            </w:pPr>
            <w:r w:rsidRPr="00D54CC3">
              <w:rPr>
                <w:sz w:val="20"/>
              </w:rPr>
              <w:t>2021-22</w:t>
            </w:r>
          </w:p>
        </w:tc>
        <w:tc>
          <w:tcPr>
            <w:tcW w:w="993" w:type="dxa"/>
            <w:tcBorders>
              <w:bottom w:val="single" w:sz="4" w:space="0" w:color="auto"/>
            </w:tcBorders>
            <w:vAlign w:val="center"/>
          </w:tcPr>
          <w:p w14:paraId="2E34F141" w14:textId="77777777" w:rsidR="00707382" w:rsidRPr="00D54CC3" w:rsidRDefault="00707382" w:rsidP="00951A02">
            <w:pPr>
              <w:spacing w:before="0" w:after="0" w:line="259" w:lineRule="auto"/>
              <w:contextualSpacing/>
              <w:jc w:val="center"/>
              <w:rPr>
                <w:sz w:val="20"/>
              </w:rPr>
            </w:pPr>
            <w:r w:rsidRPr="00D54CC3">
              <w:rPr>
                <w:sz w:val="20"/>
              </w:rPr>
              <w:t>2022-23</w:t>
            </w:r>
          </w:p>
        </w:tc>
        <w:tc>
          <w:tcPr>
            <w:tcW w:w="992" w:type="dxa"/>
            <w:tcBorders>
              <w:bottom w:val="single" w:sz="4" w:space="0" w:color="auto"/>
            </w:tcBorders>
            <w:vAlign w:val="center"/>
          </w:tcPr>
          <w:p w14:paraId="401819F6" w14:textId="77777777" w:rsidR="00707382" w:rsidRPr="00CB5614" w:rsidRDefault="00707382" w:rsidP="00951A02">
            <w:pPr>
              <w:spacing w:before="0" w:after="0" w:line="259" w:lineRule="auto"/>
              <w:contextualSpacing/>
              <w:jc w:val="center"/>
              <w:rPr>
                <w:sz w:val="20"/>
              </w:rPr>
            </w:pPr>
            <w:r w:rsidRPr="00CB5614">
              <w:rPr>
                <w:sz w:val="20"/>
              </w:rPr>
              <w:t>2023-24</w:t>
            </w:r>
          </w:p>
        </w:tc>
        <w:tc>
          <w:tcPr>
            <w:tcW w:w="6303" w:type="dxa"/>
            <w:vMerge/>
            <w:tcBorders>
              <w:bottom w:val="single" w:sz="4" w:space="0" w:color="auto"/>
            </w:tcBorders>
          </w:tcPr>
          <w:p w14:paraId="77A8D9EA" w14:textId="77777777" w:rsidR="00707382" w:rsidRPr="00CB5614" w:rsidRDefault="00707382" w:rsidP="00951A02">
            <w:pPr>
              <w:spacing w:before="0" w:after="0" w:line="259" w:lineRule="auto"/>
              <w:contextualSpacing/>
              <w:jc w:val="center"/>
              <w:rPr>
                <w:sz w:val="20"/>
              </w:rPr>
            </w:pPr>
          </w:p>
        </w:tc>
      </w:tr>
      <w:tr w:rsidR="00707382" w:rsidRPr="000A0EBE" w14:paraId="131BE1C2" w14:textId="77777777" w:rsidTr="008B4826">
        <w:tc>
          <w:tcPr>
            <w:tcW w:w="2694" w:type="dxa"/>
            <w:tcBorders>
              <w:top w:val="single" w:sz="4" w:space="0" w:color="auto"/>
              <w:bottom w:val="single" w:sz="4" w:space="0" w:color="auto"/>
            </w:tcBorders>
          </w:tcPr>
          <w:p w14:paraId="668877A7" w14:textId="77777777" w:rsidR="00707382" w:rsidRPr="000A0EBE" w:rsidRDefault="00707382" w:rsidP="00951A02">
            <w:pPr>
              <w:spacing w:before="0" w:after="0" w:line="259" w:lineRule="auto"/>
              <w:contextualSpacing/>
              <w:jc w:val="left"/>
              <w:rPr>
                <w:sz w:val="20"/>
                <w:highlight w:val="yellow"/>
              </w:rPr>
            </w:pPr>
            <w:r w:rsidRPr="00DC3AE1">
              <w:rPr>
                <w:sz w:val="20"/>
              </w:rPr>
              <w:t>Summer–autumn direct trade</w:t>
            </w:r>
          </w:p>
        </w:tc>
        <w:tc>
          <w:tcPr>
            <w:tcW w:w="992" w:type="dxa"/>
            <w:tcBorders>
              <w:top w:val="single" w:sz="4" w:space="0" w:color="auto"/>
              <w:bottom w:val="single" w:sz="4" w:space="0" w:color="auto"/>
            </w:tcBorders>
            <w:vAlign w:val="center"/>
          </w:tcPr>
          <w:p w14:paraId="1C6338BB" w14:textId="77777777" w:rsidR="00707382" w:rsidRPr="00B43B39" w:rsidRDefault="00707382" w:rsidP="00951A02">
            <w:pPr>
              <w:spacing w:before="0" w:after="0" w:line="259" w:lineRule="auto"/>
              <w:contextualSpacing/>
              <w:jc w:val="center"/>
              <w:rPr>
                <w:sz w:val="20"/>
              </w:rPr>
            </w:pPr>
            <w:r w:rsidRPr="00B43B39">
              <w:rPr>
                <w:sz w:val="20"/>
              </w:rPr>
              <w:t>Y</w:t>
            </w:r>
          </w:p>
        </w:tc>
        <w:tc>
          <w:tcPr>
            <w:tcW w:w="992" w:type="dxa"/>
            <w:tcBorders>
              <w:top w:val="single" w:sz="4" w:space="0" w:color="auto"/>
              <w:bottom w:val="single" w:sz="4" w:space="0" w:color="auto"/>
            </w:tcBorders>
            <w:vAlign w:val="center"/>
          </w:tcPr>
          <w:p w14:paraId="25842977" w14:textId="77777777" w:rsidR="00707382" w:rsidRPr="00B43B39" w:rsidRDefault="00707382" w:rsidP="00951A02">
            <w:pPr>
              <w:spacing w:before="0" w:after="0" w:line="259" w:lineRule="auto"/>
              <w:contextualSpacing/>
              <w:jc w:val="center"/>
              <w:rPr>
                <w:sz w:val="20"/>
              </w:rPr>
            </w:pPr>
            <w:r w:rsidRPr="00B43B39">
              <w:rPr>
                <w:sz w:val="20"/>
              </w:rPr>
              <w:t>Y</w:t>
            </w:r>
          </w:p>
        </w:tc>
        <w:tc>
          <w:tcPr>
            <w:tcW w:w="992" w:type="dxa"/>
            <w:tcBorders>
              <w:top w:val="single" w:sz="4" w:space="0" w:color="auto"/>
              <w:bottom w:val="single" w:sz="4" w:space="0" w:color="auto"/>
            </w:tcBorders>
            <w:vAlign w:val="center"/>
          </w:tcPr>
          <w:p w14:paraId="5A37714D" w14:textId="77777777" w:rsidR="00707382" w:rsidRPr="000A0EBE" w:rsidRDefault="00707382" w:rsidP="00951A02">
            <w:pPr>
              <w:spacing w:before="0" w:after="0" w:line="259" w:lineRule="auto"/>
              <w:contextualSpacing/>
              <w:jc w:val="center"/>
              <w:rPr>
                <w:sz w:val="20"/>
                <w:highlight w:val="yellow"/>
              </w:rPr>
            </w:pPr>
          </w:p>
        </w:tc>
        <w:tc>
          <w:tcPr>
            <w:tcW w:w="993" w:type="dxa"/>
            <w:tcBorders>
              <w:top w:val="single" w:sz="4" w:space="0" w:color="auto"/>
              <w:bottom w:val="single" w:sz="4" w:space="0" w:color="auto"/>
            </w:tcBorders>
            <w:vAlign w:val="center"/>
          </w:tcPr>
          <w:p w14:paraId="1C028438" w14:textId="77777777" w:rsidR="00707382" w:rsidRPr="000A0EBE" w:rsidRDefault="00707382" w:rsidP="00951A02">
            <w:pPr>
              <w:spacing w:before="0" w:after="0" w:line="259" w:lineRule="auto"/>
              <w:contextualSpacing/>
              <w:jc w:val="center"/>
              <w:rPr>
                <w:sz w:val="20"/>
                <w:highlight w:val="yellow"/>
              </w:rPr>
            </w:pPr>
          </w:p>
        </w:tc>
        <w:tc>
          <w:tcPr>
            <w:tcW w:w="992" w:type="dxa"/>
            <w:tcBorders>
              <w:top w:val="single" w:sz="4" w:space="0" w:color="auto"/>
              <w:bottom w:val="single" w:sz="4" w:space="0" w:color="auto"/>
            </w:tcBorders>
            <w:vAlign w:val="center"/>
          </w:tcPr>
          <w:p w14:paraId="27972BBE" w14:textId="77777777" w:rsidR="00707382" w:rsidRPr="000A0EBE" w:rsidRDefault="00707382" w:rsidP="00951A02">
            <w:pPr>
              <w:spacing w:before="0" w:after="0" w:line="259" w:lineRule="auto"/>
              <w:contextualSpacing/>
              <w:jc w:val="center"/>
              <w:rPr>
                <w:sz w:val="20"/>
                <w:highlight w:val="yellow"/>
              </w:rPr>
            </w:pPr>
            <w:r w:rsidRPr="00DC21BC">
              <w:rPr>
                <w:sz w:val="20"/>
              </w:rPr>
              <w:t>Y</w:t>
            </w:r>
          </w:p>
        </w:tc>
        <w:tc>
          <w:tcPr>
            <w:tcW w:w="6303" w:type="dxa"/>
            <w:tcBorders>
              <w:top w:val="single" w:sz="4" w:space="0" w:color="auto"/>
              <w:bottom w:val="single" w:sz="4" w:space="0" w:color="auto"/>
            </w:tcBorders>
          </w:tcPr>
          <w:p w14:paraId="6D75D1DE" w14:textId="77777777" w:rsidR="00707382" w:rsidRPr="00BF64A2" w:rsidRDefault="00707382" w:rsidP="00951A02">
            <w:pPr>
              <w:pStyle w:val="NoSpacing"/>
              <w:spacing w:line="276" w:lineRule="auto"/>
              <w:contextualSpacing/>
              <w:rPr>
                <w:rFonts w:ascii="Century Gothic" w:hAnsi="Century Gothic"/>
              </w:rPr>
            </w:pPr>
            <w:r w:rsidRPr="00BF64A2">
              <w:rPr>
                <w:rFonts w:ascii="Century Gothic" w:hAnsi="Century Gothic"/>
              </w:rPr>
              <w:t>Base flows in river, fishway flow and connection through barrages December–February:</w:t>
            </w:r>
          </w:p>
          <w:p w14:paraId="5C01142E" w14:textId="77777777" w:rsidR="00707382" w:rsidRPr="00BF64A2" w:rsidRDefault="00707382" w:rsidP="00951A02">
            <w:pPr>
              <w:pStyle w:val="NoSpacing"/>
              <w:numPr>
                <w:ilvl w:val="0"/>
                <w:numId w:val="24"/>
              </w:numPr>
              <w:spacing w:line="276" w:lineRule="auto"/>
              <w:contextualSpacing/>
              <w:rPr>
                <w:rFonts w:ascii="Century Gothic" w:hAnsi="Century Gothic"/>
              </w:rPr>
            </w:pPr>
            <w:r w:rsidRPr="00BF64A2">
              <w:rPr>
                <w:rFonts w:ascii="Century Gothic" w:hAnsi="Century Gothic"/>
                <w:color w:val="000000"/>
                <w:kern w:val="28"/>
                <w:lang w:val="en-AU" w:bidi="ar-SA"/>
              </w:rPr>
              <w:t xml:space="preserve">Protect assets and avoid damage in the river channel, Lower Lakes and Coorong </w:t>
            </w:r>
            <w:r w:rsidRPr="00BF64A2">
              <w:rPr>
                <w:rFonts w:ascii="Century Gothic" w:hAnsi="Century Gothic"/>
                <w:color w:val="000000"/>
                <w:kern w:val="28"/>
                <w:vertAlign w:val="superscript"/>
                <w:lang w:val="en-AU" w:bidi="ar-SA"/>
              </w:rPr>
              <w:t>a,b</w:t>
            </w:r>
          </w:p>
          <w:p w14:paraId="306FFD28" w14:textId="77777777" w:rsidR="00707382" w:rsidRPr="00522CB9" w:rsidRDefault="00707382" w:rsidP="00951A02">
            <w:pPr>
              <w:pStyle w:val="NoSpacing"/>
              <w:spacing w:line="276" w:lineRule="auto"/>
              <w:contextualSpacing/>
              <w:rPr>
                <w:rFonts w:ascii="Century Gothic" w:hAnsi="Century Gothic"/>
                <w:color w:val="000000"/>
                <w:kern w:val="28"/>
                <w:sz w:val="6"/>
                <w:szCs w:val="6"/>
              </w:rPr>
            </w:pPr>
          </w:p>
          <w:p w14:paraId="534FB635" w14:textId="77777777" w:rsidR="00707382" w:rsidRPr="005C7AFB" w:rsidRDefault="00707382" w:rsidP="00951A02">
            <w:pPr>
              <w:pStyle w:val="NoSpacing"/>
              <w:contextualSpacing/>
              <w:rPr>
                <w:rFonts w:ascii="Century Gothic" w:hAnsi="Century Gothic"/>
              </w:rPr>
            </w:pPr>
            <w:r w:rsidRPr="00BF64A2">
              <w:rPr>
                <w:rFonts w:ascii="Century Gothic" w:hAnsi="Century Gothic"/>
              </w:rPr>
              <w:t>Base flows and opportunistic pulses through the barrages March–June:</w:t>
            </w:r>
          </w:p>
          <w:p w14:paraId="340DDE74" w14:textId="77777777" w:rsidR="00707382" w:rsidRPr="005F5191" w:rsidRDefault="00707382" w:rsidP="00951A02">
            <w:pPr>
              <w:pStyle w:val="ListParagraph"/>
              <w:numPr>
                <w:ilvl w:val="0"/>
                <w:numId w:val="54"/>
              </w:numPr>
              <w:spacing w:before="0" w:after="0" w:line="259" w:lineRule="auto"/>
              <w:ind w:left="714" w:hanging="357"/>
              <w:jc w:val="left"/>
              <w:rPr>
                <w:sz w:val="20"/>
              </w:rPr>
            </w:pPr>
            <w:r w:rsidRPr="005F5191">
              <w:rPr>
                <w:sz w:val="20"/>
              </w:rPr>
              <w:t xml:space="preserve">Coorong water quality, estuarine habitat, fish habitat and condition, riverine function and productivity </w:t>
            </w:r>
            <w:r w:rsidRPr="005F5191">
              <w:rPr>
                <w:sz w:val="20"/>
                <w:vertAlign w:val="superscript"/>
              </w:rPr>
              <w:t>a,b,d</w:t>
            </w:r>
          </w:p>
        </w:tc>
      </w:tr>
      <w:tr w:rsidR="00707382" w:rsidRPr="000A0EBE" w14:paraId="256C10E4" w14:textId="77777777" w:rsidTr="008B4826">
        <w:tc>
          <w:tcPr>
            <w:tcW w:w="2694" w:type="dxa"/>
            <w:tcBorders>
              <w:top w:val="single" w:sz="4" w:space="0" w:color="auto"/>
              <w:bottom w:val="single" w:sz="4" w:space="0" w:color="auto"/>
            </w:tcBorders>
          </w:tcPr>
          <w:p w14:paraId="2FB08C3F" w14:textId="77777777" w:rsidR="00707382" w:rsidRPr="000A0EBE" w:rsidRDefault="00707382" w:rsidP="00951A02">
            <w:pPr>
              <w:spacing w:before="0" w:after="0" w:line="259" w:lineRule="auto"/>
              <w:contextualSpacing/>
              <w:jc w:val="left"/>
              <w:rPr>
                <w:sz w:val="20"/>
                <w:highlight w:val="yellow"/>
              </w:rPr>
            </w:pPr>
            <w:r w:rsidRPr="00F34595">
              <w:rPr>
                <w:sz w:val="20"/>
              </w:rPr>
              <w:t>Flood recession flows</w:t>
            </w:r>
          </w:p>
        </w:tc>
        <w:tc>
          <w:tcPr>
            <w:tcW w:w="992" w:type="dxa"/>
            <w:tcBorders>
              <w:top w:val="single" w:sz="4" w:space="0" w:color="auto"/>
              <w:bottom w:val="single" w:sz="4" w:space="0" w:color="auto"/>
            </w:tcBorders>
            <w:vAlign w:val="center"/>
          </w:tcPr>
          <w:p w14:paraId="23010C47" w14:textId="77777777" w:rsidR="00707382" w:rsidRPr="00F34595" w:rsidRDefault="00707382" w:rsidP="00951A02">
            <w:pPr>
              <w:spacing w:before="0" w:after="0" w:line="259" w:lineRule="auto"/>
              <w:contextualSpacing/>
              <w:jc w:val="center"/>
              <w:rPr>
                <w:sz w:val="20"/>
              </w:rPr>
            </w:pPr>
          </w:p>
        </w:tc>
        <w:tc>
          <w:tcPr>
            <w:tcW w:w="992" w:type="dxa"/>
            <w:tcBorders>
              <w:top w:val="single" w:sz="4" w:space="0" w:color="auto"/>
              <w:bottom w:val="single" w:sz="4" w:space="0" w:color="auto"/>
            </w:tcBorders>
            <w:vAlign w:val="center"/>
          </w:tcPr>
          <w:p w14:paraId="7A40CCE4" w14:textId="77777777" w:rsidR="00707382" w:rsidRPr="00F34595" w:rsidRDefault="00707382" w:rsidP="00951A02">
            <w:pPr>
              <w:spacing w:before="0" w:after="0" w:line="259" w:lineRule="auto"/>
              <w:contextualSpacing/>
              <w:jc w:val="center"/>
              <w:rPr>
                <w:sz w:val="20"/>
              </w:rPr>
            </w:pPr>
          </w:p>
        </w:tc>
        <w:tc>
          <w:tcPr>
            <w:tcW w:w="992" w:type="dxa"/>
            <w:tcBorders>
              <w:top w:val="single" w:sz="4" w:space="0" w:color="auto"/>
              <w:bottom w:val="single" w:sz="4" w:space="0" w:color="auto"/>
            </w:tcBorders>
            <w:vAlign w:val="center"/>
          </w:tcPr>
          <w:p w14:paraId="23014383" w14:textId="77777777" w:rsidR="00707382" w:rsidRPr="00F34595" w:rsidRDefault="00707382" w:rsidP="00951A02">
            <w:pPr>
              <w:spacing w:before="0" w:after="0" w:line="259" w:lineRule="auto"/>
              <w:contextualSpacing/>
              <w:jc w:val="center"/>
              <w:rPr>
                <w:sz w:val="20"/>
              </w:rPr>
            </w:pPr>
          </w:p>
        </w:tc>
        <w:tc>
          <w:tcPr>
            <w:tcW w:w="993" w:type="dxa"/>
            <w:tcBorders>
              <w:top w:val="single" w:sz="4" w:space="0" w:color="auto"/>
              <w:bottom w:val="single" w:sz="4" w:space="0" w:color="auto"/>
            </w:tcBorders>
            <w:vAlign w:val="center"/>
          </w:tcPr>
          <w:p w14:paraId="0287B5A9" w14:textId="77777777" w:rsidR="00707382" w:rsidRPr="00F34595" w:rsidRDefault="00707382" w:rsidP="00951A02">
            <w:pPr>
              <w:spacing w:before="0" w:after="0" w:line="259" w:lineRule="auto"/>
              <w:contextualSpacing/>
              <w:jc w:val="center"/>
              <w:rPr>
                <w:sz w:val="20"/>
              </w:rPr>
            </w:pPr>
            <w:r w:rsidRPr="00F34595">
              <w:rPr>
                <w:sz w:val="20"/>
              </w:rPr>
              <w:t>Y</w:t>
            </w:r>
          </w:p>
        </w:tc>
        <w:tc>
          <w:tcPr>
            <w:tcW w:w="992" w:type="dxa"/>
            <w:tcBorders>
              <w:top w:val="single" w:sz="4" w:space="0" w:color="auto"/>
              <w:bottom w:val="single" w:sz="4" w:space="0" w:color="auto"/>
            </w:tcBorders>
            <w:vAlign w:val="center"/>
          </w:tcPr>
          <w:p w14:paraId="2B50C94C" w14:textId="77777777" w:rsidR="00707382" w:rsidRPr="000A0EBE" w:rsidRDefault="00707382" w:rsidP="00951A02">
            <w:pPr>
              <w:spacing w:before="0" w:after="0" w:line="259" w:lineRule="auto"/>
              <w:contextualSpacing/>
              <w:jc w:val="center"/>
              <w:rPr>
                <w:sz w:val="20"/>
                <w:highlight w:val="yellow"/>
              </w:rPr>
            </w:pPr>
          </w:p>
        </w:tc>
        <w:tc>
          <w:tcPr>
            <w:tcW w:w="6303" w:type="dxa"/>
            <w:tcBorders>
              <w:top w:val="single" w:sz="4" w:space="0" w:color="auto"/>
              <w:bottom w:val="single" w:sz="4" w:space="0" w:color="auto"/>
            </w:tcBorders>
          </w:tcPr>
          <w:p w14:paraId="5547253A" w14:textId="77777777" w:rsidR="00707382" w:rsidRPr="005F5191" w:rsidRDefault="00707382" w:rsidP="00951A02">
            <w:pPr>
              <w:pStyle w:val="ListParagraph"/>
              <w:numPr>
                <w:ilvl w:val="0"/>
                <w:numId w:val="54"/>
              </w:numPr>
              <w:spacing w:before="0" w:after="0" w:line="259" w:lineRule="auto"/>
              <w:ind w:left="714" w:hanging="357"/>
              <w:jc w:val="left"/>
              <w:rPr>
                <w:sz w:val="20"/>
              </w:rPr>
            </w:pPr>
            <w:r w:rsidRPr="005F5191">
              <w:rPr>
                <w:sz w:val="20"/>
              </w:rPr>
              <w:t>Maintain extent and condition of long-lived and understorey floodplain vegetation</w:t>
            </w:r>
          </w:p>
        </w:tc>
      </w:tr>
      <w:tr w:rsidR="00707382" w:rsidRPr="000A0EBE" w14:paraId="730795FC" w14:textId="77777777" w:rsidTr="00951A02">
        <w:tc>
          <w:tcPr>
            <w:tcW w:w="2694" w:type="dxa"/>
            <w:tcBorders>
              <w:top w:val="single" w:sz="4" w:space="0" w:color="auto"/>
              <w:bottom w:val="single" w:sz="4" w:space="0" w:color="auto"/>
            </w:tcBorders>
          </w:tcPr>
          <w:p w14:paraId="3DD0C71B" w14:textId="77777777" w:rsidR="00707382" w:rsidRPr="000A0EBE" w:rsidRDefault="00707382" w:rsidP="00951A02">
            <w:pPr>
              <w:spacing w:before="0" w:after="0" w:line="259" w:lineRule="auto"/>
              <w:contextualSpacing/>
              <w:jc w:val="left"/>
              <w:rPr>
                <w:sz w:val="20"/>
                <w:highlight w:val="yellow"/>
              </w:rPr>
            </w:pPr>
            <w:r w:rsidRPr="009421B9">
              <w:rPr>
                <w:sz w:val="20"/>
              </w:rPr>
              <w:t xml:space="preserve">Weir pool (WP) raising and </w:t>
            </w:r>
            <w:r>
              <w:rPr>
                <w:sz w:val="20"/>
              </w:rPr>
              <w:t xml:space="preserve">Katarapko (Kat) and Pike </w:t>
            </w:r>
            <w:r w:rsidRPr="009421B9">
              <w:rPr>
                <w:sz w:val="20"/>
              </w:rPr>
              <w:t>floodplain regulators</w:t>
            </w:r>
          </w:p>
        </w:tc>
        <w:tc>
          <w:tcPr>
            <w:tcW w:w="992" w:type="dxa"/>
            <w:tcBorders>
              <w:top w:val="single" w:sz="4" w:space="0" w:color="auto"/>
              <w:bottom w:val="single" w:sz="4" w:space="0" w:color="auto"/>
            </w:tcBorders>
            <w:vAlign w:val="center"/>
          </w:tcPr>
          <w:p w14:paraId="0D732D34" w14:textId="77777777" w:rsidR="00707382" w:rsidRPr="00CF068E" w:rsidRDefault="00707382" w:rsidP="00951A02">
            <w:pPr>
              <w:spacing w:before="0" w:after="0" w:line="259" w:lineRule="auto"/>
              <w:contextualSpacing/>
              <w:jc w:val="center"/>
              <w:rPr>
                <w:sz w:val="20"/>
              </w:rPr>
            </w:pPr>
            <w:r w:rsidRPr="00CF068E">
              <w:rPr>
                <w:sz w:val="20"/>
              </w:rPr>
              <w:t>Y</w:t>
            </w:r>
          </w:p>
          <w:p w14:paraId="1699E7EE" w14:textId="2D88DEE4" w:rsidR="00707382" w:rsidRPr="00CF068E" w:rsidRDefault="00707382" w:rsidP="00951A02">
            <w:pPr>
              <w:spacing w:before="0" w:after="0" w:line="259" w:lineRule="auto"/>
              <w:contextualSpacing/>
              <w:jc w:val="center"/>
              <w:rPr>
                <w:sz w:val="20"/>
              </w:rPr>
            </w:pPr>
            <w:r w:rsidRPr="00CF068E">
              <w:rPr>
                <w:sz w:val="20"/>
              </w:rPr>
              <w:t>WP2</w:t>
            </w:r>
            <w:r>
              <w:rPr>
                <w:sz w:val="20"/>
              </w:rPr>
              <w:t>,</w:t>
            </w:r>
            <w:r w:rsidRPr="00CF068E">
              <w:rPr>
                <w:sz w:val="20"/>
              </w:rPr>
              <w:t xml:space="preserve"> 6</w:t>
            </w:r>
            <w:r w:rsidRPr="00CF068E">
              <w:rPr>
                <w:sz w:val="20"/>
                <w:vertAlign w:val="superscript"/>
              </w:rPr>
              <w:t>#</w:t>
            </w:r>
          </w:p>
        </w:tc>
        <w:tc>
          <w:tcPr>
            <w:tcW w:w="992" w:type="dxa"/>
            <w:tcBorders>
              <w:top w:val="single" w:sz="4" w:space="0" w:color="auto"/>
              <w:bottom w:val="single" w:sz="4" w:space="0" w:color="auto"/>
            </w:tcBorders>
            <w:vAlign w:val="center"/>
          </w:tcPr>
          <w:p w14:paraId="2963463E" w14:textId="77777777" w:rsidR="00707382" w:rsidRPr="00CF068E" w:rsidRDefault="00707382" w:rsidP="00951A02">
            <w:pPr>
              <w:spacing w:before="0" w:after="0" w:line="259" w:lineRule="auto"/>
              <w:contextualSpacing/>
              <w:jc w:val="center"/>
              <w:rPr>
                <w:sz w:val="20"/>
              </w:rPr>
            </w:pPr>
            <w:r w:rsidRPr="00CF068E">
              <w:rPr>
                <w:sz w:val="20"/>
              </w:rPr>
              <w:t>Y</w:t>
            </w:r>
          </w:p>
          <w:p w14:paraId="608A7583" w14:textId="77777777" w:rsidR="00707382" w:rsidRPr="00CF068E" w:rsidRDefault="00707382" w:rsidP="00951A02">
            <w:pPr>
              <w:spacing w:before="0" w:after="0" w:line="259" w:lineRule="auto"/>
              <w:contextualSpacing/>
              <w:jc w:val="center"/>
              <w:rPr>
                <w:sz w:val="20"/>
              </w:rPr>
            </w:pPr>
            <w:r w:rsidRPr="00CF068E">
              <w:rPr>
                <w:sz w:val="20"/>
              </w:rPr>
              <w:t>WP4</w:t>
            </w:r>
            <w:r>
              <w:rPr>
                <w:sz w:val="20"/>
              </w:rPr>
              <w:t>,</w:t>
            </w:r>
            <w:r w:rsidRPr="00CF068E">
              <w:rPr>
                <w:sz w:val="20"/>
              </w:rPr>
              <w:t xml:space="preserve"> 5</w:t>
            </w:r>
          </w:p>
          <w:p w14:paraId="3ACB1D40" w14:textId="77777777" w:rsidR="00707382" w:rsidRPr="00CF068E" w:rsidRDefault="00707382" w:rsidP="00951A02">
            <w:pPr>
              <w:spacing w:before="0" w:after="0" w:line="259" w:lineRule="auto"/>
              <w:contextualSpacing/>
              <w:jc w:val="center"/>
              <w:rPr>
                <w:sz w:val="20"/>
              </w:rPr>
            </w:pPr>
            <w:r>
              <w:rPr>
                <w:sz w:val="20"/>
              </w:rPr>
              <w:t>Kat,</w:t>
            </w:r>
            <w:r w:rsidRPr="00CF068E">
              <w:rPr>
                <w:sz w:val="20"/>
              </w:rPr>
              <w:t xml:space="preserve"> Pike</w:t>
            </w:r>
          </w:p>
        </w:tc>
        <w:tc>
          <w:tcPr>
            <w:tcW w:w="992" w:type="dxa"/>
            <w:tcBorders>
              <w:top w:val="single" w:sz="4" w:space="0" w:color="auto"/>
              <w:bottom w:val="single" w:sz="4" w:space="0" w:color="auto"/>
            </w:tcBorders>
            <w:vAlign w:val="center"/>
          </w:tcPr>
          <w:p w14:paraId="1D2DE0FE" w14:textId="77777777" w:rsidR="00707382" w:rsidRPr="00CF068E" w:rsidRDefault="00707382" w:rsidP="00951A02">
            <w:pPr>
              <w:spacing w:before="0" w:after="0" w:line="259" w:lineRule="auto"/>
              <w:contextualSpacing/>
              <w:jc w:val="center"/>
              <w:rPr>
                <w:sz w:val="20"/>
              </w:rPr>
            </w:pPr>
            <w:r w:rsidRPr="00CF068E">
              <w:rPr>
                <w:sz w:val="20"/>
              </w:rPr>
              <w:t>Y*</w:t>
            </w:r>
          </w:p>
          <w:p w14:paraId="041D215B" w14:textId="77777777" w:rsidR="00707382" w:rsidRPr="00CF068E" w:rsidRDefault="00707382" w:rsidP="00951A02">
            <w:pPr>
              <w:spacing w:before="0" w:after="0" w:line="259" w:lineRule="auto"/>
              <w:contextualSpacing/>
              <w:jc w:val="center"/>
              <w:rPr>
                <w:sz w:val="20"/>
              </w:rPr>
            </w:pPr>
            <w:r w:rsidRPr="00CF068E">
              <w:rPr>
                <w:sz w:val="20"/>
              </w:rPr>
              <w:t>WP2, 4</w:t>
            </w:r>
            <w:r>
              <w:rPr>
                <w:sz w:val="20"/>
              </w:rPr>
              <w:t>,</w:t>
            </w:r>
            <w:r w:rsidRPr="00CF068E">
              <w:rPr>
                <w:sz w:val="20"/>
              </w:rPr>
              <w:t xml:space="preserve"> 5</w:t>
            </w:r>
          </w:p>
          <w:p w14:paraId="6C95528F" w14:textId="10E1A477" w:rsidR="00707382" w:rsidRPr="00CF068E" w:rsidRDefault="00707382" w:rsidP="00951A02">
            <w:pPr>
              <w:spacing w:before="0" w:after="0" w:line="259" w:lineRule="auto"/>
              <w:contextualSpacing/>
              <w:jc w:val="center"/>
              <w:rPr>
                <w:sz w:val="20"/>
              </w:rPr>
            </w:pPr>
            <w:r w:rsidRPr="00CF068E">
              <w:rPr>
                <w:sz w:val="20"/>
              </w:rPr>
              <w:t>Kat</w:t>
            </w:r>
            <w:r w:rsidR="000C4A9A">
              <w:rPr>
                <w:sz w:val="20"/>
              </w:rPr>
              <w:t>,</w:t>
            </w:r>
            <w:r w:rsidRPr="00CF068E">
              <w:rPr>
                <w:sz w:val="20"/>
              </w:rPr>
              <w:t xml:space="preserve"> Pike</w:t>
            </w:r>
          </w:p>
        </w:tc>
        <w:tc>
          <w:tcPr>
            <w:tcW w:w="993" w:type="dxa"/>
            <w:tcBorders>
              <w:top w:val="single" w:sz="4" w:space="0" w:color="auto"/>
              <w:bottom w:val="single" w:sz="4" w:space="0" w:color="auto"/>
            </w:tcBorders>
            <w:vAlign w:val="center"/>
          </w:tcPr>
          <w:p w14:paraId="378D2220" w14:textId="77777777" w:rsidR="00707382" w:rsidRPr="00CF068E" w:rsidRDefault="00707382" w:rsidP="00951A02">
            <w:pPr>
              <w:spacing w:before="0" w:after="0" w:line="259" w:lineRule="auto"/>
              <w:contextualSpacing/>
              <w:jc w:val="center"/>
              <w:rPr>
                <w:sz w:val="20"/>
              </w:rPr>
            </w:pPr>
            <w:r w:rsidRPr="00CF068E">
              <w:rPr>
                <w:sz w:val="20"/>
              </w:rPr>
              <w:t>Y*</w:t>
            </w:r>
          </w:p>
          <w:p w14:paraId="3C62E7F0" w14:textId="77777777" w:rsidR="00707382" w:rsidRDefault="00707382" w:rsidP="00951A02">
            <w:pPr>
              <w:spacing w:before="0" w:after="0" w:line="259" w:lineRule="auto"/>
              <w:contextualSpacing/>
              <w:jc w:val="center"/>
              <w:rPr>
                <w:sz w:val="20"/>
              </w:rPr>
            </w:pPr>
            <w:r w:rsidRPr="00CF068E">
              <w:rPr>
                <w:sz w:val="20"/>
              </w:rPr>
              <w:t>WP2</w:t>
            </w:r>
            <w:r>
              <w:rPr>
                <w:sz w:val="20"/>
              </w:rPr>
              <w:t>,</w:t>
            </w:r>
            <w:r w:rsidRPr="00CF068E">
              <w:rPr>
                <w:sz w:val="20"/>
              </w:rPr>
              <w:t xml:space="preserve"> 5</w:t>
            </w:r>
          </w:p>
          <w:p w14:paraId="3968B283" w14:textId="77777777" w:rsidR="00707382" w:rsidRPr="00CF068E" w:rsidRDefault="00707382" w:rsidP="00951A02">
            <w:pPr>
              <w:spacing w:before="0" w:after="0" w:line="259" w:lineRule="auto"/>
              <w:contextualSpacing/>
              <w:jc w:val="center"/>
              <w:rPr>
                <w:sz w:val="20"/>
              </w:rPr>
            </w:pPr>
            <w:r w:rsidRPr="00CF068E">
              <w:rPr>
                <w:sz w:val="20"/>
              </w:rPr>
              <w:t>Pike</w:t>
            </w:r>
          </w:p>
        </w:tc>
        <w:tc>
          <w:tcPr>
            <w:tcW w:w="992" w:type="dxa"/>
            <w:tcBorders>
              <w:top w:val="single" w:sz="4" w:space="0" w:color="auto"/>
              <w:bottom w:val="single" w:sz="4" w:space="0" w:color="auto"/>
            </w:tcBorders>
            <w:vAlign w:val="center"/>
          </w:tcPr>
          <w:p w14:paraId="00951AA5" w14:textId="77777777" w:rsidR="00707382" w:rsidRPr="000A0EBE" w:rsidRDefault="00707382" w:rsidP="00951A02">
            <w:pPr>
              <w:spacing w:before="0" w:after="0" w:line="259" w:lineRule="auto"/>
              <w:contextualSpacing/>
              <w:jc w:val="center"/>
              <w:rPr>
                <w:sz w:val="20"/>
                <w:highlight w:val="yellow"/>
              </w:rPr>
            </w:pPr>
            <w:r w:rsidRPr="00BF64A2">
              <w:rPr>
                <w:sz w:val="20"/>
              </w:rPr>
              <w:t>N</w:t>
            </w:r>
          </w:p>
        </w:tc>
        <w:tc>
          <w:tcPr>
            <w:tcW w:w="6303" w:type="dxa"/>
            <w:tcBorders>
              <w:top w:val="single" w:sz="4" w:space="0" w:color="auto"/>
              <w:bottom w:val="single" w:sz="4" w:space="0" w:color="auto"/>
            </w:tcBorders>
          </w:tcPr>
          <w:p w14:paraId="732BD141" w14:textId="77777777" w:rsidR="00707382" w:rsidRPr="005F5191" w:rsidRDefault="00707382" w:rsidP="00951A02">
            <w:pPr>
              <w:spacing w:before="0" w:after="0" w:line="259" w:lineRule="auto"/>
              <w:contextualSpacing/>
              <w:rPr>
                <w:sz w:val="20"/>
              </w:rPr>
            </w:pPr>
            <w:r w:rsidRPr="005F5191">
              <w:rPr>
                <w:sz w:val="20"/>
              </w:rPr>
              <w:t>Refer to Appendix A.</w:t>
            </w:r>
          </w:p>
        </w:tc>
      </w:tr>
    </w:tbl>
    <w:p w14:paraId="1FB1994E" w14:textId="5A6902E4" w:rsidR="000A0EBE" w:rsidRDefault="000A0EBE" w:rsidP="000A0EBE">
      <w:pPr>
        <w:rPr>
          <w:sz w:val="18"/>
        </w:rPr>
      </w:pPr>
      <w:r w:rsidRPr="00CF068E">
        <w:rPr>
          <w:sz w:val="18"/>
        </w:rPr>
        <w:t>*</w:t>
      </w:r>
      <w:r w:rsidR="009C5A54">
        <w:rPr>
          <w:sz w:val="18"/>
        </w:rPr>
        <w:t xml:space="preserve">No </w:t>
      </w:r>
      <w:r w:rsidRPr="00CF068E">
        <w:rPr>
          <w:sz w:val="18"/>
        </w:rPr>
        <w:t>Commonwealth environmental water</w:t>
      </w:r>
      <w:r w:rsidR="009C5A54">
        <w:rPr>
          <w:sz w:val="18"/>
        </w:rPr>
        <w:t xml:space="preserve"> was delivered but it</w:t>
      </w:r>
      <w:r w:rsidRPr="00CF068E">
        <w:rPr>
          <w:sz w:val="18"/>
        </w:rPr>
        <w:t xml:space="preserve"> underwrote the requirement of the weir-pools re-filling, which enabled the river operators to undertake the manipulations (See Appendix B).</w:t>
      </w:r>
    </w:p>
    <w:p w14:paraId="2E9CE105" w14:textId="638CC814" w:rsidR="004013FA" w:rsidRDefault="004013FA" w:rsidP="000A0EBE">
      <w:pPr>
        <w:rPr>
          <w:sz w:val="18"/>
        </w:rPr>
      </w:pPr>
      <w:r w:rsidRPr="004013FA">
        <w:rPr>
          <w:sz w:val="18"/>
          <w:vertAlign w:val="superscript"/>
        </w:rPr>
        <w:t>#</w:t>
      </w:r>
      <w:r w:rsidRPr="004013FA">
        <w:rPr>
          <w:vertAlign w:val="superscript"/>
        </w:rPr>
        <w:t xml:space="preserve"> </w:t>
      </w:r>
      <w:r w:rsidR="00CF068E">
        <w:rPr>
          <w:sz w:val="18"/>
        </w:rPr>
        <w:t>F</w:t>
      </w:r>
      <w:r w:rsidRPr="004013FA">
        <w:rPr>
          <w:sz w:val="18"/>
        </w:rPr>
        <w:t xml:space="preserve">low rates were insufficient to support the </w:t>
      </w:r>
      <w:r w:rsidR="001408D2">
        <w:rPr>
          <w:sz w:val="18"/>
        </w:rPr>
        <w:t>Weir Pool 6</w:t>
      </w:r>
      <w:r w:rsidR="001408D2" w:rsidRPr="004013FA">
        <w:rPr>
          <w:sz w:val="18"/>
        </w:rPr>
        <w:t xml:space="preserve"> </w:t>
      </w:r>
      <w:r w:rsidRPr="004013FA">
        <w:rPr>
          <w:sz w:val="18"/>
        </w:rPr>
        <w:t>action</w:t>
      </w:r>
      <w:r w:rsidR="00CF068E">
        <w:rPr>
          <w:sz w:val="18"/>
        </w:rPr>
        <w:t xml:space="preserve"> </w:t>
      </w:r>
      <w:r w:rsidRPr="004013FA">
        <w:rPr>
          <w:sz w:val="18"/>
        </w:rPr>
        <w:t>and the pool was returned to normal level by 18 August</w:t>
      </w:r>
      <w:r w:rsidR="001408D2">
        <w:rPr>
          <w:sz w:val="18"/>
        </w:rPr>
        <w:t xml:space="preserve"> 2020</w:t>
      </w:r>
      <w:r w:rsidRPr="004013FA">
        <w:rPr>
          <w:sz w:val="18"/>
        </w:rPr>
        <w:t>.</w:t>
      </w:r>
    </w:p>
    <w:p w14:paraId="3CCF6CFE" w14:textId="476257A1" w:rsidR="00BF64A2" w:rsidRPr="00F72A80" w:rsidRDefault="00BF64A2" w:rsidP="000A0EBE">
      <w:pPr>
        <w:rPr>
          <w:sz w:val="18"/>
        </w:rPr>
      </w:pPr>
      <w:r>
        <w:rPr>
          <w:sz w:val="18"/>
        </w:rPr>
        <w:t>Minor lowering of weir pools occurred in 2020-21, 2021-22 and 2023-24 (Appendix B).</w:t>
      </w:r>
    </w:p>
    <w:p w14:paraId="519CDA80" w14:textId="1993E534" w:rsidR="005742AA" w:rsidRDefault="00FE5645" w:rsidP="005742AA">
      <w:pPr>
        <w:jc w:val="center"/>
      </w:pPr>
      <w:r>
        <w:rPr>
          <w:noProof/>
        </w:rPr>
        <w:lastRenderedPageBreak/>
        <w:drawing>
          <wp:inline distT="0" distB="0" distL="0" distR="0" wp14:anchorId="48EBB62F" wp14:editId="64575EE6">
            <wp:extent cx="8721306" cy="4137591"/>
            <wp:effectExtent l="0" t="0" r="3810" b="0"/>
            <wp:docPr id="375790580" name="Picture 3" descr="Graph showing flow to South Australia from 1 July 2019 to 30 June 2024 showing the source of all environmental and consumptive 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90580" name="Picture 3" descr="Graph showing flow to South Australia from 1 July 2019 to 30 June 2024 showing the source of all environmental and consumptive water.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8729216" cy="4141344"/>
                    </a:xfrm>
                    <a:prstGeom prst="rect">
                      <a:avLst/>
                    </a:prstGeom>
                  </pic:spPr>
                </pic:pic>
              </a:graphicData>
            </a:graphic>
          </wp:inline>
        </w:drawing>
      </w:r>
    </w:p>
    <w:p w14:paraId="09773F23" w14:textId="3D362BAC" w:rsidR="005742AA" w:rsidRDefault="005742AA" w:rsidP="00605FB2">
      <w:pPr>
        <w:pStyle w:val="Captions"/>
      </w:pPr>
      <w:bookmarkStart w:id="83" w:name="_Ref174373793"/>
      <w:bookmarkStart w:id="84" w:name="_Toc200464457"/>
      <w:r w:rsidRPr="00F23935">
        <w:t xml:space="preserve">Figure </w:t>
      </w:r>
      <w:r w:rsidR="00967BB2">
        <w:fldChar w:fldCharType="begin"/>
      </w:r>
      <w:r w:rsidR="00967BB2">
        <w:instrText xml:space="preserve"> SEQ Figure \* ARABIC </w:instrText>
      </w:r>
      <w:r w:rsidR="00967BB2">
        <w:fldChar w:fldCharType="separate"/>
      </w:r>
      <w:r w:rsidR="00102828">
        <w:rPr>
          <w:noProof/>
        </w:rPr>
        <w:t>6</w:t>
      </w:r>
      <w:r w:rsidR="00967BB2">
        <w:rPr>
          <w:noProof/>
        </w:rPr>
        <w:fldChar w:fldCharType="end"/>
      </w:r>
      <w:bookmarkEnd w:id="83"/>
      <w:r w:rsidRPr="00F23935">
        <w:rPr>
          <w:noProof/>
        </w:rPr>
        <w:t>.</w:t>
      </w:r>
      <w:r w:rsidRPr="00F23935">
        <w:t xml:space="preserve"> </w:t>
      </w:r>
      <w:r>
        <w:t>Flow to South Australia</w:t>
      </w:r>
      <w:r w:rsidRPr="008B5883">
        <w:t xml:space="preserve"> </w:t>
      </w:r>
      <w:r w:rsidRPr="00CC6A57">
        <w:t xml:space="preserve">from </w:t>
      </w:r>
      <w:r>
        <w:t xml:space="preserve">1 </w:t>
      </w:r>
      <w:r w:rsidRPr="00CC6A57">
        <w:t>July 20</w:t>
      </w:r>
      <w:r w:rsidR="00094273">
        <w:t>1</w:t>
      </w:r>
      <w:r w:rsidR="004B44B8">
        <w:t>9</w:t>
      </w:r>
      <w:r w:rsidRPr="00CC6A57">
        <w:t xml:space="preserve"> to </w:t>
      </w:r>
      <w:r>
        <w:t xml:space="preserve">30 </w:t>
      </w:r>
      <w:r w:rsidRPr="00CC6A57">
        <w:t>Ju</w:t>
      </w:r>
      <w:r>
        <w:t>ne</w:t>
      </w:r>
      <w:r w:rsidRPr="00CC6A57">
        <w:t xml:space="preserve"> 202</w:t>
      </w:r>
      <w:r w:rsidR="00094273">
        <w:t>4</w:t>
      </w:r>
      <w:r w:rsidRPr="00CC6A57">
        <w:t xml:space="preserve"> showing</w:t>
      </w:r>
      <w:r>
        <w:t xml:space="preserve"> the</w:t>
      </w:r>
      <w:r w:rsidRPr="008B5883">
        <w:t xml:space="preserve"> </w:t>
      </w:r>
      <w:r>
        <w:t>s</w:t>
      </w:r>
      <w:r w:rsidRPr="00F23935">
        <w:t>ource of all (environmental and consumptive) water (MDBA)</w:t>
      </w:r>
      <w:r w:rsidRPr="008B5883">
        <w:t xml:space="preserve">. </w:t>
      </w:r>
      <w:r w:rsidR="00094273">
        <w:t>Flow</w:t>
      </w:r>
      <w:r w:rsidR="00094273" w:rsidRPr="00094273">
        <w:t xml:space="preserve"> peaked at </w:t>
      </w:r>
      <w:r w:rsidR="004B44B8" w:rsidRPr="004B44B8">
        <w:t xml:space="preserve">187,600 ML/d in December </w:t>
      </w:r>
      <w:r w:rsidR="004B44B8">
        <w:t>2022</w:t>
      </w:r>
      <w:r w:rsidR="00094273" w:rsidRPr="00094273">
        <w:t xml:space="preserve">. </w:t>
      </w:r>
      <w:r>
        <w:t>‘</w:t>
      </w:r>
      <w:r w:rsidRPr="00A95F6D">
        <w:t>Bigmod salinity routines</w:t>
      </w:r>
      <w:r>
        <w:t>’</w:t>
      </w:r>
      <w:r w:rsidRPr="00A95F6D">
        <w:t xml:space="preserve"> </w:t>
      </w:r>
      <w:r>
        <w:t xml:space="preserve">was used </w:t>
      </w:r>
      <w:r w:rsidRPr="00A95F6D">
        <w:t>as a proxy for transport of biological matter, to estimate the proportion of the flow that originated at different upstream tributaries</w:t>
      </w:r>
      <w:r>
        <w:rPr>
          <w:rStyle w:val="FootnoteReference"/>
        </w:rPr>
        <w:footnoteReference w:id="7"/>
      </w:r>
      <w:r w:rsidRPr="00A95F6D">
        <w:t>.</w:t>
      </w:r>
      <w:r w:rsidR="00F02C1D">
        <w:t xml:space="preserve"> </w:t>
      </w:r>
      <w:r w:rsidR="00F02C1D" w:rsidRPr="00CE2307">
        <w:t xml:space="preserve">Refer to Ye </w:t>
      </w:r>
      <w:r w:rsidR="00F02C1D" w:rsidRPr="000D2C3D">
        <w:rPr>
          <w:i/>
          <w:iCs/>
        </w:rPr>
        <w:t>et al.</w:t>
      </w:r>
      <w:r w:rsidR="00F02C1D" w:rsidRPr="00CE2307">
        <w:t xml:space="preserve"> (2020a) </w:t>
      </w:r>
      <w:r w:rsidR="00F02C1D" w:rsidRPr="00F02C1D">
        <w:t xml:space="preserve">for </w:t>
      </w:r>
      <w:r w:rsidR="00F02C1D">
        <w:t>flow source information</w:t>
      </w:r>
      <w:r w:rsidR="00F02C1D" w:rsidRPr="00F02C1D">
        <w:t xml:space="preserve"> </w:t>
      </w:r>
      <w:r w:rsidR="00F02C1D" w:rsidRPr="00CE2307">
        <w:t>from 2014–2019.</w:t>
      </w:r>
      <w:bookmarkEnd w:id="84"/>
    </w:p>
    <w:p w14:paraId="3D3E69B3" w14:textId="77777777" w:rsidR="005742AA" w:rsidRDefault="005742AA" w:rsidP="000A0EBE">
      <w:pPr>
        <w:rPr>
          <w:lang w:val="en-US"/>
        </w:rPr>
        <w:sectPr w:rsidR="005742AA" w:rsidSect="000A0EBE">
          <w:footnotePr>
            <w:numFmt w:val="lowerLetter"/>
          </w:footnotePr>
          <w:pgSz w:w="16838" w:h="11906" w:orient="landscape"/>
          <w:pgMar w:top="1440" w:right="1440" w:bottom="1440" w:left="1440" w:header="709" w:footer="709" w:gutter="0"/>
          <w:cols w:space="708"/>
          <w:docGrid w:linePitch="360"/>
        </w:sectPr>
      </w:pPr>
    </w:p>
    <w:p w14:paraId="33E5CCFB" w14:textId="2D741E1C" w:rsidR="006237D5" w:rsidRDefault="006237D5" w:rsidP="006237D5">
      <w:pPr>
        <w:pStyle w:val="Heading2"/>
        <w:rPr>
          <w:rStyle w:val="CharChar7"/>
          <w:rFonts w:ascii="Century Gothic" w:hAnsi="Century Gothic" w:cstheme="majorBidi"/>
          <w:color w:val="44546A" w:themeColor="text2"/>
          <w:spacing w:val="0"/>
          <w:sz w:val="26"/>
          <w:szCs w:val="26"/>
        </w:rPr>
      </w:pPr>
      <w:bookmarkStart w:id="85" w:name="_Toc3558334"/>
      <w:bookmarkStart w:id="86" w:name="_Toc200467856"/>
      <w:r w:rsidRPr="006237D5">
        <w:rPr>
          <w:rStyle w:val="CharChar7"/>
          <w:rFonts w:ascii="Century Gothic" w:hAnsi="Century Gothic" w:cstheme="majorBidi"/>
          <w:color w:val="44546A" w:themeColor="text2"/>
          <w:spacing w:val="0"/>
          <w:sz w:val="26"/>
          <w:szCs w:val="26"/>
        </w:rPr>
        <w:lastRenderedPageBreak/>
        <w:t xml:space="preserve">Purpose of the </w:t>
      </w:r>
      <w:r w:rsidR="0036587D">
        <w:rPr>
          <w:rStyle w:val="CharChar7"/>
          <w:rFonts w:ascii="Century Gothic" w:hAnsi="Century Gothic" w:cstheme="majorBidi"/>
          <w:color w:val="44546A" w:themeColor="text2"/>
          <w:spacing w:val="0"/>
          <w:sz w:val="26"/>
          <w:szCs w:val="26"/>
        </w:rPr>
        <w:t>CEWH</w:t>
      </w:r>
      <w:r w:rsidRPr="006237D5">
        <w:rPr>
          <w:rStyle w:val="CharChar7"/>
          <w:rFonts w:ascii="Century Gothic" w:hAnsi="Century Gothic" w:cstheme="majorBidi"/>
          <w:color w:val="44546A" w:themeColor="text2"/>
          <w:spacing w:val="0"/>
          <w:sz w:val="26"/>
          <w:szCs w:val="26"/>
        </w:rPr>
        <w:t xml:space="preserve"> </w:t>
      </w:r>
      <w:r w:rsidR="00636414">
        <w:rPr>
          <w:rStyle w:val="CharChar7"/>
          <w:rFonts w:ascii="Century Gothic" w:hAnsi="Century Gothic" w:cstheme="majorBidi"/>
          <w:color w:val="44546A" w:themeColor="text2"/>
          <w:spacing w:val="0"/>
          <w:sz w:val="26"/>
          <w:szCs w:val="26"/>
        </w:rPr>
        <w:t>Flow-</w:t>
      </w:r>
      <w:r w:rsidR="000849C2">
        <w:rPr>
          <w:rStyle w:val="CharChar7"/>
          <w:rFonts w:ascii="Century Gothic" w:hAnsi="Century Gothic" w:cstheme="majorBidi"/>
          <w:color w:val="44546A" w:themeColor="text2"/>
          <w:spacing w:val="0"/>
          <w:sz w:val="26"/>
          <w:szCs w:val="26"/>
        </w:rPr>
        <w:t>MER</w:t>
      </w:r>
      <w:r w:rsidR="000849C2" w:rsidRPr="006237D5">
        <w:rPr>
          <w:rStyle w:val="CharChar7"/>
          <w:rFonts w:ascii="Century Gothic" w:hAnsi="Century Gothic" w:cstheme="majorBidi"/>
          <w:color w:val="44546A" w:themeColor="text2"/>
          <w:spacing w:val="0"/>
          <w:sz w:val="26"/>
          <w:szCs w:val="26"/>
        </w:rPr>
        <w:t xml:space="preserve"> </w:t>
      </w:r>
      <w:r w:rsidRPr="006237D5">
        <w:rPr>
          <w:rStyle w:val="CharChar7"/>
          <w:rFonts w:ascii="Century Gothic" w:hAnsi="Century Gothic" w:cstheme="majorBidi"/>
          <w:color w:val="44546A" w:themeColor="text2"/>
          <w:spacing w:val="0"/>
          <w:sz w:val="26"/>
          <w:szCs w:val="26"/>
        </w:rPr>
        <w:t xml:space="preserve">report for </w:t>
      </w:r>
      <w:r w:rsidR="008E0B53">
        <w:rPr>
          <w:rStyle w:val="CharChar7"/>
          <w:rFonts w:ascii="Century Gothic" w:hAnsi="Century Gothic" w:cstheme="majorBidi"/>
          <w:color w:val="44546A" w:themeColor="text2"/>
          <w:spacing w:val="0"/>
          <w:sz w:val="26"/>
          <w:szCs w:val="26"/>
        </w:rPr>
        <w:t>20</w:t>
      </w:r>
      <w:bookmarkEnd w:id="85"/>
      <w:r w:rsidR="00AB5F99">
        <w:rPr>
          <w:rStyle w:val="CharChar7"/>
          <w:rFonts w:ascii="Century Gothic" w:hAnsi="Century Gothic" w:cstheme="majorBidi"/>
          <w:color w:val="44546A" w:themeColor="text2"/>
          <w:spacing w:val="0"/>
          <w:sz w:val="26"/>
          <w:szCs w:val="26"/>
        </w:rPr>
        <w:t>19–</w:t>
      </w:r>
      <w:r w:rsidR="00236E5B">
        <w:rPr>
          <w:rStyle w:val="CharChar7"/>
          <w:rFonts w:ascii="Century Gothic" w:hAnsi="Century Gothic" w:cstheme="majorBidi"/>
          <w:color w:val="44546A" w:themeColor="text2"/>
          <w:spacing w:val="0"/>
          <w:sz w:val="26"/>
          <w:szCs w:val="26"/>
        </w:rPr>
        <w:t>2</w:t>
      </w:r>
      <w:r w:rsidR="00192E6D">
        <w:rPr>
          <w:rStyle w:val="CharChar7"/>
          <w:rFonts w:ascii="Century Gothic" w:hAnsi="Century Gothic" w:cstheme="majorBidi"/>
          <w:color w:val="44546A" w:themeColor="text2"/>
          <w:spacing w:val="0"/>
          <w:sz w:val="26"/>
          <w:szCs w:val="26"/>
        </w:rPr>
        <w:t>02</w:t>
      </w:r>
      <w:r w:rsidR="00AB5F99">
        <w:rPr>
          <w:rStyle w:val="CharChar7"/>
          <w:rFonts w:ascii="Century Gothic" w:hAnsi="Century Gothic" w:cstheme="majorBidi"/>
          <w:color w:val="44546A" w:themeColor="text2"/>
          <w:spacing w:val="0"/>
          <w:sz w:val="26"/>
          <w:szCs w:val="26"/>
        </w:rPr>
        <w:t>4</w:t>
      </w:r>
      <w:bookmarkEnd w:id="86"/>
    </w:p>
    <w:p w14:paraId="5F2585B2" w14:textId="4E164759" w:rsidR="006237D5" w:rsidRPr="006237D5" w:rsidRDefault="001C6C20" w:rsidP="006237D5">
      <w:r w:rsidRPr="001302ED">
        <w:t xml:space="preserve">This report presents the key findings </w:t>
      </w:r>
      <w:r>
        <w:t xml:space="preserve">from monitoring </w:t>
      </w:r>
      <w:r w:rsidRPr="001302ED">
        <w:t xml:space="preserve">in the </w:t>
      </w:r>
      <w:r>
        <w:t>Lower Murray</w:t>
      </w:r>
      <w:r w:rsidRPr="001302ED" w:rsidDel="00FB2AD0">
        <w:t xml:space="preserve"> </w:t>
      </w:r>
      <w:r w:rsidR="000A0EBE">
        <w:t>over the five years of Flow-MER</w:t>
      </w:r>
      <w:r w:rsidR="006D6DF4" w:rsidRPr="001302ED">
        <w:t>,</w:t>
      </w:r>
      <w:r w:rsidR="006D6DF4">
        <w:t xml:space="preserve"> including 2023-24</w:t>
      </w:r>
      <w:r w:rsidR="00F058A8">
        <w:t>,</w:t>
      </w:r>
      <w:r w:rsidRPr="001302ED">
        <w:t xml:space="preserve"> and answers </w:t>
      </w:r>
      <w:r w:rsidR="0036587D">
        <w:t>CEWH</w:t>
      </w:r>
      <w:r>
        <w:t xml:space="preserve"> evaluation questions about ecological responses to </w:t>
      </w:r>
      <w:r w:rsidRPr="001302ED">
        <w:t xml:space="preserve">Commonwealth environmental water </w:t>
      </w:r>
      <w:r>
        <w:t xml:space="preserve">deliveries </w:t>
      </w:r>
      <w:r w:rsidR="002F32CF">
        <w:t>(Section</w:t>
      </w:r>
      <w:r w:rsidR="001D0A2C">
        <w:t xml:space="preserve">s </w:t>
      </w:r>
      <w:r w:rsidR="00E24BD1">
        <w:fldChar w:fldCharType="begin"/>
      </w:r>
      <w:r w:rsidR="00E24BD1">
        <w:instrText xml:space="preserve"> REF _Ref30588561 \r \h </w:instrText>
      </w:r>
      <w:r w:rsidR="00E24BD1">
        <w:fldChar w:fldCharType="separate"/>
      </w:r>
      <w:r w:rsidR="00102828">
        <w:t>2</w:t>
      </w:r>
      <w:r w:rsidR="00E24BD1">
        <w:fldChar w:fldCharType="end"/>
      </w:r>
      <w:r w:rsidR="004966C2">
        <w:t xml:space="preserve"> and </w:t>
      </w:r>
      <w:r w:rsidR="004966C2">
        <w:fldChar w:fldCharType="begin"/>
      </w:r>
      <w:r w:rsidR="004966C2">
        <w:instrText xml:space="preserve"> REF _Ref95923306 \r \h </w:instrText>
      </w:r>
      <w:r w:rsidR="004966C2">
        <w:fldChar w:fldCharType="separate"/>
      </w:r>
      <w:r w:rsidR="00102828">
        <w:t>3</w:t>
      </w:r>
      <w:r w:rsidR="004966C2">
        <w:fldChar w:fldCharType="end"/>
      </w:r>
      <w:r w:rsidR="001302ED" w:rsidRPr="001302ED">
        <w:t xml:space="preserve">). </w:t>
      </w:r>
      <w:r w:rsidRPr="001302ED">
        <w:t xml:space="preserve">Refer to </w:t>
      </w:r>
      <w:r w:rsidR="00AB5F99">
        <w:t xml:space="preserve">the five-year LTIM report (Ye </w:t>
      </w:r>
      <w:r w:rsidR="00AB5F99" w:rsidRPr="00AB5F99">
        <w:rPr>
          <w:i/>
          <w:iCs/>
        </w:rPr>
        <w:t>et al.</w:t>
      </w:r>
      <w:r w:rsidR="00AB5F99">
        <w:t xml:space="preserve"> 2020a) and </w:t>
      </w:r>
      <w:r w:rsidRPr="001302ED">
        <w:t xml:space="preserve">previous annual </w:t>
      </w:r>
      <w:r>
        <w:t xml:space="preserve">reports </w:t>
      </w:r>
      <w:r w:rsidRPr="001302ED">
        <w:t>(</w:t>
      </w:r>
      <w:bookmarkStart w:id="87" w:name="_Hlk187248629"/>
      <w:r w:rsidRPr="001302ED">
        <w:t xml:space="preserve">Ye </w:t>
      </w:r>
      <w:r w:rsidRPr="00000142">
        <w:rPr>
          <w:i/>
        </w:rPr>
        <w:t>et al.</w:t>
      </w:r>
      <w:r w:rsidRPr="001302ED">
        <w:t xml:space="preserve"> </w:t>
      </w:r>
      <w:r w:rsidR="00236E5B">
        <w:t>2021</w:t>
      </w:r>
      <w:r w:rsidR="00736725">
        <w:t>,</w:t>
      </w:r>
      <w:r w:rsidR="00D81610">
        <w:t xml:space="preserve"> 202</w:t>
      </w:r>
      <w:r w:rsidR="007E6926">
        <w:t>2</w:t>
      </w:r>
      <w:r w:rsidR="00736725">
        <w:t>,</w:t>
      </w:r>
      <w:r w:rsidR="00C50B77">
        <w:t xml:space="preserve"> 2023</w:t>
      </w:r>
      <w:r w:rsidR="00736725">
        <w:t>,</w:t>
      </w:r>
      <w:r w:rsidR="00AB5F99">
        <w:t xml:space="preserve"> 2024</w:t>
      </w:r>
      <w:bookmarkEnd w:id="87"/>
      <w:r w:rsidRPr="001302ED">
        <w:t>)</w:t>
      </w:r>
      <w:r>
        <w:t xml:space="preserve"> </w:t>
      </w:r>
      <w:r w:rsidRPr="001302ED">
        <w:t xml:space="preserve">for </w:t>
      </w:r>
      <w:r>
        <w:t>Lower Murray monitoring findings from 2014-15 to 20</w:t>
      </w:r>
      <w:r w:rsidR="00236E5B">
        <w:t>2</w:t>
      </w:r>
      <w:r w:rsidR="00DA258F">
        <w:t>2</w:t>
      </w:r>
      <w:r w:rsidR="00BE02CA">
        <w:t>-2</w:t>
      </w:r>
      <w:r w:rsidR="00DA258F">
        <w:t>3</w:t>
      </w:r>
      <w:r w:rsidRPr="001302ED">
        <w:t xml:space="preserve">, and </w:t>
      </w:r>
      <w:r>
        <w:t xml:space="preserve">the </w:t>
      </w:r>
      <w:r w:rsidRPr="008E28C3">
        <w:rPr>
          <w:i/>
        </w:rPr>
        <w:t>Monitoring</w:t>
      </w:r>
      <w:r>
        <w:rPr>
          <w:i/>
        </w:rPr>
        <w:t>,</w:t>
      </w:r>
      <w:r w:rsidRPr="008E28C3">
        <w:rPr>
          <w:i/>
        </w:rPr>
        <w:t xml:space="preserve"> Evaluation</w:t>
      </w:r>
      <w:r>
        <w:rPr>
          <w:i/>
        </w:rPr>
        <w:t xml:space="preserve"> and Research</w:t>
      </w:r>
      <w:r w:rsidRPr="008E28C3">
        <w:rPr>
          <w:i/>
        </w:rPr>
        <w:t xml:space="preserve"> Plan for the </w:t>
      </w:r>
      <w:r>
        <w:rPr>
          <w:i/>
        </w:rPr>
        <w:t>Lower Murray</w:t>
      </w:r>
      <w:r w:rsidRPr="009E11E0">
        <w:t xml:space="preserve"> (SARDI </w:t>
      </w:r>
      <w:r w:rsidRPr="009E11E0">
        <w:rPr>
          <w:i/>
        </w:rPr>
        <w:t>et al.</w:t>
      </w:r>
      <w:r w:rsidRPr="009E11E0">
        <w:t xml:space="preserve"> 20</w:t>
      </w:r>
      <w:r w:rsidR="00F17A26">
        <w:t>2</w:t>
      </w:r>
      <w:r w:rsidR="00AB5F99">
        <w:t>4</w:t>
      </w:r>
      <w:r w:rsidRPr="009E11E0">
        <w:t>)</w:t>
      </w:r>
      <w:r>
        <w:t xml:space="preserve"> for </w:t>
      </w:r>
      <w:r w:rsidRPr="001302ED">
        <w:t>a detailed description of methods</w:t>
      </w:r>
      <w:r>
        <w:t xml:space="preserve"> for current activities. Specific </w:t>
      </w:r>
      <w:r w:rsidR="00DB7E07">
        <w:t>m</w:t>
      </w:r>
      <w:r w:rsidR="00FB02A4">
        <w:t xml:space="preserve">anagement </w:t>
      </w:r>
      <w:r w:rsidR="001302ED" w:rsidRPr="001302ED" w:rsidDel="00AD6E69">
        <w:t>recommendations for environmental flow</w:t>
      </w:r>
      <w:r w:rsidR="00FB02A4">
        <w:t>s</w:t>
      </w:r>
      <w:r w:rsidR="001302ED" w:rsidRPr="001302ED" w:rsidDel="00AD6E69">
        <w:t xml:space="preserve"> in the </w:t>
      </w:r>
      <w:r w:rsidR="00B6050B">
        <w:t>Lower Murray</w:t>
      </w:r>
      <w:r w:rsidR="00B6050B" w:rsidRPr="001302ED" w:rsidDel="00AD6E69">
        <w:t xml:space="preserve"> </w:t>
      </w:r>
      <w:r w:rsidR="001302ED" w:rsidRPr="001302ED" w:rsidDel="00AD6E69">
        <w:t xml:space="preserve">are provided in Section </w:t>
      </w:r>
      <w:r w:rsidR="00A11A13">
        <w:fldChar w:fldCharType="begin"/>
      </w:r>
      <w:r w:rsidR="00A11A13">
        <w:instrText xml:space="preserve"> REF _Ref30588561 \r \h </w:instrText>
      </w:r>
      <w:r w:rsidR="00A11A13">
        <w:fldChar w:fldCharType="separate"/>
      </w:r>
      <w:r w:rsidR="00102828">
        <w:t>2</w:t>
      </w:r>
      <w:r w:rsidR="00A11A13">
        <w:fldChar w:fldCharType="end"/>
      </w:r>
      <w:r w:rsidR="00DB7E07">
        <w:t xml:space="preserve">, with general management implications summarised in Section </w:t>
      </w:r>
      <w:r w:rsidR="00A11A13">
        <w:fldChar w:fldCharType="begin"/>
      </w:r>
      <w:r w:rsidR="00A11A13">
        <w:instrText xml:space="preserve"> REF _Ref30588787 \r \h </w:instrText>
      </w:r>
      <w:r w:rsidR="00A11A13">
        <w:fldChar w:fldCharType="separate"/>
      </w:r>
      <w:r w:rsidR="00102828">
        <w:t>4</w:t>
      </w:r>
      <w:r w:rsidR="00A11A13">
        <w:fldChar w:fldCharType="end"/>
      </w:r>
      <w:r w:rsidR="001302ED" w:rsidRPr="001302ED" w:rsidDel="00AD6E69">
        <w:t xml:space="preserve">, based on monitoring and evaluation outcomes, and expert </w:t>
      </w:r>
      <w:r w:rsidR="001302ED" w:rsidRPr="00A4640E" w:rsidDel="00AD6E69">
        <w:t xml:space="preserve">knowledge. </w:t>
      </w:r>
      <w:r w:rsidRPr="001302ED">
        <w:t xml:space="preserve">Monitoring and evaluation of Commonwealth environmental water delivery in the </w:t>
      </w:r>
      <w:r>
        <w:t>Lower Murray</w:t>
      </w:r>
      <w:r w:rsidRPr="001302ED">
        <w:t xml:space="preserve"> </w:t>
      </w:r>
      <w:r w:rsidR="000A0EBE">
        <w:t xml:space="preserve">from 2019-20 to 2023-24 </w:t>
      </w:r>
      <w:r>
        <w:t>focusse</w:t>
      </w:r>
      <w:r w:rsidR="000A0EBE">
        <w:t>d</w:t>
      </w:r>
      <w:r w:rsidRPr="001302ED">
        <w:t xml:space="preserve"> on </w:t>
      </w:r>
      <w:r>
        <w:t xml:space="preserve">the main watering period of </w:t>
      </w:r>
      <w:r w:rsidRPr="001302ED">
        <w:t>spring</w:t>
      </w:r>
      <w:r>
        <w:rPr>
          <w:rFonts w:ascii="Symbol" w:eastAsia="Symbol" w:hAnsi="Symbol" w:cs="Symbol"/>
        </w:rPr>
        <w:t>-</w:t>
      </w:r>
      <w:r w:rsidRPr="001302ED">
        <w:t>summer; therefore, our findings and recommendations on environmental water management are most relevant to this period.</w:t>
      </w:r>
    </w:p>
    <w:p w14:paraId="7B6032A7" w14:textId="1C200078" w:rsidR="006237D5" w:rsidRDefault="006237D5" w:rsidP="008E28C3">
      <w:pPr>
        <w:spacing w:before="0" w:after="160" w:line="259" w:lineRule="auto"/>
        <w:jc w:val="left"/>
      </w:pPr>
      <w:bookmarkStart w:id="88" w:name="_Ref527530312"/>
      <w:bookmarkStart w:id="89" w:name="_Toc3558335"/>
    </w:p>
    <w:p w14:paraId="4B76ADA9" w14:textId="48F50AC3" w:rsidR="006237D5" w:rsidRDefault="006237D5">
      <w:pPr>
        <w:spacing w:before="0" w:after="160" w:line="259" w:lineRule="auto"/>
        <w:jc w:val="left"/>
        <w:rPr>
          <w:rFonts w:eastAsiaTheme="majorEastAsia" w:cstheme="majorBidi"/>
          <w:b/>
          <w:bCs/>
          <w:caps/>
          <w:color w:val="44546A" w:themeColor="text2"/>
          <w:sz w:val="32"/>
          <w:szCs w:val="28"/>
        </w:rPr>
      </w:pPr>
      <w:r>
        <w:br w:type="page"/>
      </w:r>
    </w:p>
    <w:p w14:paraId="1C6FDFB0" w14:textId="091366AB" w:rsidR="006237D5" w:rsidRDefault="006237D5" w:rsidP="006237D5">
      <w:pPr>
        <w:pStyle w:val="Heading1"/>
      </w:pPr>
      <w:bookmarkStart w:id="90" w:name="_Ref15904940"/>
      <w:bookmarkStart w:id="91" w:name="_Ref30588561"/>
      <w:bookmarkStart w:id="92" w:name="_Toc200467857"/>
      <w:bookmarkStart w:id="93" w:name="_Hlk63411890"/>
      <w:r>
        <w:lastRenderedPageBreak/>
        <w:t>Indicators</w:t>
      </w:r>
      <w:bookmarkEnd w:id="88"/>
      <w:bookmarkEnd w:id="89"/>
      <w:bookmarkEnd w:id="90"/>
      <w:bookmarkEnd w:id="91"/>
      <w:bookmarkEnd w:id="92"/>
    </w:p>
    <w:p w14:paraId="0AE52C4C" w14:textId="4B292D25" w:rsidR="006237D5" w:rsidRPr="0071628A" w:rsidRDefault="006237D5" w:rsidP="006237D5">
      <w:pPr>
        <w:pStyle w:val="Heading2"/>
      </w:pPr>
      <w:bookmarkStart w:id="94" w:name="_Toc441838733"/>
      <w:bookmarkStart w:id="95" w:name="_Ref532822730"/>
      <w:bookmarkStart w:id="96" w:name="_Toc3558336"/>
      <w:bookmarkStart w:id="97" w:name="_Ref35872226"/>
      <w:bookmarkStart w:id="98" w:name="_Ref58249886"/>
      <w:bookmarkStart w:id="99" w:name="_Ref58943096"/>
      <w:bookmarkStart w:id="100" w:name="_Ref63942940"/>
      <w:bookmarkStart w:id="101" w:name="_Ref95292214"/>
      <w:bookmarkStart w:id="102" w:name="_Ref117857802"/>
      <w:bookmarkStart w:id="103" w:name="_Ref127874388"/>
      <w:bookmarkStart w:id="104" w:name="_Ref127874563"/>
      <w:bookmarkStart w:id="105" w:name="_Ref127874570"/>
      <w:bookmarkStart w:id="106" w:name="_Ref196897342"/>
      <w:bookmarkStart w:id="107" w:name="_Toc200467858"/>
      <w:bookmarkEnd w:id="93"/>
      <w:r w:rsidRPr="0071628A">
        <w:t>Hydr</w:t>
      </w:r>
      <w:r w:rsidR="00F46757" w:rsidRPr="0071628A">
        <w:t>aulic</w:t>
      </w:r>
      <w:r w:rsidRPr="0071628A">
        <w:t xml:space="preserve"> Regime</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44984B0B" w14:textId="77777777" w:rsidR="00C86C33" w:rsidRPr="00E35C12" w:rsidRDefault="00C86C33" w:rsidP="00C86C33">
      <w:pPr>
        <w:pStyle w:val="Heading3"/>
      </w:pPr>
      <w:bookmarkStart w:id="108" w:name="_Hlk95935708"/>
      <w:bookmarkStart w:id="109" w:name="_Toc524094750"/>
      <w:bookmarkStart w:id="110" w:name="_Ref533001074"/>
      <w:bookmarkStart w:id="111" w:name="_Ref533001120"/>
      <w:bookmarkStart w:id="112" w:name="_Toc3558337"/>
      <w:r w:rsidRPr="00E35C12">
        <w:t>Background</w:t>
      </w:r>
    </w:p>
    <w:p w14:paraId="2183C43B" w14:textId="2D37356B" w:rsidR="00C86C33" w:rsidRDefault="00C86C33" w:rsidP="00C86C33">
      <w:r>
        <w:t xml:space="preserve">The discharge, or </w:t>
      </w:r>
      <w:r w:rsidRPr="00FA7470">
        <w:rPr>
          <w:i/>
        </w:rPr>
        <w:t>hydrology</w:t>
      </w:r>
      <w:r>
        <w:t xml:space="preserve">, in the LMR was determined through routine monitoring. The hydrology expected to have occurred without environmental water components was determined by the MDBA using operational records of environmental water delivered to the </w:t>
      </w:r>
      <w:r w:rsidRPr="00191268">
        <w:t>South Australian</w:t>
      </w:r>
      <w:r>
        <w:t xml:space="preserve"> border, and modelled throughout SA accounting for travel time, losses and differences in diversions and environmental water use for the different scenarios with and without environmental water.</w:t>
      </w:r>
    </w:p>
    <w:p w14:paraId="570BE01A" w14:textId="12EA29C9" w:rsidR="00C86C33" w:rsidRDefault="00C86C33" w:rsidP="00C86C33">
      <w:r w:rsidRPr="00FB729C">
        <w:t xml:space="preserve">The </w:t>
      </w:r>
      <w:r w:rsidRPr="003F5650">
        <w:rPr>
          <w:i/>
        </w:rPr>
        <w:t>hydraulic</w:t>
      </w:r>
      <w:r w:rsidRPr="00FB729C">
        <w:t xml:space="preserve"> characteris</w:t>
      </w:r>
      <w:r>
        <w:t>tics (e.g. depth/water level and flow velocity</w:t>
      </w:r>
      <w:r w:rsidRPr="00FB729C">
        <w:t xml:space="preserve">) of fluvial ecosystems result from the interaction of discharge and physical features (e.g. channel morphology, woody debris, </w:t>
      </w:r>
      <w:r w:rsidRPr="00D278C9">
        <w:t xml:space="preserve">man-made structures, etc.), and have a profound influence on river ecosystem structure and function (Statzner and Higler 1986; Biggs </w:t>
      </w:r>
      <w:r w:rsidRPr="00D278C9">
        <w:rPr>
          <w:i/>
        </w:rPr>
        <w:t>et al.</w:t>
      </w:r>
      <w:r w:rsidRPr="00D278C9">
        <w:t xml:space="preserve"> 2005; Bice</w:t>
      </w:r>
      <w:r w:rsidRPr="00D278C9">
        <w:rPr>
          <w:i/>
        </w:rPr>
        <w:t xml:space="preserve"> et al.</w:t>
      </w:r>
      <w:r w:rsidRPr="00D278C9">
        <w:t xml:space="preserve"> 2017) (also see Section</w:t>
      </w:r>
      <w:r>
        <w:t xml:space="preserve"> </w:t>
      </w:r>
      <w:r>
        <w:fldChar w:fldCharType="begin"/>
      </w:r>
      <w:r>
        <w:instrText xml:space="preserve"> REF _Ref25308922 \r \h </w:instrText>
      </w:r>
      <w:r>
        <w:fldChar w:fldCharType="separate"/>
      </w:r>
      <w:r w:rsidR="00102828">
        <w:t>1.1</w:t>
      </w:r>
      <w:r>
        <w:fldChar w:fldCharType="end"/>
      </w:r>
      <w:r w:rsidRPr="00D278C9">
        <w:t>). It is</w:t>
      </w:r>
      <w:r w:rsidRPr="00FB729C">
        <w:t xml:space="preserve"> these hydraulic characteristics </w:t>
      </w:r>
      <w:r>
        <w:t xml:space="preserve">that biota can sense and respond to, i.e. a change in velocity or water level, rather than a change in discharge. </w:t>
      </w:r>
    </w:p>
    <w:p w14:paraId="7DA12906" w14:textId="77777777" w:rsidR="00C86C33" w:rsidRPr="00FB729C" w:rsidRDefault="00C86C33" w:rsidP="00C86C33">
      <w:r>
        <w:t>The purpose of the ‘</w:t>
      </w:r>
      <w:r w:rsidRPr="00720EF2">
        <w:rPr>
          <w:i/>
          <w:iCs/>
        </w:rPr>
        <w:t>Hydraulic Regime</w:t>
      </w:r>
      <w:r w:rsidRPr="00806734">
        <w:t xml:space="preserve">’ </w:t>
      </w:r>
      <w:r>
        <w:t>indicator was to quantify the changes in hydraulics due to the delivery of environmental water</w:t>
      </w:r>
      <w:r w:rsidRPr="00FA7470">
        <w:t xml:space="preserve"> </w:t>
      </w:r>
      <w:r>
        <w:t>using hydraulic models, to provide a basis to assess or infer ecological changes caused by environmental water.</w:t>
      </w:r>
      <w:r w:rsidRPr="00FB729C">
        <w:t xml:space="preserve"> This approach is particularly important in the </w:t>
      </w:r>
      <w:r>
        <w:t>LMR</w:t>
      </w:r>
      <w:r w:rsidRPr="00FB729C">
        <w:t xml:space="preserve"> where a given discharge may not </w:t>
      </w:r>
      <w:r>
        <w:t>produce the same</w:t>
      </w:r>
      <w:r w:rsidRPr="00FB729C">
        <w:t xml:space="preserve"> hydraulic response, as downstream structures </w:t>
      </w:r>
      <w:r>
        <w:t xml:space="preserve">(weirs) </w:t>
      </w:r>
      <w:r w:rsidRPr="00FB729C">
        <w:t xml:space="preserve">will </w:t>
      </w:r>
      <w:r>
        <w:t xml:space="preserve">also </w:t>
      </w:r>
      <w:r w:rsidRPr="00FB729C">
        <w:t>influence the hydraulics</w:t>
      </w:r>
      <w:r>
        <w:t xml:space="preserve"> occurring.</w:t>
      </w:r>
      <w:r w:rsidRPr="00FB729C">
        <w:t xml:space="preserve"> </w:t>
      </w:r>
    </w:p>
    <w:p w14:paraId="2AAFB461" w14:textId="77777777" w:rsidR="00C86C33" w:rsidRPr="00E35C12" w:rsidRDefault="00C86C33" w:rsidP="00C86C33">
      <w:pPr>
        <w:rPr>
          <w:i/>
          <w:u w:val="single"/>
        </w:rPr>
      </w:pPr>
      <w:r w:rsidRPr="00E35C12">
        <w:rPr>
          <w:i/>
          <w:u w:val="single"/>
        </w:rPr>
        <w:t>Hypothesis</w:t>
      </w:r>
    </w:p>
    <w:p w14:paraId="31A7C7FA" w14:textId="77777777" w:rsidR="00C86C33" w:rsidRPr="00E35C12" w:rsidRDefault="00C86C33" w:rsidP="00C86C33">
      <w:pPr>
        <w:rPr>
          <w:i/>
          <w:u w:val="single"/>
        </w:rPr>
      </w:pPr>
      <w:r w:rsidRPr="007A092B">
        <w:t>Commonwealth environmental water will promote greater extent of lotic</w:t>
      </w:r>
      <w:r>
        <w:t>/flowing water</w:t>
      </w:r>
      <w:r w:rsidRPr="007A092B">
        <w:t xml:space="preserve"> habitat as evidenced by increased water velocities and variability in water levels</w:t>
      </w:r>
      <w:r>
        <w:t>.</w:t>
      </w:r>
    </w:p>
    <w:p w14:paraId="0CAF9A64" w14:textId="77777777" w:rsidR="00C86C33" w:rsidRPr="00E35C12" w:rsidRDefault="00C86C33" w:rsidP="00C86C33">
      <w:pPr>
        <w:pStyle w:val="Heading3"/>
      </w:pPr>
      <w:r w:rsidRPr="00E35C12">
        <w:t>Methods</w:t>
      </w:r>
    </w:p>
    <w:p w14:paraId="47C29644" w14:textId="77777777" w:rsidR="00C86C33" w:rsidRDefault="00C86C33" w:rsidP="00C86C33">
      <w:r>
        <w:t xml:space="preserve">A </w:t>
      </w:r>
      <w:r w:rsidRPr="001F16C5">
        <w:t>steady</w:t>
      </w:r>
      <w:r>
        <w:t>-</w:t>
      </w:r>
      <w:r w:rsidRPr="001F16C5">
        <w:t>state</w:t>
      </w:r>
      <w:r>
        <w:t xml:space="preserve"> modelling</w:t>
      </w:r>
      <w:r w:rsidRPr="001F16C5">
        <w:t xml:space="preserve"> approach </w:t>
      </w:r>
      <w:r>
        <w:t>was</w:t>
      </w:r>
      <w:r w:rsidRPr="001F16C5">
        <w:t xml:space="preserve"> adopted</w:t>
      </w:r>
      <w:r>
        <w:t xml:space="preserve"> as in previous evaluation years</w:t>
      </w:r>
      <w:r w:rsidRPr="001F16C5">
        <w:t xml:space="preserve">, </w:t>
      </w:r>
      <w:r>
        <w:t xml:space="preserve">similar to that </w:t>
      </w:r>
      <w:r w:rsidRPr="00FA7470">
        <w:t xml:space="preserve">used in the </w:t>
      </w:r>
      <w:bookmarkStart w:id="113" w:name="_Hlk526773709"/>
      <w:r w:rsidRPr="00FA7470">
        <w:t xml:space="preserve">Goulburn (Webb </w:t>
      </w:r>
      <w:r w:rsidRPr="00142423">
        <w:rPr>
          <w:i/>
        </w:rPr>
        <w:t>et al.</w:t>
      </w:r>
      <w:r w:rsidRPr="00FA7470">
        <w:t xml:space="preserve"> 2015) and Edward-Wakool </w:t>
      </w:r>
      <w:r>
        <w:t xml:space="preserve">(Watts </w:t>
      </w:r>
      <w:r w:rsidRPr="00142423">
        <w:rPr>
          <w:i/>
        </w:rPr>
        <w:t>et al.</w:t>
      </w:r>
      <w:r>
        <w:t xml:space="preserve"> 2015) S</w:t>
      </w:r>
      <w:r w:rsidRPr="00FA7470">
        <w:t xml:space="preserve">elected </w:t>
      </w:r>
      <w:r>
        <w:t>A</w:t>
      </w:r>
      <w:r w:rsidRPr="00FA7470">
        <w:t>reas</w:t>
      </w:r>
      <w:bookmarkEnd w:id="113"/>
      <w:r w:rsidRPr="00FA7470">
        <w:t xml:space="preserve">. </w:t>
      </w:r>
      <w:r>
        <w:t>The steady state approach is expected to be appropriate up to approximately bankfull flows, as experienced in 2023-24. For each weir pool within the LMR, i.e. Weir Pools 1 to 5, as well as the river between Lock 1 and Wellington, a range of steady state flow scenarios were simulated in the hydraulic models (2,000–100,000 ML/d)</w:t>
      </w:r>
      <w:r w:rsidRPr="002E1C6A">
        <w:t xml:space="preserve"> </w:t>
      </w:r>
      <w:r>
        <w:t xml:space="preserve">with </w:t>
      </w:r>
      <w:r w:rsidRPr="002E1C6A">
        <w:t>a range of weir pool levels</w:t>
      </w:r>
      <w:r>
        <w:t xml:space="preserve">. The models used were the same as those outlined in Ye </w:t>
      </w:r>
      <w:r w:rsidRPr="008A5DED">
        <w:rPr>
          <w:i/>
          <w:iCs/>
        </w:rPr>
        <w:t>et al.</w:t>
      </w:r>
      <w:r>
        <w:t xml:space="preserve"> (2024).</w:t>
      </w:r>
    </w:p>
    <w:p w14:paraId="0F0B816D" w14:textId="77777777" w:rsidR="00C86C33" w:rsidRDefault="00C86C33" w:rsidP="00C86C33">
      <w:r>
        <w:t>A range of hydraulic metrics were computed for each day, including the 10</w:t>
      </w:r>
      <w:r w:rsidRPr="00C9430E">
        <w:rPr>
          <w:vertAlign w:val="superscript"/>
        </w:rPr>
        <w:t>th</w:t>
      </w:r>
      <w:r>
        <w:t>, 50</w:t>
      </w:r>
      <w:r w:rsidRPr="00C9430E">
        <w:rPr>
          <w:vertAlign w:val="superscript"/>
        </w:rPr>
        <w:t>th</w:t>
      </w:r>
      <w:r>
        <w:t xml:space="preserve"> and 90</w:t>
      </w:r>
      <w:r w:rsidRPr="00C9430E">
        <w:rPr>
          <w:vertAlign w:val="superscript"/>
        </w:rPr>
        <w:t>th</w:t>
      </w:r>
      <w:r>
        <w:t xml:space="preserve"> percentile velocities within the weir pool, the proportion of the weir pool exceeding 0.2 and 0.3 metres per second (m/</w:t>
      </w:r>
      <w:r w:rsidRPr="0004527F">
        <w:t>s</w:t>
      </w:r>
      <w:r>
        <w:t>)</w:t>
      </w:r>
      <w:r w:rsidRPr="0004527F">
        <w:t>,</w:t>
      </w:r>
      <w:r>
        <w:rPr>
          <w:vertAlign w:val="superscript"/>
        </w:rPr>
        <w:t xml:space="preserve"> </w:t>
      </w:r>
      <w:r>
        <w:t>and water levels at regular locations along the weir pool.</w:t>
      </w:r>
      <w:r w:rsidRPr="00595F6C">
        <w:t xml:space="preserve"> </w:t>
      </w:r>
      <w:r>
        <w:t>The former water velocity (&gt;0.2 m/s) represents</w:t>
      </w:r>
      <w:r w:rsidRPr="005109EC">
        <w:t xml:space="preserve"> </w:t>
      </w:r>
      <w:r>
        <w:t>favourable velocities that entrai</w:t>
      </w:r>
      <w:r w:rsidRPr="005109EC">
        <w:t>n and transport</w:t>
      </w:r>
      <w:r>
        <w:t xml:space="preserve">/disperse phytoplankton, zooplankton and fish larvae (Gibbs </w:t>
      </w:r>
      <w:r w:rsidRPr="00376FFC">
        <w:rPr>
          <w:i/>
        </w:rPr>
        <w:t>et al.</w:t>
      </w:r>
      <w:r>
        <w:t xml:space="preserve"> 2023) and allow gas exchange at the water surface (Ye </w:t>
      </w:r>
      <w:r w:rsidRPr="00A026C0">
        <w:rPr>
          <w:i/>
          <w:iCs/>
        </w:rPr>
        <w:t xml:space="preserve">et al. </w:t>
      </w:r>
      <w:r>
        <w:t xml:space="preserve">2021), and the latter (&gt;0.3 m/s) </w:t>
      </w:r>
      <w:r>
        <w:lastRenderedPageBreak/>
        <w:t xml:space="preserve">represents flowing water (lotic) conditions for riverine biota (Bice </w:t>
      </w:r>
      <w:r w:rsidRPr="00142423">
        <w:rPr>
          <w:i/>
        </w:rPr>
        <w:t>et al.</w:t>
      </w:r>
      <w:r>
        <w:t xml:space="preserve"> 2017; Gibbs </w:t>
      </w:r>
      <w:r w:rsidRPr="00C67593">
        <w:rPr>
          <w:i/>
          <w:iCs/>
        </w:rPr>
        <w:t>et al.</w:t>
      </w:r>
      <w:r>
        <w:t xml:space="preserve"> 2023</w:t>
      </w:r>
      <w:r w:rsidRPr="0004527F">
        <w:t>)</w:t>
      </w:r>
      <w:r>
        <w:t>.</w:t>
      </w:r>
    </w:p>
    <w:p w14:paraId="4770FA74" w14:textId="77777777" w:rsidR="00C86C33" w:rsidRDefault="00C86C33" w:rsidP="00C86C33">
      <w:r>
        <w:t xml:space="preserve">The </w:t>
      </w:r>
      <w:r w:rsidRPr="007D3560">
        <w:rPr>
          <w:i/>
          <w:iCs/>
        </w:rPr>
        <w:t>Hydraulic Regime</w:t>
      </w:r>
      <w:r>
        <w:t xml:space="preserve"> indicator has focused on in-channel velocity changes due to environmental water. The area used for velocity analysis</w:t>
      </w:r>
      <w:r w:rsidRPr="0004527F">
        <w:t xml:space="preserve"> </w:t>
      </w:r>
      <w:r>
        <w:t xml:space="preserve">for each weir pool comprised the inundated area at flows of 5,000 ML/d and </w:t>
      </w:r>
      <w:r w:rsidRPr="0004527F">
        <w:t>normal</w:t>
      </w:r>
      <w:r>
        <w:t xml:space="preserve"> pool level conditions. As changes to in-channel velocities were the focus of this analysis, this approach of eliminating additional areas inundated was used to avoid the influence of slow, or not, flowing backwaters on the calculated in-channel velocity of interest. </w:t>
      </w:r>
    </w:p>
    <w:p w14:paraId="54451566" w14:textId="77777777" w:rsidR="00C86C33" w:rsidRDefault="00C86C33" w:rsidP="00C86C33">
      <w:pPr>
        <w:rPr>
          <w:i/>
          <w:u w:val="single"/>
        </w:rPr>
      </w:pPr>
      <w:r>
        <w:t>Post-processing correction to the modelled water levels downstream of each lock was undertaken. A linear regression relationship between flow and the difference in modelled and recorded water level was used to correct for any systematic bias introduced by errors in the hydraulic model. Following this correction, the remaining residual error between the modelled and recorded data each day was applied to all scenarios, which represents random error introduced by other factors, such as wind setup. This results in modelled water levels that are the same as the observed water level downstream of each lock for the scenario representing observed conditions (</w:t>
      </w:r>
      <w:r w:rsidRPr="00615E35">
        <w:rPr>
          <w:i/>
        </w:rPr>
        <w:t>All</w:t>
      </w:r>
      <w:r>
        <w:rPr>
          <w:i/>
        </w:rPr>
        <w:t xml:space="preserve"> </w:t>
      </w:r>
      <w:r w:rsidRPr="00615E35">
        <w:rPr>
          <w:i/>
        </w:rPr>
        <w:t>Water</w:t>
      </w:r>
      <w:r>
        <w:t xml:space="preserve">) with consistent corrections applied to the without environmental water scenarios. </w:t>
      </w:r>
    </w:p>
    <w:p w14:paraId="7952BB0D" w14:textId="77777777" w:rsidR="00C86C33" w:rsidRPr="00E35C12" w:rsidRDefault="00C86C33" w:rsidP="00C86C33">
      <w:pPr>
        <w:rPr>
          <w:i/>
          <w:u w:val="single"/>
        </w:rPr>
      </w:pPr>
      <w:r w:rsidRPr="00E35C12">
        <w:rPr>
          <w:i/>
          <w:u w:val="single"/>
        </w:rPr>
        <w:t>Environmental water scenarios</w:t>
      </w:r>
    </w:p>
    <w:p w14:paraId="75DEC91F" w14:textId="299F8AC8" w:rsidR="00C86C33" w:rsidRDefault="00C86C33" w:rsidP="00C86C33">
      <w:r>
        <w:t>With the metrics derived from the hydraulic models, the time series of discharge for each of the environmental water scenarios present</w:t>
      </w:r>
      <w:r w:rsidRPr="00321AF7">
        <w:t>ed in</w:t>
      </w:r>
      <w:r>
        <w:t xml:space="preserve"> Section</w:t>
      </w:r>
      <w:r w:rsidR="003B00D0">
        <w:t xml:space="preserve"> </w:t>
      </w:r>
      <w:r w:rsidR="003B00D0">
        <w:fldChar w:fldCharType="begin"/>
      </w:r>
      <w:r w:rsidR="003B00D0">
        <w:instrText xml:space="preserve"> REF _Ref25159400 \r \h </w:instrText>
      </w:r>
      <w:r w:rsidR="003B00D0">
        <w:fldChar w:fldCharType="separate"/>
      </w:r>
      <w:r w:rsidR="00102828">
        <w:t>1.4</w:t>
      </w:r>
      <w:r w:rsidR="003B00D0">
        <w:fldChar w:fldCharType="end"/>
      </w:r>
      <w:r w:rsidRPr="0036571C">
        <w:t>. and</w:t>
      </w:r>
      <w:r>
        <w:t xml:space="preserve"> the downstream water level each day for each weir pool, time series of hydraulic parameters were interpolated using linear bivariate interpolation (R version 4.4.1 and akima package </w:t>
      </w:r>
      <w:r w:rsidRPr="005E2CFE">
        <w:t>0.6-3.4</w:t>
      </w:r>
      <w:r>
        <w:t>). Five scenarios were considered:</w:t>
      </w:r>
    </w:p>
    <w:p w14:paraId="7ED69D93" w14:textId="77777777" w:rsidR="00C86C33" w:rsidRDefault="00C86C33" w:rsidP="00C86C33">
      <w:pPr>
        <w:pStyle w:val="ListParagraph"/>
        <w:numPr>
          <w:ilvl w:val="0"/>
          <w:numId w:val="18"/>
        </w:numPr>
      </w:pPr>
      <w:r w:rsidRPr="00345201">
        <w:rPr>
          <w:b/>
          <w:bCs/>
          <w:i/>
        </w:rPr>
        <w:t>All Water</w:t>
      </w:r>
      <w:r>
        <w:t>, with all environmental water representing observed conditions,</w:t>
      </w:r>
    </w:p>
    <w:p w14:paraId="0A67FF3A" w14:textId="77777777" w:rsidR="00C86C33" w:rsidRDefault="00C86C33" w:rsidP="00C86C33">
      <w:pPr>
        <w:pStyle w:val="ListParagraph"/>
        <w:numPr>
          <w:ilvl w:val="0"/>
          <w:numId w:val="18"/>
        </w:numPr>
      </w:pPr>
      <w:r w:rsidRPr="00345201">
        <w:rPr>
          <w:b/>
          <w:bCs/>
          <w:i/>
        </w:rPr>
        <w:t>No CEW</w:t>
      </w:r>
      <w:r>
        <w:rPr>
          <w:b/>
          <w:bCs/>
          <w:i/>
        </w:rPr>
        <w:t xml:space="preserve">, </w:t>
      </w:r>
      <w:r>
        <w:t xml:space="preserve">without Commonwealth environmental water, </w:t>
      </w:r>
    </w:p>
    <w:p w14:paraId="52B6FA0F" w14:textId="77777777" w:rsidR="00C86C33" w:rsidRDefault="00C86C33" w:rsidP="00C86C33">
      <w:pPr>
        <w:pStyle w:val="ListParagraph"/>
        <w:numPr>
          <w:ilvl w:val="0"/>
          <w:numId w:val="18"/>
        </w:numPr>
      </w:pPr>
      <w:r w:rsidRPr="00345201">
        <w:rPr>
          <w:b/>
          <w:bCs/>
          <w:i/>
        </w:rPr>
        <w:t>No eWater</w:t>
      </w:r>
      <w:r>
        <w:rPr>
          <w:b/>
          <w:bCs/>
          <w:i/>
        </w:rPr>
        <w:t xml:space="preserve">, </w:t>
      </w:r>
      <w:r>
        <w:t>without any environmental water,</w:t>
      </w:r>
    </w:p>
    <w:p w14:paraId="50A3EECF" w14:textId="77777777" w:rsidR="00C86C33" w:rsidRDefault="00C86C33" w:rsidP="00C86C33">
      <w:pPr>
        <w:pStyle w:val="ListParagraph"/>
        <w:numPr>
          <w:ilvl w:val="0"/>
          <w:numId w:val="18"/>
        </w:numPr>
      </w:pPr>
      <w:r>
        <w:rPr>
          <w:b/>
          <w:bCs/>
          <w:i/>
        </w:rPr>
        <w:t xml:space="preserve">No </w:t>
      </w:r>
      <w:r w:rsidRPr="0074488D">
        <w:rPr>
          <w:b/>
          <w:bCs/>
          <w:i/>
        </w:rPr>
        <w:t>Locks</w:t>
      </w:r>
      <w:r>
        <w:rPr>
          <w:b/>
          <w:bCs/>
          <w:i/>
        </w:rPr>
        <w:t>,</w:t>
      </w:r>
      <w:r>
        <w:rPr>
          <w:bCs/>
          <w:i/>
        </w:rPr>
        <w:t xml:space="preserve"> </w:t>
      </w:r>
      <w:r>
        <w:t xml:space="preserve">the observed discharge as used for the </w:t>
      </w:r>
      <w:r w:rsidRPr="00F06C15">
        <w:rPr>
          <w:i/>
        </w:rPr>
        <w:t>All Water</w:t>
      </w:r>
      <w:r>
        <w:t xml:space="preserve"> scenario, but the influence of the weir and locks across the Murray River removed, to provide an indication of the maximum hydraulic changes that could be expected for the delivered flow regime, and</w:t>
      </w:r>
    </w:p>
    <w:p w14:paraId="3C0D617A" w14:textId="77777777" w:rsidR="00C86C33" w:rsidRDefault="00C86C33" w:rsidP="00C86C33">
      <w:pPr>
        <w:pStyle w:val="ListParagraph"/>
        <w:numPr>
          <w:ilvl w:val="0"/>
          <w:numId w:val="18"/>
        </w:numPr>
      </w:pPr>
      <w:r w:rsidRPr="00345201">
        <w:rPr>
          <w:b/>
          <w:bCs/>
          <w:i/>
          <w:iCs/>
        </w:rPr>
        <w:t>WoD</w:t>
      </w:r>
      <w:r>
        <w:t xml:space="preserve">, or Without Development, a representation of natural conditions, which has the locks/weirs removed as used for the </w:t>
      </w:r>
      <w:r w:rsidRPr="003A7FB2">
        <w:rPr>
          <w:i/>
        </w:rPr>
        <w:t>No Locks</w:t>
      </w:r>
      <w:r>
        <w:t xml:space="preserve"> scenario, but also a modelled flow representing no storage or diversions across the Murray River.</w:t>
      </w:r>
    </w:p>
    <w:p w14:paraId="68615CD6" w14:textId="6A561B52" w:rsidR="00C86C33" w:rsidRPr="006C2004" w:rsidRDefault="00C86C33" w:rsidP="00C86C33">
      <w:r w:rsidRPr="00EE4448">
        <w:t xml:space="preserve">The </w:t>
      </w:r>
      <w:r>
        <w:t>discharge</w:t>
      </w:r>
      <w:r w:rsidRPr="00EE4448">
        <w:t xml:space="preserve"> time series for these scenarios were provided by the MDBA</w:t>
      </w:r>
      <w:r>
        <w:t xml:space="preserve">, and the data </w:t>
      </w:r>
      <w:r w:rsidRPr="00E96277">
        <w:t>account for changes in diversions</w:t>
      </w:r>
      <w:r>
        <w:t xml:space="preserve"> expected</w:t>
      </w:r>
      <w:r w:rsidRPr="00E96277">
        <w:t xml:space="preserve"> within </w:t>
      </w:r>
      <w:r>
        <w:t>S</w:t>
      </w:r>
      <w:r w:rsidR="00031CB0">
        <w:t xml:space="preserve">outh </w:t>
      </w:r>
      <w:r>
        <w:t>A</w:t>
      </w:r>
      <w:r w:rsidR="00031CB0">
        <w:t>ustralia</w:t>
      </w:r>
      <w:r w:rsidRPr="00E96277">
        <w:t xml:space="preserve"> </w:t>
      </w:r>
      <w:r>
        <w:t>by assuming full utilisation of the S</w:t>
      </w:r>
      <w:r w:rsidR="00031CB0">
        <w:t>outh Australian</w:t>
      </w:r>
      <w:r>
        <w:t xml:space="preserve"> held entitlements recovered for the environment in the ‘without environmental water’ scenarios (e.g. </w:t>
      </w:r>
      <w:r w:rsidRPr="0074488D">
        <w:rPr>
          <w:i/>
        </w:rPr>
        <w:t>No CEW</w:t>
      </w:r>
      <w:r>
        <w:t xml:space="preserve"> and </w:t>
      </w:r>
      <w:r w:rsidRPr="0074488D">
        <w:rPr>
          <w:i/>
        </w:rPr>
        <w:t>No eWater</w:t>
      </w:r>
      <w:r>
        <w:t xml:space="preserve">). </w:t>
      </w:r>
      <w:r w:rsidRPr="0074488D">
        <w:rPr>
          <w:i/>
        </w:rPr>
        <w:t xml:space="preserve">WoD </w:t>
      </w:r>
      <w:r w:rsidRPr="00532A8F">
        <w:t>and</w:t>
      </w:r>
      <w:r>
        <w:rPr>
          <w:i/>
        </w:rPr>
        <w:t xml:space="preserve"> No Locks </w:t>
      </w:r>
      <w:r>
        <w:t>results were not simulated downstream of Lock 1, due to limited information on a suitable downstream water level for this scenario.</w:t>
      </w:r>
    </w:p>
    <w:p w14:paraId="7A335D92" w14:textId="77777777" w:rsidR="00C86C33" w:rsidRDefault="00C86C33" w:rsidP="00C86C33">
      <w:pPr>
        <w:rPr>
          <w:rFonts w:eastAsiaTheme="majorEastAsia" w:cstheme="majorBidi"/>
          <w:b/>
          <w:i/>
          <w:color w:val="44546A" w:themeColor="text2"/>
          <w:sz w:val="24"/>
          <w:szCs w:val="24"/>
        </w:rPr>
      </w:pPr>
      <w:r w:rsidRPr="00E96277">
        <w:t xml:space="preserve">The observed water levels </w:t>
      </w:r>
      <w:r>
        <w:t xml:space="preserve">at each lock and at Wellington (station </w:t>
      </w:r>
      <w:r w:rsidRPr="00016BDA">
        <w:t>A4261159</w:t>
      </w:r>
      <w:r>
        <w:t xml:space="preserve">) were used as inputs for the </w:t>
      </w:r>
      <w:r w:rsidRPr="005C0830">
        <w:rPr>
          <w:i/>
        </w:rPr>
        <w:t>All</w:t>
      </w:r>
      <w:r>
        <w:rPr>
          <w:i/>
        </w:rPr>
        <w:t> </w:t>
      </w:r>
      <w:r w:rsidRPr="005C0830">
        <w:rPr>
          <w:i/>
        </w:rPr>
        <w:t>Water</w:t>
      </w:r>
      <w:r>
        <w:t xml:space="preserve"> scenario. In 2023-24, weir pool operations were undertaken using unregulated flows, and as such the observed water levels upstream of each weir were also used for the without environmental water scenarios. As regulated conditions returned in late 2023 water levels in the Lower Lakes started to fall, and the influence of </w:t>
      </w:r>
      <w:r>
        <w:lastRenderedPageBreak/>
        <w:t xml:space="preserve">environmental water on water levels in Lake Alexandrina from late December onwards has been incorporated into the results below Lock 1. </w:t>
      </w:r>
    </w:p>
    <w:p w14:paraId="1F99B675" w14:textId="77777777" w:rsidR="00C86C33" w:rsidRPr="00E35C12" w:rsidRDefault="00C86C33" w:rsidP="00C86C33">
      <w:pPr>
        <w:pStyle w:val="Heading3"/>
      </w:pPr>
      <w:r w:rsidRPr="00E35C12">
        <w:t>Results</w:t>
      </w:r>
    </w:p>
    <w:p w14:paraId="66F96943" w14:textId="2BED19ED" w:rsidR="00C86C33" w:rsidRPr="006C2004" w:rsidRDefault="00C86C33" w:rsidP="00C86C33">
      <w:bookmarkStart w:id="114" w:name="_Toc524094749"/>
      <w:r>
        <w:t>A summary of the Lower Murray Selected Area results can be seen in</w:t>
      </w:r>
      <w:r>
        <w:rPr>
          <w:b/>
          <w:bCs/>
          <w:color w:val="auto"/>
          <w:sz w:val="20"/>
          <w:szCs w:val="18"/>
        </w:rPr>
        <w:t xml:space="preserve"> </w:t>
      </w:r>
      <w:r>
        <w:fldChar w:fldCharType="begin"/>
      </w:r>
      <w:r>
        <w:instrText xml:space="preserve"> REF _Ref185590398 \h </w:instrText>
      </w:r>
      <w:r>
        <w:fldChar w:fldCharType="separate"/>
      </w:r>
      <w:r w:rsidR="00102828" w:rsidRPr="00D338E6">
        <w:t xml:space="preserve">Figure </w:t>
      </w:r>
      <w:r w:rsidR="00102828">
        <w:rPr>
          <w:noProof/>
        </w:rPr>
        <w:t>7</w:t>
      </w:r>
      <w:r>
        <w:fldChar w:fldCharType="end"/>
      </w:r>
      <w:r>
        <w:t xml:space="preserve">. This figure includes the discharge at the </w:t>
      </w:r>
      <w:r w:rsidR="00861429">
        <w:t xml:space="preserve">South Australian </w:t>
      </w:r>
      <w:r>
        <w:t>border for the different scenarios, the resulting area inundated (from Lock 6 to Wellington), and length of the river between Lock 6 and Lock 1</w:t>
      </w:r>
      <w:r w:rsidRPr="006F28A4">
        <w:t xml:space="preserve"> </w:t>
      </w:r>
      <w:r>
        <w:t xml:space="preserve">(total length 335 km) experiencing lotic conditions, based on thresholds of velocity &gt;0.2 m/s and &gt;0.3 m/s. For the velocity metrics, only results above Lock 1 were presented here to compare to the </w:t>
      </w:r>
      <w:r>
        <w:rPr>
          <w:i/>
        </w:rPr>
        <w:t xml:space="preserve">No Locks </w:t>
      </w:r>
      <w:r w:rsidRPr="009A18D7">
        <w:rPr>
          <w:iCs/>
        </w:rPr>
        <w:t>and</w:t>
      </w:r>
      <w:r>
        <w:rPr>
          <w:i/>
        </w:rPr>
        <w:t xml:space="preserve"> WoD </w:t>
      </w:r>
      <w:r>
        <w:t>scenarios.</w:t>
      </w:r>
    </w:p>
    <w:p w14:paraId="0948297A" w14:textId="77777777" w:rsidR="00C86C33" w:rsidRDefault="00C86C33" w:rsidP="00C86C33">
      <w:pPr>
        <w:pStyle w:val="Heading4"/>
        <w:ind w:hanging="360"/>
      </w:pPr>
      <w:r>
        <w:t>V</w:t>
      </w:r>
      <w:r w:rsidRPr="00005E55">
        <w:t>elocity</w:t>
      </w:r>
    </w:p>
    <w:p w14:paraId="306BE3A5" w14:textId="1EDDA12E" w:rsidR="00C86C33" w:rsidRDefault="00C86C33" w:rsidP="00C86C33">
      <w:r>
        <w:t>After two years with high discharge creating periods of extensive lotic conditions in 2021-22 (110 days where over 300 km of river between Lock 1 and Lock 6 experienced a velocity &gt;0.3 m/s) and 2022-23 (220 days), 2023-24 also commenced with practically the whole length of the LMR experiencing lotic conditions (</w:t>
      </w:r>
      <w:r>
        <w:fldChar w:fldCharType="begin"/>
      </w:r>
      <w:r>
        <w:instrText xml:space="preserve"> REF _Ref185590398 \h </w:instrText>
      </w:r>
      <w:r>
        <w:fldChar w:fldCharType="separate"/>
      </w:r>
      <w:r w:rsidR="00102828" w:rsidRPr="00D338E6">
        <w:t xml:space="preserve">Figure </w:t>
      </w:r>
      <w:r w:rsidR="00102828">
        <w:rPr>
          <w:noProof/>
        </w:rPr>
        <w:t>7</w:t>
      </w:r>
      <w:r>
        <w:fldChar w:fldCharType="end"/>
      </w:r>
      <w:r>
        <w:t xml:space="preserve"> and</w:t>
      </w:r>
      <w:r w:rsidR="00CF0150">
        <w:t xml:space="preserve"> </w:t>
      </w:r>
      <w:r w:rsidR="00CF0150">
        <w:fldChar w:fldCharType="begin"/>
      </w:r>
      <w:r w:rsidR="00CF0150">
        <w:instrText xml:space="preserve"> REF _Ref196905574 \h </w:instrText>
      </w:r>
      <w:r w:rsidR="00CF0150">
        <w:fldChar w:fldCharType="separate"/>
      </w:r>
      <w:r w:rsidR="00102828">
        <w:t xml:space="preserve">Figure </w:t>
      </w:r>
      <w:r w:rsidR="00102828">
        <w:rPr>
          <w:noProof/>
        </w:rPr>
        <w:t>8</w:t>
      </w:r>
      <w:r w:rsidR="00CF0150">
        <w:fldChar w:fldCharType="end"/>
      </w:r>
      <w:r>
        <w:t xml:space="preserve">). Over the 30 days following 24 September 2023, when flow would have started to recede without environmental water, 225 GL of Commonwealth environmental water was delivered to increase the average flow to SA from 17,136 ML/d to 24,620 ML/d. Increases in flow to SA in this range result in proportionally larger increases in velocity, resulting in the increase in the average length of river with a velocity &gt; 0.3 m/s from 132 km to 259 km, and a maximum daily increase of 215 km, representing 64% of the reach considered. Commonwealth environmental water continued to have a substantial influence on the length of lotic reach during the month following the return of regulated flow conditions on 23 November 2023, over the following 30 days the average flow to SA increased from 10,384 ML/d to 16,809 ML/d, increasing the average length of river experiencing lotic conditions from 40 km to </w:t>
      </w:r>
      <w:r w:rsidR="00165270">
        <w:t>141 km.</w:t>
      </w:r>
    </w:p>
    <w:p w14:paraId="3608FEDE" w14:textId="77777777" w:rsidR="00C86C33" w:rsidRDefault="00C86C33" w:rsidP="00C86C33">
      <w:pPr>
        <w:pStyle w:val="Heading4"/>
        <w:ind w:hanging="360"/>
      </w:pPr>
      <w:bookmarkStart w:id="115" w:name="_Toc103170064"/>
      <w:r w:rsidRPr="00005E55">
        <w:t>Water level and area</w:t>
      </w:r>
    </w:p>
    <w:p w14:paraId="122660E5" w14:textId="71B5D8E2" w:rsidR="00C86C33" w:rsidRPr="005114CA" w:rsidRDefault="00C86C33" w:rsidP="00C86C33">
      <w:r>
        <w:t>The two periods of increase in flow outlined above, from late September into October and again over November and December, were large enough to create increases in water levels in tailwaters of the weir pools (</w:t>
      </w:r>
      <w:r>
        <w:fldChar w:fldCharType="begin"/>
      </w:r>
      <w:r>
        <w:instrText xml:space="preserve"> REF _Ref155710234 \h </w:instrText>
      </w:r>
      <w:r>
        <w:fldChar w:fldCharType="separate"/>
      </w:r>
      <w:r w:rsidR="00102828">
        <w:t xml:space="preserve">Figure </w:t>
      </w:r>
      <w:r w:rsidR="00102828">
        <w:rPr>
          <w:noProof/>
        </w:rPr>
        <w:t>9</w:t>
      </w:r>
      <w:r>
        <w:fldChar w:fldCharType="end"/>
      </w:r>
      <w:r>
        <w:t>), even when the water level at the weir downstream was assumed to be the same with or without environmental water (</w:t>
      </w:r>
      <w:r>
        <w:fldChar w:fldCharType="begin"/>
      </w:r>
      <w:r>
        <w:instrText xml:space="preserve"> REF _Ref155710224 \h </w:instrText>
      </w:r>
      <w:r>
        <w:fldChar w:fldCharType="separate"/>
      </w:r>
      <w:r w:rsidR="00102828">
        <w:t xml:space="preserve">Figure </w:t>
      </w:r>
      <w:r w:rsidR="00102828">
        <w:rPr>
          <w:noProof/>
        </w:rPr>
        <w:t>10</w:t>
      </w:r>
      <w:r>
        <w:fldChar w:fldCharType="end"/>
      </w:r>
      <w:r>
        <w:t xml:space="preserve">). The magnitude of the water level increase was similar for each period at the upper end of each weir pool, ranging from approximately 0.6 m below Lock 1 up to 0.9 m at the upper end of the Weir Pools 1 and 2. </w:t>
      </w:r>
    </w:p>
    <w:p w14:paraId="655FE74A" w14:textId="57A80401" w:rsidR="00C86C33" w:rsidRDefault="00C86C33" w:rsidP="00C86C33">
      <w:r>
        <w:t>These increase in water level were sufficient to create additional low-level inundation. This increase peaked at more than 2,000 Ha of additional inundation was created by environmental water from 15–22 November 2023. This was a result of flow to SA over 27,700 ML/d from 19 October to 22 November 2023, which without Commonwealth environmental water would have receded to 15,166 ML/d. Peak flow to SA of 52,758 ML/d was 105 ML/d higher due to Commonwealth environmental water, resulting in a slight increase (195 Ha) in the maximum inundation extent (</w:t>
      </w:r>
      <w:r>
        <w:fldChar w:fldCharType="begin"/>
      </w:r>
      <w:r>
        <w:instrText xml:space="preserve"> REF _Ref185590398 \h </w:instrText>
      </w:r>
      <w:r>
        <w:fldChar w:fldCharType="separate"/>
      </w:r>
      <w:r w:rsidR="00102828" w:rsidRPr="00D338E6">
        <w:t xml:space="preserve">Figure </w:t>
      </w:r>
      <w:r w:rsidR="00102828">
        <w:rPr>
          <w:noProof/>
        </w:rPr>
        <w:t>7</w:t>
      </w:r>
      <w:r>
        <w:fldChar w:fldCharType="end"/>
      </w:r>
      <w:r>
        <w:t>).</w:t>
      </w:r>
    </w:p>
    <w:p w14:paraId="2B38E145" w14:textId="77777777" w:rsidR="00C86C33" w:rsidRDefault="00C86C33" w:rsidP="00C86C33">
      <w:r>
        <w:t xml:space="preserve">Environmental water was not expected to influence the water level at the downstream end of weir pools in 2023-24 as all weir pool manipulation events were undertaken with unregulated flow. However, the delivery of Commonwealth environmental water was </w:t>
      </w:r>
      <w:r>
        <w:lastRenderedPageBreak/>
        <w:t xml:space="preserve">modelled to increase water levels in Lake Alexandrina, by up to 0.078 m at the end of January. It should be noted this result is highly dependent on the assumed barrage releases in the counterfactual scenario. </w:t>
      </w:r>
    </w:p>
    <w:p w14:paraId="4026D04F" w14:textId="77777777" w:rsidR="00C86C33" w:rsidRDefault="00C86C33" w:rsidP="00C86C33"/>
    <w:p w14:paraId="2C12420A" w14:textId="77777777" w:rsidR="00C86C33" w:rsidRDefault="00C86C33" w:rsidP="00C86C33"/>
    <w:p w14:paraId="537C3D38" w14:textId="77777777" w:rsidR="00C86C33" w:rsidRDefault="00C86C33" w:rsidP="00C86C33"/>
    <w:p w14:paraId="60456109" w14:textId="51E4D5B7" w:rsidR="00C86C33" w:rsidRDefault="00165270" w:rsidP="00C86C33">
      <w:bookmarkStart w:id="116" w:name="_Ref155710125"/>
      <w:bookmarkStart w:id="117" w:name="_Toc54612622"/>
      <w:bookmarkStart w:id="118" w:name="_Toc64646434"/>
      <w:bookmarkStart w:id="119" w:name="_Toc103170061"/>
      <w:r>
        <w:rPr>
          <w:rStyle w:val="ListParagraphChar"/>
          <w:b/>
          <w:noProof/>
        </w:rPr>
        <w:lastRenderedPageBreak/>
        <w:drawing>
          <wp:inline distT="0" distB="0" distL="0" distR="0" wp14:anchorId="52E7AFDC" wp14:editId="1562FCA8">
            <wp:extent cx="5725160" cy="7872095"/>
            <wp:effectExtent l="0" t="0" r="8890" b="0"/>
            <wp:docPr id="1321755908" name="Picture 47" descr="Graphs showing flow at the South Australian border, inundated area between Wellington and Lock 6 , and length of river with faster flowing velocities for the Lower Murray River between Locks 1 and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755908" name="Picture 47" descr="Graphs showing flow at the South Australian border, inundated area between Wellington and Lock 6 , and length of river with faster flowing velocities for the Lower Murray River between Locks 1 and 6. "/>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25160" cy="7872095"/>
                    </a:xfrm>
                    <a:prstGeom prst="rect">
                      <a:avLst/>
                    </a:prstGeom>
                    <a:noFill/>
                    <a:ln>
                      <a:noFill/>
                    </a:ln>
                  </pic:spPr>
                </pic:pic>
              </a:graphicData>
            </a:graphic>
          </wp:inline>
        </w:drawing>
      </w:r>
    </w:p>
    <w:p w14:paraId="60A89259" w14:textId="18E90A2D" w:rsidR="00C86C33" w:rsidRPr="001F136C" w:rsidRDefault="00C86C33" w:rsidP="00605FB2">
      <w:pPr>
        <w:pStyle w:val="Captions"/>
      </w:pPr>
      <w:bookmarkStart w:id="120" w:name="_Ref185590398"/>
      <w:bookmarkStart w:id="121" w:name="_Toc200464458"/>
      <w:r w:rsidRPr="00D338E6">
        <w:t xml:space="preserve">Figure </w:t>
      </w:r>
      <w:r w:rsidR="00967BB2">
        <w:fldChar w:fldCharType="begin"/>
      </w:r>
      <w:r w:rsidR="00967BB2">
        <w:instrText xml:space="preserve"> SEQ Figure \* ARABIC </w:instrText>
      </w:r>
      <w:r w:rsidR="00967BB2">
        <w:fldChar w:fldCharType="separate"/>
      </w:r>
      <w:r w:rsidR="00102828">
        <w:rPr>
          <w:noProof/>
        </w:rPr>
        <w:t>7</w:t>
      </w:r>
      <w:r w:rsidR="00967BB2">
        <w:rPr>
          <w:noProof/>
        </w:rPr>
        <w:fldChar w:fldCharType="end"/>
      </w:r>
      <w:bookmarkEnd w:id="116"/>
      <w:bookmarkEnd w:id="120"/>
      <w:r>
        <w:rPr>
          <w:noProof/>
        </w:rPr>
        <w:t xml:space="preserve">. </w:t>
      </w:r>
      <w:r w:rsidRPr="00D338E6">
        <w:t xml:space="preserve">a) Discharge (flow at the South Australian </w:t>
      </w:r>
      <w:r w:rsidR="00165270" w:rsidRPr="00D338E6">
        <w:t xml:space="preserve">border), b) </w:t>
      </w:r>
      <w:r w:rsidR="00165270">
        <w:t xml:space="preserve">inundated </w:t>
      </w:r>
      <w:r w:rsidR="00165270" w:rsidRPr="00D338E6">
        <w:t xml:space="preserve">area between Wellington and Lock 6, </w:t>
      </w:r>
      <w:r w:rsidRPr="00D338E6">
        <w:t>and length of river with faster flowing velocities (c) v&gt;0.2 m/s and d) v&gt;0.3 m/s) for the Lower Murray River (LMR) between Locks 1 and 6 (excluding anabranches). Total length of river assessed for the length of river metrics in the LMR = 335 km.</w:t>
      </w:r>
      <w:bookmarkEnd w:id="117"/>
      <w:bookmarkEnd w:id="118"/>
      <w:bookmarkEnd w:id="119"/>
      <w:r>
        <w:t xml:space="preserve"> Note there are no </w:t>
      </w:r>
      <w:r w:rsidRPr="001F136C">
        <w:rPr>
          <w:i/>
          <w:iCs/>
        </w:rPr>
        <w:t>WoD</w:t>
      </w:r>
      <w:r>
        <w:t xml:space="preserve"> or </w:t>
      </w:r>
      <w:r w:rsidRPr="001F136C">
        <w:rPr>
          <w:i/>
          <w:iCs/>
        </w:rPr>
        <w:t>No Locks</w:t>
      </w:r>
      <w:r>
        <w:t xml:space="preserve"> results below Lock 1, and hence these scenarios are not included on b).</w:t>
      </w:r>
      <w:bookmarkEnd w:id="121"/>
    </w:p>
    <w:p w14:paraId="3E0358BE" w14:textId="77777777" w:rsidR="00C86C33" w:rsidRDefault="00C86C33" w:rsidP="00605FB2">
      <w:pPr>
        <w:pStyle w:val="Captions"/>
      </w:pPr>
      <w:bookmarkStart w:id="122" w:name="_Ref155710192"/>
      <w:bookmarkStart w:id="123" w:name="_Ref22545136"/>
      <w:bookmarkStart w:id="124" w:name="_Toc54612623"/>
      <w:bookmarkStart w:id="125" w:name="_Toc64646435"/>
      <w:bookmarkStart w:id="126" w:name="_Toc103170062"/>
      <w:r>
        <w:rPr>
          <w:noProof/>
        </w:rPr>
        <w:lastRenderedPageBreak/>
        <w:drawing>
          <wp:inline distT="0" distB="0" distL="0" distR="0" wp14:anchorId="732EC20C" wp14:editId="502915F1">
            <wp:extent cx="5398770" cy="7919720"/>
            <wp:effectExtent l="0" t="0" r="0" b="5080"/>
            <wp:docPr id="666765038" name="Picture 33" descr="Graphs showing the median modelled velocity in weir pools 1-5 between August 2023 and June 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65038" name="Picture 33" descr="Graphs showing the median modelled velocity in weir pools 1-5 between August 2023 and June 2024. "/>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398770" cy="7919720"/>
                    </a:xfrm>
                    <a:prstGeom prst="rect">
                      <a:avLst/>
                    </a:prstGeom>
                    <a:noFill/>
                    <a:ln>
                      <a:noFill/>
                    </a:ln>
                  </pic:spPr>
                </pic:pic>
              </a:graphicData>
            </a:graphic>
          </wp:inline>
        </w:drawing>
      </w:r>
    </w:p>
    <w:p w14:paraId="217046E5" w14:textId="630582AE" w:rsidR="00C86C33" w:rsidRDefault="00C86C33" w:rsidP="00605FB2">
      <w:pPr>
        <w:pStyle w:val="Captions"/>
      </w:pPr>
      <w:bookmarkStart w:id="127" w:name="_Ref196905574"/>
      <w:bookmarkStart w:id="128" w:name="_Toc200464459"/>
      <w:r>
        <w:t xml:space="preserve">Figure </w:t>
      </w:r>
      <w:r w:rsidR="00967BB2">
        <w:fldChar w:fldCharType="begin"/>
      </w:r>
      <w:r w:rsidR="00967BB2">
        <w:instrText xml:space="preserve"> SEQ Figure \* ARABIC </w:instrText>
      </w:r>
      <w:r w:rsidR="00967BB2">
        <w:fldChar w:fldCharType="separate"/>
      </w:r>
      <w:r w:rsidR="00102828">
        <w:rPr>
          <w:noProof/>
        </w:rPr>
        <w:t>8</w:t>
      </w:r>
      <w:r w:rsidR="00967BB2">
        <w:rPr>
          <w:noProof/>
        </w:rPr>
        <w:fldChar w:fldCharType="end"/>
      </w:r>
      <w:bookmarkEnd w:id="122"/>
      <w:bookmarkEnd w:id="127"/>
      <w:r>
        <w:rPr>
          <w:noProof/>
        </w:rPr>
        <w:t>.</w:t>
      </w:r>
      <w:bookmarkEnd w:id="123"/>
      <w:r>
        <w:t xml:space="preserve"> Median modelled velocity in each weir pool (line), with the range in velocities </w:t>
      </w:r>
      <w:r w:rsidRPr="00F23425">
        <w:t>within the weir pool</w:t>
      </w:r>
      <w:r w:rsidRPr="005E4BB2">
        <w:t xml:space="preserve"> </w:t>
      </w:r>
      <w:r>
        <w:t>(</w:t>
      </w:r>
      <w:r w:rsidRPr="00F23425">
        <w:t>the shaded</w:t>
      </w:r>
      <w:r w:rsidRPr="003B531B">
        <w:rPr>
          <w:rFonts w:eastAsiaTheme="minorHAnsi" w:cs="CenturyGothic"/>
          <w:szCs w:val="22"/>
        </w:rPr>
        <w:t xml:space="preserve"> area</w:t>
      </w:r>
      <w:r>
        <w:rPr>
          <w:rFonts w:ascii="CenturyGothic" w:eastAsiaTheme="minorHAnsi" w:hAnsi="CenturyGothic" w:cs="CenturyGothic"/>
          <w:szCs w:val="22"/>
        </w:rPr>
        <w:t>)</w:t>
      </w:r>
      <w:r w:rsidRPr="00F23425">
        <w:t>, defined by the 10</w:t>
      </w:r>
      <w:r w:rsidRPr="00B1595B">
        <w:rPr>
          <w:vertAlign w:val="superscript"/>
        </w:rPr>
        <w:t>th</w:t>
      </w:r>
      <w:r w:rsidRPr="00F23425">
        <w:t xml:space="preserve"> and 90</w:t>
      </w:r>
      <w:r w:rsidRPr="00B1595B">
        <w:rPr>
          <w:vertAlign w:val="superscript"/>
        </w:rPr>
        <w:t>th</w:t>
      </w:r>
      <w:r w:rsidRPr="00F23425">
        <w:t xml:space="preserve"> percentiles,</w:t>
      </w:r>
      <w:r>
        <w:t xml:space="preserve"> in the Lower Murray River.</w:t>
      </w:r>
      <w:bookmarkEnd w:id="124"/>
      <w:bookmarkEnd w:id="125"/>
      <w:bookmarkEnd w:id="126"/>
      <w:bookmarkEnd w:id="128"/>
    </w:p>
    <w:p w14:paraId="6B5C78CF" w14:textId="77777777" w:rsidR="00C86C33" w:rsidRDefault="00C86C33" w:rsidP="00C86C33">
      <w:pPr>
        <w:keepNext/>
        <w:tabs>
          <w:tab w:val="left" w:pos="5245"/>
        </w:tabs>
        <w:spacing w:before="0" w:after="160" w:line="259" w:lineRule="auto"/>
        <w:jc w:val="center"/>
      </w:pPr>
      <w:r>
        <w:rPr>
          <w:noProof/>
        </w:rPr>
        <w:lastRenderedPageBreak/>
        <w:drawing>
          <wp:inline distT="0" distB="0" distL="0" distR="0" wp14:anchorId="530BA775" wp14:editId="47DF554F">
            <wp:extent cx="5398770" cy="7919720"/>
            <wp:effectExtent l="0" t="0" r="0" b="5080"/>
            <wp:docPr id="805968875" name="Picture 34" descr="Graphs showing modelled upper weir pool water level for weir pools 1-5 in the Lower Murray Riv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68875" name="Picture 34" descr="Graphs showing modelled upper weir pool water level for weir pools 1-5 in the Lower Murray River. "/>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398770" cy="7919720"/>
                    </a:xfrm>
                    <a:prstGeom prst="rect">
                      <a:avLst/>
                    </a:prstGeom>
                    <a:noFill/>
                    <a:ln>
                      <a:noFill/>
                    </a:ln>
                  </pic:spPr>
                </pic:pic>
              </a:graphicData>
            </a:graphic>
          </wp:inline>
        </w:drawing>
      </w:r>
    </w:p>
    <w:p w14:paraId="55939130" w14:textId="231FD156" w:rsidR="00C86C33" w:rsidRDefault="00C86C33" w:rsidP="00605FB2">
      <w:pPr>
        <w:pStyle w:val="Captions"/>
      </w:pPr>
      <w:bookmarkStart w:id="129" w:name="_Ref155710234"/>
      <w:bookmarkStart w:id="130" w:name="_Toc54612625"/>
      <w:bookmarkStart w:id="131" w:name="_Toc64646437"/>
      <w:bookmarkStart w:id="132" w:name="_Toc200464460"/>
      <w:r>
        <w:t xml:space="preserve">Figure </w:t>
      </w:r>
      <w:r w:rsidR="00967BB2">
        <w:fldChar w:fldCharType="begin"/>
      </w:r>
      <w:r w:rsidR="00967BB2">
        <w:instrText xml:space="preserve"> SEQ Figure \* ARABIC </w:instrText>
      </w:r>
      <w:r w:rsidR="00967BB2">
        <w:fldChar w:fldCharType="separate"/>
      </w:r>
      <w:r w:rsidR="00102828">
        <w:rPr>
          <w:noProof/>
        </w:rPr>
        <w:t>9</w:t>
      </w:r>
      <w:r w:rsidR="00967BB2">
        <w:rPr>
          <w:noProof/>
        </w:rPr>
        <w:fldChar w:fldCharType="end"/>
      </w:r>
      <w:bookmarkEnd w:id="129"/>
      <w:r>
        <w:rPr>
          <w:noProof/>
        </w:rPr>
        <w:t>.</w:t>
      </w:r>
      <w:r>
        <w:t xml:space="preserve"> </w:t>
      </w:r>
      <w:r w:rsidRPr="00190A6E">
        <w:t xml:space="preserve">Modelled </w:t>
      </w:r>
      <w:r>
        <w:t xml:space="preserve">upper weir pool </w:t>
      </w:r>
      <w:r w:rsidRPr="00190A6E">
        <w:t xml:space="preserve">water level </w:t>
      </w:r>
      <w:r>
        <w:t>(i.e. downstream of each lock, e.g. Lock 2 for Weir Pool 1) in the Lower Murray River</w:t>
      </w:r>
      <w:r w:rsidRPr="00190A6E">
        <w:t>.</w:t>
      </w:r>
      <w:bookmarkEnd w:id="130"/>
      <w:bookmarkEnd w:id="131"/>
      <w:bookmarkEnd w:id="132"/>
      <w:r>
        <w:t xml:space="preserve"> </w:t>
      </w:r>
    </w:p>
    <w:p w14:paraId="1935BF2C" w14:textId="77777777" w:rsidR="00C86C33" w:rsidRDefault="00C86C33" w:rsidP="00C86C33">
      <w:pPr>
        <w:pStyle w:val="Caption"/>
      </w:pPr>
    </w:p>
    <w:p w14:paraId="3DF3C191" w14:textId="77777777" w:rsidR="00C86C33" w:rsidRDefault="00C86C33" w:rsidP="00C86C33">
      <w:pPr>
        <w:keepNext/>
        <w:spacing w:before="0" w:after="160" w:line="259" w:lineRule="auto"/>
        <w:jc w:val="center"/>
      </w:pPr>
      <w:r>
        <w:rPr>
          <w:noProof/>
        </w:rPr>
        <w:lastRenderedPageBreak/>
        <w:drawing>
          <wp:inline distT="0" distB="0" distL="0" distR="0" wp14:anchorId="60C187E3" wp14:editId="21A2E306">
            <wp:extent cx="5398770" cy="7919720"/>
            <wp:effectExtent l="0" t="0" r="0" b="5080"/>
            <wp:docPr id="1206021047" name="Picture 35" descr="Graphs showeing Lower weir pool water level of each weir pool in the Lower Murray Riv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21047" name="Picture 35" descr="Graphs showeing Lower weir pool water level of each weir pool in the Lower Murray River. "/>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398770" cy="7919720"/>
                    </a:xfrm>
                    <a:prstGeom prst="rect">
                      <a:avLst/>
                    </a:prstGeom>
                    <a:noFill/>
                    <a:ln>
                      <a:noFill/>
                    </a:ln>
                  </pic:spPr>
                </pic:pic>
              </a:graphicData>
            </a:graphic>
          </wp:inline>
        </w:drawing>
      </w:r>
    </w:p>
    <w:p w14:paraId="4B55B590" w14:textId="002EF965" w:rsidR="00C86C33" w:rsidRDefault="00C86C33" w:rsidP="00605FB2">
      <w:pPr>
        <w:pStyle w:val="Captions"/>
      </w:pPr>
      <w:bookmarkStart w:id="133" w:name="_Ref155710224"/>
      <w:bookmarkStart w:id="134" w:name="_Toc54612624"/>
      <w:bookmarkStart w:id="135" w:name="_Toc64646436"/>
      <w:bookmarkStart w:id="136" w:name="_Toc103170063"/>
      <w:bookmarkStart w:id="137" w:name="_Toc200464461"/>
      <w:r>
        <w:t xml:space="preserve">Figure </w:t>
      </w:r>
      <w:r w:rsidR="00967BB2">
        <w:fldChar w:fldCharType="begin"/>
      </w:r>
      <w:r w:rsidR="00967BB2">
        <w:instrText xml:space="preserve"> SEQ Figure \* ARABIC </w:instrText>
      </w:r>
      <w:r w:rsidR="00967BB2">
        <w:fldChar w:fldCharType="separate"/>
      </w:r>
      <w:r w:rsidR="00102828">
        <w:rPr>
          <w:noProof/>
        </w:rPr>
        <w:t>10</w:t>
      </w:r>
      <w:r w:rsidR="00967BB2">
        <w:rPr>
          <w:noProof/>
        </w:rPr>
        <w:fldChar w:fldCharType="end"/>
      </w:r>
      <w:bookmarkEnd w:id="133"/>
      <w:r>
        <w:rPr>
          <w:noProof/>
        </w:rPr>
        <w:t>.</w:t>
      </w:r>
      <w:r>
        <w:t xml:space="preserve"> </w:t>
      </w:r>
      <w:bookmarkEnd w:id="134"/>
      <w:bookmarkEnd w:id="135"/>
      <w:r>
        <w:t>Lower weir pool</w:t>
      </w:r>
      <w:r w:rsidRPr="00F23425">
        <w:t xml:space="preserve"> water level </w:t>
      </w:r>
      <w:r>
        <w:t>(i.e. above the locks/weirs, e.g. above the Lock and Weir 1 for Weir Pool 1, and at Wellington for below Lock 1) of each weir pool in the Lower Murray River.</w:t>
      </w:r>
      <w:bookmarkEnd w:id="136"/>
      <w:r>
        <w:t xml:space="preserve"> The </w:t>
      </w:r>
      <w:r w:rsidRPr="007160C7">
        <w:rPr>
          <w:i/>
          <w:iCs/>
        </w:rPr>
        <w:t>All Water</w:t>
      </w:r>
      <w:r>
        <w:t xml:space="preserve"> and </w:t>
      </w:r>
      <w:r w:rsidRPr="007160C7">
        <w:rPr>
          <w:i/>
          <w:iCs/>
        </w:rPr>
        <w:t>No CEW</w:t>
      </w:r>
      <w:r>
        <w:t xml:space="preserve"> lines coincide with the </w:t>
      </w:r>
      <w:r w:rsidRPr="007160C7">
        <w:rPr>
          <w:i/>
          <w:iCs/>
        </w:rPr>
        <w:t>No eWater</w:t>
      </w:r>
      <w:r>
        <w:t xml:space="preserve"> line for all sites except below Lock 1.</w:t>
      </w:r>
      <w:bookmarkEnd w:id="137"/>
      <w:r>
        <w:t xml:space="preserve"> </w:t>
      </w:r>
      <w:bookmarkEnd w:id="115"/>
    </w:p>
    <w:p w14:paraId="32231FA4" w14:textId="77777777" w:rsidR="00C86C33" w:rsidRDefault="00C86C33" w:rsidP="00C86C33">
      <w:pPr>
        <w:pStyle w:val="Caption"/>
        <w:sectPr w:rsidR="00C86C33" w:rsidSect="00C86C33">
          <w:headerReference w:type="even" r:id="rId60"/>
          <w:headerReference w:type="default" r:id="rId61"/>
          <w:footerReference w:type="even" r:id="rId62"/>
          <w:footerReference w:type="default" r:id="rId63"/>
          <w:headerReference w:type="first" r:id="rId64"/>
          <w:footerReference w:type="first" r:id="rId65"/>
          <w:footnotePr>
            <w:numFmt w:val="lowerLetter"/>
          </w:footnotePr>
          <w:pgSz w:w="11900" w:h="16840" w:code="9"/>
          <w:pgMar w:top="1440" w:right="1440" w:bottom="1440" w:left="1440" w:header="709" w:footer="709" w:gutter="0"/>
          <w:cols w:space="708"/>
          <w:docGrid w:linePitch="360"/>
        </w:sectPr>
      </w:pPr>
      <w:bookmarkStart w:id="138" w:name="_Ref22554285"/>
      <w:bookmarkStart w:id="139" w:name="_Ref88730871"/>
      <w:bookmarkStart w:id="140" w:name="_Ref116891202"/>
      <w:bookmarkStart w:id="141" w:name="_Toc54612663"/>
      <w:bookmarkStart w:id="142" w:name="_Toc64646407"/>
      <w:bookmarkStart w:id="143" w:name="_Toc101963861"/>
    </w:p>
    <w:p w14:paraId="0881B79D" w14:textId="77777777" w:rsidR="00C86C33" w:rsidRDefault="00C86C33" w:rsidP="00C86C33">
      <w:pPr>
        <w:pStyle w:val="Heading3"/>
        <w:rPr>
          <w:lang w:val="en-US"/>
        </w:rPr>
      </w:pPr>
      <w:bookmarkStart w:id="144" w:name="_Ref116651238"/>
      <w:r>
        <w:rPr>
          <w:lang w:val="en-US"/>
        </w:rPr>
        <w:lastRenderedPageBreak/>
        <w:t>Evaluation</w:t>
      </w:r>
      <w:bookmarkEnd w:id="144"/>
    </w:p>
    <w:bookmarkEnd w:id="138"/>
    <w:bookmarkEnd w:id="139"/>
    <w:bookmarkEnd w:id="140"/>
    <w:bookmarkEnd w:id="141"/>
    <w:bookmarkEnd w:id="142"/>
    <w:bookmarkEnd w:id="143"/>
    <w:p w14:paraId="736DBE20" w14:textId="77777777" w:rsidR="00C86C33" w:rsidRPr="004561A6" w:rsidRDefault="00C86C33" w:rsidP="00C86C33">
      <w:pPr>
        <w:spacing w:before="0" w:after="0" w:line="240" w:lineRule="auto"/>
        <w:jc w:val="left"/>
        <w:rPr>
          <w:color w:val="auto"/>
          <w:kern w:val="0"/>
          <w:sz w:val="18"/>
          <w:szCs w:val="18"/>
          <w:lang w:val="en-US" w:bidi="en-US"/>
        </w:rPr>
      </w:pPr>
    </w:p>
    <w:p w14:paraId="5423C563" w14:textId="77777777" w:rsidR="00C86C33" w:rsidRPr="00634E57" w:rsidRDefault="00C86C33" w:rsidP="00C86C33">
      <w:pPr>
        <w:rPr>
          <w:lang w:val="en-US"/>
        </w:rPr>
      </w:pPr>
      <w:r w:rsidRPr="006E7799">
        <w:rPr>
          <w:lang w:val="en-US"/>
        </w:rPr>
        <w:t>To evaluate the contribution of Commonwealth environmental water towards a</w:t>
      </w:r>
      <w:r>
        <w:rPr>
          <w:lang w:val="en-US"/>
        </w:rPr>
        <w:t xml:space="preserve"> short (annual) or long-term (multi-year)</w:t>
      </w:r>
      <w:r w:rsidRPr="006E7799">
        <w:rPr>
          <w:lang w:val="en-US"/>
        </w:rPr>
        <w:t xml:space="preserve"> outcome, a contribution significance level was assigned to each evaluation question. The level was viewed as ‘to what extent Commonwealth environmental water contributed towards that observed outcome, with the ecological significance of the outcome considered where possible’. For example, the level assigned may be similar for an ecologically significant outcome of which Commonwealth environmental water had minor contribution towards versus an outcome that was considered </w:t>
      </w:r>
      <w:r>
        <w:rPr>
          <w:lang w:val="en-US"/>
        </w:rPr>
        <w:t>minor</w:t>
      </w:r>
      <w:r w:rsidRPr="006E7799">
        <w:rPr>
          <w:lang w:val="en-US"/>
        </w:rPr>
        <w:t xml:space="preserve"> of which Commonwealth environmental water had major contribution towards. The thresholds for assigning the significance var</w:t>
      </w:r>
      <w:r>
        <w:rPr>
          <w:lang w:val="en-US"/>
        </w:rPr>
        <w:t>y</w:t>
      </w:r>
      <w:r w:rsidRPr="006E7799">
        <w:rPr>
          <w:lang w:val="en-US"/>
        </w:rPr>
        <w:t xml:space="preserve"> among indicators and questions, ranging from using </w:t>
      </w:r>
      <w:r>
        <w:rPr>
          <w:lang w:val="en-US"/>
        </w:rPr>
        <w:t>defined</w:t>
      </w:r>
      <w:r w:rsidRPr="006E7799">
        <w:rPr>
          <w:lang w:val="en-US"/>
        </w:rPr>
        <w:t xml:space="preserve"> percentages or values</w:t>
      </w:r>
      <w:r>
        <w:rPr>
          <w:lang w:val="en-US"/>
        </w:rPr>
        <w:t xml:space="preserve"> of change</w:t>
      </w:r>
      <w:r w:rsidRPr="006E7799">
        <w:rPr>
          <w:lang w:val="en-US"/>
        </w:rPr>
        <w:t>, to qualitative assessment based on expert opinion</w:t>
      </w:r>
      <w:r>
        <w:rPr>
          <w:lang w:val="en-US"/>
        </w:rPr>
        <w:t xml:space="preserve"> (e.g. </w:t>
      </w:r>
      <w:r w:rsidRPr="00DA3F27">
        <w:rPr>
          <w:i/>
          <w:iCs/>
          <w:lang w:val="en-US"/>
        </w:rPr>
        <w:t>Flow-cued Spawning Fish Reproduction</w:t>
      </w:r>
      <w:r>
        <w:rPr>
          <w:lang w:val="en-US"/>
        </w:rPr>
        <w:t xml:space="preserve"> and </w:t>
      </w:r>
      <w:r w:rsidRPr="00DA3F27">
        <w:rPr>
          <w:i/>
          <w:iCs/>
          <w:lang w:val="en-US"/>
        </w:rPr>
        <w:t>Murray Cod Recruitment</w:t>
      </w:r>
      <w:r>
        <w:rPr>
          <w:lang w:val="en-US"/>
        </w:rPr>
        <w:t>)</w:t>
      </w:r>
      <w:r w:rsidRPr="006E7799">
        <w:rPr>
          <w:lang w:val="en-US"/>
        </w:rPr>
        <w:t>.</w:t>
      </w:r>
      <w:r>
        <w:rPr>
          <w:lang w:val="en-US"/>
        </w:rPr>
        <w:t xml:space="preserve"> </w:t>
      </w:r>
      <w:r w:rsidRPr="006E7799">
        <w:rPr>
          <w:lang w:val="en-US"/>
        </w:rPr>
        <w:t xml:space="preserve">The thresholds </w:t>
      </w:r>
      <w:r>
        <w:rPr>
          <w:lang w:val="en-US"/>
        </w:rPr>
        <w:t>may be adjusted in response to developing understanding of these processes.</w:t>
      </w:r>
    </w:p>
    <w:p w14:paraId="7B58593A" w14:textId="1A01DD65" w:rsidR="00C86C33" w:rsidRPr="001D41FE" w:rsidRDefault="00C86C33" w:rsidP="00C86C33">
      <w:pPr>
        <w:pStyle w:val="Caption"/>
        <w:rPr>
          <w:lang w:val="en-US"/>
        </w:rPr>
      </w:pPr>
      <w:bookmarkStart w:id="145" w:name="_Ref153960871"/>
      <w:bookmarkStart w:id="146" w:name="_Toc200464528"/>
      <w:r>
        <w:t xml:space="preserve">Table </w:t>
      </w:r>
      <w:r>
        <w:rPr>
          <w:noProof/>
        </w:rPr>
        <w:fldChar w:fldCharType="begin"/>
      </w:r>
      <w:r>
        <w:rPr>
          <w:noProof/>
        </w:rPr>
        <w:instrText xml:space="preserve"> SEQ Table \* ARABIC </w:instrText>
      </w:r>
      <w:r>
        <w:rPr>
          <w:noProof/>
        </w:rPr>
        <w:fldChar w:fldCharType="separate"/>
      </w:r>
      <w:r w:rsidR="00102828">
        <w:rPr>
          <w:noProof/>
        </w:rPr>
        <w:t>4</w:t>
      </w:r>
      <w:r>
        <w:rPr>
          <w:noProof/>
        </w:rPr>
        <w:fldChar w:fldCharType="end"/>
      </w:r>
      <w:bookmarkEnd w:id="145"/>
      <w:r>
        <w:rPr>
          <w:noProof/>
        </w:rPr>
        <w:t>.</w:t>
      </w:r>
      <w:r>
        <w:t xml:space="preserve"> </w:t>
      </w:r>
      <w:bookmarkStart w:id="147" w:name="_Ref153960861"/>
      <w:r>
        <w:t>Hydraulic Regime evaluation questions and answers. CEW = Commonwealth environmental water</w:t>
      </w:r>
      <w:r w:rsidR="00257C05">
        <w:t>.</w:t>
      </w:r>
      <w:bookmarkEnd w:id="147"/>
      <w:r w:rsidR="00861429">
        <w:t xml:space="preserve"> </w:t>
      </w:r>
      <w:r w:rsidR="00257C05">
        <w:t xml:space="preserve">SA = South Australia. </w:t>
      </w:r>
      <w:r w:rsidR="00861429">
        <w:t>SA</w:t>
      </w:r>
      <w:r w:rsidR="00082986">
        <w:t xml:space="preserve"> </w:t>
      </w:r>
      <w:r w:rsidR="00257C05">
        <w:t xml:space="preserve">border </w:t>
      </w:r>
      <w:r w:rsidR="00861429">
        <w:t>= South Australia</w:t>
      </w:r>
      <w:r w:rsidR="00257C05">
        <w:t>n border</w:t>
      </w:r>
      <w:r w:rsidR="00861429">
        <w:t>.</w:t>
      </w:r>
      <w:bookmarkEnd w:id="146"/>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le of Hydraulic regime evaluation questions and answers."/>
      </w:tblPr>
      <w:tblGrid>
        <w:gridCol w:w="1861"/>
        <w:gridCol w:w="1003"/>
        <w:gridCol w:w="1069"/>
        <w:gridCol w:w="1008"/>
        <w:gridCol w:w="1206"/>
        <w:gridCol w:w="958"/>
        <w:gridCol w:w="1092"/>
        <w:gridCol w:w="958"/>
        <w:gridCol w:w="953"/>
        <w:gridCol w:w="953"/>
        <w:gridCol w:w="2828"/>
      </w:tblGrid>
      <w:tr w:rsidR="00C86C33" w:rsidRPr="004561A6" w14:paraId="767F91B9" w14:textId="77777777" w:rsidTr="00B245A8">
        <w:trPr>
          <w:cantSplit/>
          <w:trHeight w:val="20"/>
          <w:tblHeader/>
        </w:trPr>
        <w:tc>
          <w:tcPr>
            <w:tcW w:w="670" w:type="pct"/>
            <w:vMerge w:val="restart"/>
            <w:tcBorders>
              <w:top w:val="single" w:sz="4" w:space="0" w:color="auto"/>
              <w:left w:val="single" w:sz="4" w:space="0" w:color="auto"/>
              <w:right w:val="single" w:sz="4" w:space="0" w:color="auto"/>
            </w:tcBorders>
          </w:tcPr>
          <w:p w14:paraId="0764065A" w14:textId="77777777" w:rsidR="00C86C33" w:rsidRPr="004561A6" w:rsidRDefault="00C86C33" w:rsidP="00B245A8">
            <w:pPr>
              <w:pStyle w:val="TableHeading"/>
              <w:jc w:val="center"/>
              <w:rPr>
                <w:sz w:val="18"/>
                <w:szCs w:val="18"/>
              </w:rPr>
            </w:pPr>
            <w:r w:rsidRPr="004561A6">
              <w:rPr>
                <w:sz w:val="18"/>
                <w:szCs w:val="18"/>
              </w:rPr>
              <w:t>CEW</w:t>
            </w:r>
            <w:r>
              <w:rPr>
                <w:sz w:val="18"/>
                <w:szCs w:val="18"/>
              </w:rPr>
              <w:t>H</w:t>
            </w:r>
            <w:r w:rsidRPr="004561A6">
              <w:rPr>
                <w:sz w:val="18"/>
                <w:szCs w:val="18"/>
              </w:rPr>
              <w:t xml:space="preserve"> evaluation questions </w:t>
            </w:r>
          </w:p>
        </w:tc>
        <w:tc>
          <w:tcPr>
            <w:tcW w:w="4329" w:type="pct"/>
            <w:gridSpan w:val="10"/>
            <w:tcBorders>
              <w:top w:val="single" w:sz="4" w:space="0" w:color="auto"/>
              <w:left w:val="single" w:sz="4" w:space="0" w:color="auto"/>
              <w:right w:val="single" w:sz="4" w:space="0" w:color="auto"/>
            </w:tcBorders>
          </w:tcPr>
          <w:p w14:paraId="23545CF9" w14:textId="77777777" w:rsidR="00C86C33" w:rsidRPr="004561A6" w:rsidRDefault="00C86C33" w:rsidP="00B245A8">
            <w:pPr>
              <w:pStyle w:val="TableHeading"/>
              <w:jc w:val="center"/>
              <w:rPr>
                <w:sz w:val="18"/>
                <w:szCs w:val="18"/>
              </w:rPr>
            </w:pPr>
            <w:r w:rsidRPr="004561A6">
              <w:rPr>
                <w:sz w:val="18"/>
                <w:szCs w:val="18"/>
              </w:rPr>
              <w:t>Outcomes of CEW delivery</w:t>
            </w:r>
          </w:p>
        </w:tc>
      </w:tr>
      <w:tr w:rsidR="00C86C33" w:rsidRPr="004561A6" w14:paraId="0AD941AF" w14:textId="77777777" w:rsidTr="00B245A8">
        <w:trPr>
          <w:cantSplit/>
          <w:trHeight w:val="20"/>
          <w:tblHeader/>
        </w:trPr>
        <w:tc>
          <w:tcPr>
            <w:tcW w:w="670" w:type="pct"/>
            <w:vMerge/>
            <w:tcBorders>
              <w:left w:val="single" w:sz="4" w:space="0" w:color="auto"/>
              <w:bottom w:val="single" w:sz="4" w:space="0" w:color="auto"/>
              <w:right w:val="single" w:sz="4" w:space="0" w:color="auto"/>
            </w:tcBorders>
          </w:tcPr>
          <w:p w14:paraId="17065B2C" w14:textId="77777777" w:rsidR="00C86C33" w:rsidRPr="004561A6" w:rsidRDefault="00C86C33" w:rsidP="00B245A8">
            <w:pPr>
              <w:pStyle w:val="TableHeading"/>
              <w:jc w:val="center"/>
              <w:rPr>
                <w:sz w:val="18"/>
                <w:szCs w:val="18"/>
              </w:rPr>
            </w:pPr>
          </w:p>
        </w:tc>
        <w:tc>
          <w:tcPr>
            <w:tcW w:w="361" w:type="pct"/>
            <w:tcBorders>
              <w:left w:val="single" w:sz="4" w:space="0" w:color="auto"/>
              <w:bottom w:val="single" w:sz="4" w:space="0" w:color="auto"/>
              <w:right w:val="single" w:sz="4" w:space="0" w:color="auto"/>
            </w:tcBorders>
            <w:vAlign w:val="bottom"/>
          </w:tcPr>
          <w:p w14:paraId="69E46F4A" w14:textId="77777777" w:rsidR="00C86C33" w:rsidRPr="004561A6" w:rsidRDefault="00C86C33" w:rsidP="00B245A8">
            <w:pPr>
              <w:pStyle w:val="TableHeading"/>
              <w:jc w:val="center"/>
              <w:rPr>
                <w:sz w:val="18"/>
                <w:szCs w:val="18"/>
              </w:rPr>
            </w:pPr>
            <w:r w:rsidRPr="004561A6">
              <w:rPr>
                <w:sz w:val="18"/>
                <w:szCs w:val="18"/>
              </w:rPr>
              <w:t>2014-15</w:t>
            </w:r>
          </w:p>
        </w:tc>
        <w:tc>
          <w:tcPr>
            <w:tcW w:w="385" w:type="pct"/>
            <w:tcBorders>
              <w:top w:val="single" w:sz="4" w:space="0" w:color="auto"/>
              <w:left w:val="single" w:sz="4" w:space="0" w:color="auto"/>
              <w:bottom w:val="single" w:sz="4" w:space="0" w:color="auto"/>
            </w:tcBorders>
            <w:vAlign w:val="bottom"/>
          </w:tcPr>
          <w:p w14:paraId="7B8E4E95" w14:textId="77777777" w:rsidR="00C86C33" w:rsidRPr="004561A6" w:rsidRDefault="00C86C33" w:rsidP="00B245A8">
            <w:pPr>
              <w:pStyle w:val="TableHeading"/>
              <w:jc w:val="center"/>
              <w:rPr>
                <w:sz w:val="18"/>
                <w:szCs w:val="18"/>
              </w:rPr>
            </w:pPr>
            <w:r w:rsidRPr="004561A6">
              <w:rPr>
                <w:sz w:val="18"/>
                <w:szCs w:val="18"/>
              </w:rPr>
              <w:t>2015-16</w:t>
            </w:r>
          </w:p>
        </w:tc>
        <w:tc>
          <w:tcPr>
            <w:tcW w:w="363" w:type="pct"/>
            <w:tcBorders>
              <w:top w:val="single" w:sz="4" w:space="0" w:color="auto"/>
              <w:bottom w:val="single" w:sz="4" w:space="0" w:color="auto"/>
            </w:tcBorders>
            <w:vAlign w:val="bottom"/>
          </w:tcPr>
          <w:p w14:paraId="1D69AF21" w14:textId="77777777" w:rsidR="00C86C33" w:rsidRPr="004561A6" w:rsidRDefault="00C86C33" w:rsidP="00B245A8">
            <w:pPr>
              <w:pStyle w:val="TableHeading"/>
              <w:jc w:val="center"/>
              <w:rPr>
                <w:sz w:val="18"/>
                <w:szCs w:val="18"/>
              </w:rPr>
            </w:pPr>
            <w:r w:rsidRPr="004561A6">
              <w:rPr>
                <w:sz w:val="18"/>
                <w:szCs w:val="18"/>
              </w:rPr>
              <w:t>2016-17</w:t>
            </w:r>
          </w:p>
        </w:tc>
        <w:tc>
          <w:tcPr>
            <w:tcW w:w="434" w:type="pct"/>
            <w:tcBorders>
              <w:top w:val="single" w:sz="4" w:space="0" w:color="auto"/>
              <w:bottom w:val="single" w:sz="4" w:space="0" w:color="auto"/>
            </w:tcBorders>
            <w:vAlign w:val="bottom"/>
          </w:tcPr>
          <w:p w14:paraId="7A704858" w14:textId="77777777" w:rsidR="00C86C33" w:rsidRPr="004561A6" w:rsidRDefault="00C86C33" w:rsidP="00B245A8">
            <w:pPr>
              <w:pStyle w:val="TableHeading"/>
              <w:jc w:val="center"/>
              <w:rPr>
                <w:sz w:val="18"/>
                <w:szCs w:val="18"/>
              </w:rPr>
            </w:pPr>
            <w:r w:rsidRPr="004561A6">
              <w:rPr>
                <w:sz w:val="18"/>
                <w:szCs w:val="18"/>
              </w:rPr>
              <w:t>2017-18</w:t>
            </w:r>
          </w:p>
        </w:tc>
        <w:tc>
          <w:tcPr>
            <w:tcW w:w="345" w:type="pct"/>
            <w:tcBorders>
              <w:top w:val="single" w:sz="4" w:space="0" w:color="auto"/>
              <w:bottom w:val="single" w:sz="4" w:space="0" w:color="auto"/>
            </w:tcBorders>
            <w:vAlign w:val="bottom"/>
          </w:tcPr>
          <w:p w14:paraId="4094637C" w14:textId="77777777" w:rsidR="00C86C33" w:rsidRPr="004561A6" w:rsidRDefault="00C86C33" w:rsidP="00B245A8">
            <w:pPr>
              <w:pStyle w:val="TableHeading"/>
              <w:jc w:val="center"/>
              <w:rPr>
                <w:sz w:val="18"/>
                <w:szCs w:val="18"/>
              </w:rPr>
            </w:pPr>
            <w:r w:rsidRPr="004561A6">
              <w:rPr>
                <w:sz w:val="18"/>
                <w:szCs w:val="18"/>
              </w:rPr>
              <w:t>2018-19</w:t>
            </w:r>
          </w:p>
        </w:tc>
        <w:tc>
          <w:tcPr>
            <w:tcW w:w="393" w:type="pct"/>
            <w:tcBorders>
              <w:top w:val="single" w:sz="4" w:space="0" w:color="auto"/>
              <w:bottom w:val="single" w:sz="4" w:space="0" w:color="auto"/>
            </w:tcBorders>
            <w:vAlign w:val="bottom"/>
          </w:tcPr>
          <w:p w14:paraId="17B96E48" w14:textId="77777777" w:rsidR="00C86C33" w:rsidRPr="004561A6" w:rsidRDefault="00C86C33" w:rsidP="00B245A8">
            <w:pPr>
              <w:pStyle w:val="TableHeading"/>
              <w:jc w:val="center"/>
              <w:rPr>
                <w:sz w:val="18"/>
                <w:szCs w:val="18"/>
              </w:rPr>
            </w:pPr>
            <w:r w:rsidRPr="004561A6">
              <w:rPr>
                <w:sz w:val="18"/>
                <w:szCs w:val="18"/>
              </w:rPr>
              <w:t>2019-20</w:t>
            </w:r>
          </w:p>
        </w:tc>
        <w:tc>
          <w:tcPr>
            <w:tcW w:w="345" w:type="pct"/>
            <w:tcBorders>
              <w:top w:val="single" w:sz="4" w:space="0" w:color="auto"/>
              <w:bottom w:val="single" w:sz="4" w:space="0" w:color="auto"/>
            </w:tcBorders>
          </w:tcPr>
          <w:p w14:paraId="3FC878A7" w14:textId="77777777" w:rsidR="00C86C33" w:rsidRPr="004561A6" w:rsidRDefault="00C86C33" w:rsidP="00B245A8">
            <w:pPr>
              <w:pStyle w:val="TableHeading"/>
              <w:jc w:val="center"/>
              <w:rPr>
                <w:sz w:val="18"/>
                <w:szCs w:val="18"/>
              </w:rPr>
            </w:pPr>
            <w:r w:rsidRPr="004561A6">
              <w:rPr>
                <w:sz w:val="18"/>
                <w:szCs w:val="18"/>
              </w:rPr>
              <w:t>2020-21</w:t>
            </w:r>
          </w:p>
        </w:tc>
        <w:tc>
          <w:tcPr>
            <w:tcW w:w="343" w:type="pct"/>
            <w:tcBorders>
              <w:top w:val="single" w:sz="4" w:space="0" w:color="auto"/>
              <w:bottom w:val="single" w:sz="4" w:space="0" w:color="auto"/>
            </w:tcBorders>
          </w:tcPr>
          <w:p w14:paraId="08C976DD" w14:textId="77777777" w:rsidR="00C86C33" w:rsidRPr="004561A6" w:rsidRDefault="00C86C33" w:rsidP="00B245A8">
            <w:pPr>
              <w:pStyle w:val="TableHeading"/>
              <w:jc w:val="center"/>
              <w:rPr>
                <w:sz w:val="18"/>
                <w:szCs w:val="18"/>
              </w:rPr>
            </w:pPr>
            <w:r w:rsidRPr="004561A6">
              <w:rPr>
                <w:sz w:val="18"/>
                <w:szCs w:val="18"/>
              </w:rPr>
              <w:t>2021-22</w:t>
            </w:r>
          </w:p>
        </w:tc>
        <w:tc>
          <w:tcPr>
            <w:tcW w:w="343" w:type="pct"/>
            <w:tcBorders>
              <w:top w:val="single" w:sz="4" w:space="0" w:color="auto"/>
              <w:bottom w:val="single" w:sz="4" w:space="0" w:color="auto"/>
            </w:tcBorders>
          </w:tcPr>
          <w:p w14:paraId="33E1A7BF" w14:textId="77777777" w:rsidR="00C86C33" w:rsidRPr="004561A6" w:rsidRDefault="00C86C33" w:rsidP="00B245A8">
            <w:pPr>
              <w:pStyle w:val="TableHeading"/>
              <w:jc w:val="center"/>
              <w:rPr>
                <w:sz w:val="18"/>
                <w:szCs w:val="18"/>
              </w:rPr>
            </w:pPr>
            <w:r w:rsidRPr="004561A6">
              <w:rPr>
                <w:sz w:val="18"/>
                <w:szCs w:val="18"/>
              </w:rPr>
              <w:t>202</w:t>
            </w:r>
            <w:r>
              <w:rPr>
                <w:sz w:val="18"/>
                <w:szCs w:val="18"/>
              </w:rPr>
              <w:t>2</w:t>
            </w:r>
            <w:r w:rsidRPr="004561A6">
              <w:rPr>
                <w:sz w:val="18"/>
                <w:szCs w:val="18"/>
              </w:rPr>
              <w:t>-2</w:t>
            </w:r>
            <w:r>
              <w:rPr>
                <w:sz w:val="18"/>
                <w:szCs w:val="18"/>
              </w:rPr>
              <w:t>3</w:t>
            </w:r>
          </w:p>
        </w:tc>
        <w:tc>
          <w:tcPr>
            <w:tcW w:w="1020" w:type="pct"/>
            <w:tcBorders>
              <w:top w:val="single" w:sz="4" w:space="0" w:color="auto"/>
              <w:bottom w:val="single" w:sz="4" w:space="0" w:color="auto"/>
            </w:tcBorders>
          </w:tcPr>
          <w:p w14:paraId="72ED0B59" w14:textId="77777777" w:rsidR="00C86C33" w:rsidRPr="004561A6" w:rsidRDefault="00C86C33" w:rsidP="00B245A8">
            <w:pPr>
              <w:pStyle w:val="TableHeading"/>
              <w:jc w:val="center"/>
              <w:rPr>
                <w:sz w:val="18"/>
                <w:szCs w:val="18"/>
              </w:rPr>
            </w:pPr>
            <w:r>
              <w:rPr>
                <w:sz w:val="18"/>
                <w:szCs w:val="18"/>
              </w:rPr>
              <w:t>2023-24</w:t>
            </w:r>
          </w:p>
        </w:tc>
      </w:tr>
      <w:tr w:rsidR="00C86C33" w:rsidRPr="004561A6" w14:paraId="22AED541" w14:textId="77777777" w:rsidTr="00B245A8">
        <w:trPr>
          <w:cantSplit/>
          <w:trHeight w:val="20"/>
        </w:trPr>
        <w:tc>
          <w:tcPr>
            <w:tcW w:w="670" w:type="pct"/>
            <w:vMerge w:val="restart"/>
            <w:tcBorders>
              <w:top w:val="single" w:sz="4" w:space="0" w:color="auto"/>
              <w:left w:val="single" w:sz="4" w:space="0" w:color="auto"/>
              <w:right w:val="single" w:sz="4" w:space="0" w:color="auto"/>
            </w:tcBorders>
          </w:tcPr>
          <w:p w14:paraId="4BB97CDD" w14:textId="77777777" w:rsidR="00C86C33" w:rsidRPr="004561A6" w:rsidRDefault="00C86C33" w:rsidP="00B245A8">
            <w:pPr>
              <w:pStyle w:val="TableHeading"/>
              <w:jc w:val="left"/>
              <w:rPr>
                <w:b w:val="0"/>
                <w:sz w:val="18"/>
                <w:szCs w:val="18"/>
              </w:rPr>
            </w:pPr>
            <w:r w:rsidRPr="004561A6">
              <w:rPr>
                <w:b w:val="0"/>
                <w:sz w:val="18"/>
                <w:szCs w:val="18"/>
              </w:rPr>
              <w:t>What did CEW contribute to hydraulic diversity within weir pools?</w:t>
            </w:r>
          </w:p>
        </w:tc>
        <w:tc>
          <w:tcPr>
            <w:tcW w:w="361"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5F7FD28" w14:textId="77777777" w:rsidR="00C86C33" w:rsidRPr="004561A6" w:rsidRDefault="00C86C33" w:rsidP="00B245A8">
            <w:pPr>
              <w:pStyle w:val="TableHeading"/>
              <w:jc w:val="center"/>
              <w:rPr>
                <w:b w:val="0"/>
                <w:sz w:val="18"/>
                <w:szCs w:val="18"/>
              </w:rPr>
            </w:pPr>
            <w:r w:rsidRPr="004561A6">
              <w:rPr>
                <w:b w:val="0"/>
                <w:sz w:val="18"/>
                <w:szCs w:val="18"/>
              </w:rPr>
              <w:t>13 km, 4% (17   km, 5%)</w:t>
            </w:r>
          </w:p>
        </w:tc>
        <w:tc>
          <w:tcPr>
            <w:tcW w:w="385"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5B7BD53" w14:textId="77777777" w:rsidR="00C86C33" w:rsidRPr="004561A6" w:rsidRDefault="00C86C33" w:rsidP="00B245A8">
            <w:pPr>
              <w:pStyle w:val="TableHeading"/>
              <w:jc w:val="center"/>
              <w:rPr>
                <w:b w:val="0"/>
                <w:sz w:val="18"/>
                <w:szCs w:val="18"/>
              </w:rPr>
            </w:pPr>
            <w:r w:rsidRPr="004561A6">
              <w:rPr>
                <w:b w:val="0"/>
                <w:sz w:val="18"/>
                <w:szCs w:val="18"/>
              </w:rPr>
              <w:t>18 km,</w:t>
            </w:r>
            <w:r>
              <w:rPr>
                <w:b w:val="0"/>
                <w:sz w:val="18"/>
                <w:szCs w:val="18"/>
              </w:rPr>
              <w:br/>
            </w:r>
            <w:r w:rsidRPr="004561A6">
              <w:rPr>
                <w:b w:val="0"/>
                <w:sz w:val="18"/>
                <w:szCs w:val="18"/>
              </w:rPr>
              <w:t xml:space="preserve"> 5% (22   km, 6%)</w:t>
            </w:r>
          </w:p>
        </w:tc>
        <w:tc>
          <w:tcPr>
            <w:tcW w:w="363"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4E6F22A" w14:textId="77777777" w:rsidR="00C86C33" w:rsidRPr="004561A6" w:rsidRDefault="00C86C33" w:rsidP="00B245A8">
            <w:pPr>
              <w:pStyle w:val="TableHeading"/>
              <w:jc w:val="center"/>
              <w:rPr>
                <w:b w:val="0"/>
                <w:sz w:val="18"/>
                <w:szCs w:val="18"/>
              </w:rPr>
            </w:pPr>
            <w:r w:rsidRPr="004561A6">
              <w:rPr>
                <w:b w:val="0"/>
                <w:sz w:val="18"/>
                <w:szCs w:val="18"/>
              </w:rPr>
              <w:t>20 km, 6% (53   km, 15%)</w:t>
            </w:r>
          </w:p>
        </w:tc>
        <w:tc>
          <w:tcPr>
            <w:tcW w:w="434" w:type="pct"/>
            <w:tcBorders>
              <w:top w:val="single" w:sz="4" w:space="0" w:color="auto"/>
              <w:left w:val="single" w:sz="4" w:space="0" w:color="auto"/>
              <w:bottom w:val="single" w:sz="4" w:space="0" w:color="auto"/>
              <w:right w:val="single" w:sz="4" w:space="0" w:color="auto"/>
            </w:tcBorders>
            <w:shd w:val="clear" w:color="auto" w:fill="70AD47" w:themeFill="accent6"/>
          </w:tcPr>
          <w:p w14:paraId="0AE52D5F" w14:textId="77777777" w:rsidR="00C86C33" w:rsidRPr="004561A6" w:rsidRDefault="00C86C33" w:rsidP="00B245A8">
            <w:pPr>
              <w:pStyle w:val="TableHeading"/>
              <w:jc w:val="center"/>
              <w:rPr>
                <w:b w:val="0"/>
                <w:sz w:val="18"/>
                <w:szCs w:val="18"/>
              </w:rPr>
            </w:pPr>
            <w:r w:rsidRPr="004561A6">
              <w:rPr>
                <w:b w:val="0"/>
                <w:sz w:val="18"/>
                <w:szCs w:val="18"/>
              </w:rPr>
              <w:t xml:space="preserve">36 km, </w:t>
            </w:r>
            <w:r>
              <w:rPr>
                <w:b w:val="0"/>
                <w:sz w:val="18"/>
                <w:szCs w:val="18"/>
              </w:rPr>
              <w:br/>
            </w:r>
            <w:r w:rsidRPr="004561A6">
              <w:rPr>
                <w:b w:val="0"/>
                <w:sz w:val="18"/>
                <w:szCs w:val="18"/>
              </w:rPr>
              <w:t>10% (49   km, 14%)</w:t>
            </w:r>
          </w:p>
        </w:tc>
        <w:tc>
          <w:tcPr>
            <w:tcW w:w="345"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50A4F82" w14:textId="77777777" w:rsidR="00C86C33" w:rsidRPr="004561A6" w:rsidRDefault="00C86C33" w:rsidP="00B245A8">
            <w:pPr>
              <w:pStyle w:val="TableHeading"/>
              <w:jc w:val="center"/>
              <w:rPr>
                <w:b w:val="0"/>
                <w:sz w:val="18"/>
                <w:szCs w:val="18"/>
              </w:rPr>
            </w:pPr>
            <w:r w:rsidRPr="004561A6">
              <w:rPr>
                <w:b w:val="0"/>
                <w:sz w:val="18"/>
                <w:szCs w:val="18"/>
              </w:rPr>
              <w:t>15 km, 4% (19   km, 6%)</w:t>
            </w:r>
          </w:p>
        </w:tc>
        <w:tc>
          <w:tcPr>
            <w:tcW w:w="393" w:type="pct"/>
            <w:tcBorders>
              <w:top w:val="single" w:sz="4" w:space="0" w:color="auto"/>
              <w:left w:val="single" w:sz="4" w:space="0" w:color="auto"/>
              <w:bottom w:val="single" w:sz="4" w:space="0" w:color="auto"/>
              <w:right w:val="single" w:sz="4" w:space="0" w:color="auto"/>
            </w:tcBorders>
            <w:shd w:val="clear" w:color="auto" w:fill="70AD47" w:themeFill="accent6"/>
          </w:tcPr>
          <w:p w14:paraId="4798F855" w14:textId="77777777" w:rsidR="00C86C33" w:rsidRPr="004561A6" w:rsidRDefault="00C86C33" w:rsidP="00B245A8">
            <w:pPr>
              <w:pStyle w:val="TableHeading"/>
              <w:jc w:val="center"/>
              <w:rPr>
                <w:b w:val="0"/>
                <w:sz w:val="18"/>
                <w:szCs w:val="18"/>
              </w:rPr>
            </w:pPr>
            <w:r w:rsidRPr="004561A6">
              <w:rPr>
                <w:b w:val="0"/>
                <w:sz w:val="18"/>
                <w:szCs w:val="18"/>
              </w:rPr>
              <w:t>33 km, 10% (73   km, 22%)</w:t>
            </w:r>
          </w:p>
        </w:tc>
        <w:tc>
          <w:tcPr>
            <w:tcW w:w="345" w:type="pct"/>
            <w:tcBorders>
              <w:top w:val="single" w:sz="4" w:space="0" w:color="auto"/>
              <w:left w:val="single" w:sz="4" w:space="0" w:color="auto"/>
              <w:bottom w:val="single" w:sz="4" w:space="0" w:color="auto"/>
              <w:right w:val="single" w:sz="4" w:space="0" w:color="auto"/>
            </w:tcBorders>
            <w:shd w:val="clear" w:color="auto" w:fill="70AD47" w:themeFill="accent6"/>
          </w:tcPr>
          <w:p w14:paraId="527BA101" w14:textId="77777777" w:rsidR="00C86C33" w:rsidRPr="004561A6" w:rsidRDefault="00C86C33" w:rsidP="00B245A8">
            <w:pPr>
              <w:pStyle w:val="TableHeading"/>
              <w:jc w:val="center"/>
              <w:rPr>
                <w:b w:val="0"/>
                <w:sz w:val="18"/>
                <w:szCs w:val="18"/>
              </w:rPr>
            </w:pPr>
            <w:r w:rsidRPr="004561A6">
              <w:rPr>
                <w:b w:val="0"/>
                <w:sz w:val="18"/>
                <w:szCs w:val="18"/>
              </w:rPr>
              <w:t xml:space="preserve">31 km, 9% </w:t>
            </w:r>
            <w:r>
              <w:rPr>
                <w:b w:val="0"/>
                <w:sz w:val="18"/>
                <w:szCs w:val="18"/>
              </w:rPr>
              <w:br/>
            </w:r>
            <w:r w:rsidRPr="004561A6">
              <w:rPr>
                <w:b w:val="0"/>
                <w:sz w:val="18"/>
                <w:szCs w:val="18"/>
              </w:rPr>
              <w:t>(84 km 25%)</w:t>
            </w:r>
          </w:p>
        </w:tc>
        <w:tc>
          <w:tcPr>
            <w:tcW w:w="343"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BDC922E" w14:textId="77777777" w:rsidR="00C86C33" w:rsidRPr="004561A6" w:rsidRDefault="00C86C33" w:rsidP="00B245A8">
            <w:pPr>
              <w:pStyle w:val="TableHeading"/>
              <w:jc w:val="center"/>
              <w:rPr>
                <w:b w:val="0"/>
                <w:sz w:val="18"/>
                <w:szCs w:val="18"/>
              </w:rPr>
            </w:pPr>
            <w:bookmarkStart w:id="148" w:name="_Hlk121237024"/>
            <w:r w:rsidRPr="004561A6">
              <w:rPr>
                <w:b w:val="0"/>
                <w:sz w:val="18"/>
                <w:szCs w:val="18"/>
              </w:rPr>
              <w:t>24 km</w:t>
            </w:r>
            <w:r>
              <w:rPr>
                <w:b w:val="0"/>
                <w:sz w:val="18"/>
                <w:szCs w:val="18"/>
              </w:rPr>
              <w:t>,</w:t>
            </w:r>
            <w:r w:rsidRPr="004561A6">
              <w:rPr>
                <w:b w:val="0"/>
                <w:sz w:val="18"/>
                <w:szCs w:val="18"/>
              </w:rPr>
              <w:t xml:space="preserve"> 8% </w:t>
            </w:r>
            <w:r>
              <w:rPr>
                <w:b w:val="0"/>
                <w:sz w:val="18"/>
                <w:szCs w:val="18"/>
              </w:rPr>
              <w:br/>
            </w:r>
            <w:r w:rsidRPr="004561A6">
              <w:rPr>
                <w:b w:val="0"/>
                <w:sz w:val="18"/>
                <w:szCs w:val="18"/>
              </w:rPr>
              <w:t>(1 km</w:t>
            </w:r>
            <w:r>
              <w:rPr>
                <w:b w:val="0"/>
                <w:sz w:val="18"/>
                <w:szCs w:val="18"/>
              </w:rPr>
              <w:t>,</w:t>
            </w:r>
            <w:r>
              <w:rPr>
                <w:b w:val="0"/>
                <w:sz w:val="18"/>
                <w:szCs w:val="18"/>
              </w:rPr>
              <w:br/>
              <w:t xml:space="preserve"> </w:t>
            </w:r>
            <w:r w:rsidRPr="004561A6">
              <w:rPr>
                <w:b w:val="0"/>
                <w:sz w:val="18"/>
                <w:szCs w:val="18"/>
              </w:rPr>
              <w:t xml:space="preserve"> &lt;1%)</w:t>
            </w:r>
          </w:p>
        </w:tc>
        <w:bookmarkEnd w:id="148"/>
        <w:tc>
          <w:tcPr>
            <w:tcW w:w="34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7E0E15B" w14:textId="77777777" w:rsidR="00C86C33" w:rsidRDefault="00C86C33" w:rsidP="00B245A8">
            <w:pPr>
              <w:pStyle w:val="TableHeading"/>
              <w:rPr>
                <w:b w:val="0"/>
                <w:sz w:val="18"/>
                <w:szCs w:val="18"/>
              </w:rPr>
            </w:pPr>
            <w:r>
              <w:rPr>
                <w:b w:val="0"/>
                <w:sz w:val="18"/>
                <w:szCs w:val="18"/>
              </w:rPr>
              <w:t>&lt;1 km, &lt;1%</w:t>
            </w:r>
          </w:p>
          <w:p w14:paraId="5932103C" w14:textId="77777777" w:rsidR="00C86C33" w:rsidRPr="004561A6" w:rsidRDefault="00C86C33" w:rsidP="00B245A8">
            <w:pPr>
              <w:pStyle w:val="TableHeading"/>
              <w:rPr>
                <w:b w:val="0"/>
                <w:sz w:val="18"/>
                <w:szCs w:val="18"/>
              </w:rPr>
            </w:pPr>
            <w:r>
              <w:rPr>
                <w:b w:val="0"/>
                <w:sz w:val="18"/>
                <w:szCs w:val="18"/>
              </w:rPr>
              <w:t>(&lt;1 km, &lt;1%)</w:t>
            </w:r>
          </w:p>
        </w:tc>
        <w:tc>
          <w:tcPr>
            <w:tcW w:w="1020"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0A5C621" w14:textId="37E0B1E8" w:rsidR="00C86C33" w:rsidRPr="004561A6" w:rsidRDefault="00165270" w:rsidP="00B245A8">
            <w:pPr>
              <w:pStyle w:val="TableHeading"/>
              <w:rPr>
                <w:b w:val="0"/>
                <w:sz w:val="18"/>
                <w:szCs w:val="18"/>
              </w:rPr>
            </w:pPr>
            <w:r w:rsidRPr="004561A6">
              <w:rPr>
                <w:b w:val="0"/>
                <w:sz w:val="18"/>
                <w:szCs w:val="18"/>
              </w:rPr>
              <w:t>CEW increased the maximum length of river with lotic conditions</w:t>
            </w:r>
            <w:r>
              <w:rPr>
                <w:b w:val="0"/>
                <w:sz w:val="18"/>
                <w:szCs w:val="18"/>
              </w:rPr>
              <w:t xml:space="preserve"> (v&gt;0.3 m/s) </w:t>
            </w:r>
            <w:r w:rsidRPr="004561A6">
              <w:rPr>
                <w:b w:val="0"/>
                <w:sz w:val="18"/>
                <w:szCs w:val="18"/>
              </w:rPr>
              <w:t xml:space="preserve">for at least 30 days by </w:t>
            </w:r>
            <w:r>
              <w:rPr>
                <w:b w:val="0"/>
                <w:sz w:val="18"/>
                <w:szCs w:val="18"/>
              </w:rPr>
              <w:t>less than 1 km or &lt;1</w:t>
            </w:r>
            <w:r w:rsidRPr="004561A6">
              <w:rPr>
                <w:b w:val="0"/>
                <w:sz w:val="18"/>
                <w:szCs w:val="18"/>
              </w:rPr>
              <w:t xml:space="preserve">% (an additional </w:t>
            </w:r>
            <w:r>
              <w:rPr>
                <w:b w:val="0"/>
                <w:sz w:val="18"/>
                <w:szCs w:val="18"/>
              </w:rPr>
              <w:t>&lt;</w:t>
            </w:r>
            <w:r w:rsidRPr="004561A6">
              <w:rPr>
                <w:b w:val="0"/>
                <w:sz w:val="18"/>
                <w:szCs w:val="18"/>
              </w:rPr>
              <w:t>1 km or &lt;1% for at least 14 days)</w:t>
            </w:r>
          </w:p>
        </w:tc>
      </w:tr>
      <w:tr w:rsidR="00C86C33" w:rsidRPr="004561A6" w14:paraId="74824466" w14:textId="77777777" w:rsidTr="00B245A8">
        <w:trPr>
          <w:cantSplit/>
          <w:trHeight w:val="20"/>
        </w:trPr>
        <w:tc>
          <w:tcPr>
            <w:tcW w:w="670" w:type="pct"/>
            <w:vMerge/>
            <w:tcBorders>
              <w:left w:val="single" w:sz="4" w:space="0" w:color="auto"/>
              <w:bottom w:val="single" w:sz="4" w:space="0" w:color="auto"/>
              <w:right w:val="single" w:sz="4" w:space="0" w:color="auto"/>
            </w:tcBorders>
          </w:tcPr>
          <w:p w14:paraId="2837DC6E" w14:textId="77777777" w:rsidR="00C86C33" w:rsidRPr="004561A6" w:rsidRDefault="00C86C33" w:rsidP="00B245A8">
            <w:pPr>
              <w:pStyle w:val="TableHeading"/>
              <w:jc w:val="left"/>
              <w:rPr>
                <w:b w:val="0"/>
                <w:sz w:val="18"/>
                <w:szCs w:val="18"/>
              </w:rPr>
            </w:pPr>
          </w:p>
        </w:tc>
        <w:tc>
          <w:tcPr>
            <w:tcW w:w="4329" w:type="pct"/>
            <w:gridSpan w:val="10"/>
            <w:tcBorders>
              <w:left w:val="single" w:sz="4" w:space="0" w:color="auto"/>
              <w:bottom w:val="single" w:sz="4" w:space="0" w:color="auto"/>
              <w:right w:val="single" w:sz="4" w:space="0" w:color="auto"/>
            </w:tcBorders>
            <w:shd w:val="clear" w:color="auto" w:fill="FFFFFF" w:themeFill="background1"/>
          </w:tcPr>
          <w:p w14:paraId="02103C2F" w14:textId="29E142EF" w:rsidR="00C86C33" w:rsidRPr="004561A6" w:rsidRDefault="00C86C33" w:rsidP="00B245A8">
            <w:pPr>
              <w:pStyle w:val="TableHeading"/>
              <w:rPr>
                <w:b w:val="0"/>
                <w:sz w:val="18"/>
                <w:szCs w:val="18"/>
              </w:rPr>
            </w:pPr>
            <w:r>
              <w:rPr>
                <w:b w:val="0"/>
                <w:sz w:val="18"/>
                <w:szCs w:val="18"/>
              </w:rPr>
              <w:t>The unregulated flow event of flow to SA &gt;48,000 ML/d for 30 days over late August – early September created lotic conditions throughout the LMR for a duration exceeding 30 days, without environmental water.  Hence there was little scope for CEW to contribute further to hydraulic diversity as defined by this metric and a negligible contribution is determined. However, CEW did increase the hydraulic diversity over the water year, with the length of river with velocity &gt; 0.3 m/s totalled over the year increasing from 41,600 km d to 54,186 km d, an increase of 30%.</w:t>
            </w:r>
          </w:p>
          <w:p w14:paraId="43E190D8" w14:textId="2EA08437" w:rsidR="00C86C33" w:rsidRDefault="00C86C33" w:rsidP="00B245A8">
            <w:pPr>
              <w:pStyle w:val="TableHeading"/>
              <w:rPr>
                <w:b w:val="0"/>
                <w:sz w:val="18"/>
                <w:szCs w:val="18"/>
              </w:rPr>
            </w:pPr>
            <w:r w:rsidRPr="004561A6">
              <w:rPr>
                <w:b w:val="0"/>
                <w:sz w:val="18"/>
                <w:szCs w:val="18"/>
              </w:rPr>
              <w:t>Length of river with lotic conditions (velocity &gt;0.3 m/s) has been used to represent hydraulic diversity. If there is some fast-flowing water, it is expected there will be greater hydraulic diversity due to changes in habitat complexity (bends, backwaters, benches, etc.). Length of river with lotic conditions exceeded for 30 days over the year is presented, and 14 days in brackets. The time periods represent a number of flow-related ecological or life</w:t>
            </w:r>
            <w:r w:rsidR="00A42DE2">
              <w:rPr>
                <w:b w:val="0"/>
                <w:sz w:val="18"/>
                <w:szCs w:val="18"/>
              </w:rPr>
              <w:t xml:space="preserve"> </w:t>
            </w:r>
            <w:r w:rsidRPr="004561A6">
              <w:rPr>
                <w:b w:val="0"/>
                <w:sz w:val="18"/>
                <w:szCs w:val="18"/>
              </w:rPr>
              <w:t>history processes that could occur over periods of ~2−4 weeks. Total length of river assessed in the LMR = 3</w:t>
            </w:r>
            <w:r>
              <w:rPr>
                <w:b w:val="0"/>
                <w:sz w:val="18"/>
                <w:szCs w:val="18"/>
              </w:rPr>
              <w:t>3</w:t>
            </w:r>
            <w:r w:rsidRPr="004561A6">
              <w:rPr>
                <w:b w:val="0"/>
                <w:sz w:val="18"/>
                <w:szCs w:val="18"/>
              </w:rPr>
              <w:t>5 km.</w:t>
            </w:r>
            <w:r>
              <w:rPr>
                <w:b w:val="0"/>
                <w:sz w:val="18"/>
                <w:szCs w:val="18"/>
              </w:rPr>
              <w:t xml:space="preserve"> </w:t>
            </w:r>
            <w:r w:rsidRPr="00A67221">
              <w:rPr>
                <w:b w:val="0"/>
                <w:sz w:val="18"/>
                <w:szCs w:val="18"/>
              </w:rPr>
              <w:t>A substantial contribution was considered an increase</w:t>
            </w:r>
            <w:r>
              <w:rPr>
                <w:b w:val="0"/>
                <w:sz w:val="18"/>
                <w:szCs w:val="18"/>
              </w:rPr>
              <w:t xml:space="preserve"> in</w:t>
            </w:r>
            <w:r w:rsidRPr="00A67221">
              <w:rPr>
                <w:b w:val="0"/>
                <w:sz w:val="18"/>
                <w:szCs w:val="18"/>
              </w:rPr>
              <w:t xml:space="preserve"> the maximum length of river with lotic conditions for at least 30 days by </w:t>
            </w:r>
            <w:r>
              <w:rPr>
                <w:b w:val="0"/>
                <w:sz w:val="18"/>
                <w:szCs w:val="18"/>
              </w:rPr>
              <w:t>2</w:t>
            </w:r>
            <w:r w:rsidRPr="00A67221">
              <w:rPr>
                <w:b w:val="0"/>
                <w:sz w:val="18"/>
                <w:szCs w:val="18"/>
              </w:rPr>
              <w:t xml:space="preserve">0% or greater, moderate </w:t>
            </w:r>
            <w:r>
              <w:rPr>
                <w:b w:val="0"/>
                <w:sz w:val="18"/>
                <w:szCs w:val="18"/>
              </w:rPr>
              <w:t>9</w:t>
            </w:r>
            <w:r w:rsidRPr="00A67221">
              <w:rPr>
                <w:b w:val="0"/>
                <w:sz w:val="18"/>
                <w:szCs w:val="18"/>
              </w:rPr>
              <w:t xml:space="preserve">–19%, minor </w:t>
            </w:r>
            <w:r>
              <w:rPr>
                <w:b w:val="0"/>
                <w:sz w:val="18"/>
                <w:szCs w:val="18"/>
              </w:rPr>
              <w:t>4</w:t>
            </w:r>
            <w:r w:rsidRPr="00A67221">
              <w:rPr>
                <w:b w:val="0"/>
                <w:sz w:val="18"/>
                <w:szCs w:val="18"/>
              </w:rPr>
              <w:t>–</w:t>
            </w:r>
            <w:r>
              <w:rPr>
                <w:b w:val="0"/>
                <w:sz w:val="18"/>
                <w:szCs w:val="18"/>
              </w:rPr>
              <w:t>8</w:t>
            </w:r>
            <w:r w:rsidRPr="00A67221">
              <w:rPr>
                <w:b w:val="0"/>
                <w:sz w:val="18"/>
                <w:szCs w:val="18"/>
              </w:rPr>
              <w:t>%, negligible &lt;</w:t>
            </w:r>
            <w:r>
              <w:rPr>
                <w:b w:val="0"/>
                <w:sz w:val="18"/>
                <w:szCs w:val="18"/>
              </w:rPr>
              <w:t>4</w:t>
            </w:r>
            <w:r w:rsidRPr="00A67221">
              <w:rPr>
                <w:b w:val="0"/>
                <w:sz w:val="18"/>
                <w:szCs w:val="18"/>
              </w:rPr>
              <w:t>%.</w:t>
            </w:r>
            <w:r>
              <w:rPr>
                <w:b w:val="0"/>
                <w:sz w:val="18"/>
                <w:szCs w:val="18"/>
              </w:rPr>
              <w:t xml:space="preserve"> </w:t>
            </w:r>
          </w:p>
          <w:p w14:paraId="3F7E8A09" w14:textId="77777777" w:rsidR="00C86C33" w:rsidRPr="004561A6" w:rsidRDefault="00C86C33" w:rsidP="00B245A8">
            <w:pPr>
              <w:pStyle w:val="TableHeading"/>
              <w:rPr>
                <w:b w:val="0"/>
                <w:sz w:val="18"/>
                <w:szCs w:val="18"/>
              </w:rPr>
            </w:pPr>
            <w:r>
              <w:rPr>
                <w:b w:val="0"/>
                <w:sz w:val="18"/>
                <w:szCs w:val="18"/>
              </w:rPr>
              <w:t>This is not a long-term evaluation question.</w:t>
            </w:r>
          </w:p>
        </w:tc>
      </w:tr>
      <w:tr w:rsidR="00C86C33" w:rsidRPr="004561A6" w14:paraId="088BA825" w14:textId="77777777" w:rsidTr="00B245A8">
        <w:trPr>
          <w:cantSplit/>
          <w:trHeight w:val="20"/>
        </w:trPr>
        <w:tc>
          <w:tcPr>
            <w:tcW w:w="670" w:type="pct"/>
            <w:vMerge w:val="restart"/>
            <w:tcBorders>
              <w:top w:val="single" w:sz="4" w:space="0" w:color="auto"/>
              <w:left w:val="single" w:sz="4" w:space="0" w:color="auto"/>
              <w:right w:val="single" w:sz="4" w:space="0" w:color="auto"/>
            </w:tcBorders>
          </w:tcPr>
          <w:p w14:paraId="4486E1AF" w14:textId="77777777" w:rsidR="00C86C33" w:rsidRPr="004561A6" w:rsidRDefault="00C86C33" w:rsidP="00B245A8">
            <w:pPr>
              <w:rPr>
                <w:sz w:val="18"/>
                <w:szCs w:val="18"/>
              </w:rPr>
            </w:pPr>
            <w:r w:rsidRPr="004561A6">
              <w:rPr>
                <w:sz w:val="18"/>
                <w:szCs w:val="18"/>
              </w:rPr>
              <w:t>What did CEW contribute to variability in water levels within weir pools?</w:t>
            </w:r>
            <w:r w:rsidRPr="004561A6">
              <w:rPr>
                <w:sz w:val="18"/>
                <w:szCs w:val="18"/>
                <w:vertAlign w:val="superscript"/>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58CCE52" w14:textId="77777777" w:rsidR="00C86C33" w:rsidRPr="004561A6" w:rsidRDefault="00C86C33" w:rsidP="00B245A8">
            <w:pPr>
              <w:rPr>
                <w:sz w:val="18"/>
                <w:szCs w:val="18"/>
              </w:rPr>
            </w:pPr>
            <w:r w:rsidRPr="004561A6">
              <w:rPr>
                <w:sz w:val="18"/>
                <w:szCs w:val="18"/>
              </w:rPr>
              <w:t>0.03 m</w:t>
            </w:r>
            <w:r>
              <w:rPr>
                <w:sz w:val="18"/>
                <w:szCs w:val="18"/>
              </w:rPr>
              <w:t xml:space="preserve"> </w:t>
            </w:r>
          </w:p>
        </w:tc>
        <w:tc>
          <w:tcPr>
            <w:tcW w:w="385"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5D3C7CE" w14:textId="77777777" w:rsidR="00C86C33" w:rsidRPr="004561A6" w:rsidRDefault="00C86C33" w:rsidP="00B245A8">
            <w:pPr>
              <w:rPr>
                <w:sz w:val="18"/>
                <w:szCs w:val="18"/>
              </w:rPr>
            </w:pPr>
            <w:r w:rsidRPr="004561A6">
              <w:rPr>
                <w:sz w:val="18"/>
                <w:szCs w:val="18"/>
              </w:rPr>
              <w:t>0.06 m</w:t>
            </w:r>
            <w:r>
              <w:rPr>
                <w:sz w:val="18"/>
                <w:szCs w:val="18"/>
              </w:rPr>
              <w:t xml:space="preserve"> </w:t>
            </w:r>
          </w:p>
        </w:tc>
        <w:tc>
          <w:tcPr>
            <w:tcW w:w="363"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8A4DD2A" w14:textId="77777777" w:rsidR="00C86C33" w:rsidRPr="004561A6" w:rsidRDefault="00C86C33" w:rsidP="00B245A8">
            <w:pPr>
              <w:rPr>
                <w:sz w:val="18"/>
                <w:szCs w:val="18"/>
              </w:rPr>
            </w:pPr>
            <w:r w:rsidRPr="004561A6">
              <w:rPr>
                <w:sz w:val="18"/>
                <w:szCs w:val="18"/>
              </w:rPr>
              <w:t>0.01 m</w:t>
            </w:r>
            <w:r>
              <w:rPr>
                <w:sz w:val="18"/>
                <w:szCs w:val="18"/>
              </w:rPr>
              <w:t xml:space="preserve"> </w:t>
            </w:r>
          </w:p>
        </w:tc>
        <w:tc>
          <w:tcPr>
            <w:tcW w:w="434" w:type="pct"/>
            <w:tcBorders>
              <w:top w:val="single" w:sz="4" w:space="0" w:color="auto"/>
              <w:left w:val="single" w:sz="4" w:space="0" w:color="auto"/>
              <w:bottom w:val="single" w:sz="4" w:space="0" w:color="auto"/>
              <w:right w:val="single" w:sz="4" w:space="0" w:color="auto"/>
            </w:tcBorders>
            <w:shd w:val="clear" w:color="auto" w:fill="70AD47" w:themeFill="accent6"/>
          </w:tcPr>
          <w:p w14:paraId="57C557FE" w14:textId="77777777" w:rsidR="00C86C33" w:rsidRPr="004561A6" w:rsidRDefault="00C86C33" w:rsidP="00B245A8">
            <w:pPr>
              <w:rPr>
                <w:sz w:val="18"/>
                <w:szCs w:val="18"/>
              </w:rPr>
            </w:pPr>
            <w:r w:rsidRPr="004561A6">
              <w:rPr>
                <w:sz w:val="18"/>
                <w:szCs w:val="18"/>
              </w:rPr>
              <w:t>0.14 m</w:t>
            </w:r>
            <w:r>
              <w:rPr>
                <w:sz w:val="18"/>
                <w:szCs w:val="18"/>
              </w:rPr>
              <w:t xml:space="preserve"> </w:t>
            </w:r>
          </w:p>
        </w:tc>
        <w:tc>
          <w:tcPr>
            <w:tcW w:w="345"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8CD8CE8" w14:textId="77777777" w:rsidR="00C86C33" w:rsidRPr="004561A6" w:rsidRDefault="00C86C33" w:rsidP="00B245A8">
            <w:pPr>
              <w:rPr>
                <w:sz w:val="18"/>
                <w:szCs w:val="18"/>
              </w:rPr>
            </w:pPr>
            <w:r w:rsidRPr="004561A6">
              <w:rPr>
                <w:sz w:val="18"/>
                <w:szCs w:val="18"/>
              </w:rPr>
              <w:t>0.09 m</w:t>
            </w:r>
            <w:r>
              <w:rPr>
                <w:sz w:val="18"/>
                <w:szCs w:val="18"/>
              </w:rPr>
              <w:t xml:space="preserve"> </w:t>
            </w:r>
          </w:p>
        </w:tc>
        <w:tc>
          <w:tcPr>
            <w:tcW w:w="393"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0A36DC3" w14:textId="77777777" w:rsidR="00C86C33" w:rsidRPr="004561A6" w:rsidRDefault="00C86C33" w:rsidP="00B245A8">
            <w:pPr>
              <w:rPr>
                <w:sz w:val="18"/>
                <w:szCs w:val="18"/>
              </w:rPr>
            </w:pPr>
            <w:r w:rsidRPr="004561A6">
              <w:rPr>
                <w:sz w:val="18"/>
                <w:szCs w:val="18"/>
              </w:rPr>
              <w:t>0.06 m</w:t>
            </w:r>
            <w:r>
              <w:rPr>
                <w:sz w:val="18"/>
                <w:szCs w:val="18"/>
              </w:rPr>
              <w:t xml:space="preserve"> </w:t>
            </w:r>
          </w:p>
        </w:tc>
        <w:tc>
          <w:tcPr>
            <w:tcW w:w="345" w:type="pct"/>
            <w:tcBorders>
              <w:top w:val="single" w:sz="4" w:space="0" w:color="auto"/>
              <w:left w:val="single" w:sz="4" w:space="0" w:color="auto"/>
              <w:bottom w:val="single" w:sz="4" w:space="0" w:color="auto"/>
              <w:right w:val="single" w:sz="4" w:space="0" w:color="auto"/>
            </w:tcBorders>
            <w:shd w:val="clear" w:color="auto" w:fill="70AD47" w:themeFill="accent6"/>
          </w:tcPr>
          <w:p w14:paraId="68B67E45" w14:textId="77777777" w:rsidR="00C86C33" w:rsidRPr="004561A6" w:rsidRDefault="00C86C33" w:rsidP="00B245A8">
            <w:pPr>
              <w:rPr>
                <w:sz w:val="18"/>
                <w:szCs w:val="18"/>
              </w:rPr>
            </w:pPr>
            <w:r w:rsidRPr="004561A6">
              <w:rPr>
                <w:sz w:val="18"/>
                <w:szCs w:val="18"/>
              </w:rPr>
              <w:t>0.12 m</w:t>
            </w:r>
            <w:r>
              <w:rPr>
                <w:sz w:val="18"/>
                <w:szCs w:val="18"/>
              </w:rPr>
              <w:t xml:space="preserve"> </w:t>
            </w:r>
          </w:p>
        </w:tc>
        <w:tc>
          <w:tcPr>
            <w:tcW w:w="343"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C171241" w14:textId="77777777" w:rsidR="00C86C33" w:rsidRPr="004561A6" w:rsidRDefault="00C86C33" w:rsidP="00B245A8">
            <w:pPr>
              <w:rPr>
                <w:sz w:val="18"/>
                <w:szCs w:val="18"/>
              </w:rPr>
            </w:pPr>
            <w:r w:rsidRPr="004561A6">
              <w:rPr>
                <w:sz w:val="18"/>
                <w:szCs w:val="18"/>
              </w:rPr>
              <w:t>0.01 m</w:t>
            </w:r>
            <w:r>
              <w:rPr>
                <w:sz w:val="18"/>
                <w:szCs w:val="18"/>
              </w:rPr>
              <w:t xml:space="preserve"> </w:t>
            </w:r>
          </w:p>
        </w:tc>
        <w:tc>
          <w:tcPr>
            <w:tcW w:w="34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C2424BF" w14:textId="77777777" w:rsidR="00C86C33" w:rsidRPr="004561A6" w:rsidRDefault="00C86C33" w:rsidP="00B245A8">
            <w:pPr>
              <w:rPr>
                <w:sz w:val="18"/>
                <w:szCs w:val="18"/>
              </w:rPr>
            </w:pPr>
            <w:r>
              <w:rPr>
                <w:sz w:val="18"/>
                <w:szCs w:val="18"/>
              </w:rPr>
              <w:t>-0.29 m</w:t>
            </w:r>
          </w:p>
        </w:tc>
        <w:tc>
          <w:tcPr>
            <w:tcW w:w="1020"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1A2AB1F" w14:textId="77777777" w:rsidR="00C86C33" w:rsidRPr="004561A6" w:rsidRDefault="00C86C33" w:rsidP="00B245A8">
            <w:pPr>
              <w:rPr>
                <w:sz w:val="18"/>
                <w:szCs w:val="18"/>
              </w:rPr>
            </w:pPr>
            <w:r w:rsidRPr="004561A6">
              <w:rPr>
                <w:sz w:val="18"/>
                <w:szCs w:val="18"/>
              </w:rPr>
              <w:t xml:space="preserve">Interquartile range (IQR) in water level </w:t>
            </w:r>
            <w:r>
              <w:rPr>
                <w:sz w:val="18"/>
                <w:szCs w:val="18"/>
              </w:rPr>
              <w:t>decreased</w:t>
            </w:r>
            <w:r w:rsidRPr="004561A6">
              <w:rPr>
                <w:sz w:val="18"/>
                <w:szCs w:val="18"/>
              </w:rPr>
              <w:t xml:space="preserve"> by 0.</w:t>
            </w:r>
            <w:r>
              <w:rPr>
                <w:sz w:val="18"/>
                <w:szCs w:val="18"/>
              </w:rPr>
              <w:t>08</w:t>
            </w:r>
            <w:r w:rsidRPr="004561A6">
              <w:rPr>
                <w:sz w:val="18"/>
                <w:szCs w:val="18"/>
              </w:rPr>
              <w:t> m</w:t>
            </w:r>
            <w:r>
              <w:rPr>
                <w:sz w:val="18"/>
                <w:szCs w:val="18"/>
              </w:rPr>
              <w:t xml:space="preserve"> (6%)</w:t>
            </w:r>
            <w:r w:rsidRPr="004561A6">
              <w:rPr>
                <w:sz w:val="18"/>
                <w:szCs w:val="18"/>
              </w:rPr>
              <w:t xml:space="preserve"> due to CEW</w:t>
            </w:r>
            <w:r>
              <w:rPr>
                <w:sz w:val="18"/>
                <w:szCs w:val="18"/>
              </w:rPr>
              <w:t>.</w:t>
            </w:r>
          </w:p>
        </w:tc>
      </w:tr>
      <w:tr w:rsidR="00C86C33" w:rsidRPr="004561A6" w14:paraId="02A9E394" w14:textId="77777777" w:rsidTr="00B245A8">
        <w:trPr>
          <w:cantSplit/>
          <w:trHeight w:val="20"/>
        </w:trPr>
        <w:tc>
          <w:tcPr>
            <w:tcW w:w="670" w:type="pct"/>
            <w:vMerge/>
            <w:tcBorders>
              <w:left w:val="single" w:sz="4" w:space="0" w:color="auto"/>
              <w:bottom w:val="single" w:sz="4" w:space="0" w:color="auto"/>
              <w:right w:val="single" w:sz="4" w:space="0" w:color="auto"/>
            </w:tcBorders>
          </w:tcPr>
          <w:p w14:paraId="70BE4BDC" w14:textId="77777777" w:rsidR="00C86C33" w:rsidRPr="004561A6" w:rsidRDefault="00C86C33" w:rsidP="00B245A8">
            <w:pPr>
              <w:rPr>
                <w:sz w:val="18"/>
                <w:szCs w:val="18"/>
              </w:rPr>
            </w:pPr>
          </w:p>
        </w:tc>
        <w:tc>
          <w:tcPr>
            <w:tcW w:w="4329" w:type="pct"/>
            <w:gridSpan w:val="10"/>
            <w:tcBorders>
              <w:left w:val="single" w:sz="4" w:space="0" w:color="auto"/>
              <w:bottom w:val="single" w:sz="4" w:space="0" w:color="auto"/>
              <w:right w:val="single" w:sz="4" w:space="0" w:color="auto"/>
            </w:tcBorders>
            <w:shd w:val="clear" w:color="auto" w:fill="FFFFFF" w:themeFill="background1"/>
          </w:tcPr>
          <w:p w14:paraId="4F712E82" w14:textId="5ECEC41D" w:rsidR="00C86C33" w:rsidRDefault="00C86C33" w:rsidP="00B245A8">
            <w:pPr>
              <w:rPr>
                <w:sz w:val="18"/>
                <w:szCs w:val="18"/>
              </w:rPr>
            </w:pPr>
            <w:r>
              <w:rPr>
                <w:sz w:val="18"/>
                <w:szCs w:val="18"/>
              </w:rPr>
              <w:t xml:space="preserve">Despite maintaining relatively constant flow to SA over October and November, </w:t>
            </w:r>
            <w:r w:rsidRPr="004561A6">
              <w:rPr>
                <w:sz w:val="18"/>
                <w:szCs w:val="18"/>
              </w:rPr>
              <w:t>CEW</w:t>
            </w:r>
            <w:r>
              <w:rPr>
                <w:sz w:val="18"/>
                <w:szCs w:val="18"/>
              </w:rPr>
              <w:t xml:space="preserve"> made a minor contribution to</w:t>
            </w:r>
            <w:r w:rsidRPr="004561A6">
              <w:rPr>
                <w:sz w:val="18"/>
                <w:szCs w:val="18"/>
              </w:rPr>
              <w:t xml:space="preserve"> water level variability in 202</w:t>
            </w:r>
            <w:r>
              <w:rPr>
                <w:sz w:val="18"/>
                <w:szCs w:val="18"/>
              </w:rPr>
              <w:t>3</w:t>
            </w:r>
            <w:r w:rsidRPr="004561A6">
              <w:rPr>
                <w:sz w:val="18"/>
                <w:szCs w:val="18"/>
              </w:rPr>
              <w:t>-2</w:t>
            </w:r>
            <w:r>
              <w:rPr>
                <w:sz w:val="18"/>
                <w:szCs w:val="18"/>
              </w:rPr>
              <w:t xml:space="preserve">4, as calculated by the IQR </w:t>
            </w:r>
            <w:r w:rsidRPr="004561A6">
              <w:rPr>
                <w:sz w:val="18"/>
                <w:szCs w:val="18"/>
              </w:rPr>
              <w:t>in the upper weir pool water level (i.e. just downstream of each weir) across Weir Pools 1–5</w:t>
            </w:r>
            <w:r>
              <w:rPr>
                <w:sz w:val="18"/>
                <w:szCs w:val="18"/>
              </w:rPr>
              <w:t xml:space="preserve">. </w:t>
            </w:r>
            <w:r w:rsidRPr="004561A6">
              <w:rPr>
                <w:sz w:val="18"/>
                <w:szCs w:val="18"/>
              </w:rPr>
              <w:t>IQR is a measure of variability, as the difference between the 75</w:t>
            </w:r>
            <w:r w:rsidRPr="004561A6">
              <w:rPr>
                <w:sz w:val="18"/>
                <w:szCs w:val="18"/>
                <w:vertAlign w:val="superscript"/>
              </w:rPr>
              <w:t>th</w:t>
            </w:r>
            <w:r w:rsidRPr="004561A6">
              <w:rPr>
                <w:sz w:val="18"/>
                <w:szCs w:val="18"/>
              </w:rPr>
              <w:t xml:space="preserve"> and 25</w:t>
            </w:r>
            <w:r w:rsidRPr="004561A6">
              <w:rPr>
                <w:sz w:val="18"/>
                <w:szCs w:val="18"/>
                <w:vertAlign w:val="superscript"/>
              </w:rPr>
              <w:t>th</w:t>
            </w:r>
            <w:r w:rsidRPr="004561A6">
              <w:rPr>
                <w:sz w:val="18"/>
                <w:szCs w:val="18"/>
              </w:rPr>
              <w:t xml:space="preserve"> percentile values for water level over the year. </w:t>
            </w:r>
            <w:r w:rsidRPr="00A67221">
              <w:rPr>
                <w:sz w:val="18"/>
                <w:szCs w:val="18"/>
              </w:rPr>
              <w:t xml:space="preserve">A substantial contribution was considered an increase in the </w:t>
            </w:r>
            <w:r>
              <w:rPr>
                <w:sz w:val="18"/>
                <w:szCs w:val="18"/>
              </w:rPr>
              <w:t>IQR in water level</w:t>
            </w:r>
            <w:r w:rsidRPr="00A67221">
              <w:rPr>
                <w:sz w:val="18"/>
                <w:szCs w:val="18"/>
              </w:rPr>
              <w:t xml:space="preserve"> by </w:t>
            </w:r>
            <w:r>
              <w:rPr>
                <w:sz w:val="18"/>
                <w:szCs w:val="18"/>
              </w:rPr>
              <w:t>0.2 m</w:t>
            </w:r>
            <w:r w:rsidRPr="00A67221">
              <w:rPr>
                <w:sz w:val="18"/>
                <w:szCs w:val="18"/>
              </w:rPr>
              <w:t xml:space="preserve"> or greater, moderate </w:t>
            </w:r>
            <w:r>
              <w:rPr>
                <w:sz w:val="18"/>
                <w:szCs w:val="18"/>
              </w:rPr>
              <w:t>0.1–0.2 m</w:t>
            </w:r>
            <w:r w:rsidRPr="00A67221">
              <w:rPr>
                <w:sz w:val="18"/>
                <w:szCs w:val="18"/>
              </w:rPr>
              <w:t xml:space="preserve">, minor </w:t>
            </w:r>
            <w:r>
              <w:rPr>
                <w:sz w:val="18"/>
                <w:szCs w:val="18"/>
              </w:rPr>
              <w:t>0.01–0.1 m</w:t>
            </w:r>
            <w:r w:rsidRPr="00A67221">
              <w:rPr>
                <w:sz w:val="18"/>
                <w:szCs w:val="18"/>
              </w:rPr>
              <w:t xml:space="preserve">, negligible </w:t>
            </w:r>
            <w:r>
              <w:rPr>
                <w:sz w:val="18"/>
                <w:szCs w:val="18"/>
              </w:rPr>
              <w:t>&lt;0.01 m</w:t>
            </w:r>
            <w:r w:rsidRPr="00A67221">
              <w:rPr>
                <w:sz w:val="18"/>
                <w:szCs w:val="18"/>
              </w:rPr>
              <w:t>.</w:t>
            </w:r>
            <w:r>
              <w:rPr>
                <w:sz w:val="18"/>
                <w:szCs w:val="18"/>
              </w:rPr>
              <w:t xml:space="preserve"> Negative contribution was assessed qualitatively depending on the objectives in the watering year, e.g. in 2022-23, it was not desirable to further increase variability in water levels.</w:t>
            </w:r>
          </w:p>
          <w:p w14:paraId="4412072B" w14:textId="265783A3" w:rsidR="00C86C33" w:rsidRPr="00A27821" w:rsidRDefault="00165270" w:rsidP="00B245A8">
            <w:pPr>
              <w:pStyle w:val="TableHeading"/>
              <w:rPr>
                <w:b w:val="0"/>
                <w:sz w:val="18"/>
                <w:szCs w:val="18"/>
              </w:rPr>
            </w:pPr>
            <w:r>
              <w:rPr>
                <w:b w:val="0"/>
                <w:sz w:val="18"/>
                <w:szCs w:val="18"/>
              </w:rPr>
              <w:t>This is not a long-term evaluation question.</w:t>
            </w:r>
          </w:p>
        </w:tc>
      </w:tr>
    </w:tbl>
    <w:p w14:paraId="4A8C47E8" w14:textId="77777777" w:rsidR="00C86C33" w:rsidRDefault="00C86C33" w:rsidP="00C86C33"/>
    <w:p w14:paraId="1F2B0600" w14:textId="77777777" w:rsidR="00C43643" w:rsidRDefault="00C43643" w:rsidP="00C86C33"/>
    <w:p w14:paraId="0BB6E6A1" w14:textId="77777777" w:rsidR="00C43643" w:rsidRDefault="00C43643" w:rsidP="00C86C33"/>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6"/>
        <w:gridCol w:w="1417"/>
        <w:gridCol w:w="1136"/>
        <w:gridCol w:w="1133"/>
        <w:gridCol w:w="1278"/>
        <w:gridCol w:w="994"/>
        <w:gridCol w:w="1133"/>
        <w:gridCol w:w="992"/>
        <w:gridCol w:w="994"/>
        <w:gridCol w:w="989"/>
        <w:gridCol w:w="2267"/>
      </w:tblGrid>
      <w:tr w:rsidR="00C43643" w:rsidRPr="004561A6" w14:paraId="416A5F39" w14:textId="77777777" w:rsidTr="006A69B5">
        <w:trPr>
          <w:cantSplit/>
          <w:trHeight w:val="20"/>
          <w:tblHeader/>
        </w:trPr>
        <w:tc>
          <w:tcPr>
            <w:tcW w:w="560" w:type="pct"/>
            <w:vMerge w:val="restart"/>
            <w:tcBorders>
              <w:top w:val="single" w:sz="4" w:space="0" w:color="auto"/>
              <w:left w:val="single" w:sz="4" w:space="0" w:color="auto"/>
              <w:right w:val="single" w:sz="4" w:space="0" w:color="auto"/>
            </w:tcBorders>
          </w:tcPr>
          <w:p w14:paraId="24601D4F" w14:textId="77777777" w:rsidR="00C43643" w:rsidRPr="004561A6" w:rsidRDefault="00C43643" w:rsidP="00C15E9A">
            <w:pPr>
              <w:pStyle w:val="TableHeading"/>
              <w:jc w:val="center"/>
              <w:rPr>
                <w:sz w:val="18"/>
                <w:szCs w:val="18"/>
              </w:rPr>
            </w:pPr>
            <w:r w:rsidRPr="004561A6">
              <w:rPr>
                <w:sz w:val="18"/>
                <w:szCs w:val="18"/>
              </w:rPr>
              <w:lastRenderedPageBreak/>
              <w:t>CEW</w:t>
            </w:r>
            <w:r>
              <w:rPr>
                <w:sz w:val="18"/>
                <w:szCs w:val="18"/>
              </w:rPr>
              <w:t>H</w:t>
            </w:r>
            <w:r w:rsidRPr="004561A6">
              <w:rPr>
                <w:sz w:val="18"/>
                <w:szCs w:val="18"/>
              </w:rPr>
              <w:t xml:space="preserve"> evaluation questions </w:t>
            </w:r>
          </w:p>
        </w:tc>
        <w:tc>
          <w:tcPr>
            <w:tcW w:w="4440" w:type="pct"/>
            <w:gridSpan w:val="10"/>
            <w:tcBorders>
              <w:top w:val="single" w:sz="4" w:space="0" w:color="auto"/>
              <w:left w:val="single" w:sz="4" w:space="0" w:color="auto"/>
              <w:right w:val="single" w:sz="4" w:space="0" w:color="auto"/>
            </w:tcBorders>
          </w:tcPr>
          <w:p w14:paraId="165120F7" w14:textId="77777777" w:rsidR="00C43643" w:rsidRPr="004561A6" w:rsidRDefault="00C43643" w:rsidP="00C15E9A">
            <w:pPr>
              <w:pStyle w:val="TableHeading"/>
              <w:jc w:val="center"/>
              <w:rPr>
                <w:sz w:val="18"/>
                <w:szCs w:val="18"/>
              </w:rPr>
            </w:pPr>
            <w:r w:rsidRPr="004561A6">
              <w:rPr>
                <w:sz w:val="18"/>
                <w:szCs w:val="18"/>
              </w:rPr>
              <w:t>Outcomes of CEW delivery</w:t>
            </w:r>
          </w:p>
        </w:tc>
      </w:tr>
      <w:tr w:rsidR="006A69B5" w:rsidRPr="004561A6" w14:paraId="0CD644E3" w14:textId="77777777" w:rsidTr="006A69B5">
        <w:trPr>
          <w:cantSplit/>
          <w:trHeight w:val="20"/>
          <w:tblHeader/>
        </w:trPr>
        <w:tc>
          <w:tcPr>
            <w:tcW w:w="560" w:type="pct"/>
            <w:vMerge/>
            <w:tcBorders>
              <w:left w:val="single" w:sz="4" w:space="0" w:color="auto"/>
              <w:bottom w:val="single" w:sz="4" w:space="0" w:color="auto"/>
              <w:right w:val="single" w:sz="4" w:space="0" w:color="auto"/>
            </w:tcBorders>
          </w:tcPr>
          <w:p w14:paraId="28D3F017" w14:textId="77777777" w:rsidR="00C43643" w:rsidRPr="004561A6" w:rsidRDefault="00C43643" w:rsidP="00C15E9A">
            <w:pPr>
              <w:pStyle w:val="TableHeading"/>
              <w:jc w:val="center"/>
              <w:rPr>
                <w:sz w:val="18"/>
                <w:szCs w:val="18"/>
              </w:rPr>
            </w:pPr>
          </w:p>
        </w:tc>
        <w:tc>
          <w:tcPr>
            <w:tcW w:w="510" w:type="pct"/>
            <w:tcBorders>
              <w:left w:val="single" w:sz="4" w:space="0" w:color="auto"/>
              <w:bottom w:val="single" w:sz="4" w:space="0" w:color="auto"/>
              <w:right w:val="single" w:sz="4" w:space="0" w:color="auto"/>
            </w:tcBorders>
            <w:vAlign w:val="bottom"/>
          </w:tcPr>
          <w:p w14:paraId="65AE68C9" w14:textId="77777777" w:rsidR="00C43643" w:rsidRPr="004561A6" w:rsidRDefault="00C43643" w:rsidP="00C15E9A">
            <w:pPr>
              <w:pStyle w:val="TableHeading"/>
              <w:jc w:val="center"/>
              <w:rPr>
                <w:sz w:val="18"/>
                <w:szCs w:val="18"/>
              </w:rPr>
            </w:pPr>
            <w:r w:rsidRPr="004561A6">
              <w:rPr>
                <w:sz w:val="18"/>
                <w:szCs w:val="18"/>
              </w:rPr>
              <w:t>2014-15</w:t>
            </w:r>
          </w:p>
        </w:tc>
        <w:tc>
          <w:tcPr>
            <w:tcW w:w="409" w:type="pct"/>
            <w:tcBorders>
              <w:top w:val="single" w:sz="4" w:space="0" w:color="auto"/>
              <w:left w:val="single" w:sz="4" w:space="0" w:color="auto"/>
              <w:bottom w:val="single" w:sz="4" w:space="0" w:color="auto"/>
            </w:tcBorders>
            <w:vAlign w:val="bottom"/>
          </w:tcPr>
          <w:p w14:paraId="6EF6DD54" w14:textId="77777777" w:rsidR="00C43643" w:rsidRPr="004561A6" w:rsidRDefault="00C43643" w:rsidP="00C15E9A">
            <w:pPr>
              <w:pStyle w:val="TableHeading"/>
              <w:jc w:val="center"/>
              <w:rPr>
                <w:sz w:val="18"/>
                <w:szCs w:val="18"/>
              </w:rPr>
            </w:pPr>
            <w:r w:rsidRPr="004561A6">
              <w:rPr>
                <w:sz w:val="18"/>
                <w:szCs w:val="18"/>
              </w:rPr>
              <w:t>2015-16</w:t>
            </w:r>
          </w:p>
        </w:tc>
        <w:tc>
          <w:tcPr>
            <w:tcW w:w="408" w:type="pct"/>
            <w:tcBorders>
              <w:top w:val="single" w:sz="4" w:space="0" w:color="auto"/>
              <w:bottom w:val="single" w:sz="4" w:space="0" w:color="auto"/>
            </w:tcBorders>
            <w:vAlign w:val="bottom"/>
          </w:tcPr>
          <w:p w14:paraId="0F95D874" w14:textId="77777777" w:rsidR="00C43643" w:rsidRPr="004561A6" w:rsidRDefault="00C43643" w:rsidP="00C15E9A">
            <w:pPr>
              <w:pStyle w:val="TableHeading"/>
              <w:jc w:val="center"/>
              <w:rPr>
                <w:sz w:val="18"/>
                <w:szCs w:val="18"/>
              </w:rPr>
            </w:pPr>
            <w:r w:rsidRPr="004561A6">
              <w:rPr>
                <w:sz w:val="18"/>
                <w:szCs w:val="18"/>
              </w:rPr>
              <w:t>2016-17</w:t>
            </w:r>
          </w:p>
        </w:tc>
        <w:tc>
          <w:tcPr>
            <w:tcW w:w="460" w:type="pct"/>
            <w:tcBorders>
              <w:top w:val="single" w:sz="4" w:space="0" w:color="auto"/>
              <w:bottom w:val="single" w:sz="4" w:space="0" w:color="auto"/>
            </w:tcBorders>
            <w:vAlign w:val="bottom"/>
          </w:tcPr>
          <w:p w14:paraId="029D9437" w14:textId="77777777" w:rsidR="00C43643" w:rsidRPr="004561A6" w:rsidRDefault="00C43643" w:rsidP="00C15E9A">
            <w:pPr>
              <w:pStyle w:val="TableHeading"/>
              <w:jc w:val="center"/>
              <w:rPr>
                <w:sz w:val="18"/>
                <w:szCs w:val="18"/>
              </w:rPr>
            </w:pPr>
            <w:r w:rsidRPr="004561A6">
              <w:rPr>
                <w:sz w:val="18"/>
                <w:szCs w:val="18"/>
              </w:rPr>
              <w:t>2017-18</w:t>
            </w:r>
          </w:p>
        </w:tc>
        <w:tc>
          <w:tcPr>
            <w:tcW w:w="358" w:type="pct"/>
            <w:tcBorders>
              <w:top w:val="single" w:sz="4" w:space="0" w:color="auto"/>
              <w:bottom w:val="single" w:sz="4" w:space="0" w:color="auto"/>
            </w:tcBorders>
            <w:vAlign w:val="bottom"/>
          </w:tcPr>
          <w:p w14:paraId="724BACB0" w14:textId="77777777" w:rsidR="00C43643" w:rsidRPr="004561A6" w:rsidRDefault="00C43643" w:rsidP="00C15E9A">
            <w:pPr>
              <w:pStyle w:val="TableHeading"/>
              <w:jc w:val="center"/>
              <w:rPr>
                <w:sz w:val="18"/>
                <w:szCs w:val="18"/>
              </w:rPr>
            </w:pPr>
            <w:r w:rsidRPr="004561A6">
              <w:rPr>
                <w:sz w:val="18"/>
                <w:szCs w:val="18"/>
              </w:rPr>
              <w:t>2018-19</w:t>
            </w:r>
          </w:p>
        </w:tc>
        <w:tc>
          <w:tcPr>
            <w:tcW w:w="408" w:type="pct"/>
            <w:tcBorders>
              <w:top w:val="single" w:sz="4" w:space="0" w:color="auto"/>
              <w:bottom w:val="single" w:sz="4" w:space="0" w:color="auto"/>
            </w:tcBorders>
            <w:vAlign w:val="bottom"/>
          </w:tcPr>
          <w:p w14:paraId="5C2CCA4F" w14:textId="77777777" w:rsidR="00C43643" w:rsidRPr="004561A6" w:rsidRDefault="00C43643" w:rsidP="00C15E9A">
            <w:pPr>
              <w:pStyle w:val="TableHeading"/>
              <w:jc w:val="center"/>
              <w:rPr>
                <w:sz w:val="18"/>
                <w:szCs w:val="18"/>
              </w:rPr>
            </w:pPr>
            <w:r w:rsidRPr="004561A6">
              <w:rPr>
                <w:sz w:val="18"/>
                <w:szCs w:val="18"/>
              </w:rPr>
              <w:t>2019-20</w:t>
            </w:r>
          </w:p>
        </w:tc>
        <w:tc>
          <w:tcPr>
            <w:tcW w:w="357" w:type="pct"/>
            <w:tcBorders>
              <w:top w:val="single" w:sz="4" w:space="0" w:color="auto"/>
              <w:bottom w:val="single" w:sz="4" w:space="0" w:color="auto"/>
            </w:tcBorders>
          </w:tcPr>
          <w:p w14:paraId="3D5A1888" w14:textId="77777777" w:rsidR="00C43643" w:rsidRPr="004561A6" w:rsidRDefault="00C43643" w:rsidP="00C15E9A">
            <w:pPr>
              <w:pStyle w:val="TableHeading"/>
              <w:jc w:val="center"/>
              <w:rPr>
                <w:sz w:val="18"/>
                <w:szCs w:val="18"/>
              </w:rPr>
            </w:pPr>
            <w:r w:rsidRPr="004561A6">
              <w:rPr>
                <w:sz w:val="18"/>
                <w:szCs w:val="18"/>
              </w:rPr>
              <w:t>2020-21</w:t>
            </w:r>
          </w:p>
        </w:tc>
        <w:tc>
          <w:tcPr>
            <w:tcW w:w="358" w:type="pct"/>
            <w:tcBorders>
              <w:top w:val="single" w:sz="4" w:space="0" w:color="auto"/>
              <w:bottom w:val="single" w:sz="4" w:space="0" w:color="auto"/>
            </w:tcBorders>
          </w:tcPr>
          <w:p w14:paraId="446BFF75" w14:textId="77777777" w:rsidR="00C43643" w:rsidRPr="004561A6" w:rsidRDefault="00C43643" w:rsidP="00C15E9A">
            <w:pPr>
              <w:pStyle w:val="TableHeading"/>
              <w:jc w:val="center"/>
              <w:rPr>
                <w:sz w:val="18"/>
                <w:szCs w:val="18"/>
              </w:rPr>
            </w:pPr>
            <w:r w:rsidRPr="004561A6">
              <w:rPr>
                <w:sz w:val="18"/>
                <w:szCs w:val="18"/>
              </w:rPr>
              <w:t>2021-22</w:t>
            </w:r>
          </w:p>
        </w:tc>
        <w:tc>
          <w:tcPr>
            <w:tcW w:w="356" w:type="pct"/>
            <w:tcBorders>
              <w:top w:val="single" w:sz="4" w:space="0" w:color="auto"/>
              <w:bottom w:val="single" w:sz="4" w:space="0" w:color="auto"/>
            </w:tcBorders>
          </w:tcPr>
          <w:p w14:paraId="7E34147A" w14:textId="77777777" w:rsidR="00C43643" w:rsidRPr="004561A6" w:rsidRDefault="00C43643" w:rsidP="00C15E9A">
            <w:pPr>
              <w:pStyle w:val="TableHeading"/>
              <w:jc w:val="center"/>
              <w:rPr>
                <w:sz w:val="18"/>
                <w:szCs w:val="18"/>
              </w:rPr>
            </w:pPr>
            <w:r w:rsidRPr="004561A6">
              <w:rPr>
                <w:sz w:val="18"/>
                <w:szCs w:val="18"/>
              </w:rPr>
              <w:t>202</w:t>
            </w:r>
            <w:r>
              <w:rPr>
                <w:sz w:val="18"/>
                <w:szCs w:val="18"/>
              </w:rPr>
              <w:t>2</w:t>
            </w:r>
            <w:r w:rsidRPr="004561A6">
              <w:rPr>
                <w:sz w:val="18"/>
                <w:szCs w:val="18"/>
              </w:rPr>
              <w:t>-2</w:t>
            </w:r>
            <w:r>
              <w:rPr>
                <w:sz w:val="18"/>
                <w:szCs w:val="18"/>
              </w:rPr>
              <w:t>3</w:t>
            </w:r>
          </w:p>
        </w:tc>
        <w:tc>
          <w:tcPr>
            <w:tcW w:w="816" w:type="pct"/>
            <w:tcBorders>
              <w:top w:val="single" w:sz="4" w:space="0" w:color="auto"/>
              <w:bottom w:val="single" w:sz="4" w:space="0" w:color="auto"/>
            </w:tcBorders>
          </w:tcPr>
          <w:p w14:paraId="2F027885" w14:textId="77777777" w:rsidR="00C43643" w:rsidRPr="004561A6" w:rsidRDefault="00C43643" w:rsidP="00C15E9A">
            <w:pPr>
              <w:pStyle w:val="TableHeading"/>
              <w:jc w:val="center"/>
              <w:rPr>
                <w:sz w:val="18"/>
                <w:szCs w:val="18"/>
              </w:rPr>
            </w:pPr>
            <w:r>
              <w:rPr>
                <w:sz w:val="18"/>
                <w:szCs w:val="18"/>
              </w:rPr>
              <w:t>2023-24</w:t>
            </w:r>
          </w:p>
        </w:tc>
      </w:tr>
      <w:tr w:rsidR="006A69B5" w:rsidRPr="004561A6" w14:paraId="59F57EFC" w14:textId="77777777" w:rsidTr="006A69B5">
        <w:trPr>
          <w:cantSplit/>
          <w:trHeight w:val="20"/>
        </w:trPr>
        <w:tc>
          <w:tcPr>
            <w:tcW w:w="560" w:type="pct"/>
            <w:tcBorders>
              <w:top w:val="single" w:sz="4" w:space="0" w:color="auto"/>
              <w:left w:val="single" w:sz="4" w:space="0" w:color="auto"/>
              <w:right w:val="single" w:sz="4" w:space="0" w:color="auto"/>
            </w:tcBorders>
          </w:tcPr>
          <w:p w14:paraId="29E4B625" w14:textId="77777777" w:rsidR="00C43643" w:rsidRPr="004561A6" w:rsidRDefault="00C43643" w:rsidP="00C43643">
            <w:pPr>
              <w:rPr>
                <w:sz w:val="18"/>
                <w:szCs w:val="18"/>
              </w:rPr>
            </w:pPr>
            <w:r w:rsidRPr="004561A6">
              <w:rPr>
                <w:sz w:val="18"/>
                <w:szCs w:val="18"/>
              </w:rPr>
              <w:t>What did CEW contribute to hydrological connectivity?</w:t>
            </w:r>
          </w:p>
        </w:tc>
        <w:tc>
          <w:tcPr>
            <w:tcW w:w="510"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62C823B" w14:textId="77777777" w:rsidR="00C43643" w:rsidRPr="004561A6" w:rsidRDefault="00C43643" w:rsidP="00C43643">
            <w:pPr>
              <w:spacing w:after="240"/>
              <w:jc w:val="center"/>
              <w:rPr>
                <w:sz w:val="18"/>
                <w:szCs w:val="18"/>
              </w:rPr>
            </w:pPr>
            <w:r w:rsidRPr="004561A6">
              <w:rPr>
                <w:sz w:val="18"/>
                <w:szCs w:val="18"/>
              </w:rPr>
              <w:t>28</w:t>
            </w:r>
            <w:r>
              <w:rPr>
                <w:sz w:val="18"/>
                <w:szCs w:val="18"/>
              </w:rPr>
              <w:t xml:space="preserve"> </w:t>
            </w:r>
            <w:r w:rsidRPr="004561A6">
              <w:rPr>
                <w:sz w:val="18"/>
                <w:szCs w:val="18"/>
              </w:rPr>
              <w:t>Ha</w:t>
            </w:r>
          </w:p>
          <w:p w14:paraId="348CF4A4" w14:textId="77777777" w:rsidR="00C43643" w:rsidRDefault="00C43643" w:rsidP="00C43643">
            <w:pPr>
              <w:spacing w:after="240"/>
              <w:jc w:val="center"/>
              <w:rPr>
                <w:sz w:val="18"/>
                <w:szCs w:val="18"/>
              </w:rPr>
            </w:pPr>
          </w:p>
          <w:p w14:paraId="1E91FDF0" w14:textId="77777777" w:rsidR="00C43643" w:rsidRPr="004561A6" w:rsidRDefault="00C43643" w:rsidP="00C43643">
            <w:pPr>
              <w:spacing w:after="240"/>
              <w:jc w:val="center"/>
              <w:rPr>
                <w:sz w:val="18"/>
                <w:szCs w:val="18"/>
              </w:rPr>
            </w:pPr>
            <w:r w:rsidRPr="004561A6">
              <w:rPr>
                <w:sz w:val="18"/>
                <w:szCs w:val="18"/>
              </w:rPr>
              <w:t>20% (26%)</w:t>
            </w:r>
          </w:p>
          <w:p w14:paraId="61C7A92A" w14:textId="77777777" w:rsidR="00C43643" w:rsidRDefault="00C43643" w:rsidP="00C43643">
            <w:pPr>
              <w:jc w:val="center"/>
              <w:rPr>
                <w:sz w:val="18"/>
                <w:szCs w:val="18"/>
              </w:rPr>
            </w:pPr>
          </w:p>
          <w:p w14:paraId="43B1AD50" w14:textId="77777777" w:rsidR="00C43643" w:rsidRPr="004561A6" w:rsidRDefault="00C43643" w:rsidP="00C43643">
            <w:pPr>
              <w:jc w:val="center"/>
              <w:rPr>
                <w:sz w:val="18"/>
                <w:szCs w:val="18"/>
              </w:rPr>
            </w:pPr>
            <w:r w:rsidRPr="004561A6">
              <w:rPr>
                <w:sz w:val="18"/>
                <w:szCs w:val="18"/>
              </w:rPr>
              <w:t xml:space="preserve">7,159 </w:t>
            </w:r>
            <w:r>
              <w:rPr>
                <w:sz w:val="18"/>
                <w:szCs w:val="18"/>
              </w:rPr>
              <w:br/>
            </w:r>
            <w:r w:rsidRPr="004561A6">
              <w:rPr>
                <w:sz w:val="18"/>
                <w:szCs w:val="18"/>
              </w:rPr>
              <w:t>km d (41%)</w:t>
            </w:r>
          </w:p>
        </w:tc>
        <w:tc>
          <w:tcPr>
            <w:tcW w:w="409" w:type="pct"/>
            <w:tcBorders>
              <w:top w:val="single" w:sz="4" w:space="0" w:color="auto"/>
              <w:left w:val="single" w:sz="4" w:space="0" w:color="auto"/>
              <w:bottom w:val="single" w:sz="4" w:space="0" w:color="auto"/>
              <w:right w:val="single" w:sz="4" w:space="0" w:color="auto"/>
            </w:tcBorders>
            <w:shd w:val="clear" w:color="auto" w:fill="70AD47" w:themeFill="accent6"/>
          </w:tcPr>
          <w:p w14:paraId="1252B5F9" w14:textId="77777777" w:rsidR="00C43643" w:rsidRPr="004561A6" w:rsidRDefault="00C43643" w:rsidP="00C43643">
            <w:pPr>
              <w:spacing w:after="240"/>
              <w:jc w:val="center"/>
              <w:rPr>
                <w:sz w:val="18"/>
                <w:szCs w:val="18"/>
              </w:rPr>
            </w:pPr>
            <w:r w:rsidRPr="004561A6">
              <w:rPr>
                <w:sz w:val="18"/>
                <w:szCs w:val="18"/>
              </w:rPr>
              <w:t>1,287 Ha</w:t>
            </w:r>
          </w:p>
          <w:p w14:paraId="0A1BD81E" w14:textId="77777777" w:rsidR="00C43643" w:rsidRDefault="00C43643" w:rsidP="00C43643">
            <w:pPr>
              <w:spacing w:after="240"/>
              <w:jc w:val="center"/>
              <w:rPr>
                <w:sz w:val="18"/>
                <w:szCs w:val="18"/>
              </w:rPr>
            </w:pPr>
          </w:p>
          <w:p w14:paraId="693EB563" w14:textId="77777777" w:rsidR="00C43643" w:rsidRPr="004561A6" w:rsidRDefault="00C43643" w:rsidP="00C43643">
            <w:pPr>
              <w:spacing w:after="240"/>
              <w:jc w:val="center"/>
              <w:rPr>
                <w:sz w:val="18"/>
                <w:szCs w:val="18"/>
              </w:rPr>
            </w:pPr>
            <w:r w:rsidRPr="004561A6">
              <w:rPr>
                <w:sz w:val="18"/>
                <w:szCs w:val="18"/>
              </w:rPr>
              <w:t xml:space="preserve">37% </w:t>
            </w:r>
            <w:r>
              <w:rPr>
                <w:sz w:val="18"/>
                <w:szCs w:val="18"/>
              </w:rPr>
              <w:br/>
            </w:r>
            <w:r w:rsidRPr="004561A6">
              <w:rPr>
                <w:sz w:val="18"/>
                <w:szCs w:val="18"/>
              </w:rPr>
              <w:t>(63%)</w:t>
            </w:r>
          </w:p>
          <w:p w14:paraId="25C1838A" w14:textId="77777777" w:rsidR="00C43643" w:rsidRDefault="00C43643" w:rsidP="00C43643">
            <w:pPr>
              <w:jc w:val="center"/>
              <w:rPr>
                <w:sz w:val="18"/>
                <w:szCs w:val="18"/>
              </w:rPr>
            </w:pPr>
          </w:p>
          <w:p w14:paraId="0BE0002E" w14:textId="77777777" w:rsidR="00C43643" w:rsidRPr="004561A6" w:rsidRDefault="00C43643" w:rsidP="00C43643">
            <w:pPr>
              <w:jc w:val="center"/>
              <w:rPr>
                <w:sz w:val="18"/>
                <w:szCs w:val="18"/>
              </w:rPr>
            </w:pPr>
            <w:r w:rsidRPr="004561A6">
              <w:rPr>
                <w:sz w:val="18"/>
                <w:szCs w:val="18"/>
              </w:rPr>
              <w:t xml:space="preserve">9,036 </w:t>
            </w:r>
            <w:r>
              <w:rPr>
                <w:sz w:val="18"/>
                <w:szCs w:val="18"/>
              </w:rPr>
              <w:br/>
            </w:r>
            <w:r w:rsidRPr="004561A6">
              <w:rPr>
                <w:sz w:val="18"/>
                <w:szCs w:val="18"/>
              </w:rPr>
              <w:t>km d (123%)</w:t>
            </w:r>
          </w:p>
        </w:tc>
        <w:tc>
          <w:tcPr>
            <w:tcW w:w="408"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B739D49" w14:textId="77777777" w:rsidR="00C43643" w:rsidRPr="004561A6" w:rsidRDefault="00C43643" w:rsidP="00C43643">
            <w:pPr>
              <w:spacing w:after="240"/>
              <w:jc w:val="center"/>
              <w:rPr>
                <w:sz w:val="18"/>
                <w:szCs w:val="18"/>
              </w:rPr>
            </w:pPr>
            <w:r w:rsidRPr="004561A6">
              <w:rPr>
                <w:sz w:val="18"/>
                <w:szCs w:val="18"/>
              </w:rPr>
              <w:t>122 Ha</w:t>
            </w:r>
          </w:p>
          <w:p w14:paraId="0D65B252" w14:textId="77777777" w:rsidR="00C43643" w:rsidRDefault="00C43643" w:rsidP="00C43643">
            <w:pPr>
              <w:spacing w:after="240"/>
              <w:jc w:val="center"/>
              <w:rPr>
                <w:sz w:val="18"/>
                <w:szCs w:val="18"/>
              </w:rPr>
            </w:pPr>
          </w:p>
          <w:p w14:paraId="11769B21" w14:textId="77777777" w:rsidR="00C43643" w:rsidRPr="004561A6" w:rsidRDefault="00C43643" w:rsidP="00C43643">
            <w:pPr>
              <w:spacing w:after="240"/>
              <w:jc w:val="center"/>
              <w:rPr>
                <w:sz w:val="18"/>
                <w:szCs w:val="18"/>
              </w:rPr>
            </w:pPr>
            <w:r w:rsidRPr="004561A6">
              <w:rPr>
                <w:sz w:val="18"/>
                <w:szCs w:val="18"/>
              </w:rPr>
              <w:t xml:space="preserve">5% </w:t>
            </w:r>
            <w:r>
              <w:rPr>
                <w:sz w:val="18"/>
                <w:szCs w:val="18"/>
              </w:rPr>
              <w:br/>
            </w:r>
            <w:r w:rsidRPr="004561A6">
              <w:rPr>
                <w:sz w:val="18"/>
                <w:szCs w:val="18"/>
              </w:rPr>
              <w:t>(7%)</w:t>
            </w:r>
          </w:p>
          <w:p w14:paraId="0E2A0254" w14:textId="77777777" w:rsidR="00C43643" w:rsidRDefault="00C43643" w:rsidP="00C43643">
            <w:pPr>
              <w:spacing w:after="240"/>
              <w:jc w:val="center"/>
              <w:rPr>
                <w:sz w:val="18"/>
                <w:szCs w:val="18"/>
              </w:rPr>
            </w:pPr>
          </w:p>
          <w:p w14:paraId="7CA812F9" w14:textId="77777777" w:rsidR="00C43643" w:rsidRPr="004561A6" w:rsidRDefault="00C43643" w:rsidP="00C43643">
            <w:pPr>
              <w:spacing w:after="240"/>
              <w:jc w:val="center"/>
              <w:rPr>
                <w:sz w:val="18"/>
                <w:szCs w:val="18"/>
              </w:rPr>
            </w:pPr>
            <w:r w:rsidRPr="004561A6">
              <w:rPr>
                <w:sz w:val="18"/>
                <w:szCs w:val="18"/>
              </w:rPr>
              <w:t>6,929</w:t>
            </w:r>
            <w:r>
              <w:rPr>
                <w:sz w:val="18"/>
                <w:szCs w:val="18"/>
              </w:rPr>
              <w:br/>
            </w:r>
            <w:r w:rsidRPr="004561A6">
              <w:rPr>
                <w:sz w:val="18"/>
                <w:szCs w:val="18"/>
              </w:rPr>
              <w:t xml:space="preserve">km d </w:t>
            </w:r>
            <w:r>
              <w:rPr>
                <w:sz w:val="18"/>
                <w:szCs w:val="18"/>
              </w:rPr>
              <w:br/>
            </w:r>
            <w:r w:rsidRPr="004561A6">
              <w:rPr>
                <w:sz w:val="18"/>
                <w:szCs w:val="18"/>
              </w:rPr>
              <w:t>(10%)</w:t>
            </w:r>
          </w:p>
        </w:tc>
        <w:tc>
          <w:tcPr>
            <w:tcW w:w="460" w:type="pct"/>
            <w:tcBorders>
              <w:top w:val="single" w:sz="4" w:space="0" w:color="auto"/>
              <w:left w:val="single" w:sz="4" w:space="0" w:color="auto"/>
              <w:bottom w:val="single" w:sz="4" w:space="0" w:color="auto"/>
              <w:right w:val="single" w:sz="4" w:space="0" w:color="auto"/>
            </w:tcBorders>
            <w:shd w:val="clear" w:color="auto" w:fill="70AD47" w:themeFill="accent6"/>
          </w:tcPr>
          <w:p w14:paraId="56ECDF14" w14:textId="77777777" w:rsidR="00C43643" w:rsidRPr="004561A6" w:rsidRDefault="00C43643" w:rsidP="00C43643">
            <w:pPr>
              <w:spacing w:after="240"/>
              <w:jc w:val="center"/>
              <w:rPr>
                <w:sz w:val="18"/>
                <w:szCs w:val="18"/>
              </w:rPr>
            </w:pPr>
            <w:r w:rsidRPr="004561A6">
              <w:rPr>
                <w:sz w:val="18"/>
                <w:szCs w:val="18"/>
              </w:rPr>
              <w:t>904</w:t>
            </w:r>
            <w:r>
              <w:rPr>
                <w:sz w:val="18"/>
                <w:szCs w:val="18"/>
              </w:rPr>
              <w:t xml:space="preserve"> </w:t>
            </w:r>
            <w:r w:rsidRPr="004561A6">
              <w:rPr>
                <w:sz w:val="18"/>
                <w:szCs w:val="18"/>
              </w:rPr>
              <w:t>Ha</w:t>
            </w:r>
          </w:p>
          <w:p w14:paraId="5836EF96" w14:textId="77777777" w:rsidR="00C43643" w:rsidRDefault="00C43643" w:rsidP="00C43643">
            <w:pPr>
              <w:spacing w:after="240"/>
              <w:jc w:val="center"/>
              <w:rPr>
                <w:sz w:val="18"/>
                <w:szCs w:val="18"/>
              </w:rPr>
            </w:pPr>
          </w:p>
          <w:p w14:paraId="4E9227DB" w14:textId="77777777" w:rsidR="00C43643" w:rsidRPr="004561A6" w:rsidRDefault="00C43643" w:rsidP="00C43643">
            <w:pPr>
              <w:spacing w:after="240"/>
              <w:jc w:val="center"/>
              <w:rPr>
                <w:sz w:val="18"/>
                <w:szCs w:val="18"/>
              </w:rPr>
            </w:pPr>
            <w:r w:rsidRPr="004561A6">
              <w:rPr>
                <w:sz w:val="18"/>
                <w:szCs w:val="18"/>
              </w:rPr>
              <w:t xml:space="preserve">39% </w:t>
            </w:r>
            <w:r>
              <w:rPr>
                <w:sz w:val="18"/>
                <w:szCs w:val="18"/>
              </w:rPr>
              <w:br/>
            </w:r>
            <w:r w:rsidRPr="004561A6">
              <w:rPr>
                <w:sz w:val="18"/>
                <w:szCs w:val="18"/>
              </w:rPr>
              <w:t>(70%)</w:t>
            </w:r>
          </w:p>
          <w:p w14:paraId="580FD8A5" w14:textId="77777777" w:rsidR="00C43643" w:rsidRDefault="00C43643" w:rsidP="00C43643">
            <w:pPr>
              <w:jc w:val="center"/>
              <w:rPr>
                <w:sz w:val="18"/>
                <w:szCs w:val="18"/>
              </w:rPr>
            </w:pPr>
          </w:p>
          <w:p w14:paraId="72F714D8" w14:textId="77777777" w:rsidR="00C43643" w:rsidRPr="004561A6" w:rsidRDefault="00C43643" w:rsidP="00C43643">
            <w:pPr>
              <w:jc w:val="center"/>
              <w:rPr>
                <w:sz w:val="18"/>
                <w:szCs w:val="18"/>
              </w:rPr>
            </w:pPr>
            <w:r w:rsidRPr="004561A6">
              <w:rPr>
                <w:sz w:val="18"/>
                <w:szCs w:val="18"/>
              </w:rPr>
              <w:t xml:space="preserve">11,568 </w:t>
            </w:r>
            <w:r>
              <w:rPr>
                <w:sz w:val="18"/>
                <w:szCs w:val="18"/>
              </w:rPr>
              <w:br/>
            </w:r>
            <w:r w:rsidRPr="004561A6">
              <w:rPr>
                <w:sz w:val="18"/>
                <w:szCs w:val="18"/>
              </w:rPr>
              <w:t>km d (118%)</w:t>
            </w:r>
          </w:p>
        </w:tc>
        <w:tc>
          <w:tcPr>
            <w:tcW w:w="358"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BE799AF" w14:textId="77777777" w:rsidR="00C43643" w:rsidRPr="004561A6" w:rsidRDefault="00C43643" w:rsidP="00C43643">
            <w:pPr>
              <w:spacing w:after="240"/>
              <w:jc w:val="center"/>
              <w:rPr>
                <w:sz w:val="18"/>
                <w:szCs w:val="18"/>
              </w:rPr>
            </w:pPr>
            <w:r w:rsidRPr="004561A6">
              <w:rPr>
                <w:sz w:val="18"/>
                <w:szCs w:val="18"/>
              </w:rPr>
              <w:t>1,398 Ha</w:t>
            </w:r>
          </w:p>
          <w:p w14:paraId="4EFF81C0" w14:textId="77777777" w:rsidR="00C43643" w:rsidRDefault="00C43643" w:rsidP="00C43643">
            <w:pPr>
              <w:spacing w:after="240"/>
              <w:jc w:val="center"/>
              <w:rPr>
                <w:sz w:val="18"/>
                <w:szCs w:val="18"/>
              </w:rPr>
            </w:pPr>
          </w:p>
          <w:p w14:paraId="3B217EEA" w14:textId="77777777" w:rsidR="00C43643" w:rsidRPr="004561A6" w:rsidRDefault="00C43643" w:rsidP="00C43643">
            <w:pPr>
              <w:spacing w:after="240"/>
              <w:jc w:val="center"/>
              <w:rPr>
                <w:sz w:val="18"/>
                <w:szCs w:val="18"/>
              </w:rPr>
            </w:pPr>
            <w:r w:rsidRPr="004561A6">
              <w:rPr>
                <w:sz w:val="18"/>
                <w:szCs w:val="18"/>
              </w:rPr>
              <w:t>20% (39%)</w:t>
            </w:r>
          </w:p>
          <w:p w14:paraId="0F0E9A86" w14:textId="77777777" w:rsidR="00C43643" w:rsidRDefault="00C43643" w:rsidP="00C43643">
            <w:pPr>
              <w:jc w:val="center"/>
              <w:rPr>
                <w:sz w:val="18"/>
                <w:szCs w:val="18"/>
              </w:rPr>
            </w:pPr>
          </w:p>
          <w:p w14:paraId="3E4AAD0B" w14:textId="77777777" w:rsidR="00C43643" w:rsidRPr="004561A6" w:rsidRDefault="00C43643" w:rsidP="00C43643">
            <w:pPr>
              <w:jc w:val="center"/>
              <w:rPr>
                <w:sz w:val="18"/>
                <w:szCs w:val="18"/>
              </w:rPr>
            </w:pPr>
            <w:r w:rsidRPr="004561A6">
              <w:rPr>
                <w:sz w:val="18"/>
                <w:szCs w:val="18"/>
              </w:rPr>
              <w:t xml:space="preserve">6,327 </w:t>
            </w:r>
            <w:r>
              <w:rPr>
                <w:sz w:val="18"/>
                <w:szCs w:val="18"/>
              </w:rPr>
              <w:br/>
            </w:r>
            <w:r w:rsidRPr="004561A6">
              <w:rPr>
                <w:sz w:val="18"/>
                <w:szCs w:val="18"/>
              </w:rPr>
              <w:t xml:space="preserve">km d (77%) </w:t>
            </w:r>
          </w:p>
        </w:tc>
        <w:tc>
          <w:tcPr>
            <w:tcW w:w="408" w:type="pct"/>
            <w:tcBorders>
              <w:top w:val="single" w:sz="4" w:space="0" w:color="auto"/>
              <w:left w:val="single" w:sz="4" w:space="0" w:color="auto"/>
              <w:bottom w:val="single" w:sz="4" w:space="0" w:color="auto"/>
              <w:right w:val="single" w:sz="4" w:space="0" w:color="auto"/>
            </w:tcBorders>
            <w:shd w:val="clear" w:color="auto" w:fill="70AD47" w:themeFill="accent6"/>
          </w:tcPr>
          <w:p w14:paraId="51DD58D6" w14:textId="77777777" w:rsidR="00C43643" w:rsidRPr="004561A6" w:rsidRDefault="00C43643" w:rsidP="00C43643">
            <w:pPr>
              <w:spacing w:after="240"/>
              <w:jc w:val="center"/>
              <w:rPr>
                <w:sz w:val="18"/>
                <w:szCs w:val="18"/>
              </w:rPr>
            </w:pPr>
            <w:r w:rsidRPr="004561A6">
              <w:rPr>
                <w:sz w:val="18"/>
                <w:szCs w:val="18"/>
              </w:rPr>
              <w:t>1,621 Ha</w:t>
            </w:r>
          </w:p>
          <w:p w14:paraId="33A5DB6A" w14:textId="77777777" w:rsidR="00C43643" w:rsidRDefault="00C43643" w:rsidP="00C43643">
            <w:pPr>
              <w:spacing w:after="240"/>
              <w:jc w:val="center"/>
              <w:rPr>
                <w:sz w:val="18"/>
                <w:szCs w:val="18"/>
              </w:rPr>
            </w:pPr>
          </w:p>
          <w:p w14:paraId="7CDF4AE5" w14:textId="77777777" w:rsidR="00C43643" w:rsidRPr="004561A6" w:rsidRDefault="00C43643" w:rsidP="00C43643">
            <w:pPr>
              <w:spacing w:after="240"/>
              <w:jc w:val="center"/>
              <w:rPr>
                <w:sz w:val="18"/>
                <w:szCs w:val="18"/>
              </w:rPr>
            </w:pPr>
            <w:r w:rsidRPr="004561A6">
              <w:rPr>
                <w:sz w:val="18"/>
                <w:szCs w:val="18"/>
              </w:rPr>
              <w:t xml:space="preserve">33% </w:t>
            </w:r>
            <w:r>
              <w:rPr>
                <w:sz w:val="18"/>
                <w:szCs w:val="18"/>
              </w:rPr>
              <w:br/>
            </w:r>
            <w:r w:rsidRPr="004561A6">
              <w:rPr>
                <w:sz w:val="18"/>
                <w:szCs w:val="18"/>
              </w:rPr>
              <w:t>(71%)</w:t>
            </w:r>
          </w:p>
          <w:p w14:paraId="1D4927C8" w14:textId="77777777" w:rsidR="00C43643" w:rsidRDefault="00C43643" w:rsidP="00C43643">
            <w:pPr>
              <w:jc w:val="center"/>
              <w:rPr>
                <w:sz w:val="18"/>
                <w:szCs w:val="18"/>
              </w:rPr>
            </w:pPr>
          </w:p>
          <w:p w14:paraId="1A87EF69" w14:textId="77777777" w:rsidR="00C43643" w:rsidRPr="004561A6" w:rsidRDefault="00C43643" w:rsidP="00C43643">
            <w:pPr>
              <w:jc w:val="center"/>
              <w:rPr>
                <w:sz w:val="18"/>
                <w:szCs w:val="18"/>
              </w:rPr>
            </w:pPr>
            <w:r w:rsidRPr="004561A6">
              <w:rPr>
                <w:sz w:val="18"/>
                <w:szCs w:val="18"/>
              </w:rPr>
              <w:t>9,569</w:t>
            </w:r>
            <w:r>
              <w:rPr>
                <w:sz w:val="18"/>
                <w:szCs w:val="18"/>
              </w:rPr>
              <w:t xml:space="preserve"> </w:t>
            </w:r>
            <w:r>
              <w:rPr>
                <w:sz w:val="18"/>
                <w:szCs w:val="18"/>
              </w:rPr>
              <w:br/>
            </w:r>
            <w:r w:rsidRPr="004561A6">
              <w:rPr>
                <w:sz w:val="18"/>
                <w:szCs w:val="18"/>
              </w:rPr>
              <w:t>km d (148%)</w:t>
            </w:r>
          </w:p>
        </w:tc>
        <w:tc>
          <w:tcPr>
            <w:tcW w:w="357" w:type="pct"/>
            <w:tcBorders>
              <w:top w:val="single" w:sz="4" w:space="0" w:color="auto"/>
              <w:left w:val="single" w:sz="4" w:space="0" w:color="auto"/>
              <w:bottom w:val="single" w:sz="4" w:space="0" w:color="auto"/>
              <w:right w:val="single" w:sz="4" w:space="0" w:color="auto"/>
            </w:tcBorders>
            <w:shd w:val="clear" w:color="auto" w:fill="70AD47" w:themeFill="accent6"/>
          </w:tcPr>
          <w:p w14:paraId="6BF85B1F" w14:textId="77777777" w:rsidR="00C43643" w:rsidRPr="004561A6" w:rsidRDefault="00C43643" w:rsidP="00C43643">
            <w:pPr>
              <w:spacing w:after="240"/>
              <w:jc w:val="center"/>
              <w:rPr>
                <w:sz w:val="18"/>
                <w:szCs w:val="18"/>
              </w:rPr>
            </w:pPr>
            <w:r w:rsidRPr="004561A6">
              <w:rPr>
                <w:sz w:val="18"/>
                <w:szCs w:val="18"/>
              </w:rPr>
              <w:t>1,397 Ha</w:t>
            </w:r>
          </w:p>
          <w:p w14:paraId="31CC9525" w14:textId="77777777" w:rsidR="00C43643" w:rsidRDefault="00C43643" w:rsidP="00C43643">
            <w:pPr>
              <w:spacing w:after="240"/>
              <w:jc w:val="center"/>
              <w:rPr>
                <w:sz w:val="18"/>
                <w:szCs w:val="18"/>
              </w:rPr>
            </w:pPr>
          </w:p>
          <w:p w14:paraId="1082810A" w14:textId="77777777" w:rsidR="00C43643" w:rsidRPr="004561A6" w:rsidRDefault="00C43643" w:rsidP="00C43643">
            <w:pPr>
              <w:spacing w:after="240"/>
              <w:jc w:val="center"/>
              <w:rPr>
                <w:sz w:val="18"/>
                <w:szCs w:val="18"/>
              </w:rPr>
            </w:pPr>
            <w:r w:rsidRPr="004561A6">
              <w:rPr>
                <w:sz w:val="18"/>
                <w:szCs w:val="18"/>
              </w:rPr>
              <w:t>22% (34%)</w:t>
            </w:r>
          </w:p>
          <w:p w14:paraId="799D12E1" w14:textId="77777777" w:rsidR="00C43643" w:rsidRDefault="00C43643" w:rsidP="00C43643">
            <w:pPr>
              <w:jc w:val="center"/>
              <w:rPr>
                <w:sz w:val="18"/>
                <w:szCs w:val="18"/>
              </w:rPr>
            </w:pPr>
          </w:p>
          <w:p w14:paraId="19EA2F10" w14:textId="77777777" w:rsidR="00C43643" w:rsidRPr="004561A6" w:rsidRDefault="00C43643" w:rsidP="00C43643">
            <w:pPr>
              <w:jc w:val="center"/>
              <w:rPr>
                <w:sz w:val="18"/>
                <w:szCs w:val="18"/>
              </w:rPr>
            </w:pPr>
            <w:r w:rsidRPr="004561A6">
              <w:rPr>
                <w:sz w:val="18"/>
                <w:szCs w:val="18"/>
              </w:rPr>
              <w:t>10,392</w:t>
            </w:r>
            <w:r>
              <w:rPr>
                <w:sz w:val="18"/>
                <w:szCs w:val="18"/>
              </w:rPr>
              <w:t xml:space="preserve"> k</w:t>
            </w:r>
            <w:r w:rsidRPr="004561A6">
              <w:rPr>
                <w:sz w:val="18"/>
                <w:szCs w:val="18"/>
              </w:rPr>
              <w:t>m</w:t>
            </w:r>
            <w:r>
              <w:rPr>
                <w:sz w:val="18"/>
                <w:szCs w:val="18"/>
              </w:rPr>
              <w:t xml:space="preserve"> d </w:t>
            </w:r>
            <w:r w:rsidRPr="004561A6">
              <w:rPr>
                <w:sz w:val="18"/>
                <w:szCs w:val="18"/>
              </w:rPr>
              <w:t>(58%)</w:t>
            </w:r>
          </w:p>
        </w:tc>
        <w:tc>
          <w:tcPr>
            <w:tcW w:w="358"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81C2CE3" w14:textId="77777777" w:rsidR="00C43643" w:rsidRPr="004561A6" w:rsidRDefault="00C43643" w:rsidP="00C43643">
            <w:pPr>
              <w:spacing w:after="240"/>
              <w:jc w:val="center"/>
              <w:rPr>
                <w:sz w:val="18"/>
                <w:szCs w:val="18"/>
              </w:rPr>
            </w:pPr>
            <w:r w:rsidRPr="004561A6">
              <w:rPr>
                <w:sz w:val="18"/>
                <w:szCs w:val="18"/>
              </w:rPr>
              <w:t>734 Ha</w:t>
            </w:r>
          </w:p>
          <w:p w14:paraId="7BF2E384" w14:textId="77777777" w:rsidR="00C43643" w:rsidRDefault="00C43643" w:rsidP="00C43643">
            <w:pPr>
              <w:spacing w:after="240"/>
              <w:jc w:val="center"/>
              <w:rPr>
                <w:sz w:val="18"/>
                <w:szCs w:val="18"/>
              </w:rPr>
            </w:pPr>
          </w:p>
          <w:p w14:paraId="300F441A" w14:textId="77777777" w:rsidR="00C43643" w:rsidRPr="004561A6" w:rsidRDefault="00C43643" w:rsidP="00C43643">
            <w:pPr>
              <w:spacing w:after="240"/>
              <w:jc w:val="center"/>
              <w:rPr>
                <w:sz w:val="18"/>
                <w:szCs w:val="18"/>
              </w:rPr>
            </w:pPr>
            <w:r w:rsidRPr="004561A6">
              <w:rPr>
                <w:sz w:val="18"/>
                <w:szCs w:val="18"/>
              </w:rPr>
              <w:t xml:space="preserve">7% </w:t>
            </w:r>
            <w:r>
              <w:rPr>
                <w:sz w:val="18"/>
                <w:szCs w:val="18"/>
              </w:rPr>
              <w:br/>
            </w:r>
            <w:r w:rsidRPr="004561A6">
              <w:rPr>
                <w:sz w:val="18"/>
                <w:szCs w:val="18"/>
              </w:rPr>
              <w:t>(9%)</w:t>
            </w:r>
          </w:p>
          <w:p w14:paraId="54B46ABE" w14:textId="77777777" w:rsidR="00C43643" w:rsidRDefault="00C43643" w:rsidP="00C43643">
            <w:pPr>
              <w:jc w:val="center"/>
              <w:rPr>
                <w:sz w:val="18"/>
                <w:szCs w:val="18"/>
              </w:rPr>
            </w:pPr>
          </w:p>
          <w:p w14:paraId="286FD7F0" w14:textId="77777777" w:rsidR="00C43643" w:rsidRPr="004561A6" w:rsidRDefault="00C43643" w:rsidP="00C43643">
            <w:pPr>
              <w:jc w:val="center"/>
              <w:rPr>
                <w:sz w:val="18"/>
                <w:szCs w:val="18"/>
              </w:rPr>
            </w:pPr>
            <w:r w:rsidRPr="004561A6">
              <w:rPr>
                <w:sz w:val="18"/>
                <w:szCs w:val="18"/>
              </w:rPr>
              <w:t xml:space="preserve">3,119 </w:t>
            </w:r>
            <w:r>
              <w:rPr>
                <w:sz w:val="18"/>
                <w:szCs w:val="18"/>
              </w:rPr>
              <w:br/>
            </w:r>
            <w:r w:rsidRPr="004561A6">
              <w:rPr>
                <w:sz w:val="18"/>
                <w:szCs w:val="18"/>
              </w:rPr>
              <w:t xml:space="preserve">km d </w:t>
            </w:r>
            <w:r>
              <w:rPr>
                <w:sz w:val="18"/>
                <w:szCs w:val="18"/>
              </w:rPr>
              <w:t>(</w:t>
            </w:r>
            <w:r w:rsidRPr="004561A6">
              <w:rPr>
                <w:sz w:val="18"/>
                <w:szCs w:val="18"/>
              </w:rPr>
              <w:t>3%</w:t>
            </w:r>
            <w:r>
              <w:rPr>
                <w:sz w:val="18"/>
                <w:szCs w:val="18"/>
              </w:rPr>
              <w:t>)</w:t>
            </w:r>
          </w:p>
        </w:tc>
        <w:tc>
          <w:tcPr>
            <w:tcW w:w="356"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5BBCEA7" w14:textId="77777777" w:rsidR="00C43643" w:rsidRDefault="00C43643" w:rsidP="00C43643">
            <w:pPr>
              <w:spacing w:after="240"/>
              <w:jc w:val="center"/>
              <w:rPr>
                <w:sz w:val="18"/>
                <w:szCs w:val="18"/>
              </w:rPr>
            </w:pPr>
            <w:r>
              <w:rPr>
                <w:sz w:val="18"/>
                <w:szCs w:val="18"/>
              </w:rPr>
              <w:t>0 Ha</w:t>
            </w:r>
          </w:p>
          <w:p w14:paraId="70F3CCE8" w14:textId="77777777" w:rsidR="00C43643" w:rsidRDefault="00C43643" w:rsidP="00C43643">
            <w:pPr>
              <w:spacing w:after="240"/>
              <w:jc w:val="center"/>
              <w:rPr>
                <w:sz w:val="18"/>
                <w:szCs w:val="18"/>
              </w:rPr>
            </w:pPr>
          </w:p>
          <w:p w14:paraId="5408E43B" w14:textId="528EBE85" w:rsidR="00C43643" w:rsidRDefault="00C43643" w:rsidP="00C43643">
            <w:pPr>
              <w:spacing w:after="240"/>
              <w:jc w:val="center"/>
              <w:rPr>
                <w:sz w:val="18"/>
                <w:szCs w:val="18"/>
              </w:rPr>
            </w:pPr>
            <w:r>
              <w:rPr>
                <w:sz w:val="18"/>
                <w:szCs w:val="18"/>
              </w:rPr>
              <w:t>3%</w:t>
            </w:r>
            <w:r>
              <w:rPr>
                <w:sz w:val="18"/>
                <w:szCs w:val="18"/>
              </w:rPr>
              <w:br/>
              <w:t>(3%)</w:t>
            </w:r>
          </w:p>
          <w:p w14:paraId="74288053" w14:textId="77777777" w:rsidR="00C43643" w:rsidRDefault="00C43643" w:rsidP="00C43643">
            <w:pPr>
              <w:jc w:val="center"/>
              <w:rPr>
                <w:sz w:val="18"/>
                <w:szCs w:val="18"/>
              </w:rPr>
            </w:pPr>
          </w:p>
          <w:p w14:paraId="50CFE8A3" w14:textId="77777777" w:rsidR="00C43643" w:rsidRPr="004561A6" w:rsidRDefault="00C43643" w:rsidP="00C43643">
            <w:pPr>
              <w:jc w:val="center"/>
              <w:rPr>
                <w:sz w:val="18"/>
                <w:szCs w:val="18"/>
              </w:rPr>
            </w:pPr>
            <w:r>
              <w:rPr>
                <w:sz w:val="18"/>
                <w:szCs w:val="18"/>
              </w:rPr>
              <w:t xml:space="preserve">2,152 </w:t>
            </w:r>
            <w:r>
              <w:rPr>
                <w:sz w:val="18"/>
                <w:szCs w:val="18"/>
              </w:rPr>
              <w:br/>
              <w:t>km d</w:t>
            </w:r>
            <w:r>
              <w:rPr>
                <w:sz w:val="18"/>
                <w:szCs w:val="18"/>
              </w:rPr>
              <w:br/>
              <w:t>(2%)</w:t>
            </w:r>
          </w:p>
        </w:tc>
        <w:tc>
          <w:tcPr>
            <w:tcW w:w="816"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31C920D" w14:textId="77777777" w:rsidR="00C43643" w:rsidRDefault="00C43643" w:rsidP="00C43643">
            <w:pPr>
              <w:jc w:val="center"/>
              <w:rPr>
                <w:sz w:val="18"/>
                <w:szCs w:val="18"/>
              </w:rPr>
            </w:pPr>
            <w:r>
              <w:rPr>
                <w:sz w:val="18"/>
                <w:szCs w:val="18"/>
              </w:rPr>
              <w:t>CEW increased maximum</w:t>
            </w:r>
            <w:r w:rsidRPr="004561A6">
              <w:rPr>
                <w:sz w:val="18"/>
                <w:szCs w:val="18"/>
              </w:rPr>
              <w:t xml:space="preserve"> inundated area by </w:t>
            </w:r>
            <w:r>
              <w:rPr>
                <w:sz w:val="18"/>
                <w:szCs w:val="18"/>
              </w:rPr>
              <w:t xml:space="preserve">195 Ha (&lt;1%). </w:t>
            </w:r>
            <w:r>
              <w:rPr>
                <w:sz w:val="18"/>
                <w:szCs w:val="18"/>
              </w:rPr>
              <w:br/>
            </w:r>
          </w:p>
          <w:p w14:paraId="0A1BD897" w14:textId="77777777" w:rsidR="00C43643" w:rsidRDefault="00C43643" w:rsidP="00C43643">
            <w:pPr>
              <w:jc w:val="center"/>
              <w:rPr>
                <w:sz w:val="18"/>
                <w:szCs w:val="18"/>
              </w:rPr>
            </w:pPr>
            <w:r>
              <w:rPr>
                <w:sz w:val="18"/>
                <w:szCs w:val="18"/>
              </w:rPr>
              <w:t>Increase in volume by 16</w:t>
            </w:r>
            <w:r w:rsidRPr="004561A6">
              <w:rPr>
                <w:sz w:val="18"/>
                <w:szCs w:val="18"/>
              </w:rPr>
              <w:t xml:space="preserve">% at the </w:t>
            </w:r>
            <w:r>
              <w:rPr>
                <w:sz w:val="18"/>
                <w:szCs w:val="18"/>
              </w:rPr>
              <w:t xml:space="preserve">SA </w:t>
            </w:r>
            <w:r w:rsidRPr="004561A6">
              <w:rPr>
                <w:sz w:val="18"/>
                <w:szCs w:val="18"/>
              </w:rPr>
              <w:t>border (</w:t>
            </w:r>
            <w:r>
              <w:rPr>
                <w:sz w:val="18"/>
                <w:szCs w:val="18"/>
              </w:rPr>
              <w:t>19</w:t>
            </w:r>
            <w:r w:rsidRPr="004561A6">
              <w:rPr>
                <w:sz w:val="18"/>
                <w:szCs w:val="18"/>
              </w:rPr>
              <w:t>% increase at Lock 1).</w:t>
            </w:r>
            <w:r>
              <w:rPr>
                <w:sz w:val="18"/>
                <w:szCs w:val="18"/>
              </w:rPr>
              <w:t xml:space="preserve"> </w:t>
            </w:r>
          </w:p>
          <w:p w14:paraId="6950C07E" w14:textId="77777777" w:rsidR="00C43643" w:rsidRPr="004561A6" w:rsidRDefault="00C43643" w:rsidP="00C43643">
            <w:pPr>
              <w:jc w:val="center"/>
              <w:rPr>
                <w:sz w:val="18"/>
                <w:szCs w:val="18"/>
              </w:rPr>
            </w:pPr>
            <w:r w:rsidRPr="004561A6">
              <w:rPr>
                <w:sz w:val="18"/>
                <w:szCs w:val="18"/>
              </w:rPr>
              <w:t xml:space="preserve">Total increase in connectivity (v&gt;0.2 m/s) of </w:t>
            </w:r>
            <w:r>
              <w:rPr>
                <w:sz w:val="18"/>
                <w:szCs w:val="18"/>
              </w:rPr>
              <w:t>13,056 </w:t>
            </w:r>
            <w:r w:rsidRPr="004561A6">
              <w:rPr>
                <w:sz w:val="18"/>
                <w:szCs w:val="18"/>
              </w:rPr>
              <w:t>km</w:t>
            </w:r>
            <w:r>
              <w:rPr>
                <w:sz w:val="18"/>
                <w:szCs w:val="18"/>
              </w:rPr>
              <w:t> </w:t>
            </w:r>
            <w:r w:rsidRPr="004561A6">
              <w:rPr>
                <w:sz w:val="18"/>
                <w:szCs w:val="18"/>
              </w:rPr>
              <w:t xml:space="preserve">d, an increase of </w:t>
            </w:r>
            <w:r>
              <w:rPr>
                <w:sz w:val="18"/>
                <w:szCs w:val="18"/>
              </w:rPr>
              <w:t>22</w:t>
            </w:r>
            <w:r w:rsidRPr="004561A6">
              <w:rPr>
                <w:sz w:val="18"/>
                <w:szCs w:val="18"/>
              </w:rPr>
              <w:t>%</w:t>
            </w:r>
          </w:p>
        </w:tc>
      </w:tr>
      <w:tr w:rsidR="00C43643" w:rsidRPr="004561A6" w14:paraId="7AE0407A" w14:textId="77777777" w:rsidTr="006A69B5">
        <w:trPr>
          <w:cantSplit/>
          <w:trHeight w:val="20"/>
        </w:trPr>
        <w:tc>
          <w:tcPr>
            <w:tcW w:w="560" w:type="pct"/>
            <w:tcBorders>
              <w:left w:val="single" w:sz="4" w:space="0" w:color="auto"/>
              <w:right w:val="single" w:sz="4" w:space="0" w:color="auto"/>
            </w:tcBorders>
          </w:tcPr>
          <w:p w14:paraId="3A1561E3" w14:textId="77777777" w:rsidR="00C43643" w:rsidRPr="004561A6" w:rsidRDefault="00C43643" w:rsidP="00C43643">
            <w:pPr>
              <w:rPr>
                <w:sz w:val="18"/>
                <w:szCs w:val="18"/>
              </w:rPr>
            </w:pPr>
            <w:r w:rsidRPr="004561A6">
              <w:rPr>
                <w:sz w:val="18"/>
                <w:szCs w:val="18"/>
              </w:rPr>
              <w:t>What did CEW contribute to hydrological connectivity?</w:t>
            </w:r>
          </w:p>
        </w:tc>
        <w:tc>
          <w:tcPr>
            <w:tcW w:w="4440" w:type="pct"/>
            <w:gridSpan w:val="10"/>
            <w:tcBorders>
              <w:left w:val="single" w:sz="4" w:space="0" w:color="auto"/>
              <w:right w:val="single" w:sz="4" w:space="0" w:color="auto"/>
            </w:tcBorders>
            <w:shd w:val="clear" w:color="auto" w:fill="A8D08D" w:themeFill="accent6" w:themeFillTint="99"/>
          </w:tcPr>
          <w:p w14:paraId="61592139" w14:textId="77777777" w:rsidR="00C43643" w:rsidRDefault="00C43643" w:rsidP="00C43643">
            <w:pPr>
              <w:rPr>
                <w:sz w:val="18"/>
                <w:szCs w:val="18"/>
              </w:rPr>
            </w:pPr>
            <w:r w:rsidRPr="000E347F">
              <w:rPr>
                <w:sz w:val="18"/>
                <w:szCs w:val="18"/>
              </w:rPr>
              <w:t>Long-term (2014–202</w:t>
            </w:r>
            <w:r>
              <w:rPr>
                <w:sz w:val="18"/>
                <w:szCs w:val="18"/>
              </w:rPr>
              <w:t>4</w:t>
            </w:r>
            <w:r w:rsidRPr="000E347F">
              <w:rPr>
                <w:sz w:val="18"/>
                <w:szCs w:val="18"/>
              </w:rPr>
              <w:t xml:space="preserve">) outcome = </w:t>
            </w:r>
            <w:r>
              <w:rPr>
                <w:sz w:val="18"/>
                <w:szCs w:val="18"/>
              </w:rPr>
              <w:t>minor</w:t>
            </w:r>
            <w:r w:rsidRPr="000E347F">
              <w:rPr>
                <w:sz w:val="18"/>
                <w:szCs w:val="18"/>
              </w:rPr>
              <w:t>.</w:t>
            </w:r>
          </w:p>
          <w:p w14:paraId="335C66CB" w14:textId="40F35043" w:rsidR="00C43643" w:rsidRPr="004561A6" w:rsidRDefault="00C43643" w:rsidP="00C43643">
            <w:pPr>
              <w:rPr>
                <w:sz w:val="18"/>
                <w:szCs w:val="18"/>
              </w:rPr>
            </w:pPr>
            <w:r w:rsidRPr="004561A6">
              <w:rPr>
                <w:sz w:val="18"/>
                <w:szCs w:val="18"/>
              </w:rPr>
              <w:t xml:space="preserve">CEW contribution to connectivity has been assessed laterally, as the increase in maximum inundated area </w:t>
            </w:r>
            <w:r>
              <w:rPr>
                <w:sz w:val="18"/>
                <w:szCs w:val="18"/>
              </w:rPr>
              <w:t>over the</w:t>
            </w:r>
            <w:r w:rsidRPr="004561A6">
              <w:rPr>
                <w:sz w:val="18"/>
                <w:szCs w:val="18"/>
              </w:rPr>
              <w:t xml:space="preserve"> year, and longitudinally, as the percentage increase in </w:t>
            </w:r>
            <w:r>
              <w:rPr>
                <w:sz w:val="18"/>
                <w:szCs w:val="18"/>
              </w:rPr>
              <w:t xml:space="preserve">annual </w:t>
            </w:r>
            <w:r w:rsidRPr="004561A6">
              <w:rPr>
                <w:sz w:val="18"/>
                <w:szCs w:val="18"/>
              </w:rPr>
              <w:t xml:space="preserve">flow volume and as </w:t>
            </w:r>
            <w:bookmarkStart w:id="149" w:name="_Hlk96208381"/>
            <w:r w:rsidRPr="004561A6">
              <w:rPr>
                <w:sz w:val="18"/>
                <w:szCs w:val="18"/>
              </w:rPr>
              <w:t xml:space="preserve">the total increase in river length over a number of days with velocity exceeding 0.2 m/s. </w:t>
            </w:r>
            <w:bookmarkEnd w:id="149"/>
            <w:r w:rsidRPr="004561A6">
              <w:rPr>
                <w:sz w:val="18"/>
                <w:szCs w:val="18"/>
              </w:rPr>
              <w:t xml:space="preserve">The increase of annual flow volume at the </w:t>
            </w:r>
            <w:r>
              <w:rPr>
                <w:sz w:val="18"/>
                <w:szCs w:val="18"/>
              </w:rPr>
              <w:t>SA</w:t>
            </w:r>
            <w:r w:rsidRPr="004561A6">
              <w:rPr>
                <w:sz w:val="18"/>
                <w:szCs w:val="18"/>
              </w:rPr>
              <w:t xml:space="preserve"> border is reported (as used for Basin</w:t>
            </w:r>
            <w:r>
              <w:rPr>
                <w:sz w:val="18"/>
                <w:szCs w:val="18"/>
              </w:rPr>
              <w:t>-s</w:t>
            </w:r>
            <w:r w:rsidRPr="004561A6">
              <w:rPr>
                <w:sz w:val="18"/>
                <w:szCs w:val="18"/>
              </w:rPr>
              <w:t xml:space="preserve">cale assessment) as well as at Lock 1, where the percentages increase further down the system due to the losses and consumption, and water recovery within </w:t>
            </w:r>
            <w:r>
              <w:rPr>
                <w:sz w:val="18"/>
                <w:szCs w:val="18"/>
              </w:rPr>
              <w:t>SA</w:t>
            </w:r>
            <w:r w:rsidRPr="004561A6">
              <w:rPr>
                <w:sz w:val="18"/>
                <w:szCs w:val="18"/>
              </w:rPr>
              <w:t>.</w:t>
            </w:r>
            <w:r>
              <w:rPr>
                <w:sz w:val="18"/>
                <w:szCs w:val="18"/>
              </w:rPr>
              <w:t xml:space="preserve"> </w:t>
            </w:r>
            <w:r w:rsidRPr="004561A6">
              <w:rPr>
                <w:sz w:val="18"/>
                <w:szCs w:val="18"/>
              </w:rPr>
              <w:t>In 202</w:t>
            </w:r>
            <w:r>
              <w:rPr>
                <w:sz w:val="18"/>
                <w:szCs w:val="18"/>
              </w:rPr>
              <w:t>3</w:t>
            </w:r>
            <w:r w:rsidRPr="004561A6">
              <w:rPr>
                <w:sz w:val="18"/>
                <w:szCs w:val="18"/>
              </w:rPr>
              <w:t>-2</w:t>
            </w:r>
            <w:r>
              <w:rPr>
                <w:sz w:val="18"/>
                <w:szCs w:val="18"/>
              </w:rPr>
              <w:t>4</w:t>
            </w:r>
            <w:r w:rsidRPr="004561A6">
              <w:rPr>
                <w:sz w:val="18"/>
                <w:szCs w:val="18"/>
              </w:rPr>
              <w:t xml:space="preserve">, CEW </w:t>
            </w:r>
            <w:r>
              <w:rPr>
                <w:sz w:val="18"/>
                <w:szCs w:val="18"/>
              </w:rPr>
              <w:t xml:space="preserve">made a negligible contribution to maximum </w:t>
            </w:r>
            <w:r w:rsidRPr="004561A6">
              <w:rPr>
                <w:sz w:val="18"/>
                <w:szCs w:val="18"/>
              </w:rPr>
              <w:t>lateral connectivity</w:t>
            </w:r>
            <w:r>
              <w:rPr>
                <w:sz w:val="18"/>
                <w:szCs w:val="18"/>
              </w:rPr>
              <w:t xml:space="preserve">, with a &lt;1% increase in maximum inundated area. </w:t>
            </w:r>
            <w:r w:rsidRPr="004561A6">
              <w:rPr>
                <w:sz w:val="18"/>
                <w:szCs w:val="18"/>
              </w:rPr>
              <w:t xml:space="preserve">The increase in flow due to CEW was </w:t>
            </w:r>
            <w:r>
              <w:rPr>
                <w:sz w:val="18"/>
                <w:szCs w:val="18"/>
              </w:rPr>
              <w:t xml:space="preserve">minor, due to large unregulated flow events reducing the proportional contribution of the environmental water volume. </w:t>
            </w:r>
            <w:r w:rsidRPr="004561A6">
              <w:rPr>
                <w:sz w:val="18"/>
                <w:szCs w:val="18"/>
              </w:rPr>
              <w:t xml:space="preserve">The increase in connectivity, based on length-day of river with velocity &gt;0.2 m/s, was </w:t>
            </w:r>
            <w:r>
              <w:rPr>
                <w:sz w:val="18"/>
                <w:szCs w:val="18"/>
              </w:rPr>
              <w:t xml:space="preserve">the highest over the 10-year period, but again due to unregulated flows, the percentage increase was lower and considered minor due to connectivity created by unregulated flow events. Over the last ten years, the contribution of CEW to hydrological connectivity was ‘minor’ </w:t>
            </w:r>
            <w:r w:rsidRPr="000B75AC">
              <w:rPr>
                <w:sz w:val="18"/>
                <w:szCs w:val="18"/>
              </w:rPr>
              <w:t xml:space="preserve">based on a median </w:t>
            </w:r>
            <w:r>
              <w:rPr>
                <w:sz w:val="18"/>
                <w:szCs w:val="18"/>
              </w:rPr>
              <w:t xml:space="preserve">value of the annual </w:t>
            </w:r>
            <w:r w:rsidRPr="000B75AC">
              <w:rPr>
                <w:sz w:val="18"/>
                <w:szCs w:val="18"/>
              </w:rPr>
              <w:t xml:space="preserve">evaluation </w:t>
            </w:r>
            <w:r>
              <w:rPr>
                <w:sz w:val="18"/>
                <w:szCs w:val="18"/>
              </w:rPr>
              <w:t xml:space="preserve">outcome. </w:t>
            </w:r>
            <w:r w:rsidRPr="00A67221">
              <w:rPr>
                <w:sz w:val="18"/>
                <w:szCs w:val="18"/>
              </w:rPr>
              <w:t xml:space="preserve">A substantial contribution was considered an increase in </w:t>
            </w:r>
            <w:r>
              <w:rPr>
                <w:sz w:val="18"/>
                <w:szCs w:val="18"/>
              </w:rPr>
              <w:t>discharge at the SA border</w:t>
            </w:r>
            <w:r w:rsidRPr="00A67221">
              <w:rPr>
                <w:sz w:val="18"/>
                <w:szCs w:val="18"/>
              </w:rPr>
              <w:t xml:space="preserve"> by </w:t>
            </w:r>
            <w:r>
              <w:rPr>
                <w:sz w:val="18"/>
                <w:szCs w:val="18"/>
              </w:rPr>
              <w:t>50</w:t>
            </w:r>
            <w:r w:rsidRPr="00A67221">
              <w:rPr>
                <w:sz w:val="18"/>
                <w:szCs w:val="18"/>
              </w:rPr>
              <w:t>% or greater</w:t>
            </w:r>
            <w:r>
              <w:rPr>
                <w:sz w:val="18"/>
                <w:szCs w:val="18"/>
              </w:rPr>
              <w:t xml:space="preserve"> and/or an increase in connectivity (v&gt;0.2 m/s) of 200% or greater</w:t>
            </w:r>
            <w:r w:rsidRPr="00A67221">
              <w:rPr>
                <w:sz w:val="18"/>
                <w:szCs w:val="18"/>
              </w:rPr>
              <w:t xml:space="preserve">, moderate </w:t>
            </w:r>
            <w:r>
              <w:rPr>
                <w:sz w:val="18"/>
                <w:szCs w:val="18"/>
              </w:rPr>
              <w:t>21</w:t>
            </w:r>
            <w:r w:rsidRPr="00A67221">
              <w:rPr>
                <w:sz w:val="18"/>
                <w:szCs w:val="18"/>
              </w:rPr>
              <w:t>–</w:t>
            </w:r>
            <w:r>
              <w:rPr>
                <w:sz w:val="18"/>
                <w:szCs w:val="18"/>
              </w:rPr>
              <w:t>49</w:t>
            </w:r>
            <w:r w:rsidRPr="00A67221">
              <w:rPr>
                <w:sz w:val="18"/>
                <w:szCs w:val="18"/>
              </w:rPr>
              <w:t>%</w:t>
            </w:r>
            <w:r>
              <w:rPr>
                <w:sz w:val="18"/>
                <w:szCs w:val="18"/>
              </w:rPr>
              <w:t xml:space="preserve"> and/or 100</w:t>
            </w:r>
            <w:r w:rsidRPr="00A67221">
              <w:rPr>
                <w:sz w:val="18"/>
                <w:szCs w:val="18"/>
              </w:rPr>
              <w:t>–</w:t>
            </w:r>
            <w:r>
              <w:rPr>
                <w:sz w:val="18"/>
                <w:szCs w:val="18"/>
              </w:rPr>
              <w:t>199</w:t>
            </w:r>
            <w:r w:rsidRPr="00A67221">
              <w:rPr>
                <w:sz w:val="18"/>
                <w:szCs w:val="18"/>
              </w:rPr>
              <w:t xml:space="preserve">%, minor </w:t>
            </w:r>
            <w:r>
              <w:rPr>
                <w:sz w:val="18"/>
                <w:szCs w:val="18"/>
              </w:rPr>
              <w:t>6</w:t>
            </w:r>
            <w:r w:rsidRPr="00A67221">
              <w:rPr>
                <w:sz w:val="18"/>
                <w:szCs w:val="18"/>
              </w:rPr>
              <w:t>–</w:t>
            </w:r>
            <w:r>
              <w:rPr>
                <w:sz w:val="18"/>
                <w:szCs w:val="18"/>
              </w:rPr>
              <w:t>20</w:t>
            </w:r>
            <w:r w:rsidRPr="00A67221">
              <w:rPr>
                <w:sz w:val="18"/>
                <w:szCs w:val="18"/>
              </w:rPr>
              <w:t>%</w:t>
            </w:r>
            <w:r>
              <w:rPr>
                <w:sz w:val="18"/>
                <w:szCs w:val="18"/>
              </w:rPr>
              <w:t xml:space="preserve"> and/or 3</w:t>
            </w:r>
            <w:r w:rsidRPr="00A67221">
              <w:rPr>
                <w:sz w:val="18"/>
                <w:szCs w:val="18"/>
              </w:rPr>
              <w:t>–</w:t>
            </w:r>
            <w:r>
              <w:rPr>
                <w:sz w:val="18"/>
                <w:szCs w:val="18"/>
              </w:rPr>
              <w:t>100</w:t>
            </w:r>
            <w:r w:rsidRPr="00A67221">
              <w:rPr>
                <w:sz w:val="18"/>
                <w:szCs w:val="18"/>
              </w:rPr>
              <w:t>%, negligible &lt;</w:t>
            </w:r>
            <w:r>
              <w:rPr>
                <w:sz w:val="18"/>
                <w:szCs w:val="18"/>
              </w:rPr>
              <w:t>6</w:t>
            </w:r>
            <w:r w:rsidRPr="00A67221">
              <w:rPr>
                <w:sz w:val="18"/>
                <w:szCs w:val="18"/>
              </w:rPr>
              <w:t>%</w:t>
            </w:r>
            <w:r>
              <w:rPr>
                <w:sz w:val="18"/>
                <w:szCs w:val="18"/>
              </w:rPr>
              <w:t xml:space="preserve"> and/or &lt;3%</w:t>
            </w:r>
            <w:r w:rsidRPr="00A67221">
              <w:rPr>
                <w:sz w:val="18"/>
                <w:szCs w:val="18"/>
              </w:rPr>
              <w:t>.</w:t>
            </w:r>
          </w:p>
        </w:tc>
      </w:tr>
    </w:tbl>
    <w:p w14:paraId="1E9F50DF" w14:textId="77777777" w:rsidR="00C43643" w:rsidRDefault="00C43643" w:rsidP="00C86C33">
      <w:pPr>
        <w:spacing w:before="0" w:after="0" w:line="240" w:lineRule="auto"/>
        <w:jc w:val="left"/>
        <w:rPr>
          <w:color w:val="auto"/>
          <w:kern w:val="0"/>
          <w:sz w:val="18"/>
          <w:szCs w:val="18"/>
          <w:lang w:val="en-US" w:bidi="en-US"/>
        </w:rPr>
      </w:pPr>
    </w:p>
    <w:p w14:paraId="4E8CA8A6" w14:textId="54676BCC" w:rsidR="00C86C33" w:rsidRPr="004561A6" w:rsidRDefault="00C86C33" w:rsidP="00C86C33">
      <w:pPr>
        <w:spacing w:before="0" w:after="0" w:line="240" w:lineRule="auto"/>
        <w:jc w:val="left"/>
        <w:rPr>
          <w:color w:val="auto"/>
          <w:kern w:val="0"/>
          <w:sz w:val="18"/>
          <w:szCs w:val="18"/>
          <w:lang w:val="en-US" w:bidi="en-US"/>
        </w:rPr>
      </w:pPr>
      <w:r w:rsidRPr="004561A6">
        <w:rPr>
          <w:color w:val="auto"/>
          <w:kern w:val="0"/>
          <w:sz w:val="18"/>
          <w:szCs w:val="18"/>
          <w:lang w:val="en-US" w:bidi="en-US"/>
        </w:rPr>
        <w:t>Contribution (to what extent CEW contributed towards the outcome, with the significance of the outcome considered):</w:t>
      </w:r>
    </w:p>
    <w:tbl>
      <w:tblPr>
        <w:tblW w:w="6710" w:type="dxa"/>
        <w:tblLook w:val="04A0" w:firstRow="1" w:lastRow="0" w:firstColumn="1" w:lastColumn="0" w:noHBand="0" w:noVBand="1"/>
      </w:tblPr>
      <w:tblGrid>
        <w:gridCol w:w="222"/>
        <w:gridCol w:w="1021"/>
        <w:gridCol w:w="222"/>
        <w:gridCol w:w="1626"/>
        <w:gridCol w:w="222"/>
        <w:gridCol w:w="700"/>
        <w:gridCol w:w="222"/>
        <w:gridCol w:w="1095"/>
        <w:gridCol w:w="222"/>
        <w:gridCol w:w="1158"/>
      </w:tblGrid>
      <w:tr w:rsidR="00C86C33" w:rsidRPr="004561A6" w14:paraId="2C85891F" w14:textId="77777777" w:rsidTr="00B245A8">
        <w:tc>
          <w:tcPr>
            <w:tcW w:w="222" w:type="dxa"/>
            <w:shd w:val="clear" w:color="auto" w:fill="D9D9D9" w:themeFill="background1" w:themeFillShade="D9"/>
          </w:tcPr>
          <w:p w14:paraId="052EB64F" w14:textId="77777777" w:rsidR="00C86C33" w:rsidRPr="004561A6" w:rsidRDefault="00C86C33" w:rsidP="00B245A8">
            <w:pPr>
              <w:contextualSpacing/>
              <w:rPr>
                <w:sz w:val="18"/>
                <w:szCs w:val="18"/>
              </w:rPr>
            </w:pPr>
          </w:p>
        </w:tc>
        <w:tc>
          <w:tcPr>
            <w:tcW w:w="1021" w:type="dxa"/>
            <w:vAlign w:val="center"/>
          </w:tcPr>
          <w:p w14:paraId="6C14AB8B" w14:textId="77777777" w:rsidR="00C86C33" w:rsidRPr="004561A6" w:rsidRDefault="00C86C33" w:rsidP="00B245A8">
            <w:pPr>
              <w:contextualSpacing/>
              <w:rPr>
                <w:sz w:val="18"/>
                <w:szCs w:val="18"/>
              </w:rPr>
            </w:pPr>
            <w:r w:rsidRPr="004561A6">
              <w:rPr>
                <w:sz w:val="18"/>
                <w:szCs w:val="18"/>
              </w:rPr>
              <w:t>Unknown</w:t>
            </w:r>
          </w:p>
        </w:tc>
        <w:tc>
          <w:tcPr>
            <w:tcW w:w="222" w:type="dxa"/>
            <w:shd w:val="clear" w:color="auto" w:fill="E2EFD9" w:themeFill="accent6" w:themeFillTint="33"/>
            <w:vAlign w:val="center"/>
          </w:tcPr>
          <w:p w14:paraId="7005F232" w14:textId="77777777" w:rsidR="00C86C33" w:rsidRPr="004561A6" w:rsidRDefault="00C86C33" w:rsidP="00B245A8">
            <w:pPr>
              <w:contextualSpacing/>
              <w:rPr>
                <w:sz w:val="18"/>
                <w:szCs w:val="18"/>
              </w:rPr>
            </w:pPr>
          </w:p>
        </w:tc>
        <w:tc>
          <w:tcPr>
            <w:tcW w:w="1626" w:type="dxa"/>
            <w:vAlign w:val="center"/>
          </w:tcPr>
          <w:p w14:paraId="2F296E5D" w14:textId="77777777" w:rsidR="00C86C33" w:rsidRPr="004561A6" w:rsidRDefault="00C86C33" w:rsidP="00B245A8">
            <w:pPr>
              <w:contextualSpacing/>
              <w:rPr>
                <w:sz w:val="18"/>
                <w:szCs w:val="18"/>
              </w:rPr>
            </w:pPr>
            <w:r w:rsidRPr="004561A6">
              <w:rPr>
                <w:sz w:val="18"/>
                <w:szCs w:val="18"/>
              </w:rPr>
              <w:t>None/negligible</w:t>
            </w:r>
          </w:p>
        </w:tc>
        <w:tc>
          <w:tcPr>
            <w:tcW w:w="222" w:type="dxa"/>
            <w:shd w:val="clear" w:color="auto" w:fill="A8D08D" w:themeFill="accent6" w:themeFillTint="99"/>
            <w:vAlign w:val="center"/>
          </w:tcPr>
          <w:p w14:paraId="637BA58C" w14:textId="77777777" w:rsidR="00C86C33" w:rsidRPr="004561A6" w:rsidRDefault="00C86C33" w:rsidP="00B245A8">
            <w:pPr>
              <w:contextualSpacing/>
              <w:rPr>
                <w:sz w:val="18"/>
                <w:szCs w:val="18"/>
              </w:rPr>
            </w:pPr>
          </w:p>
        </w:tc>
        <w:tc>
          <w:tcPr>
            <w:tcW w:w="700" w:type="dxa"/>
            <w:vAlign w:val="center"/>
          </w:tcPr>
          <w:p w14:paraId="198ADBCE" w14:textId="77777777" w:rsidR="00C86C33" w:rsidRPr="004561A6" w:rsidRDefault="00C86C33" w:rsidP="00B245A8">
            <w:pPr>
              <w:contextualSpacing/>
              <w:rPr>
                <w:sz w:val="18"/>
                <w:szCs w:val="18"/>
              </w:rPr>
            </w:pPr>
            <w:r w:rsidRPr="004561A6">
              <w:rPr>
                <w:sz w:val="18"/>
                <w:szCs w:val="18"/>
              </w:rPr>
              <w:t>Minor</w:t>
            </w:r>
          </w:p>
        </w:tc>
        <w:tc>
          <w:tcPr>
            <w:tcW w:w="222" w:type="dxa"/>
            <w:shd w:val="clear" w:color="auto" w:fill="70AD47" w:themeFill="accent6"/>
            <w:vAlign w:val="center"/>
          </w:tcPr>
          <w:p w14:paraId="7F1F2F8B" w14:textId="77777777" w:rsidR="00C86C33" w:rsidRPr="004561A6" w:rsidRDefault="00C86C33" w:rsidP="00B245A8">
            <w:pPr>
              <w:contextualSpacing/>
              <w:rPr>
                <w:sz w:val="18"/>
                <w:szCs w:val="18"/>
              </w:rPr>
            </w:pPr>
          </w:p>
        </w:tc>
        <w:tc>
          <w:tcPr>
            <w:tcW w:w="1095" w:type="dxa"/>
            <w:vAlign w:val="center"/>
          </w:tcPr>
          <w:p w14:paraId="6A6FF329" w14:textId="77777777" w:rsidR="00C86C33" w:rsidRPr="004561A6" w:rsidRDefault="00C86C33" w:rsidP="00B245A8">
            <w:pPr>
              <w:contextualSpacing/>
              <w:rPr>
                <w:iCs/>
                <w:sz w:val="18"/>
                <w:szCs w:val="18"/>
              </w:rPr>
            </w:pPr>
            <w:r w:rsidRPr="004561A6">
              <w:rPr>
                <w:iCs/>
                <w:sz w:val="18"/>
                <w:szCs w:val="18"/>
              </w:rPr>
              <w:t>Moderate</w:t>
            </w:r>
          </w:p>
        </w:tc>
        <w:tc>
          <w:tcPr>
            <w:tcW w:w="222" w:type="dxa"/>
            <w:shd w:val="clear" w:color="auto" w:fill="5B9BD5" w:themeFill="accent1"/>
          </w:tcPr>
          <w:p w14:paraId="63D05BE9" w14:textId="77777777" w:rsidR="00C86C33" w:rsidRPr="004561A6" w:rsidRDefault="00C86C33" w:rsidP="00B245A8">
            <w:pPr>
              <w:contextualSpacing/>
              <w:rPr>
                <w:i/>
                <w:sz w:val="18"/>
                <w:szCs w:val="18"/>
              </w:rPr>
            </w:pPr>
          </w:p>
        </w:tc>
        <w:tc>
          <w:tcPr>
            <w:tcW w:w="1158" w:type="dxa"/>
            <w:vAlign w:val="center"/>
          </w:tcPr>
          <w:p w14:paraId="4B62E8B0" w14:textId="77777777" w:rsidR="00C86C33" w:rsidRPr="004561A6" w:rsidRDefault="00C86C33" w:rsidP="00B245A8">
            <w:pPr>
              <w:contextualSpacing/>
              <w:jc w:val="left"/>
              <w:rPr>
                <w:sz w:val="18"/>
                <w:szCs w:val="18"/>
              </w:rPr>
            </w:pPr>
            <w:r w:rsidRPr="004561A6">
              <w:rPr>
                <w:sz w:val="18"/>
                <w:szCs w:val="18"/>
              </w:rPr>
              <w:t>Substantial</w:t>
            </w:r>
          </w:p>
        </w:tc>
      </w:tr>
    </w:tbl>
    <w:p w14:paraId="19EA344B" w14:textId="77777777" w:rsidR="00C86C33" w:rsidRDefault="00C86C33" w:rsidP="00C86C33">
      <w:pPr>
        <w:sectPr w:rsidR="00C86C33" w:rsidSect="00C86C33">
          <w:footnotePr>
            <w:numFmt w:val="lowerLetter"/>
          </w:footnotePr>
          <w:pgSz w:w="16840" w:h="11900" w:orient="landscape" w:code="9"/>
          <w:pgMar w:top="1440" w:right="1440" w:bottom="1440" w:left="1440" w:header="709" w:footer="709" w:gutter="0"/>
          <w:cols w:space="708"/>
          <w:docGrid w:linePitch="360"/>
        </w:sectPr>
      </w:pPr>
    </w:p>
    <w:bookmarkEnd w:id="114"/>
    <w:p w14:paraId="48E4E668" w14:textId="77777777" w:rsidR="00C86C33" w:rsidRPr="00E35C12" w:rsidRDefault="00C86C33" w:rsidP="00C86C33">
      <w:pPr>
        <w:pStyle w:val="Heading3"/>
      </w:pPr>
      <w:r w:rsidRPr="00E35C12">
        <w:lastRenderedPageBreak/>
        <w:t>Discussion</w:t>
      </w:r>
    </w:p>
    <w:p w14:paraId="2E74C2D0" w14:textId="77777777" w:rsidR="00165270" w:rsidRDefault="00165270" w:rsidP="00165270">
      <w:bookmarkStart w:id="150" w:name="_Toc64646438"/>
      <w:bookmarkStart w:id="151" w:name="_Toc103170065"/>
      <w:r>
        <w:t>Unregulated flow to the Lower Murray Selected Area ended on 23 November 2023 after commencing on 15 July 2021, a period of 861 days. Further short duration unregulated flow events occurred over the remainder of 2023-24. The hydraulic diversity metrics were designed to quantify the benefit from a flow peak created or enhanced using environmental water, similar to assessing an environmental water requirement where a flow threshold is exceeded for a given duration. These assessment metrics are less sensitive to the conditions that occurred in 2023-24 (and 2022-23), where the peak flow for the year occurred (predominantly) due to unregulated flow. However, following the unregulated flow event that peaked in September 2023,</w:t>
      </w:r>
      <w:r w:rsidRPr="00BA4484">
        <w:t xml:space="preserve"> </w:t>
      </w:r>
      <w:r>
        <w:t xml:space="preserve">Commonwealth environmental water did contribute substantially to hydraulic diversity and at a more ecologically beneficial time of year over October to December. </w:t>
      </w:r>
    </w:p>
    <w:p w14:paraId="7E7CC552" w14:textId="7B9F4404" w:rsidR="00C86C33" w:rsidRDefault="00C86C33" w:rsidP="00C86C33">
      <w:r>
        <w:t>The longitudinal connectivity metric, the increase in the length and days of river experiencing velocities greater than 0.2 m/s over the year</w:t>
      </w:r>
      <w:r w:rsidRPr="00733617">
        <w:t xml:space="preserve"> </w:t>
      </w:r>
      <w:r>
        <w:t xml:space="preserve">due to Commonwealth environmental water, was greatest in 2023-24 than any other year in the ten years of LTIM and Flow-MER evaluation. For a velocity threshold of 0.3 m/s, the increase due to Commonwealth environmental water was </w:t>
      </w:r>
      <w:r w:rsidRPr="00486FB4">
        <w:t>12</w:t>
      </w:r>
      <w:r>
        <w:t>,</w:t>
      </w:r>
      <w:r w:rsidRPr="00486FB4">
        <w:t>586</w:t>
      </w:r>
      <w:r>
        <w:t xml:space="preserve"> km d, by far the largest increase in the past ten years and 45% larger than the next biggest contribution to lotic conditions in 2021-22. Hence, while the evaluation in </w:t>
      </w:r>
      <w:r>
        <w:fldChar w:fldCharType="begin"/>
      </w:r>
      <w:r>
        <w:instrText xml:space="preserve"> REF _Ref153960871 \h </w:instrText>
      </w:r>
      <w:r>
        <w:fldChar w:fldCharType="separate"/>
      </w:r>
      <w:r w:rsidR="00102828">
        <w:t xml:space="preserve">Table </w:t>
      </w:r>
      <w:r w:rsidR="00102828">
        <w:rPr>
          <w:noProof/>
        </w:rPr>
        <w:t>4</w:t>
      </w:r>
      <w:r>
        <w:fldChar w:fldCharType="end"/>
      </w:r>
      <w:r>
        <w:t xml:space="preserve"> suggests a minor c</w:t>
      </w:r>
      <w:r w:rsidRPr="009B782B">
        <w:t>ontribut</w:t>
      </w:r>
      <w:r>
        <w:t>ion</w:t>
      </w:r>
      <w:r w:rsidRPr="009B782B">
        <w:t xml:space="preserve"> </w:t>
      </w:r>
      <w:r>
        <w:t xml:space="preserve">from Commonwealth environmental water </w:t>
      </w:r>
      <w:r w:rsidRPr="009B782B">
        <w:t>to hydraulic diversity within weir pools</w:t>
      </w:r>
      <w:r>
        <w:t xml:space="preserve"> based on the metric used for evaluation, by another metric, Commonwealth environmental water made a substantial contribution to lotic conditions in 2023-24, and the largest increase since long-term evaluation commenced in 2014-15.</w:t>
      </w:r>
    </w:p>
    <w:p w14:paraId="13AADB12" w14:textId="79DD2964" w:rsidR="00C86C33" w:rsidRDefault="00C86C33" w:rsidP="00C86C33">
      <w:r>
        <w:t xml:space="preserve">The results for the increase in lotic conditions in 2023-24 demonstrate the relatively larger increases in velocity that occur as flow </w:t>
      </w:r>
      <w:r w:rsidR="00257C05">
        <w:t xml:space="preserve">discharge </w:t>
      </w:r>
      <w:r>
        <w:t>to S</w:t>
      </w:r>
      <w:r w:rsidR="00257C05">
        <w:t>outh Australia</w:t>
      </w:r>
      <w:r>
        <w:t xml:space="preserve"> increases above 20,000 ML/d. </w:t>
      </w:r>
      <w:r>
        <w:fldChar w:fldCharType="begin"/>
      </w:r>
      <w:r>
        <w:instrText xml:space="preserve"> REF _Ref185589335 \h </w:instrText>
      </w:r>
      <w:r>
        <w:fldChar w:fldCharType="separate"/>
      </w:r>
      <w:r w:rsidR="00102828">
        <w:t xml:space="preserve">Figure </w:t>
      </w:r>
      <w:r w:rsidR="00102828">
        <w:rPr>
          <w:noProof/>
        </w:rPr>
        <w:t>11</w:t>
      </w:r>
      <w:r>
        <w:fldChar w:fldCharType="end"/>
      </w:r>
      <w:r>
        <w:t xml:space="preserve"> presents the length of river with lotic conditions (v&gt;0.3 m/s) for different flow </w:t>
      </w:r>
      <w:r w:rsidR="00257C05">
        <w:t xml:space="preserve">discharges </w:t>
      </w:r>
      <w:r>
        <w:t>to S</w:t>
      </w:r>
      <w:r w:rsidR="00257C05">
        <w:t>outh Australia</w:t>
      </w:r>
      <w:r>
        <w:t xml:space="preserve">. The green diamonds represent the steady state result from the hydraulic models, which would be the case if the relevant flow rate persisted throughout the LMR. The black dots represent the results from each day of evaluation over the past ten years, which generally follow the same pattern, but the differences are caused by the shape of the hydrograph, e.g. a rising or falling limb of a flow event being at different stages along the Selected Area on a given day. Flow of 20,000 ML/d at the </w:t>
      </w:r>
      <w:r w:rsidR="00861429">
        <w:t>South Australian</w:t>
      </w:r>
      <w:r>
        <w:t xml:space="preserve"> border can result in approximately 60% of the river considered with lotic conditions, but shorter events often result in this not occurring concurrently across the LMR (as the black dots tend to be below the steady state result for a flow of 20,000 ML/d). At 30,0000 ML/d, almost all of the LMR experiences lotic conditions, assuming weir pools are at normal levels. Hence, it is increases in this range above 20,000 ML/d, and especially up to 30,000 ML/d, that result in creation of substantial extent of lotic conditions, as was the case in 2023-24. </w:t>
      </w:r>
    </w:p>
    <w:p w14:paraId="1CA2F3D2" w14:textId="7213F9FC" w:rsidR="00C86C33" w:rsidRDefault="00C86C33" w:rsidP="00C86C33">
      <w:r>
        <w:t>At bankfull conditions, approximately 45,000 ML/d, practically the whole reach is lotic. In 2022-23, the peak of the flood event resulted in some of the main river channel experiencing lower modelled velocities, as extensive overbank inundation created additional flow paths</w:t>
      </w:r>
      <w:r w:rsidR="00F143BC">
        <w:t xml:space="preserve"> (Ye </w:t>
      </w:r>
      <w:r w:rsidR="00F143BC" w:rsidRPr="00F143BC">
        <w:rPr>
          <w:i/>
          <w:iCs/>
        </w:rPr>
        <w:t>et al.</w:t>
      </w:r>
      <w:r w:rsidR="00F143BC">
        <w:t xml:space="preserve"> 2024)</w:t>
      </w:r>
      <w:r>
        <w:t xml:space="preserve">. It is not considered that increasing discharge is a negative outcome for the transport of propagules and matter along the River Murray. Ultimately, the lotic velocity thresholds are likely to be informative up to bankfull conditions </w:t>
      </w:r>
      <w:r>
        <w:lastRenderedPageBreak/>
        <w:t xml:space="preserve">(as represented in </w:t>
      </w:r>
      <w:r>
        <w:fldChar w:fldCharType="begin"/>
      </w:r>
      <w:r>
        <w:instrText xml:space="preserve"> REF _Ref185589335 \h </w:instrText>
      </w:r>
      <w:r>
        <w:fldChar w:fldCharType="separate"/>
      </w:r>
      <w:r w:rsidR="00102828">
        <w:t xml:space="preserve">Figure </w:t>
      </w:r>
      <w:r w:rsidR="00102828">
        <w:rPr>
          <w:noProof/>
        </w:rPr>
        <w:t>11</w:t>
      </w:r>
      <w:r>
        <w:fldChar w:fldCharType="end"/>
      </w:r>
      <w:r>
        <w:t xml:space="preserve">), and once the maximum length of lotic habitat occurs, and for overbank flow, the metrics are considered less meaningful. </w:t>
      </w:r>
    </w:p>
    <w:p w14:paraId="32706E32" w14:textId="77777777" w:rsidR="00C86C33" w:rsidRDefault="00C86C33" w:rsidP="00C86C33">
      <w:pPr>
        <w:keepNext/>
      </w:pPr>
      <w:r>
        <w:rPr>
          <w:noProof/>
        </w:rPr>
        <w:drawing>
          <wp:inline distT="0" distB="0" distL="0" distR="0" wp14:anchorId="040FB730" wp14:editId="2B02FB2C">
            <wp:extent cx="5398770" cy="4317365"/>
            <wp:effectExtent l="0" t="0" r="0" b="6985"/>
            <wp:docPr id="405448175" name="Picture 11" descr="Graph showing percentage of river between Lock 6 and Wellington with lotic habitat for a given flow to 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448175" name="Picture 11" descr="Graph showing percentage of river between Lock 6 and Wellington with lotic habitat for a given flow to SA."/>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398770" cy="4317365"/>
                    </a:xfrm>
                    <a:prstGeom prst="rect">
                      <a:avLst/>
                    </a:prstGeom>
                    <a:noFill/>
                    <a:ln>
                      <a:noFill/>
                    </a:ln>
                  </pic:spPr>
                </pic:pic>
              </a:graphicData>
            </a:graphic>
          </wp:inline>
        </w:drawing>
      </w:r>
    </w:p>
    <w:p w14:paraId="1E4042C4" w14:textId="641DFA63" w:rsidR="00C86C33" w:rsidRDefault="00C86C33" w:rsidP="00C86C33">
      <w:pPr>
        <w:pStyle w:val="Caption"/>
        <w:tabs>
          <w:tab w:val="left" w:pos="1701"/>
        </w:tabs>
      </w:pPr>
      <w:bookmarkStart w:id="152" w:name="_Ref185589335"/>
      <w:bookmarkStart w:id="153" w:name="_Toc200464462"/>
      <w:r>
        <w:t xml:space="preserve">Figure </w:t>
      </w:r>
      <w:r>
        <w:fldChar w:fldCharType="begin"/>
      </w:r>
      <w:r>
        <w:instrText>SEQ Figure \* ARABIC</w:instrText>
      </w:r>
      <w:r>
        <w:fldChar w:fldCharType="separate"/>
      </w:r>
      <w:r w:rsidR="00102828">
        <w:rPr>
          <w:noProof/>
        </w:rPr>
        <w:t>11</w:t>
      </w:r>
      <w:r>
        <w:fldChar w:fldCharType="end"/>
      </w:r>
      <w:bookmarkEnd w:id="152"/>
      <w:r>
        <w:rPr>
          <w:noProof/>
        </w:rPr>
        <w:t>.</w:t>
      </w:r>
      <w:r>
        <w:t xml:space="preserve"> Percentage o</w:t>
      </w:r>
      <w:r w:rsidR="00CC3C55">
        <w:t>f</w:t>
      </w:r>
      <w:r>
        <w:t xml:space="preserve"> river between Lock 6 and Wellington with lotic habitat (v&gt;0.3 m/s) for a given flow discharge</w:t>
      </w:r>
      <w:r w:rsidR="00257C05">
        <w:t xml:space="preserve"> to South Australia (SA)</w:t>
      </w:r>
      <w:r>
        <w:t>. Green diamonds represent steady state conditions and black dots the results from each day of evaluation over the past 10 years, indicating the influence of the shape of the hydrograph over time.</w:t>
      </w:r>
      <w:bookmarkEnd w:id="153"/>
    </w:p>
    <w:p w14:paraId="224E2170" w14:textId="736C93DB" w:rsidR="00C86C33" w:rsidRDefault="00C86C33" w:rsidP="00C86C33">
      <w:r>
        <w:t xml:space="preserve">A range of metrics have been considered to assess the evaluation questions in </w:t>
      </w:r>
      <w:r>
        <w:fldChar w:fldCharType="begin"/>
      </w:r>
      <w:r>
        <w:instrText xml:space="preserve"> REF _Ref153960871 \h </w:instrText>
      </w:r>
      <w:r>
        <w:fldChar w:fldCharType="separate"/>
      </w:r>
      <w:r w:rsidR="00102828">
        <w:t xml:space="preserve">Table </w:t>
      </w:r>
      <w:r w:rsidR="00102828">
        <w:rPr>
          <w:noProof/>
        </w:rPr>
        <w:t>4</w:t>
      </w:r>
      <w:r>
        <w:fldChar w:fldCharType="end"/>
      </w:r>
      <w:r>
        <w:t xml:space="preserve">. Relevant velocity thresholds, proportions of the river, timing/season of year and duration required to promote different ecological processes are the focus of further research, as the empirical evidence relating the hydrological/hydraulic conditions occurring and ecological responses continues to improve. It is expected that this hydraulic information, and the methodology developed to derive it for the future, will help to develop eco-hydraulic relationships. The commencement of Flow-MER 2.0 to evaluate outcomes in 2024-25, including expanding the upstream boundary of the </w:t>
      </w:r>
      <w:r w:rsidRPr="00CE436A">
        <w:rPr>
          <w:i/>
          <w:iCs/>
        </w:rPr>
        <w:t>Hydraulic Regime</w:t>
      </w:r>
      <w:r>
        <w:t xml:space="preserve"> indicator from Lock 6 to Lock 10, provides an opportunity to refine the metrics based on learning over the last decade. </w:t>
      </w:r>
      <w:bookmarkEnd w:id="150"/>
      <w:bookmarkEnd w:id="151"/>
    </w:p>
    <w:p w14:paraId="2A657D10" w14:textId="77777777" w:rsidR="00C86C33" w:rsidRDefault="00C86C33" w:rsidP="00C86C33">
      <w:pPr>
        <w:pStyle w:val="Heading3"/>
      </w:pPr>
      <w:r>
        <w:t>Management implications</w:t>
      </w:r>
    </w:p>
    <w:p w14:paraId="127B8B35" w14:textId="14F02487" w:rsidR="00C86C33" w:rsidRDefault="00C86C33" w:rsidP="00C86C33">
      <w:r>
        <w:t>The 2023-24 report marks ten years of evaluation since the start of LTIM and provides an opportunity to review improvements in hydraulic conditions from Commonwealth environmental water over an extended time horizon. Years 2021-22 to 2023-24 represented a particularly high flow period, with the only other year being 2016-17 when flow to SA exceeded 25,000 ML/d (</w:t>
      </w:r>
      <w:r>
        <w:fldChar w:fldCharType="begin"/>
      </w:r>
      <w:r>
        <w:instrText xml:space="preserve"> REF _Ref155710246 \h </w:instrText>
      </w:r>
      <w:r>
        <w:fldChar w:fldCharType="separate"/>
      </w:r>
      <w:r w:rsidR="00102828">
        <w:t xml:space="preserve">Figure </w:t>
      </w:r>
      <w:r w:rsidR="00102828">
        <w:rPr>
          <w:noProof/>
        </w:rPr>
        <w:t>12</w:t>
      </w:r>
      <w:r>
        <w:fldChar w:fldCharType="end"/>
      </w:r>
      <w:r>
        <w:t xml:space="preserve">). These high flow conditions have enabled </w:t>
      </w:r>
      <w:r>
        <w:lastRenderedPageBreak/>
        <w:t>Commonwealth environmental water to maintain high flows and contribute to greater increases in lotic conditions, with an increase in the length of river with velocity greater than 0.3 m/s by an average of 8,93</w:t>
      </w:r>
      <w:r w:rsidR="00DB70D0">
        <w:t>5</w:t>
      </w:r>
      <w:r>
        <w:t xml:space="preserve"> km d each year over the last three years, compared to 2,</w:t>
      </w:r>
      <w:r w:rsidR="00DB70D0">
        <w:t>736</w:t>
      </w:r>
      <w:r>
        <w:t xml:space="preserve"> km d each year over the preceding seven years. In the drier years, targeted environmental water delivery has created events with some sections of river turning to lotic for the duration of the watering event (</w:t>
      </w:r>
      <w:r>
        <w:fldChar w:fldCharType="begin"/>
      </w:r>
      <w:r>
        <w:instrText xml:space="preserve"> REF _Ref185409782 \h </w:instrText>
      </w:r>
      <w:r>
        <w:fldChar w:fldCharType="separate"/>
      </w:r>
      <w:r w:rsidR="00102828">
        <w:t xml:space="preserve">Figure </w:t>
      </w:r>
      <w:r w:rsidR="00102828">
        <w:rPr>
          <w:noProof/>
        </w:rPr>
        <w:t>14</w:t>
      </w:r>
      <w:r>
        <w:fldChar w:fldCharType="end"/>
      </w:r>
      <w:r>
        <w:t xml:space="preserve">). This may have benefits for some outcomes that operate at commensurate scales (possibly triggering some biological responses), but there may be reduced responses for objectives that require more extensive lotic conditions along the river (e.g. propagule transport) or continuously over time (e.g. habitat for Murray cod). </w:t>
      </w:r>
    </w:p>
    <w:p w14:paraId="2898332B" w14:textId="77777777" w:rsidR="00C86C33" w:rsidRPr="009A0AAF" w:rsidRDefault="00C86C33" w:rsidP="00C86C33">
      <w:pPr>
        <w:keepNext/>
        <w:spacing w:before="0"/>
        <w:jc w:val="center"/>
        <w:rPr>
          <w:rFonts w:ascii="Arial" w:hAnsi="Arial" w:cs="Arial"/>
          <w:b/>
          <w:bCs/>
        </w:rPr>
      </w:pPr>
      <w:r>
        <w:rPr>
          <w:rFonts w:ascii="Arial" w:hAnsi="Arial" w:cs="Arial"/>
          <w:b/>
          <w:bCs/>
          <w:noProof/>
        </w:rPr>
        <w:drawing>
          <wp:inline distT="0" distB="0" distL="0" distR="0" wp14:anchorId="395FDDEC" wp14:editId="7964034F">
            <wp:extent cx="5756910" cy="3601720"/>
            <wp:effectExtent l="0" t="0" r="0" b="0"/>
            <wp:docPr id="1061424688" name="Picture 5" descr="A graph demonstrating the flow at the South Australian border over the 10 years of LTIM and Flow-MER repor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24688" name="Picture 5" descr="A graph demonstrating the flow at the South Australian border over the 10 years of LTIM and Flow-MER reporti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56910" cy="3601720"/>
                    </a:xfrm>
                    <a:prstGeom prst="rect">
                      <a:avLst/>
                    </a:prstGeom>
                    <a:noFill/>
                    <a:ln>
                      <a:noFill/>
                    </a:ln>
                  </pic:spPr>
                </pic:pic>
              </a:graphicData>
            </a:graphic>
          </wp:inline>
        </w:drawing>
      </w:r>
    </w:p>
    <w:p w14:paraId="71EFB3F6" w14:textId="72EF0591" w:rsidR="00C86C33" w:rsidRDefault="00C86C33" w:rsidP="00C86C33">
      <w:pPr>
        <w:pStyle w:val="Caption"/>
      </w:pPr>
      <w:bookmarkStart w:id="154" w:name="_Ref155710246"/>
      <w:bookmarkStart w:id="155" w:name="_Toc200464463"/>
      <w:r>
        <w:t xml:space="preserve">Figure </w:t>
      </w:r>
      <w:r>
        <w:fldChar w:fldCharType="begin"/>
      </w:r>
      <w:r>
        <w:instrText>SEQ Figure \* ARABIC</w:instrText>
      </w:r>
      <w:r>
        <w:fldChar w:fldCharType="separate"/>
      </w:r>
      <w:r w:rsidR="00102828">
        <w:rPr>
          <w:noProof/>
        </w:rPr>
        <w:t>12</w:t>
      </w:r>
      <w:r>
        <w:fldChar w:fldCharType="end"/>
      </w:r>
      <w:bookmarkEnd w:id="154"/>
      <w:r>
        <w:rPr>
          <w:noProof/>
        </w:rPr>
        <w:t>.</w:t>
      </w:r>
      <w:r>
        <w:t xml:space="preserve"> Flow at the South Australian border over the 10 years of LTIM and Flow-MER reporting.</w:t>
      </w:r>
      <w:bookmarkEnd w:id="155"/>
    </w:p>
    <w:p w14:paraId="13D7DF2D" w14:textId="77777777" w:rsidR="00C86C33" w:rsidRDefault="00C86C33" w:rsidP="00C86C33">
      <w:r>
        <w:t xml:space="preserve">Undoubtfully, some of the increase in lotic conditions created in more recent years is a result of increased coordination of delivery of Commonwealth environmental water from different tributaries, as well as coordination between different water holders, enabling higher flows to be delivered into the LMR. The contributions reported here are primarily based only on Commonwealth environmental water, assuming any other environmental water would have been delivered in the same manner and underpins the Commonwealth environmental water contributions. Further analysis in future years, during more regulated conditions, may allow this distinction between improved coordination of environmental water delivery and increased water resource availability (i.e. unregulated flow in the past three years) to be further untangled. </w:t>
      </w:r>
    </w:p>
    <w:p w14:paraId="5B999019" w14:textId="4DC597D0" w:rsidR="00C86C33" w:rsidRDefault="00C86C33" w:rsidP="00C86C33">
      <w:pPr>
        <w:rPr>
          <w:szCs w:val="22"/>
        </w:rPr>
      </w:pPr>
      <w:r>
        <w:t xml:space="preserve">Over past years, broad scale inundation across the LMR has been the result of unregulated flows rather than environmental water, occurring at flow magnitudes far larger than that can be released under regulated conditions. The increases in flow due to Commonwealth environmental water up to 29,025 ML/d in 2023-24 resulted in increased water levels, in the tailwater of some weir pools by up to 0.9 m, creating over 2,000 Ha of low-lying inundation </w:t>
      </w:r>
      <w:r>
        <w:lastRenderedPageBreak/>
        <w:t>(</w:t>
      </w:r>
      <w:r>
        <w:fldChar w:fldCharType="begin"/>
      </w:r>
      <w:r>
        <w:instrText xml:space="preserve"> REF _Ref185590398 \h </w:instrText>
      </w:r>
      <w:r>
        <w:fldChar w:fldCharType="separate"/>
      </w:r>
      <w:r w:rsidR="00102828" w:rsidRPr="00D338E6">
        <w:t xml:space="preserve">Figure </w:t>
      </w:r>
      <w:r w:rsidR="00102828">
        <w:rPr>
          <w:noProof/>
        </w:rPr>
        <w:t>7</w:t>
      </w:r>
      <w:r>
        <w:fldChar w:fldCharType="end"/>
      </w:r>
      <w:r>
        <w:t xml:space="preserve"> and </w:t>
      </w:r>
      <w:r>
        <w:fldChar w:fldCharType="begin"/>
      </w:r>
      <w:r>
        <w:instrText xml:space="preserve"> REF _Ref155710234 \h </w:instrText>
      </w:r>
      <w:r>
        <w:fldChar w:fldCharType="separate"/>
      </w:r>
      <w:r w:rsidR="00102828">
        <w:t xml:space="preserve">Figure </w:t>
      </w:r>
      <w:r w:rsidR="00102828">
        <w:rPr>
          <w:noProof/>
        </w:rPr>
        <w:t>9</w:t>
      </w:r>
      <w:r>
        <w:fldChar w:fldCharType="end"/>
      </w:r>
      <w:r>
        <w:t xml:space="preserve">). Over the ten years of evaluation, the event preceding the flood peak in 2022-23 was the largest contribution by Commonwealth environmental water to increased floodplain inundation in the Lower Murray Selected Area without the use of infrastructure. During this event, mean flow to SA increased from 46,786 to 52,242 ML/d between 7 and 27 August 2022, resulting in inundation of an additional </w:t>
      </w:r>
      <w:r w:rsidRPr="00F70DFD">
        <w:t>5</w:t>
      </w:r>
      <w:r>
        <w:t>,</w:t>
      </w:r>
      <w:r w:rsidRPr="00F70DFD">
        <w:t>027</w:t>
      </w:r>
      <w:r>
        <w:t xml:space="preserve"> Ha of the floodplain. </w:t>
      </w:r>
    </w:p>
    <w:p w14:paraId="2D39E540" w14:textId="77777777" w:rsidR="00C86C33" w:rsidRDefault="00C86C33" w:rsidP="00C86C33">
      <w:r>
        <w:t>With ten years of results, relevant Basin-wide Environmental Watering Strategy (BEWS) (MDBA 2025) expected outcomes can also be reviewed:</w:t>
      </w:r>
    </w:p>
    <w:p w14:paraId="211C9DBF" w14:textId="6D19CD09" w:rsidR="00C86C33" w:rsidRDefault="00C86C33" w:rsidP="00C86C33">
      <w:pPr>
        <w:pStyle w:val="ListParagraph"/>
        <w:numPr>
          <w:ilvl w:val="0"/>
          <w:numId w:val="18"/>
        </w:numPr>
      </w:pPr>
      <w:r>
        <w:t>For longitudinal connectivity, the expected environmental outcome is a 30% overall increase in flows in River Murray tributaries, and a</w:t>
      </w:r>
      <w:r w:rsidRPr="00AC661E">
        <w:t xml:space="preserve"> 30 to 40% increase in flows to the Murray </w:t>
      </w:r>
      <w:r>
        <w:t>M</w:t>
      </w:r>
      <w:r w:rsidRPr="00AC661E">
        <w:t>outh</w:t>
      </w:r>
      <w:r>
        <w:t xml:space="preserve">. As a total volume over the ten years, this increase has been 10% at the </w:t>
      </w:r>
      <w:r w:rsidR="00861429">
        <w:t xml:space="preserve">South Australian </w:t>
      </w:r>
      <w:r>
        <w:t xml:space="preserve">Border and 23% at the barrages. </w:t>
      </w:r>
    </w:p>
    <w:p w14:paraId="61DC6587" w14:textId="1E17FD1E" w:rsidR="00C86C33" w:rsidRDefault="00C86C33" w:rsidP="00C86C33">
      <w:pPr>
        <w:pStyle w:val="ListParagraph"/>
        <w:numPr>
          <w:ilvl w:val="0"/>
          <w:numId w:val="18"/>
        </w:numPr>
      </w:pPr>
      <w:r>
        <w:t xml:space="preserve">Another expected environmental outcome for longitudinal connectivity is to increase </w:t>
      </w:r>
      <w:r w:rsidRPr="00B421DD">
        <w:t>baseflows</w:t>
      </w:r>
      <w:r>
        <w:t xml:space="preserve"> to</w:t>
      </w:r>
      <w:r w:rsidRPr="00B421DD">
        <w:t xml:space="preserve"> at least 60% of the natural level</w:t>
      </w:r>
      <w:r>
        <w:t xml:space="preserve">. The definition of this metric used in MDBA (2012b) has been adopted here, with a baseflow index (BFI) derived from the Basin Plan </w:t>
      </w:r>
      <w:r w:rsidRPr="00987C51">
        <w:rPr>
          <w:i/>
          <w:iCs/>
        </w:rPr>
        <w:t>WoD</w:t>
      </w:r>
      <w:r>
        <w:t xml:space="preserve"> scenario (MDBA 2012</w:t>
      </w:r>
      <w:r w:rsidR="00CD126F">
        <w:t>a</w:t>
      </w:r>
      <w:r>
        <w:t xml:space="preserve">), and different BFI proportions for the low flow and high flow seasons. The resulting baseflow requirement at flow to SA is seen in </w:t>
      </w:r>
      <w:r>
        <w:fldChar w:fldCharType="begin"/>
      </w:r>
      <w:r>
        <w:instrText xml:space="preserve"> REF _Ref185430860 \h </w:instrText>
      </w:r>
      <w:r>
        <w:fldChar w:fldCharType="separate"/>
      </w:r>
      <w:r w:rsidR="00102828">
        <w:t xml:space="preserve">Figure </w:t>
      </w:r>
      <w:r w:rsidR="00102828">
        <w:rPr>
          <w:noProof/>
        </w:rPr>
        <w:t>13</w:t>
      </w:r>
      <w:r>
        <w:fldChar w:fldCharType="end"/>
      </w:r>
      <w:r>
        <w:t>, along with the recorded flows (</w:t>
      </w:r>
      <w:r w:rsidRPr="00AB0214">
        <w:rPr>
          <w:i/>
          <w:iCs/>
        </w:rPr>
        <w:t>All Water</w:t>
      </w:r>
      <w:r>
        <w:t xml:space="preserve">) and the </w:t>
      </w:r>
      <w:r w:rsidRPr="00AB0214">
        <w:rPr>
          <w:i/>
          <w:iCs/>
        </w:rPr>
        <w:t>No CEW</w:t>
      </w:r>
      <w:r>
        <w:t xml:space="preserve"> scenario.</w:t>
      </w:r>
      <w:r w:rsidR="00165270" w:rsidRPr="00165270">
        <w:t xml:space="preserve"> </w:t>
      </w:r>
      <w:r w:rsidR="00165270">
        <w:t xml:space="preserve">There are 21 of 120 months where the baseflow requirement is not met without Commonwealth environmental water, which reduces to 12 months with all environmental water delivered. The average deficit over months with some deficit in the </w:t>
      </w:r>
      <w:r w:rsidR="00165270" w:rsidRPr="00EE376C">
        <w:rPr>
          <w:i/>
          <w:iCs/>
        </w:rPr>
        <w:t>No CEW</w:t>
      </w:r>
      <w:r w:rsidR="00165270">
        <w:t xml:space="preserve"> scenario was 61 GL/month, with the average over the same 21 months reduced to 28 GL/month with Commonwealth environmental water delivered. The timing of the deficits ranged from May to October, where of the 12 months with some deficit with all environmental water delivered, four occurred during September, three in June, two in May, with one in each of the remaining months.</w:t>
      </w:r>
    </w:p>
    <w:p w14:paraId="5F2FCE46" w14:textId="77777777" w:rsidR="00C86C33" w:rsidRDefault="00C86C33" w:rsidP="00C86C33">
      <w:pPr>
        <w:pStyle w:val="ListParagraph"/>
        <w:numPr>
          <w:ilvl w:val="0"/>
          <w:numId w:val="18"/>
        </w:numPr>
      </w:pPr>
      <w:r>
        <w:t>There is a lateral connectivity expected outcome of a</w:t>
      </w:r>
      <w:r w:rsidRPr="00EF2F89">
        <w:t xml:space="preserve"> 30 to 60% increase in the frequency of freshes, bankfull and lowland floodplain flows.</w:t>
      </w:r>
      <w:r>
        <w:t xml:space="preserve"> It is unclear how to evaluate this expected outcome, however the evaluation of DEW EWRs in Appendix D provides some indication of increases in these events. There has been at least one additional EWR met in five of the ten years, indicating an increase within this expected frequency. However, in three of these five years there was only one additional EWR met, the 10,000 ML/d for 60 days indicator, which is too low of a discharge to represent lateral connectivity or a fresh event. The additional EWRs met in 2021-22 and 2023-24 due to Commonwealth environmental water are more representative of freshes, but not creating bankfull or lowland floodplain flows. </w:t>
      </w:r>
    </w:p>
    <w:p w14:paraId="4809324A" w14:textId="6EB79CBC" w:rsidR="00C86C33" w:rsidRDefault="00165270" w:rsidP="00C86C33">
      <w:r>
        <w:t>Hence there has been progress toward achievement of the BEWS expected outcomes for</w:t>
      </w:r>
      <w:r w:rsidRPr="0012311A">
        <w:t xml:space="preserve"> </w:t>
      </w:r>
      <w:r>
        <w:t xml:space="preserve">river flows and connectivity. </w:t>
      </w:r>
      <w:r w:rsidR="00C86C33">
        <w:t>However, the outcomes have not been fully realised over the past ten years of evaluation.</w:t>
      </w:r>
      <w:r w:rsidR="00C86C33" w:rsidRPr="00872075">
        <w:t xml:space="preserve"> </w:t>
      </w:r>
      <w:r w:rsidR="00C86C33">
        <w:t xml:space="preserve">Basin Plan implementation is ongoing with the long-term diversion equivalent volume (LTDE) held by the CEWH increasing from 1,585 GL in 2014-15 to 2,034 GL in 2023-24. Hence, these BEWS expected outcomes may not be anticipated to be achieved yet as the Basin Plan is not fully implemented (referred to as time bound outcomes in the BEWS). The BEWS outcomes are based on a modelled scenario over the historical climate period of 1895–2009 with 2,750 GL of water recovery. Under different conditions, e.g. a drier climate or a lower LTDE volume of Commonwealth environmental </w:t>
      </w:r>
      <w:r w:rsidR="00C86C33">
        <w:lastRenderedPageBreak/>
        <w:t xml:space="preserve">water holdings, these volume-based outcomes would also be expected to reduce. The recent revision to the BEWS flags that </w:t>
      </w:r>
      <w:r w:rsidR="00C86C33" w:rsidRPr="009F4DC6">
        <w:t xml:space="preserve">Expected Environmental Outcomes </w:t>
      </w:r>
      <w:r w:rsidR="00C86C33">
        <w:t xml:space="preserve">will be revised in the next review of the strategy due to improved understanding of hydrological and ecological processes since the first draft of BEWS in 2014 while being guided by </w:t>
      </w:r>
      <w:r w:rsidR="00C86C33" w:rsidRPr="00B50787">
        <w:t>broader policy and planning issues under consideration through the 2026 Basin Plan Review and 2027 Water Act Review</w:t>
      </w:r>
      <w:r w:rsidR="00C86C33">
        <w:t xml:space="preserve"> (MDBA 2025).</w:t>
      </w:r>
    </w:p>
    <w:p w14:paraId="23DB1913" w14:textId="429B695B" w:rsidR="00C86C33" w:rsidRDefault="009A51E5" w:rsidP="009A51E5">
      <w:pPr>
        <w:jc w:val="center"/>
      </w:pPr>
      <w:r>
        <w:rPr>
          <w:noProof/>
        </w:rPr>
        <w:drawing>
          <wp:inline distT="0" distB="0" distL="0" distR="0" wp14:anchorId="38FA31E1" wp14:editId="1A56815A">
            <wp:extent cx="5398019" cy="4319024"/>
            <wp:effectExtent l="0" t="0" r="0" b="0"/>
            <wp:docPr id="1816680723" name="Picture 1816680723" descr="Graph showing baseflow requirement for the Basin-wide Environmental Watering Strategy compared to the flow delivered from July 2014 to July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80723" name="Picture 1816680723" descr="Graph showing baseflow requirement for the Basin-wide Environmental Watering Strategy compared to the flow delivered from July 2014 to July 2024."/>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398019" cy="4319024"/>
                    </a:xfrm>
                    <a:prstGeom prst="rect">
                      <a:avLst/>
                    </a:prstGeom>
                  </pic:spPr>
                </pic:pic>
              </a:graphicData>
            </a:graphic>
          </wp:inline>
        </w:drawing>
      </w:r>
    </w:p>
    <w:p w14:paraId="275DBFBA" w14:textId="1D9D50C4" w:rsidR="00C86C33" w:rsidRDefault="00C86C33" w:rsidP="00C86C33">
      <w:pPr>
        <w:pStyle w:val="Caption"/>
      </w:pPr>
      <w:bookmarkStart w:id="156" w:name="_Ref185430860"/>
      <w:bookmarkStart w:id="157" w:name="_Toc200464464"/>
      <w:r>
        <w:t xml:space="preserve">Figure </w:t>
      </w:r>
      <w:r>
        <w:fldChar w:fldCharType="begin"/>
      </w:r>
      <w:r>
        <w:instrText>SEQ Figure \* ARABIC</w:instrText>
      </w:r>
      <w:r>
        <w:fldChar w:fldCharType="separate"/>
      </w:r>
      <w:r w:rsidR="00102828">
        <w:rPr>
          <w:noProof/>
        </w:rPr>
        <w:t>13</w:t>
      </w:r>
      <w:r>
        <w:fldChar w:fldCharType="end"/>
      </w:r>
      <w:bookmarkEnd w:id="156"/>
      <w:r>
        <w:rPr>
          <w:noProof/>
        </w:rPr>
        <w:t>.</w:t>
      </w:r>
      <w:r>
        <w:t xml:space="preserve"> Baseflow requirement for the Basin-wide Environmental Watering Strategy expected environmental outcome at flow to SA, compared to the flow delivered (all water) and that expected without Commonwealth environmental </w:t>
      </w:r>
      <w:r w:rsidR="00165270">
        <w:t>water. Note the y-axis is limited to 2</w:t>
      </w:r>
      <w:r w:rsidR="00621E28">
        <w:t>,</w:t>
      </w:r>
      <w:r w:rsidR="00165270">
        <w:t>500 GL/month to enhance detail, with the high flow months in 2022-23</w:t>
      </w:r>
      <w:r w:rsidR="009A51E5" w:rsidRPr="009A51E5">
        <w:t xml:space="preserve"> that exceeded this volume</w:t>
      </w:r>
      <w:r w:rsidR="00165270">
        <w:t xml:space="preserve"> (peaked at </w:t>
      </w:r>
      <w:r w:rsidR="00165270" w:rsidRPr="00E61D17">
        <w:t>5</w:t>
      </w:r>
      <w:r w:rsidR="00621E28">
        <w:t>,</w:t>
      </w:r>
      <w:r w:rsidR="00165270" w:rsidRPr="00E61D17">
        <w:t>27</w:t>
      </w:r>
      <w:r w:rsidR="00165270">
        <w:t xml:space="preserve">2 GL/month) </w:t>
      </w:r>
      <w:r w:rsidR="009A51E5" w:rsidRPr="009A51E5">
        <w:t>indicated by circle</w:t>
      </w:r>
      <w:r w:rsidR="009A51E5">
        <w:t>s</w:t>
      </w:r>
      <w:r w:rsidR="00165270">
        <w:t>.</w:t>
      </w:r>
      <w:bookmarkEnd w:id="157"/>
    </w:p>
    <w:p w14:paraId="52910388" w14:textId="77777777" w:rsidR="00C86C33" w:rsidRDefault="00C86C33" w:rsidP="00C86C33"/>
    <w:p w14:paraId="204164C1" w14:textId="77777777" w:rsidR="00C86C33" w:rsidRDefault="00C86C33" w:rsidP="00C86C33"/>
    <w:p w14:paraId="07C30C9E" w14:textId="77777777" w:rsidR="00C86C33" w:rsidRDefault="00C86C33" w:rsidP="00C86C33">
      <w:pPr>
        <w:sectPr w:rsidR="00C86C33" w:rsidSect="00C86C33">
          <w:pgSz w:w="11906" w:h="16838"/>
          <w:pgMar w:top="1440" w:right="1440" w:bottom="1440" w:left="1440" w:header="708" w:footer="708" w:gutter="0"/>
          <w:cols w:space="708"/>
          <w:docGrid w:linePitch="360"/>
        </w:sectPr>
      </w:pPr>
    </w:p>
    <w:p w14:paraId="60C7CE55" w14:textId="77777777" w:rsidR="00C86C33" w:rsidRDefault="00C86C33" w:rsidP="00C86C33">
      <w:pPr>
        <w:keepNext/>
      </w:pPr>
      <w:r>
        <w:rPr>
          <w:noProof/>
        </w:rPr>
        <w:lastRenderedPageBreak/>
        <w:drawing>
          <wp:inline distT="0" distB="0" distL="0" distR="0" wp14:anchorId="411F4706" wp14:editId="7CA4F52B">
            <wp:extent cx="8865870" cy="4961890"/>
            <wp:effectExtent l="0" t="0" r="0" b="0"/>
            <wp:docPr id="1618552614" name="Picture 31" descr="Graphs showing flow at the SA border, inundated area between Wellington and Lock 6, and length of river with faster flowing velocities for the Lower Murray River between Locks 1 and 6 between July 2014 and July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552614" name="Picture 31" descr="Graphs showing flow at the SA border, inundated area between Wellington and Lock 6, and length of river with faster flowing velocities for the Lower Murray River between Locks 1 and 6 between July 2014 and July 202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8865870" cy="4961890"/>
                    </a:xfrm>
                    <a:prstGeom prst="rect">
                      <a:avLst/>
                    </a:prstGeom>
                    <a:noFill/>
                    <a:ln>
                      <a:noFill/>
                    </a:ln>
                  </pic:spPr>
                </pic:pic>
              </a:graphicData>
            </a:graphic>
          </wp:inline>
        </w:drawing>
      </w:r>
    </w:p>
    <w:p w14:paraId="6C4370E9" w14:textId="1A728CA4" w:rsidR="00C86C33" w:rsidRDefault="00C86C33" w:rsidP="00605FB2">
      <w:pPr>
        <w:pStyle w:val="Captions"/>
        <w:sectPr w:rsidR="00C86C33" w:rsidSect="00C86C33">
          <w:pgSz w:w="16838" w:h="11906" w:orient="landscape"/>
          <w:pgMar w:top="1440" w:right="1440" w:bottom="1440" w:left="1440" w:header="709" w:footer="709" w:gutter="0"/>
          <w:cols w:space="708"/>
          <w:docGrid w:linePitch="360"/>
        </w:sectPr>
      </w:pPr>
      <w:bookmarkStart w:id="158" w:name="_Ref185409782"/>
      <w:bookmarkStart w:id="159" w:name="_Toc200464465"/>
      <w:r>
        <w:t xml:space="preserve">Figure </w:t>
      </w:r>
      <w:r w:rsidR="00967BB2">
        <w:fldChar w:fldCharType="begin"/>
      </w:r>
      <w:r w:rsidR="00967BB2">
        <w:instrText xml:space="preserve"> SEQ Figure \* ARABIC </w:instrText>
      </w:r>
      <w:r w:rsidR="00967BB2">
        <w:fldChar w:fldCharType="separate"/>
      </w:r>
      <w:r w:rsidR="00102828">
        <w:rPr>
          <w:noProof/>
        </w:rPr>
        <w:t>14</w:t>
      </w:r>
      <w:r w:rsidR="00967BB2">
        <w:rPr>
          <w:noProof/>
        </w:rPr>
        <w:fldChar w:fldCharType="end"/>
      </w:r>
      <w:bookmarkEnd w:id="158"/>
      <w:r>
        <w:rPr>
          <w:noProof/>
        </w:rPr>
        <w:t>.</w:t>
      </w:r>
      <w:r>
        <w:t xml:space="preserve"> a) </w:t>
      </w:r>
      <w:r w:rsidRPr="00D338E6">
        <w:t xml:space="preserve">Discharge (flow at the South Australian border), b) </w:t>
      </w:r>
      <w:r>
        <w:t>inundated</w:t>
      </w:r>
      <w:r w:rsidRPr="00D338E6">
        <w:t xml:space="preserve"> area between Wellington and Lock 6, and length of river with faster flowing velocities (c) v&gt;0.2 m/s and d) v&gt;0.3 m/s) for the Lower Murray River (LMR) between Locks 1 and 6 (excluding anabranches)</w:t>
      </w:r>
      <w:r>
        <w:t xml:space="preserve"> over the 10 years of LTIM and Flow-MER evaluation. Maximum discharge and surface area shown limited to a maximum value of 50,000 ML/d.</w:t>
      </w:r>
      <w:bookmarkEnd w:id="159"/>
      <w:r>
        <w:t xml:space="preserve"> </w:t>
      </w:r>
    </w:p>
    <w:p w14:paraId="72B7EB5E" w14:textId="77777777" w:rsidR="00C86C33" w:rsidRDefault="00C86C33" w:rsidP="00C86C33">
      <w:pPr>
        <w:pStyle w:val="Heading3"/>
      </w:pPr>
      <w:r w:rsidRPr="00E35C12">
        <w:lastRenderedPageBreak/>
        <w:t>Conclusion</w:t>
      </w:r>
      <w:r>
        <w:t xml:space="preserve"> </w:t>
      </w:r>
    </w:p>
    <w:p w14:paraId="14CD665E" w14:textId="654107DA" w:rsidR="00C86C33" w:rsidRDefault="00C86C33" w:rsidP="00C86C33">
      <w:r w:rsidRPr="008B60C6">
        <w:t>The 1,</w:t>
      </w:r>
      <w:r w:rsidR="008B60C6" w:rsidRPr="008B60C6">
        <w:t>3</w:t>
      </w:r>
      <w:r w:rsidRPr="008B60C6">
        <w:t>8</w:t>
      </w:r>
      <w:r w:rsidR="008B60C6" w:rsidRPr="008B60C6">
        <w:t>4</w:t>
      </w:r>
      <w:r w:rsidRPr="008B60C6">
        <w:t xml:space="preserve"> GL of Commonwealth environmental water delivered to the LMR in 2023-24 is the largest volume in the past ten years. Over the 30 days following 24 September 2023, when flow would have started to recede without environmental water, 225 GL of Commonwealth environmental water was delivered to increase the average flow to SA from 17,136 ML/d to 24,620 ML/d, at an ecologically beneficial time over spring. Increases in flow to SA in this range result in proportionally larger increases in velocity, with the increase in the average</w:t>
      </w:r>
      <w:r>
        <w:t xml:space="preserve"> length of river with a velocity &gt;0.3 m/s from 132 km to 259 km, and a maximum daily increase of 215 km, 64% of the reach considered. </w:t>
      </w:r>
    </w:p>
    <w:p w14:paraId="26DCE94F" w14:textId="77777777" w:rsidR="00C86C33" w:rsidRDefault="00C86C33" w:rsidP="00C86C33">
      <w:r>
        <w:t xml:space="preserve">Over the </w:t>
      </w:r>
      <w:r w:rsidRPr="00F54602">
        <w:t xml:space="preserve">ten years of LTIM and Flow-MER </w:t>
      </w:r>
      <w:r>
        <w:t xml:space="preserve">evaluation, the largest increase in the extent of river experiencing velocities greater than 0.2 m/s over the year, due to Commonwealth environmental water, was in 2023-24, at </w:t>
      </w:r>
      <w:r w:rsidRPr="00EB5263">
        <w:t>13,056</w:t>
      </w:r>
      <w:r>
        <w:t> </w:t>
      </w:r>
      <w:r w:rsidRPr="00EB5263">
        <w:t>km</w:t>
      </w:r>
      <w:r>
        <w:t> </w:t>
      </w:r>
      <w:r w:rsidRPr="00EB5263">
        <w:t>d</w:t>
      </w:r>
      <w:r>
        <w:t xml:space="preserve">. For a velocity threshold of 0.3 m/s, the increase due to Commonwealth environmental water was </w:t>
      </w:r>
      <w:r w:rsidRPr="00486FB4">
        <w:t>12</w:t>
      </w:r>
      <w:r>
        <w:t>,</w:t>
      </w:r>
      <w:r w:rsidRPr="00486FB4">
        <w:t>586</w:t>
      </w:r>
      <w:r>
        <w:t xml:space="preserve"> km d, by far the largest increase in the past ten years, 45% larger than the next biggest contribution to lotic conditions in 2021-22. </w:t>
      </w:r>
    </w:p>
    <w:p w14:paraId="03EF4848" w14:textId="11550C3A" w:rsidR="00C86C33" w:rsidRDefault="00C86C33" w:rsidP="00C86C33">
      <w:r>
        <w:t>These increased discharge rates also contributed to increased water levels in tailwaters of weir pools with maximum increases due to Commonwealth environmental water from approximately 0.6 m below Lock 1 up to 0.9 m at the upper end of Weir Pools 1 and 2. Combined along the river from Lock 6 to Wellington, the higher water levels were sufficient to create additional low-level inundation, with more than 2,000 Ha of additional inundated area over 15–22 November 2023.</w:t>
      </w:r>
    </w:p>
    <w:p w14:paraId="6D4FEA50" w14:textId="58580744" w:rsidR="00023D19" w:rsidRDefault="00C86C33" w:rsidP="00023D19">
      <w:pPr>
        <w:sectPr w:rsidR="00023D19" w:rsidSect="008D628A">
          <w:headerReference w:type="even" r:id="rId70"/>
          <w:headerReference w:type="default" r:id="rId71"/>
          <w:footerReference w:type="even" r:id="rId72"/>
          <w:footerReference w:type="default" r:id="rId73"/>
          <w:headerReference w:type="first" r:id="rId74"/>
          <w:footerReference w:type="first" r:id="rId75"/>
          <w:footnotePr>
            <w:numFmt w:val="lowerLetter"/>
          </w:footnotePr>
          <w:pgSz w:w="11900" w:h="16840" w:code="9"/>
          <w:pgMar w:top="1440" w:right="1440" w:bottom="1440" w:left="1440" w:header="709" w:footer="709" w:gutter="0"/>
          <w:cols w:space="708"/>
          <w:docGrid w:linePitch="360"/>
        </w:sectPr>
      </w:pPr>
      <w:r>
        <w:t>The year 2023-24 marks ten years of evaluation since the start of LTIM and provides an opportunity to review longer term expected outcomes as defined in the BEWS. Commonwealth environmental water has made a clear contribution toward each of these expected outcomes relevant to the River Flows and Connectivity theme in the Lower Murray Selected Area. However, with Basin Plan implementation ongoing, the expected outcomes are not considered to have been fully achieved to date.</w:t>
      </w:r>
      <w:bookmarkEnd w:id="108"/>
      <w:bookmarkEnd w:id="109"/>
    </w:p>
    <w:p w14:paraId="0729B374" w14:textId="2803D751" w:rsidR="00E92DD5" w:rsidRPr="009F590A" w:rsidRDefault="00E92DD5" w:rsidP="00E92DD5">
      <w:pPr>
        <w:pStyle w:val="Heading2"/>
      </w:pPr>
      <w:bookmarkStart w:id="160" w:name="_Ref127874582"/>
      <w:bookmarkStart w:id="161" w:name="_Toc200467859"/>
      <w:r w:rsidRPr="009F590A">
        <w:lastRenderedPageBreak/>
        <w:t>Stream Metabolism</w:t>
      </w:r>
      <w:bookmarkEnd w:id="110"/>
      <w:bookmarkEnd w:id="111"/>
      <w:bookmarkEnd w:id="112"/>
      <w:r w:rsidRPr="009F590A">
        <w:t xml:space="preserve"> and Water Quality</w:t>
      </w:r>
      <w:bookmarkEnd w:id="160"/>
      <w:bookmarkEnd w:id="161"/>
    </w:p>
    <w:p w14:paraId="12684F06" w14:textId="77777777" w:rsidR="00B10666" w:rsidRPr="00E35C12" w:rsidRDefault="00B10666" w:rsidP="00B10666">
      <w:pPr>
        <w:pStyle w:val="Heading3"/>
      </w:pPr>
      <w:bookmarkStart w:id="162" w:name="_Toc3558345"/>
      <w:r w:rsidRPr="00E35C12">
        <w:t>Background</w:t>
      </w:r>
    </w:p>
    <w:p w14:paraId="46AC4A42" w14:textId="77777777" w:rsidR="00B10666" w:rsidRDefault="00B10666" w:rsidP="00B10666">
      <w:pPr>
        <w:rPr>
          <w:iCs/>
        </w:rPr>
      </w:pPr>
      <w:r>
        <w:rPr>
          <w:iCs/>
        </w:rPr>
        <w:t xml:space="preserve">River food webs require basal supplies of organic food resources to sustain their structure and function. The two fundamental sources of basal organic materials are internal (autochthonous) supplies generated by planktonic and benthic photoautotrophs, and external (allochthonous) supplies of terrestrial organic carbon imported from the surrounding catchment (Berggren and del Giorgio 2015; Whitworth </w:t>
      </w:r>
      <w:r w:rsidRPr="00400175">
        <w:rPr>
          <w:iCs/>
        </w:rPr>
        <w:t>and Baldwin</w:t>
      </w:r>
      <w:r>
        <w:rPr>
          <w:iCs/>
        </w:rPr>
        <w:t xml:space="preserve"> 2016). Understanding the influence of environmental flows on these carbon supply processes is important if flows are to be managed to enhance the river environment.</w:t>
      </w:r>
    </w:p>
    <w:p w14:paraId="5AA99ED7" w14:textId="2B98506D" w:rsidR="00B10666" w:rsidRDefault="00B10666" w:rsidP="00B10666">
      <w:pPr>
        <w:rPr>
          <w:iCs/>
        </w:rPr>
      </w:pPr>
      <w:r>
        <w:rPr>
          <w:iCs/>
        </w:rPr>
        <w:t>Aquatic photoautotrophs comprised of microalgae, cyanobacteria and submerged macrophytes, form new organic materials through photosynthesis (Sellers and Bukaveckas 2003; Oliver and Merrick 2006; Oliver and Lorenz 2010;</w:t>
      </w:r>
      <w:r w:rsidRPr="008A2867">
        <w:rPr>
          <w:iCs/>
        </w:rPr>
        <w:t xml:space="preserve"> </w:t>
      </w:r>
      <w:r>
        <w:rPr>
          <w:iCs/>
        </w:rPr>
        <w:t xml:space="preserve">Várbíró </w:t>
      </w:r>
      <w:r w:rsidRPr="00400175">
        <w:rPr>
          <w:i/>
        </w:rPr>
        <w:t>et al.</w:t>
      </w:r>
      <w:r>
        <w:rPr>
          <w:iCs/>
        </w:rPr>
        <w:t xml:space="preserve"> 2018). In the Murray River,</w:t>
      </w:r>
      <w:r w:rsidRPr="00A21BA0">
        <w:rPr>
          <w:iCs/>
        </w:rPr>
        <w:t xml:space="preserve"> </w:t>
      </w:r>
      <w:r>
        <w:rPr>
          <w:iCs/>
        </w:rPr>
        <w:t>increased water extractions and substantial flow modifications have reduced the areas of macrophytes and littoral benthic autotrophs, with most primary production attributed to phytoplankton (Oliver and Merrick 2006; Oliver and Lorenz 2010).</w:t>
      </w:r>
      <w:r w:rsidRPr="008A2867">
        <w:rPr>
          <w:iCs/>
        </w:rPr>
        <w:t xml:space="preserve"> </w:t>
      </w:r>
      <w:r>
        <w:rPr>
          <w:iCs/>
        </w:rPr>
        <w:t>The availability of light for phytoplankton photosynthesis is determined by the relative depth of light penetration and the intensity of water mixing that circulates phytoplankton through upper illuminated surface layers. The photosynthetic formation of organic materials is also regulated by nutrient availability (Reynolds 1984)</w:t>
      </w:r>
      <w:r w:rsidRPr="005D6C68">
        <w:rPr>
          <w:iCs/>
        </w:rPr>
        <w:t xml:space="preserve"> </w:t>
      </w:r>
      <w:r>
        <w:rPr>
          <w:iCs/>
        </w:rPr>
        <w:t>which depends on the water quality coming from the various supply catchments. Environmental water contributions affect flow rates and water quality, influencing</w:t>
      </w:r>
      <w:r w:rsidDel="00976C22">
        <w:rPr>
          <w:iCs/>
        </w:rPr>
        <w:t xml:space="preserve"> </w:t>
      </w:r>
      <w:r>
        <w:rPr>
          <w:iCs/>
        </w:rPr>
        <w:t>the supply of autotrophic basal food resources.</w:t>
      </w:r>
    </w:p>
    <w:p w14:paraId="383F8848" w14:textId="77777777" w:rsidR="00B10666" w:rsidRDefault="00B10666" w:rsidP="00B10666">
      <w:pPr>
        <w:rPr>
          <w:iCs/>
        </w:rPr>
      </w:pPr>
      <w:r>
        <w:rPr>
          <w:iCs/>
        </w:rPr>
        <w:t xml:space="preserve">Terrestrial organic material enters rivers from wind movement, or from overhanging or fringing vegetation, but in floodplain rivers like the Murray, the major source is accumulated floodplain terrestrial material transported to the river through floods (McGinness and Arthur 2011; Whitworth and Baldwin 2016). Terrestrial carbon enters in particulate and dissolved forms but dissolved organic carbon (DOC) predominates and is </w:t>
      </w:r>
      <w:r w:rsidRPr="001725BC">
        <w:rPr>
          <w:lang w:val="en-US"/>
        </w:rPr>
        <w:t>a major driver of heterotrophic respiration</w:t>
      </w:r>
      <w:r>
        <w:rPr>
          <w:lang w:val="en-US"/>
        </w:rPr>
        <w:t xml:space="preserve"> and production, largely </w:t>
      </w:r>
      <w:r>
        <w:rPr>
          <w:iCs/>
        </w:rPr>
        <w:t xml:space="preserve">due to bacteria (Graeber </w:t>
      </w:r>
      <w:r w:rsidRPr="00E77258">
        <w:rPr>
          <w:i/>
          <w:iCs/>
        </w:rPr>
        <w:t>et al.</w:t>
      </w:r>
      <w:r>
        <w:rPr>
          <w:iCs/>
        </w:rPr>
        <w:t xml:space="preserve"> 2018). Flow patterns are important in determining the sources and supply of terrestrial organic carbon and nutrients from the floodplain. Environmental flows influence these connections and impact the allochthonous supplies of carbon and nutrients to the river food web (Oliver and Merrick 2006; Baldwin </w:t>
      </w:r>
      <w:r w:rsidRPr="00E77258">
        <w:rPr>
          <w:i/>
          <w:iCs/>
        </w:rPr>
        <w:t>et al.</w:t>
      </w:r>
      <w:r>
        <w:rPr>
          <w:iCs/>
        </w:rPr>
        <w:t xml:space="preserve"> 2016).</w:t>
      </w:r>
    </w:p>
    <w:p w14:paraId="785BF464" w14:textId="77777777" w:rsidR="00B10666" w:rsidRDefault="00B10666" w:rsidP="00B10666">
      <w:r>
        <w:t>To explore the links between carbon supply processes and environmental flows, r</w:t>
      </w:r>
      <w:r w:rsidRPr="00D4355A">
        <w:t xml:space="preserve">iver metabolism measurements </w:t>
      </w:r>
      <w:r>
        <w:t xml:space="preserve">were used to </w:t>
      </w:r>
      <w:r w:rsidRPr="00D4355A">
        <w:t>estimat</w:t>
      </w:r>
      <w:r>
        <w:t>e</w:t>
      </w:r>
      <w:r w:rsidRPr="00D4355A">
        <w:t xml:space="preserve"> in-stream rates of </w:t>
      </w:r>
      <w:r>
        <w:t xml:space="preserve">gross primary production (GPP) </w:t>
      </w:r>
      <w:r w:rsidRPr="00D4355A">
        <w:t xml:space="preserve">and </w:t>
      </w:r>
      <w:r>
        <w:t xml:space="preserve">ecosystem </w:t>
      </w:r>
      <w:r w:rsidRPr="00D4355A">
        <w:t>respiration</w:t>
      </w:r>
      <w:r>
        <w:t xml:space="preserve"> (ER)</w:t>
      </w:r>
      <w:r w:rsidRPr="00D4355A">
        <w:t xml:space="preserve"> (Odum 1956; Young and Huryn 1996; Oliver and Merrick 2006). </w:t>
      </w:r>
      <w:r>
        <w:t>Comparing rates of photosynthesis and respiration identifies</w:t>
      </w:r>
      <w:r w:rsidRPr="00D4355A">
        <w:t xml:space="preserve"> the fundamental trophic energy connections that characterise different food web types</w:t>
      </w:r>
      <w:r>
        <w:t>. They indicate whether production or decomposition processes predominate, and</w:t>
      </w:r>
      <w:r w:rsidRPr="00D4355A">
        <w:t xml:space="preserve"> whether the organic </w:t>
      </w:r>
      <w:r>
        <w:t xml:space="preserve">food </w:t>
      </w:r>
      <w:r w:rsidRPr="00D4355A">
        <w:t>materials have come from within the river or from the surrounding landscape</w:t>
      </w:r>
      <w:r>
        <w:t>.</w:t>
      </w:r>
      <w:r w:rsidRPr="00D4355A">
        <w:t xml:space="preserve"> </w:t>
      </w:r>
      <w:r>
        <w:t>The magnitude and characteristics of the metabolic processes indicate</w:t>
      </w:r>
      <w:r w:rsidRPr="00D4355A">
        <w:t xml:space="preserve"> the size of the food web and its capacity to support higher trophic levels (Odum 1956; </w:t>
      </w:r>
      <w:r>
        <w:t xml:space="preserve">Sellers and Bukaveckas 2003; </w:t>
      </w:r>
      <w:r w:rsidRPr="00D4355A">
        <w:t>Oliver and Merrick 2006</w:t>
      </w:r>
      <w:r>
        <w:t>; Oliver and Lorenz 2010</w:t>
      </w:r>
      <w:r w:rsidRPr="00D4355A">
        <w:t>).</w:t>
      </w:r>
      <w:r>
        <w:t xml:space="preserve"> As concentrations of dissolved oxygen (DO) are monitored to estimate rates of stream </w:t>
      </w:r>
      <w:r>
        <w:lastRenderedPageBreak/>
        <w:t>metabolism, the measurements provide ancillary information on the suitability of oxygen levels for aquatic biota.</w:t>
      </w:r>
    </w:p>
    <w:p w14:paraId="7ABB900B" w14:textId="77777777" w:rsidR="00B10666" w:rsidRDefault="00B10666" w:rsidP="00B10666">
      <w:pPr>
        <w:rPr>
          <w:lang w:val="en-US"/>
        </w:rPr>
      </w:pPr>
      <w:bookmarkStart w:id="163" w:name="_Hlk35250754"/>
      <w:r w:rsidRPr="00A97482" w:rsidDel="00D07833">
        <w:t>Net ecosystem production</w:t>
      </w:r>
      <w:r w:rsidRPr="00A97482">
        <w:t xml:space="preserve"> (NEP)</w:t>
      </w:r>
      <w:r w:rsidRPr="00A97482" w:rsidDel="00D07833">
        <w:t xml:space="preserve">, the difference between GPP and </w:t>
      </w:r>
      <w:r w:rsidRPr="00A97482">
        <w:t>E</w:t>
      </w:r>
      <w:r w:rsidRPr="00A97482" w:rsidDel="00D07833">
        <w:t xml:space="preserve">R, is a measure of the </w:t>
      </w:r>
      <w:r>
        <w:t>system</w:t>
      </w:r>
      <w:r w:rsidRPr="00A97482" w:rsidDel="00D07833">
        <w:t xml:space="preserve"> carbon balance</w:t>
      </w:r>
      <w:r w:rsidRPr="00A97482">
        <w:t xml:space="preserve">. </w:t>
      </w:r>
      <w:r>
        <w:t>NEP has been</w:t>
      </w:r>
      <w:r w:rsidRPr="00A97482">
        <w:t xml:space="preserve"> used as an estimate of the basal food resource supply (Odum 1956; Young and Huryn 1996; Oliver and Merrick 2006</w:t>
      </w:r>
      <w:r>
        <w:t>) but t</w:t>
      </w:r>
      <w:r w:rsidRPr="00A97482" w:rsidDel="00D07833">
        <w:t xml:space="preserve">his implicitly assumes that </w:t>
      </w:r>
      <w:r>
        <w:t xml:space="preserve">photosynthetic </w:t>
      </w:r>
      <w:r w:rsidRPr="00A97482" w:rsidDel="00D07833">
        <w:t xml:space="preserve">carbon </w:t>
      </w:r>
      <w:r>
        <w:t xml:space="preserve">fixation </w:t>
      </w:r>
      <w:r w:rsidRPr="00A97482" w:rsidDel="00D07833">
        <w:t xml:space="preserve">is the </w:t>
      </w:r>
      <w:r>
        <w:t xml:space="preserve">primary </w:t>
      </w:r>
      <w:r w:rsidRPr="00A97482" w:rsidDel="00D07833">
        <w:t xml:space="preserve">source of organic material </w:t>
      </w:r>
      <w:r>
        <w:t>catabolised in</w:t>
      </w:r>
      <w:r w:rsidRPr="00A97482" w:rsidDel="00D07833">
        <w:t xml:space="preserve"> respiration</w:t>
      </w:r>
      <w:r>
        <w:t xml:space="preserve"> which</w:t>
      </w:r>
      <w:r w:rsidRPr="00A97482" w:rsidDel="00D07833">
        <w:t xml:space="preserve"> is not </w:t>
      </w:r>
      <w:r w:rsidRPr="00A97482">
        <w:t xml:space="preserve">usually </w:t>
      </w:r>
      <w:r w:rsidRPr="00A97482" w:rsidDel="00D07833">
        <w:t>the case</w:t>
      </w:r>
      <w:r>
        <w:t>.</w:t>
      </w:r>
      <w:r w:rsidRPr="00A97482" w:rsidDel="00D07833">
        <w:t xml:space="preserve"> </w:t>
      </w:r>
      <w:r>
        <w:t>Ecosystem</w:t>
      </w:r>
      <w:r w:rsidRPr="00A97482" w:rsidDel="00D07833">
        <w:t xml:space="preserve"> respiration </w:t>
      </w:r>
      <w:r w:rsidRPr="00A97482">
        <w:t xml:space="preserve">also </w:t>
      </w:r>
      <w:r>
        <w:t xml:space="preserve">includes contributions from </w:t>
      </w:r>
      <w:r w:rsidRPr="00A97482">
        <w:t xml:space="preserve">the </w:t>
      </w:r>
      <w:r>
        <w:t xml:space="preserve">heterotrophic </w:t>
      </w:r>
      <w:r w:rsidRPr="00A97482">
        <w:t>decomposition</w:t>
      </w:r>
      <w:r w:rsidRPr="00A97482" w:rsidDel="00D07833">
        <w:t xml:space="preserve"> </w:t>
      </w:r>
      <w:r>
        <w:t xml:space="preserve">of </w:t>
      </w:r>
      <w:r w:rsidRPr="00A97482" w:rsidDel="00D07833">
        <w:t xml:space="preserve">organic </w:t>
      </w:r>
      <w:r>
        <w:t xml:space="preserve">materials and should not be subtracted from GPP. </w:t>
      </w:r>
      <w:r w:rsidRPr="00756D4B">
        <w:t xml:space="preserve">Laboratory studies show that organic carbon recently fixed through photosynthesis is a primary source for phytoplankton respiration (Beardall and Raven 1990). In contrast, heterotrophic respiration that underpins heterotrophic production depends on the decomposition of preformed organic materials sourced from the environment. </w:t>
      </w:r>
      <w:bookmarkEnd w:id="163"/>
      <w:r>
        <w:t>This component of respiration supports</w:t>
      </w:r>
      <w:r w:rsidRPr="00A97482">
        <w:t xml:space="preserve"> </w:t>
      </w:r>
      <w:r w:rsidRPr="00A97482" w:rsidDel="00D07833">
        <w:t>heterotrophic production</w:t>
      </w:r>
      <w:r w:rsidRPr="00A97482">
        <w:t>,</w:t>
      </w:r>
      <w:r w:rsidRPr="00A97482" w:rsidDel="00D07833">
        <w:t xml:space="preserve"> an additional </w:t>
      </w:r>
      <w:r w:rsidRPr="00A97482">
        <w:t xml:space="preserve">food </w:t>
      </w:r>
      <w:r>
        <w:t>resource</w:t>
      </w:r>
      <w:r w:rsidRPr="00A97482" w:rsidDel="00D07833">
        <w:t xml:space="preserve"> not </w:t>
      </w:r>
      <w:r>
        <w:t>considered</w:t>
      </w:r>
      <w:r w:rsidRPr="00A97482" w:rsidDel="00D07833">
        <w:t xml:space="preserve"> in the NEP calculation. </w:t>
      </w:r>
      <w:r w:rsidRPr="00492AE2">
        <w:rPr>
          <w:iCs/>
        </w:rPr>
        <w:t xml:space="preserve">Identifying </w:t>
      </w:r>
      <w:r>
        <w:rPr>
          <w:iCs/>
        </w:rPr>
        <w:t xml:space="preserve">separately </w:t>
      </w:r>
      <w:r w:rsidRPr="00492AE2">
        <w:rPr>
          <w:iCs/>
        </w:rPr>
        <w:t xml:space="preserve">the respiration associated with phototrophs and heterotrophs is </w:t>
      </w:r>
      <w:r>
        <w:rPr>
          <w:iCs/>
        </w:rPr>
        <w:t>essential</w:t>
      </w:r>
      <w:r w:rsidRPr="00492AE2">
        <w:rPr>
          <w:iCs/>
        </w:rPr>
        <w:t xml:space="preserve"> </w:t>
      </w:r>
      <w:r>
        <w:rPr>
          <w:iCs/>
        </w:rPr>
        <w:t xml:space="preserve">to estimating the net production that each </w:t>
      </w:r>
      <w:r w:rsidRPr="00492AE2">
        <w:rPr>
          <w:iCs/>
        </w:rPr>
        <w:t>contribut</w:t>
      </w:r>
      <w:r>
        <w:rPr>
          <w:iCs/>
        </w:rPr>
        <w:t>es</w:t>
      </w:r>
      <w:r w:rsidRPr="00492AE2">
        <w:rPr>
          <w:iCs/>
        </w:rPr>
        <w:t xml:space="preserve"> to </w:t>
      </w:r>
      <w:r>
        <w:rPr>
          <w:iCs/>
        </w:rPr>
        <w:t xml:space="preserve">basal </w:t>
      </w:r>
      <w:r w:rsidRPr="00492AE2">
        <w:rPr>
          <w:iCs/>
        </w:rPr>
        <w:t xml:space="preserve">food resources (Graeber </w:t>
      </w:r>
      <w:r w:rsidRPr="00E77258">
        <w:rPr>
          <w:i/>
          <w:iCs/>
        </w:rPr>
        <w:t>et al.</w:t>
      </w:r>
      <w:r w:rsidRPr="00492AE2">
        <w:rPr>
          <w:iCs/>
        </w:rPr>
        <w:t xml:space="preserve"> 2018).</w:t>
      </w:r>
    </w:p>
    <w:p w14:paraId="0891EF9C" w14:textId="77777777" w:rsidR="00B10666" w:rsidRDefault="00B10666" w:rsidP="00B10666">
      <w:pPr>
        <w:rPr>
          <w:i/>
          <w:u w:val="single"/>
        </w:rPr>
      </w:pPr>
      <w:r>
        <w:rPr>
          <w:lang w:val="en-US"/>
        </w:rPr>
        <w:t>The primary objectives of this study were to determine the specific influences of environmental flows (especially Commonwealth environmental water) on river metabolism and basal food supplies. Field measurements were made under flow conditions that included contributions of environmental water so assessing their specific influence required an estimate of the counterfactual conditions of flows without environmental contributions. To achieve this, the major drivers of metabolism were identified and linked to river discharge, so that the specific effects of increased flows due to environmental water could be detected. A wide range of flow conditions were investigated with monitoring undertaken for a ten-year period from 2014 to 2024.</w:t>
      </w:r>
    </w:p>
    <w:p w14:paraId="61A1DFA7" w14:textId="77777777" w:rsidR="00B10666" w:rsidRPr="005708C8" w:rsidRDefault="00B10666" w:rsidP="00B10666">
      <w:pPr>
        <w:rPr>
          <w:i/>
          <w:u w:val="single"/>
        </w:rPr>
      </w:pPr>
      <w:r w:rsidRPr="005708C8">
        <w:rPr>
          <w:i/>
          <w:u w:val="single"/>
        </w:rPr>
        <w:t>Major hypotheses</w:t>
      </w:r>
    </w:p>
    <w:p w14:paraId="1A0DFB69" w14:textId="77777777" w:rsidR="00B10666" w:rsidRDefault="00B10666" w:rsidP="00B10666">
      <w:r>
        <w:t xml:space="preserve">The following major hypotheses were addressed by the monitoring. </w:t>
      </w:r>
    </w:p>
    <w:p w14:paraId="2572BAA5" w14:textId="77777777" w:rsidR="00B10666" w:rsidRDefault="00B10666" w:rsidP="00B10666">
      <w:r>
        <w:t>In the spring/summer period, the increased flows and improved patterns of delivery</w:t>
      </w:r>
      <w:r w:rsidRPr="007E6727">
        <w:t xml:space="preserve"> </w:t>
      </w:r>
      <w:r>
        <w:t>into the LMR due to contributions of environmental water would:</w:t>
      </w:r>
    </w:p>
    <w:p w14:paraId="3D6F1B11" w14:textId="77777777" w:rsidR="00B10666" w:rsidRDefault="00B10666" w:rsidP="00B10666">
      <w:pPr>
        <w:pStyle w:val="ListParagraph"/>
        <w:numPr>
          <w:ilvl w:val="0"/>
          <w:numId w:val="15"/>
        </w:numPr>
        <w:ind w:left="714" w:hanging="357"/>
        <w:contextualSpacing w:val="0"/>
      </w:pPr>
      <w:r>
        <w:t>Increase phytoplankton photosynthesis and the supply of autochthonous organic carbon to food webs if the flow changes improved growth conditions, for example through enhanced light and nutrient availability.</w:t>
      </w:r>
    </w:p>
    <w:p w14:paraId="6A6E2DD2" w14:textId="77777777" w:rsidR="00B10666" w:rsidRDefault="00B10666" w:rsidP="00B10666">
      <w:pPr>
        <w:pStyle w:val="ListParagraph"/>
        <w:numPr>
          <w:ilvl w:val="0"/>
          <w:numId w:val="15"/>
        </w:numPr>
        <w:ind w:left="714" w:hanging="357"/>
        <w:contextualSpacing w:val="0"/>
      </w:pPr>
      <w:r>
        <w:t>Enhance ER rates and heterotrophic production if flows increased the supply of organic carbon either through improved primary production or by better connecting the channel with riparian, wetland or floodplain areas so improving the supply from allochthonous sources.</w:t>
      </w:r>
    </w:p>
    <w:p w14:paraId="1FE0B88B" w14:textId="77777777" w:rsidR="00B10666" w:rsidRDefault="00B10666" w:rsidP="00B10666">
      <w:pPr>
        <w:pStyle w:val="ListParagraph"/>
        <w:numPr>
          <w:ilvl w:val="0"/>
          <w:numId w:val="15"/>
        </w:numPr>
        <w:ind w:left="714" w:hanging="357"/>
        <w:contextualSpacing w:val="0"/>
      </w:pPr>
      <w:r>
        <w:t>Reduce the likelihood of low DO concentrations by increasing water mixing and oxygen exchange at the water surface in otherwise low flow zones.</w:t>
      </w:r>
    </w:p>
    <w:p w14:paraId="0B146B84" w14:textId="77777777" w:rsidR="00B10666" w:rsidRDefault="00B10666" w:rsidP="00B10666"/>
    <w:p w14:paraId="4641BCF2" w14:textId="77777777" w:rsidR="00B406CF" w:rsidRDefault="00B406CF">
      <w:pPr>
        <w:spacing w:before="0" w:after="160" w:line="259" w:lineRule="auto"/>
        <w:jc w:val="left"/>
        <w:rPr>
          <w:rFonts w:eastAsiaTheme="majorEastAsia" w:cstheme="majorBidi"/>
          <w:b/>
          <w:i/>
          <w:color w:val="44546A" w:themeColor="text2"/>
          <w:sz w:val="24"/>
          <w:szCs w:val="24"/>
        </w:rPr>
      </w:pPr>
      <w:r>
        <w:br w:type="page"/>
      </w:r>
    </w:p>
    <w:p w14:paraId="296D5137" w14:textId="782889F7" w:rsidR="00B10666" w:rsidRPr="00E35C12" w:rsidRDefault="00B10666" w:rsidP="00B10666">
      <w:pPr>
        <w:pStyle w:val="Heading3"/>
      </w:pPr>
      <w:r w:rsidRPr="00E35C12">
        <w:lastRenderedPageBreak/>
        <w:t>Methods</w:t>
      </w:r>
    </w:p>
    <w:p w14:paraId="61D16F8A" w14:textId="77777777" w:rsidR="00B10666" w:rsidRPr="001536D0" w:rsidRDefault="00B10666" w:rsidP="00B10666">
      <w:pPr>
        <w:rPr>
          <w:i/>
          <w:u w:val="single"/>
        </w:rPr>
      </w:pPr>
      <w:r w:rsidRPr="001536D0">
        <w:rPr>
          <w:i/>
          <w:u w:val="single"/>
        </w:rPr>
        <w:t>Field</w:t>
      </w:r>
      <w:r>
        <w:rPr>
          <w:i/>
          <w:u w:val="single"/>
        </w:rPr>
        <w:t xml:space="preserve"> sites and</w:t>
      </w:r>
      <w:r w:rsidRPr="001536D0">
        <w:rPr>
          <w:i/>
          <w:u w:val="single"/>
        </w:rPr>
        <w:t xml:space="preserve"> sampling</w:t>
      </w:r>
    </w:p>
    <w:p w14:paraId="3AB0E2B1" w14:textId="43D35D7A" w:rsidR="00B10666" w:rsidRDefault="00B10666" w:rsidP="00B10666">
      <w:r>
        <w:t>The three m</w:t>
      </w:r>
      <w:r w:rsidRPr="00B82052">
        <w:t xml:space="preserve">onitoring sites </w:t>
      </w:r>
      <w:r w:rsidRPr="004B4D74">
        <w:t>in</w:t>
      </w:r>
      <w:r>
        <w:t xml:space="preserve"> the Lower Murray River were </w:t>
      </w:r>
      <w:r w:rsidRPr="00B82052">
        <w:t xml:space="preserve">downstream of </w:t>
      </w:r>
      <w:r>
        <w:t>Locks</w:t>
      </w:r>
      <w:r w:rsidRPr="00B82052">
        <w:t xml:space="preserve"> 6</w:t>
      </w:r>
      <w:r>
        <w:t xml:space="preserve">, </w:t>
      </w:r>
      <w:r w:rsidRPr="00B82052">
        <w:t xml:space="preserve">4 and 1, respectively </w:t>
      </w:r>
      <w:r w:rsidR="00930E18">
        <w:t>616</w:t>
      </w:r>
      <w:r w:rsidRPr="00B82052">
        <w:t xml:space="preserve">, </w:t>
      </w:r>
      <w:r w:rsidR="00930E18">
        <w:t>501</w:t>
      </w:r>
      <w:r w:rsidRPr="00B82052">
        <w:t xml:space="preserve"> and </w:t>
      </w:r>
      <w:r w:rsidR="00930E18">
        <w:t>265</w:t>
      </w:r>
      <w:r w:rsidRPr="00B82052">
        <w:t xml:space="preserve"> river kilometres upstream </w:t>
      </w:r>
      <w:r w:rsidR="00930E18">
        <w:t>of the Murray Mouth</w:t>
      </w:r>
      <w:r w:rsidRPr="00B82052">
        <w:t xml:space="preserve"> (</w:t>
      </w:r>
      <w:r w:rsidR="00930E18">
        <w:fldChar w:fldCharType="begin"/>
      </w:r>
      <w:r w:rsidR="00930E18">
        <w:instrText xml:space="preserve"> REF _Ref469926522 \h </w:instrText>
      </w:r>
      <w:r w:rsidR="00930E18">
        <w:fldChar w:fldCharType="separate"/>
      </w:r>
      <w:r w:rsidR="00102828">
        <w:t xml:space="preserve">Figure </w:t>
      </w:r>
      <w:r w:rsidR="00102828">
        <w:rPr>
          <w:noProof/>
        </w:rPr>
        <w:t>1</w:t>
      </w:r>
      <w:r w:rsidR="00930E18">
        <w:fldChar w:fldCharType="end"/>
      </w:r>
      <w:r w:rsidRPr="00B82052">
        <w:t xml:space="preserve">). Each monitoring site was several kilometres </w:t>
      </w:r>
      <w:r>
        <w:t xml:space="preserve">below </w:t>
      </w:r>
      <w:r w:rsidRPr="00B82052">
        <w:t xml:space="preserve">the corresponding </w:t>
      </w:r>
      <w:r>
        <w:t>lock</w:t>
      </w:r>
      <w:r w:rsidRPr="00B82052">
        <w:t xml:space="preserve"> (7, 15 and 10</w:t>
      </w:r>
      <w:r>
        <w:t xml:space="preserve"> </w:t>
      </w:r>
      <w:r w:rsidRPr="00B82052">
        <w:t xml:space="preserve">km respectively), to ensure that flow conditions </w:t>
      </w:r>
      <w:r>
        <w:t xml:space="preserve">had </w:t>
      </w:r>
      <w:r w:rsidRPr="00B82052">
        <w:t>re-established</w:t>
      </w:r>
      <w:r>
        <w:t>, as</w:t>
      </w:r>
      <w:r w:rsidRPr="00B82052">
        <w:t xml:space="preserve"> higher water velocities and increased turbulence enhanc</w:t>
      </w:r>
      <w:r>
        <w:t>e</w:t>
      </w:r>
      <w:r w:rsidRPr="00B82052">
        <w:t xml:space="preserve"> the likelihood that single station </w:t>
      </w:r>
      <w:r>
        <w:t xml:space="preserve">metabolism </w:t>
      </w:r>
      <w:r w:rsidRPr="00B82052">
        <w:t>measurements represent river channel conditions.</w:t>
      </w:r>
      <w:r>
        <w:t xml:space="preserve"> Monitoring occurred continuously from September to February/March each year (2014–2024),</w:t>
      </w:r>
      <w:r w:rsidRPr="00662F7F">
        <w:t xml:space="preserve"> </w:t>
      </w:r>
      <w:r>
        <w:t>with interruptions of one day every 2 to 4 weeks for probe maintenance.</w:t>
      </w:r>
    </w:p>
    <w:p w14:paraId="2EF566CF" w14:textId="77777777" w:rsidR="00B10666" w:rsidRDefault="00B10666" w:rsidP="00B10666">
      <w:r>
        <w:t>Rates of stream metabolism were estimated using the single station DO method, with a probe deployed at a depth of 0.5 m monitoring DO concentration and temperature at ten-minute intervals. Matching</w:t>
      </w:r>
      <w:r w:rsidRPr="00BA5258">
        <w:t xml:space="preserve"> </w:t>
      </w:r>
      <w:r w:rsidRPr="00D80ED2">
        <w:t xml:space="preserve">incident </w:t>
      </w:r>
      <w:r>
        <w:t>Photosynthetically Active Radiation (PAR) was monitored at unshaded shore stations.</w:t>
      </w:r>
      <w:r w:rsidRPr="00BA5258">
        <w:t xml:space="preserve"> </w:t>
      </w:r>
    </w:p>
    <w:p w14:paraId="1775EA1E" w14:textId="38C68429" w:rsidR="00B10666" w:rsidRDefault="00B10666" w:rsidP="00B10666">
      <w:r>
        <w:t>Two metre, depth-integrated</w:t>
      </w:r>
      <w:r w:rsidRPr="00BA5258">
        <w:t xml:space="preserve"> water samples were collected </w:t>
      </w:r>
      <w:r>
        <w:t>during site field trips (</w:t>
      </w:r>
      <w:r w:rsidR="00F058A8">
        <w:t>~</w:t>
      </w:r>
      <w:r>
        <w:t xml:space="preserve">fortnightly), </w:t>
      </w:r>
      <w:r w:rsidRPr="00BA5258">
        <w:t>and analysed for chlorophyll</w:t>
      </w:r>
      <w:r>
        <w:t>-</w:t>
      </w:r>
      <w:r w:rsidRPr="00477E3D">
        <w:rPr>
          <w:i/>
        </w:rPr>
        <w:t>a</w:t>
      </w:r>
      <w:r w:rsidRPr="00BA5258">
        <w:t xml:space="preserve">, total nitrogen, combined nitrate and nitrite, ammonium, total phosphorus, dissolved forms of phosphorus, and </w:t>
      </w:r>
      <w:r>
        <w:t>DOC (</w:t>
      </w:r>
      <w:r w:rsidRPr="00D80ED2">
        <w:t xml:space="preserve">Hale </w:t>
      </w:r>
      <w:r w:rsidRPr="00477E3D">
        <w:rPr>
          <w:i/>
        </w:rPr>
        <w:t>et al.</w:t>
      </w:r>
      <w:r w:rsidRPr="00D80ED2">
        <w:t xml:space="preserve"> 2014</w:t>
      </w:r>
      <w:r>
        <w:t xml:space="preserve">; Ye </w:t>
      </w:r>
      <w:r w:rsidRPr="00477E3D">
        <w:rPr>
          <w:i/>
        </w:rPr>
        <w:t>et al.</w:t>
      </w:r>
      <w:r>
        <w:t xml:space="preserve"> 2018). In addition, the vertical light attenuation for PAR was measured on each occasion using LiCOR underwater sensors.</w:t>
      </w:r>
      <w:r w:rsidRPr="00BE31E6">
        <w:t xml:space="preserve"> </w:t>
      </w:r>
      <w:r>
        <w:t>Collected water quality data were supplemented with monitoring data from nearby sites provided by the Australian Water Quality Centre of S</w:t>
      </w:r>
      <w:r w:rsidR="00930E18">
        <w:t>A</w:t>
      </w:r>
      <w:r>
        <w:t xml:space="preserve"> Water.</w:t>
      </w:r>
    </w:p>
    <w:p w14:paraId="21A34F5A" w14:textId="0FA3CC6E" w:rsidR="00B10666" w:rsidRPr="00DC5DDD" w:rsidRDefault="00B10666" w:rsidP="00B10666">
      <w:r>
        <w:t>The sampling regime resulted in a limited number of dates per monitoring season (</w:t>
      </w:r>
      <w:r w:rsidR="00F058A8">
        <w:t>~</w:t>
      </w:r>
      <w:r>
        <w:t>8–12</w:t>
      </w:r>
      <w:r w:rsidR="00F058A8">
        <w:t> </w:t>
      </w:r>
      <w:r>
        <w:t xml:space="preserve">per site) when water quality measurements coincided with metabolism measurements. To increase sample numbers, water quality measurements and vertical attenuation coefficients were considered relevant for three days before and three days after sampling in some analyses. </w:t>
      </w:r>
    </w:p>
    <w:p w14:paraId="1127E9FE" w14:textId="77777777" w:rsidR="00B10666" w:rsidRPr="001536D0" w:rsidRDefault="00B10666" w:rsidP="00B10666">
      <w:pPr>
        <w:rPr>
          <w:i/>
          <w:u w:val="single"/>
        </w:rPr>
      </w:pPr>
      <w:r w:rsidRPr="001536D0">
        <w:rPr>
          <w:i/>
          <w:u w:val="single"/>
        </w:rPr>
        <w:t>Estimating metabolic rates</w:t>
      </w:r>
    </w:p>
    <w:p w14:paraId="434874E3" w14:textId="77777777" w:rsidR="00B10666" w:rsidRDefault="00B10666" w:rsidP="00B10666">
      <w:r>
        <w:t>Daily volumetric</w:t>
      </w:r>
      <w:r w:rsidRPr="00BA5258">
        <w:t xml:space="preserve"> rates </w:t>
      </w:r>
      <w:r>
        <w:t>(gO</w:t>
      </w:r>
      <w:r w:rsidRPr="004B4D74">
        <w:rPr>
          <w:vertAlign w:val="subscript"/>
        </w:rPr>
        <w:t>2</w:t>
      </w:r>
      <w:r>
        <w:t>/m</w:t>
      </w:r>
      <w:r w:rsidRPr="004B4D74">
        <w:rPr>
          <w:vertAlign w:val="superscript"/>
        </w:rPr>
        <w:t>3</w:t>
      </w:r>
      <w:r>
        <w:t xml:space="preserve">/d) </w:t>
      </w:r>
      <w:r w:rsidRPr="00BA5258">
        <w:t>for GPP</w:t>
      </w:r>
      <w:r>
        <w:t xml:space="preserve"> and E</w:t>
      </w:r>
      <w:r w:rsidRPr="00BA5258">
        <w:t xml:space="preserve">R were estimated </w:t>
      </w:r>
      <w:r>
        <w:t>from midnight to midnight</w:t>
      </w:r>
      <w:r w:rsidRPr="00BA5258">
        <w:t xml:space="preserve"> </w:t>
      </w:r>
      <w:r>
        <w:t>with</w:t>
      </w:r>
      <w:r w:rsidRPr="00BA5258">
        <w:t xml:space="preserve"> the </w:t>
      </w:r>
      <w:r w:rsidRPr="00AC4288">
        <w:rPr>
          <w:i/>
          <w:iCs/>
        </w:rPr>
        <w:t>BASE</w:t>
      </w:r>
      <w:r w:rsidRPr="00BA5258">
        <w:t xml:space="preserve"> program (Grace </w:t>
      </w:r>
      <w:r w:rsidRPr="00477E3D">
        <w:rPr>
          <w:i/>
        </w:rPr>
        <w:t>et al.</w:t>
      </w:r>
      <w:r w:rsidRPr="00BA5258">
        <w:t xml:space="preserve"> 2015). This </w:t>
      </w:r>
      <w:r>
        <w:t>uses</w:t>
      </w:r>
      <w:r w:rsidRPr="00BA5258">
        <w:t xml:space="preserve"> Bayesian regression routines to fit the measured changes in </w:t>
      </w:r>
      <w:r>
        <w:t>DO</w:t>
      </w:r>
      <w:r w:rsidRPr="00BA5258">
        <w:t xml:space="preserve"> concentrations to a widely </w:t>
      </w:r>
      <w:r>
        <w:t>applied</w:t>
      </w:r>
      <w:r w:rsidRPr="00BA5258">
        <w:t xml:space="preserve"> model describ</w:t>
      </w:r>
      <w:r>
        <w:t>ing</w:t>
      </w:r>
      <w:r w:rsidRPr="00BA5258">
        <w:t xml:space="preserve"> daily fluctuations in water column </w:t>
      </w:r>
      <w:r>
        <w:t>DO</w:t>
      </w:r>
      <w:r w:rsidRPr="00BA5258">
        <w:t xml:space="preserve"> concentrations </w:t>
      </w:r>
      <w:r>
        <w:t>(Odum 1956;</w:t>
      </w:r>
      <w:r w:rsidRPr="00404F2F">
        <w:t xml:space="preserve"> Young and Huryn 1996</w:t>
      </w:r>
      <w:r>
        <w:t>; Oliver and Merrick 2006):</w:t>
      </w:r>
    </w:p>
    <w:p w14:paraId="4DB90A78" w14:textId="77777777" w:rsidR="00B10666" w:rsidRDefault="00B10666" w:rsidP="00B10666">
      <m:oMathPara>
        <m:oMath>
          <m:r>
            <w:rPr>
              <w:rFonts w:ascii="Cambria Math" w:hAnsi="Cambria Math"/>
            </w:rPr>
            <m:t>∆DO=GPP(I)+ER+k(DOsat-DO)                          (1)</m:t>
          </m:r>
        </m:oMath>
      </m:oMathPara>
    </w:p>
    <w:p w14:paraId="4ED38DE9" w14:textId="77777777" w:rsidR="00B10666" w:rsidRDefault="00B10666" w:rsidP="00B10666">
      <w:r>
        <w:t xml:space="preserve"> The change in DO is determined by the balance between GPP, a function of light intensity (</w:t>
      </w:r>
      <w:r w:rsidRPr="00145127">
        <w:rPr>
          <w:i/>
          <w:iCs/>
        </w:rPr>
        <w:t>I</w:t>
      </w:r>
      <w:r>
        <w:t>), ER, considered constant over the day, and the exchange of oxygen at the water surface, a function of the gas exchange coefficient (</w:t>
      </w:r>
      <w:r w:rsidRPr="00A21A7E">
        <w:rPr>
          <w:i/>
          <w:iCs/>
        </w:rPr>
        <w:t>k</w:t>
      </w:r>
      <w:r>
        <w:t>) and the oxygen deficit, calculated as the difference between the actual DO concentration and the expected saturation concentration at the water temperature (DOsat).</w:t>
      </w:r>
    </w:p>
    <w:p w14:paraId="24F80833" w14:textId="759809B4" w:rsidR="00B10666" w:rsidRDefault="00B10666" w:rsidP="00B10666">
      <w:r>
        <w:rPr>
          <w:lang w:val="en-US"/>
        </w:rPr>
        <w:t xml:space="preserve">Despite metabolism measurements being derived from reliably modelled daily DO data, their suitability for exploring responses to environmental conditions required that they represented conditions in the river. </w:t>
      </w:r>
      <w:r w:rsidRPr="00E52235">
        <w:rPr>
          <w:lang w:val="en-US"/>
        </w:rPr>
        <w:t xml:space="preserve">To </w:t>
      </w:r>
      <w:r>
        <w:rPr>
          <w:lang w:val="en-US"/>
        </w:rPr>
        <w:t>gauge</w:t>
      </w:r>
      <w:r w:rsidRPr="00E52235">
        <w:rPr>
          <w:lang w:val="en-US"/>
        </w:rPr>
        <w:t xml:space="preserve"> the</w:t>
      </w:r>
      <w:r>
        <w:rPr>
          <w:lang w:val="en-US"/>
        </w:rPr>
        <w:t>ir</w:t>
      </w:r>
      <w:r w:rsidRPr="00296ACE">
        <w:rPr>
          <w:lang w:val="en-US"/>
        </w:rPr>
        <w:t xml:space="preserve"> </w:t>
      </w:r>
      <w:r>
        <w:rPr>
          <w:lang w:val="en-US"/>
        </w:rPr>
        <w:t>veracity,</w:t>
      </w:r>
      <w:r w:rsidRPr="00E52235">
        <w:rPr>
          <w:lang w:val="en-US"/>
        </w:rPr>
        <w:t xml:space="preserve"> </w:t>
      </w:r>
      <w:r>
        <w:rPr>
          <w:lang w:val="en-US"/>
        </w:rPr>
        <w:t xml:space="preserve">the estimated </w:t>
      </w:r>
      <w:r w:rsidR="008F4451" w:rsidRPr="00E52235">
        <w:rPr>
          <w:lang w:val="en-US"/>
        </w:rPr>
        <w:t>time-based</w:t>
      </w:r>
      <w:r w:rsidRPr="00E52235">
        <w:rPr>
          <w:lang w:val="en-US"/>
        </w:rPr>
        <w:t xml:space="preserve"> gas exchange coefficient</w:t>
      </w:r>
      <w:r>
        <w:rPr>
          <w:lang w:val="en-US"/>
        </w:rPr>
        <w:t>s (</w:t>
      </w:r>
      <w:r w:rsidRPr="00E52235">
        <w:rPr>
          <w:lang w:val="en-US"/>
        </w:rPr>
        <w:t>K</w:t>
      </w:r>
      <w:r>
        <w:rPr>
          <w:lang w:val="en-US"/>
        </w:rPr>
        <w:t>/</w:t>
      </w:r>
      <w:r w:rsidRPr="00E52235">
        <w:rPr>
          <w:lang w:val="en-US"/>
        </w:rPr>
        <w:t>min) were compared with flow velocities, as the</w:t>
      </w:r>
      <w:r>
        <w:rPr>
          <w:lang w:val="en-US"/>
        </w:rPr>
        <w:t>se</w:t>
      </w:r>
      <w:r w:rsidRPr="00E52235">
        <w:rPr>
          <w:lang w:val="en-US"/>
        </w:rPr>
        <w:t xml:space="preserve"> are correlated when water turbulence is velocity driven (</w:t>
      </w:r>
      <w:r>
        <w:rPr>
          <w:lang w:val="en-US"/>
        </w:rPr>
        <w:t xml:space="preserve">Ulseth </w:t>
      </w:r>
      <w:r w:rsidRPr="007B7535">
        <w:rPr>
          <w:i/>
          <w:iCs/>
          <w:lang w:val="en-US"/>
        </w:rPr>
        <w:t>et al.</w:t>
      </w:r>
      <w:r>
        <w:rPr>
          <w:lang w:val="en-US"/>
        </w:rPr>
        <w:t xml:space="preserve"> 2019;</w:t>
      </w:r>
      <w:r w:rsidRPr="00E52235">
        <w:rPr>
          <w:lang w:val="en-US"/>
        </w:rPr>
        <w:t xml:space="preserve"> </w:t>
      </w:r>
      <w:r>
        <w:rPr>
          <w:lang w:val="en-US"/>
        </w:rPr>
        <w:t xml:space="preserve">Ye </w:t>
      </w:r>
      <w:r w:rsidRPr="00F872B4">
        <w:rPr>
          <w:i/>
          <w:iCs/>
          <w:lang w:val="en-US"/>
        </w:rPr>
        <w:t>et al.</w:t>
      </w:r>
      <w:r>
        <w:rPr>
          <w:lang w:val="en-US"/>
        </w:rPr>
        <w:t xml:space="preserve"> 2023</w:t>
      </w:r>
      <w:r w:rsidRPr="00E52235">
        <w:rPr>
          <w:lang w:val="en-US"/>
        </w:rPr>
        <w:t xml:space="preserve">). </w:t>
      </w:r>
    </w:p>
    <w:p w14:paraId="5A5F5D39" w14:textId="38008776" w:rsidR="00B10666" w:rsidRPr="00AE1F3C" w:rsidRDefault="00B10666" w:rsidP="00B10666">
      <w:r w:rsidRPr="00AE1F3C">
        <w:lastRenderedPageBreak/>
        <w:t xml:space="preserve">Daily flows measured during the monitoring periods were adjusted using hydrological modelling to estimate the flows and water levels that would have occurred without </w:t>
      </w:r>
      <w:r w:rsidRPr="00AE1F3C">
        <w:rPr>
          <w:lang w:val="en-US"/>
        </w:rPr>
        <w:t>Commonwealth environmental</w:t>
      </w:r>
      <w:r w:rsidRPr="00E40F61">
        <w:rPr>
          <w:lang w:val="en-US"/>
        </w:rPr>
        <w:t xml:space="preserve"> water, </w:t>
      </w:r>
      <w:r>
        <w:rPr>
          <w:lang w:val="en-US"/>
        </w:rPr>
        <w:t>or</w:t>
      </w:r>
      <w:r w:rsidRPr="00E40F61">
        <w:t xml:space="preserve"> without any environmental </w:t>
      </w:r>
      <w:r>
        <w:t>water</w:t>
      </w:r>
      <w:r w:rsidRPr="00E40F61">
        <w:t xml:space="preserve"> (</w:t>
      </w:r>
      <w:r w:rsidRPr="00E40F61">
        <w:fldChar w:fldCharType="begin"/>
      </w:r>
      <w:r w:rsidRPr="00E40F61">
        <w:instrText xml:space="preserve"> REF _Ref81474313 \h  \* MERGEFORMAT </w:instrText>
      </w:r>
      <w:r w:rsidRPr="00E40F61">
        <w:fldChar w:fldCharType="separate"/>
      </w:r>
      <w:r w:rsidR="00102828" w:rsidRPr="00F23935">
        <w:t xml:space="preserve">Figure </w:t>
      </w:r>
      <w:r w:rsidR="00102828">
        <w:rPr>
          <w:noProof/>
        </w:rPr>
        <w:t>5</w:t>
      </w:r>
      <w:r w:rsidRPr="00E40F61">
        <w:fldChar w:fldCharType="end"/>
      </w:r>
      <w:r w:rsidRPr="00E40F61">
        <w:t>a and</w:t>
      </w:r>
      <w:r>
        <w:t xml:space="preserve"> </w:t>
      </w:r>
      <w:r>
        <w:fldChar w:fldCharType="begin"/>
      </w:r>
      <w:r>
        <w:instrText xml:space="preserve"> REF _Ref155710234 \h </w:instrText>
      </w:r>
      <w:r>
        <w:fldChar w:fldCharType="separate"/>
      </w:r>
      <w:r w:rsidR="00102828">
        <w:t xml:space="preserve">Figure </w:t>
      </w:r>
      <w:r w:rsidR="00102828">
        <w:rPr>
          <w:noProof/>
        </w:rPr>
        <w:t>9</w:t>
      </w:r>
      <w:r>
        <w:fldChar w:fldCharType="end"/>
      </w:r>
      <w:r w:rsidRPr="00E40F61">
        <w:t>).</w:t>
      </w:r>
      <w:r>
        <w:t xml:space="preserve"> The analyses of hydrological influences on metabolism assumed that modelled flows without environmental water had the same water quality. Volumetric rates of metabolism were i</w:t>
      </w:r>
      <w:r w:rsidRPr="00BA5258">
        <w:t>ntegrated</w:t>
      </w:r>
      <w:r>
        <w:t xml:space="preserve"> over river depth and width based on channel</w:t>
      </w:r>
      <w:r w:rsidRPr="00BA5258">
        <w:t xml:space="preserve"> </w:t>
      </w:r>
      <w:r>
        <w:t xml:space="preserve">dimensions derived from </w:t>
      </w:r>
      <w:r w:rsidRPr="00BA5258">
        <w:t>morpho</w:t>
      </w:r>
      <w:r>
        <w:t xml:space="preserve">metric models linked to water level at each of the </w:t>
      </w:r>
      <w:r w:rsidRPr="007C2486">
        <w:t xml:space="preserve">sites (Section </w:t>
      </w:r>
      <w:r w:rsidRPr="007C2486">
        <w:fldChar w:fldCharType="begin"/>
      </w:r>
      <w:r w:rsidRPr="007C2486">
        <w:instrText xml:space="preserve"> REF _Ref58249886 \r \h  \* MERGEFORMAT </w:instrText>
      </w:r>
      <w:r w:rsidRPr="007C2486">
        <w:fldChar w:fldCharType="separate"/>
      </w:r>
      <w:r w:rsidR="00102828">
        <w:t>2.1</w:t>
      </w:r>
      <w:r w:rsidRPr="007C2486">
        <w:fldChar w:fldCharType="end"/>
      </w:r>
      <w:r w:rsidRPr="007C2486">
        <w:t xml:space="preserve">). </w:t>
      </w:r>
      <w:r>
        <w:t>Cross-sectional metabolic</w:t>
      </w:r>
      <w:r w:rsidRPr="00BA5258">
        <w:t xml:space="preserve"> rate</w:t>
      </w:r>
      <w:r>
        <w:t xml:space="preserve">s were calculated as </w:t>
      </w:r>
      <w:r w:rsidRPr="00BA5258">
        <w:t>the product of the volumetric rate</w:t>
      </w:r>
      <w:r w:rsidRPr="008D7984">
        <w:t xml:space="preserve"> </w:t>
      </w:r>
      <w:r>
        <w:t xml:space="preserve">and the average </w:t>
      </w:r>
      <w:r w:rsidRPr="00BA5258">
        <w:t>cross-sectional area</w:t>
      </w:r>
      <w:r>
        <w:t xml:space="preserve"> (m</w:t>
      </w:r>
      <w:r>
        <w:rPr>
          <w:vertAlign w:val="superscript"/>
        </w:rPr>
        <w:t>2</w:t>
      </w:r>
      <w:r>
        <w:t xml:space="preserve">), yielding cross-sectional </w:t>
      </w:r>
      <w:r w:rsidRPr="00AE1F3C">
        <w:t>rates for a 1 m length of river. Metabolic rates were integrated over time by summing daily rates.</w:t>
      </w:r>
      <w:r w:rsidRPr="00AE1F3C">
        <w:rPr>
          <w:szCs w:val="22"/>
        </w:rPr>
        <w:t xml:space="preserve"> Oxygen-based metabolic rates were converted to carbon units by assuming photosynthetic and respiratory quotients were equal to one.</w:t>
      </w:r>
    </w:p>
    <w:p w14:paraId="1788459A" w14:textId="77777777" w:rsidR="00B10666" w:rsidRPr="0040688F" w:rsidRDefault="00B10666" w:rsidP="00B10666">
      <w:pPr>
        <w:rPr>
          <w:iCs/>
          <w:szCs w:val="22"/>
          <w:lang w:val="en-US"/>
        </w:rPr>
      </w:pPr>
      <w:r>
        <w:rPr>
          <w:iCs/>
          <w:szCs w:val="22"/>
          <w:lang w:val="en-US"/>
        </w:rPr>
        <w:t>T</w:t>
      </w:r>
      <w:r w:rsidRPr="0040688F">
        <w:rPr>
          <w:iCs/>
          <w:szCs w:val="22"/>
          <w:lang w:val="en-US"/>
        </w:rPr>
        <w:t xml:space="preserve">he influence of light on photosynthesis </w:t>
      </w:r>
      <w:r>
        <w:rPr>
          <w:iCs/>
          <w:szCs w:val="22"/>
          <w:lang w:val="en-US"/>
        </w:rPr>
        <w:t xml:space="preserve">was determined from the </w:t>
      </w:r>
      <w:r w:rsidRPr="0040688F">
        <w:rPr>
          <w:iCs/>
          <w:szCs w:val="22"/>
          <w:lang w:val="en-US"/>
        </w:rPr>
        <w:t>mean light intensity encountered by phytoplankton mixed through the water column</w:t>
      </w:r>
      <w:r w:rsidRPr="00124681">
        <w:rPr>
          <w:iCs/>
          <w:szCs w:val="22"/>
          <w:lang w:val="en-US"/>
        </w:rPr>
        <w:t xml:space="preserve"> </w:t>
      </w:r>
      <w:r>
        <w:rPr>
          <w:iCs/>
          <w:szCs w:val="22"/>
          <w:lang w:val="en-US"/>
        </w:rPr>
        <w:t>(</w:t>
      </w:r>
      <w:r w:rsidRPr="0040688F">
        <w:rPr>
          <w:iCs/>
          <w:szCs w:val="22"/>
          <w:lang w:val="en-US"/>
        </w:rPr>
        <w:t>Oliver and Merrick 2006)</w:t>
      </w:r>
      <w:r>
        <w:rPr>
          <w:iCs/>
          <w:szCs w:val="22"/>
          <w:lang w:val="en-US"/>
        </w:rPr>
        <w:t xml:space="preserve"> which </w:t>
      </w:r>
      <w:r w:rsidRPr="0040688F">
        <w:rPr>
          <w:iCs/>
          <w:szCs w:val="22"/>
          <w:lang w:val="en-US"/>
        </w:rPr>
        <w:t>depends on the incident irradiance (</w:t>
      </w:r>
      <w:r w:rsidRPr="00DB7AE7">
        <w:rPr>
          <w:i/>
          <w:iCs/>
        </w:rPr>
        <w:t>I</w:t>
      </w:r>
      <w:r w:rsidRPr="00A430F3">
        <w:rPr>
          <w:i/>
          <w:iCs/>
          <w:vertAlign w:val="subscript"/>
        </w:rPr>
        <w:t>0</w:t>
      </w:r>
      <w:r w:rsidRPr="0040688F">
        <w:rPr>
          <w:iCs/>
          <w:szCs w:val="22"/>
          <w:lang w:val="en-US"/>
        </w:rPr>
        <w:t xml:space="preserve">), the vertical attenuation of light </w:t>
      </w:r>
      <w:r>
        <w:rPr>
          <w:iCs/>
          <w:szCs w:val="22"/>
          <w:lang w:val="en-US"/>
        </w:rPr>
        <w:t>in</w:t>
      </w:r>
      <w:r w:rsidRPr="0040688F">
        <w:rPr>
          <w:iCs/>
          <w:szCs w:val="22"/>
          <w:lang w:val="en-US"/>
        </w:rPr>
        <w:t xml:space="preserve"> the water column (</w:t>
      </w:r>
      <w:r w:rsidRPr="009A0AAF">
        <w:rPr>
          <w:i/>
          <w:iCs/>
        </w:rPr>
        <w:t>k</w:t>
      </w:r>
      <w:r w:rsidRPr="009A0AAF">
        <w:rPr>
          <w:i/>
          <w:iCs/>
          <w:vertAlign w:val="subscript"/>
        </w:rPr>
        <w:t>d</w:t>
      </w:r>
      <w:r w:rsidRPr="0040688F">
        <w:rPr>
          <w:iCs/>
          <w:szCs w:val="22"/>
          <w:lang w:val="en-US"/>
        </w:rPr>
        <w:t xml:space="preserve">), and the average </w:t>
      </w:r>
      <w:r>
        <w:rPr>
          <w:iCs/>
          <w:szCs w:val="22"/>
          <w:lang w:val="en-US"/>
        </w:rPr>
        <w:t xml:space="preserve">water </w:t>
      </w:r>
      <w:r w:rsidRPr="0040688F">
        <w:rPr>
          <w:iCs/>
          <w:szCs w:val="22"/>
          <w:lang w:val="en-US"/>
        </w:rPr>
        <w:t>depth (</w:t>
      </w:r>
      <w:r w:rsidRPr="00FB258E">
        <w:rPr>
          <w:i/>
          <w:szCs w:val="22"/>
          <w:lang w:val="en-US"/>
        </w:rPr>
        <w:t>z</w:t>
      </w:r>
      <w:r w:rsidRPr="000C3592">
        <w:rPr>
          <w:i/>
          <w:szCs w:val="22"/>
          <w:vertAlign w:val="subscript"/>
          <w:lang w:val="en-US"/>
        </w:rPr>
        <w:t>ave</w:t>
      </w:r>
      <w:r w:rsidRPr="0040688F">
        <w:rPr>
          <w:iCs/>
          <w:szCs w:val="22"/>
          <w:lang w:val="en-US"/>
        </w:rPr>
        <w:t xml:space="preserve">). </w:t>
      </w:r>
      <w:r>
        <w:rPr>
          <w:iCs/>
          <w:szCs w:val="22"/>
          <w:lang w:val="en-US"/>
        </w:rPr>
        <w:t>As</w:t>
      </w:r>
      <w:r w:rsidRPr="0040688F">
        <w:rPr>
          <w:iCs/>
          <w:szCs w:val="22"/>
          <w:lang w:val="en-US"/>
        </w:rPr>
        <w:t xml:space="preserve"> the average depth </w:t>
      </w:r>
      <w:r>
        <w:rPr>
          <w:iCs/>
          <w:szCs w:val="22"/>
          <w:lang w:val="en-US"/>
        </w:rPr>
        <w:t>wa</w:t>
      </w:r>
      <w:r w:rsidRPr="0040688F">
        <w:rPr>
          <w:iCs/>
          <w:szCs w:val="22"/>
          <w:lang w:val="en-US"/>
        </w:rPr>
        <w:t xml:space="preserve">s </w:t>
      </w:r>
      <w:r>
        <w:rPr>
          <w:iCs/>
          <w:szCs w:val="22"/>
          <w:lang w:val="en-US"/>
        </w:rPr>
        <w:t xml:space="preserve">always </w:t>
      </w:r>
      <w:r w:rsidRPr="0040688F">
        <w:rPr>
          <w:iCs/>
          <w:szCs w:val="22"/>
          <w:lang w:val="en-US"/>
        </w:rPr>
        <w:t>greater than the depth of the illuminated surface layer, the mean irradiance (</w:t>
      </w:r>
      <w:r w:rsidRPr="0040688F">
        <w:rPr>
          <w:i/>
          <w:iCs/>
          <w:szCs w:val="22"/>
          <w:lang w:val="en-US"/>
        </w:rPr>
        <w:t>Im</w:t>
      </w:r>
      <w:r w:rsidRPr="0040688F">
        <w:rPr>
          <w:iCs/>
          <w:szCs w:val="22"/>
          <w:lang w:val="en-US"/>
        </w:rPr>
        <w:t xml:space="preserve">) </w:t>
      </w:r>
      <w:r>
        <w:rPr>
          <w:iCs/>
          <w:szCs w:val="22"/>
          <w:lang w:val="en-US"/>
        </w:rPr>
        <w:t>could be</w:t>
      </w:r>
      <w:r w:rsidRPr="0040688F">
        <w:rPr>
          <w:iCs/>
          <w:szCs w:val="22"/>
          <w:lang w:val="en-US"/>
        </w:rPr>
        <w:t xml:space="preserve"> </w:t>
      </w:r>
      <w:r>
        <w:rPr>
          <w:iCs/>
          <w:szCs w:val="22"/>
          <w:lang w:val="en-US"/>
        </w:rPr>
        <w:t>calculated as</w:t>
      </w:r>
      <w:r w:rsidRPr="0040688F">
        <w:rPr>
          <w:iCs/>
          <w:szCs w:val="22"/>
          <w:lang w:val="en-US"/>
        </w:rPr>
        <w:t>:</w:t>
      </w:r>
    </w:p>
    <w:p w14:paraId="61E2DC04" w14:textId="77777777" w:rsidR="00B10666" w:rsidRPr="0040688F" w:rsidRDefault="00B10666" w:rsidP="00B10666">
      <w:pPr>
        <w:pStyle w:val="ListParagraph"/>
        <w:ind w:left="0"/>
        <w:rPr>
          <w:iCs/>
          <w:szCs w:val="22"/>
          <w:lang w:val="en-US"/>
        </w:rPr>
      </w:pPr>
    </w:p>
    <w:p w14:paraId="571F72B3" w14:textId="77777777" w:rsidR="00B10666" w:rsidRPr="0040688F" w:rsidRDefault="00B10666" w:rsidP="00B10666">
      <w:pPr>
        <w:pStyle w:val="ListParagraph"/>
        <w:ind w:left="0"/>
        <w:rPr>
          <w:iCs/>
          <w:szCs w:val="22"/>
          <w:lang w:val="en-US"/>
        </w:rPr>
      </w:pPr>
      <m:oMathPara>
        <m:oMath>
          <m:r>
            <w:rPr>
              <w:rFonts w:ascii="Cambria Math" w:hAnsi="Cambria Math"/>
              <w:szCs w:val="22"/>
              <w:lang w:val="en-US"/>
            </w:rPr>
            <m:t>Im=Io/(kd*Zave)                     (2)</m:t>
          </m:r>
        </m:oMath>
      </m:oMathPara>
    </w:p>
    <w:p w14:paraId="6C80106C" w14:textId="77777777" w:rsidR="00B10666" w:rsidRPr="001C3B25" w:rsidRDefault="00B10666" w:rsidP="00B10666">
      <w:pPr>
        <w:rPr>
          <w:highlight w:val="yellow"/>
        </w:rPr>
      </w:pPr>
    </w:p>
    <w:p w14:paraId="0802DF72" w14:textId="77777777" w:rsidR="00B10666" w:rsidRDefault="00B10666" w:rsidP="00B10666">
      <w:pPr>
        <w:rPr>
          <w:iCs/>
          <w:szCs w:val="22"/>
          <w:lang w:val="en-US"/>
        </w:rPr>
      </w:pPr>
      <w:r>
        <w:rPr>
          <w:szCs w:val="22"/>
        </w:rPr>
        <w:t>P</w:t>
      </w:r>
      <w:r w:rsidRPr="001E2D7F">
        <w:rPr>
          <w:iCs/>
          <w:szCs w:val="22"/>
          <w:lang w:val="en-US"/>
        </w:rPr>
        <w:t xml:space="preserve">hytoplankton </w:t>
      </w:r>
      <w:r>
        <w:rPr>
          <w:iCs/>
          <w:szCs w:val="22"/>
          <w:lang w:val="en-US"/>
        </w:rPr>
        <w:t xml:space="preserve">biomass </w:t>
      </w:r>
      <w:r w:rsidRPr="001E2D7F">
        <w:rPr>
          <w:iCs/>
          <w:szCs w:val="22"/>
          <w:lang w:val="en-US"/>
        </w:rPr>
        <w:t xml:space="preserve">was estimated from the chlorophyll concentration. </w:t>
      </w:r>
      <w:r w:rsidRPr="00256077">
        <w:rPr>
          <w:iCs/>
          <w:szCs w:val="22"/>
          <w:lang w:val="en-US"/>
        </w:rPr>
        <w:t xml:space="preserve">Chlorophyll was converted to carbon </w:t>
      </w:r>
      <w:r>
        <w:rPr>
          <w:iCs/>
          <w:szCs w:val="22"/>
          <w:lang w:val="en-US"/>
        </w:rPr>
        <w:t xml:space="preserve">by </w:t>
      </w:r>
      <w:r w:rsidRPr="00256077">
        <w:rPr>
          <w:iCs/>
          <w:szCs w:val="22"/>
          <w:lang w:val="en-US"/>
        </w:rPr>
        <w:t>assuming it comprise</w:t>
      </w:r>
      <w:r>
        <w:rPr>
          <w:iCs/>
          <w:szCs w:val="22"/>
          <w:lang w:val="en-US"/>
        </w:rPr>
        <w:t>d</w:t>
      </w:r>
      <w:r w:rsidRPr="00256077">
        <w:rPr>
          <w:iCs/>
          <w:szCs w:val="22"/>
          <w:lang w:val="en-US"/>
        </w:rPr>
        <w:t xml:space="preserve"> 2.5% of cell ash-free dry weight and </w:t>
      </w:r>
      <w:r>
        <w:rPr>
          <w:iCs/>
          <w:szCs w:val="22"/>
          <w:lang w:val="en-US"/>
        </w:rPr>
        <w:t xml:space="preserve">that cell </w:t>
      </w:r>
      <w:r w:rsidRPr="00256077">
        <w:rPr>
          <w:iCs/>
          <w:szCs w:val="22"/>
          <w:lang w:val="en-US"/>
        </w:rPr>
        <w:t>carbon</w:t>
      </w:r>
      <w:r>
        <w:rPr>
          <w:iCs/>
          <w:szCs w:val="22"/>
          <w:lang w:val="en-US"/>
        </w:rPr>
        <w:t xml:space="preserve"> comprised</w:t>
      </w:r>
      <w:r w:rsidRPr="00256077">
        <w:rPr>
          <w:iCs/>
          <w:szCs w:val="22"/>
          <w:lang w:val="en-US"/>
        </w:rPr>
        <w:t xml:space="preserve"> 50% of ash-free dry weight</w:t>
      </w:r>
      <w:r>
        <w:rPr>
          <w:iCs/>
          <w:szCs w:val="22"/>
          <w:lang w:val="en-US"/>
        </w:rPr>
        <w:t xml:space="preserve"> (Reynolds 1984)</w:t>
      </w:r>
      <w:r w:rsidRPr="00256077">
        <w:rPr>
          <w:iCs/>
          <w:szCs w:val="22"/>
          <w:lang w:val="en-US"/>
        </w:rPr>
        <w:t>, resulting in a multiplier of 20.</w:t>
      </w:r>
      <w:r>
        <w:rPr>
          <w:iCs/>
          <w:szCs w:val="22"/>
          <w:lang w:val="en-US"/>
        </w:rPr>
        <w:t xml:space="preserve"> </w:t>
      </w:r>
    </w:p>
    <w:p w14:paraId="7142D494" w14:textId="77777777" w:rsidR="00B10666" w:rsidRPr="00840257" w:rsidRDefault="00B10666" w:rsidP="00B10666">
      <w:pPr>
        <w:rPr>
          <w:lang w:val="en-US"/>
        </w:rPr>
      </w:pPr>
      <w:r w:rsidRPr="00840257">
        <w:rPr>
          <w:iCs/>
          <w:szCs w:val="22"/>
          <w:lang w:val="en-US"/>
        </w:rPr>
        <w:t>NEP</w:t>
      </w:r>
      <w:r>
        <w:rPr>
          <w:iCs/>
          <w:szCs w:val="22"/>
          <w:lang w:val="en-US"/>
        </w:rPr>
        <w:t>,</w:t>
      </w:r>
      <w:r w:rsidRPr="00840257">
        <w:rPr>
          <w:iCs/>
          <w:szCs w:val="22"/>
          <w:lang w:val="en-US"/>
        </w:rPr>
        <w:t xml:space="preserve"> the difference between GPP and ER</w:t>
      </w:r>
      <w:r>
        <w:rPr>
          <w:iCs/>
          <w:szCs w:val="22"/>
          <w:lang w:val="en-US"/>
        </w:rPr>
        <w:t xml:space="preserve">, gave an integrated system measure of the metabolic balance. </w:t>
      </w:r>
      <w:r w:rsidRPr="001E2D7F">
        <w:rPr>
          <w:lang w:val="en-US"/>
        </w:rPr>
        <w:t xml:space="preserve">The </w:t>
      </w:r>
      <w:r>
        <w:rPr>
          <w:lang w:val="en-US"/>
        </w:rPr>
        <w:t>separate</w:t>
      </w:r>
      <w:r w:rsidRPr="001E2D7F">
        <w:rPr>
          <w:lang w:val="en-US"/>
        </w:rPr>
        <w:t xml:space="preserve"> contributions to ER by photosynthetic and heterotrophic microbiota w</w:t>
      </w:r>
      <w:r>
        <w:rPr>
          <w:lang w:val="en-US"/>
        </w:rPr>
        <w:t>ere</w:t>
      </w:r>
      <w:r w:rsidRPr="001E2D7F">
        <w:rPr>
          <w:lang w:val="en-US"/>
        </w:rPr>
        <w:t xml:space="preserve"> </w:t>
      </w:r>
      <w:r>
        <w:rPr>
          <w:lang w:val="en-US"/>
        </w:rPr>
        <w:t>assessed</w:t>
      </w:r>
      <w:r w:rsidRPr="001E2D7F">
        <w:rPr>
          <w:lang w:val="en-US"/>
        </w:rPr>
        <w:t xml:space="preserve"> using multiple regression </w:t>
      </w:r>
      <w:r>
        <w:rPr>
          <w:lang w:val="en-US"/>
        </w:rPr>
        <w:t>with</w:t>
      </w:r>
      <w:r w:rsidRPr="001E2D7F">
        <w:rPr>
          <w:lang w:val="en-US"/>
        </w:rPr>
        <w:t xml:space="preserve"> </w:t>
      </w:r>
      <w:r>
        <w:rPr>
          <w:lang w:val="en-US"/>
        </w:rPr>
        <w:t>potential</w:t>
      </w:r>
      <w:r w:rsidRPr="001E2D7F">
        <w:rPr>
          <w:lang w:val="en-US"/>
        </w:rPr>
        <w:t xml:space="preserve"> respiratory sources</w:t>
      </w:r>
      <w:r>
        <w:rPr>
          <w:lang w:val="en-US"/>
        </w:rPr>
        <w:t xml:space="preserve"> as explanatory variables</w:t>
      </w:r>
      <w:r w:rsidRPr="001E2D7F">
        <w:rPr>
          <w:lang w:val="en-US"/>
        </w:rPr>
        <w:t>. GPP measure</w:t>
      </w:r>
      <w:r>
        <w:rPr>
          <w:lang w:val="en-US"/>
        </w:rPr>
        <w:t xml:space="preserve">d </w:t>
      </w:r>
      <w:r w:rsidRPr="001E2D7F">
        <w:rPr>
          <w:lang w:val="en-US"/>
        </w:rPr>
        <w:t xml:space="preserve">the organic carbon produced by photosynthesis, </w:t>
      </w:r>
      <w:r>
        <w:rPr>
          <w:lang w:val="en-US"/>
        </w:rPr>
        <w:t>considered</w:t>
      </w:r>
      <w:r w:rsidRPr="001E2D7F">
        <w:rPr>
          <w:lang w:val="en-US"/>
        </w:rPr>
        <w:t xml:space="preserve"> a major source of phytoplankton respiration (Beardall and Raven 1990)</w:t>
      </w:r>
      <w:r>
        <w:rPr>
          <w:lang w:val="en-US"/>
        </w:rPr>
        <w:t xml:space="preserve">. </w:t>
      </w:r>
      <w:r w:rsidRPr="001E2D7F">
        <w:rPr>
          <w:lang w:val="en-US"/>
        </w:rPr>
        <w:t>DOC</w:t>
      </w:r>
      <w:r>
        <w:rPr>
          <w:lang w:val="en-US"/>
        </w:rPr>
        <w:t xml:space="preserve"> </w:t>
      </w:r>
      <w:r w:rsidRPr="001E2D7F">
        <w:rPr>
          <w:lang w:val="en-US"/>
        </w:rPr>
        <w:t>concentrations measure</w:t>
      </w:r>
      <w:r>
        <w:rPr>
          <w:lang w:val="en-US"/>
        </w:rPr>
        <w:t>d</w:t>
      </w:r>
      <w:r w:rsidRPr="001E2D7F">
        <w:rPr>
          <w:lang w:val="en-US"/>
        </w:rPr>
        <w:t xml:space="preserve"> the resource supply for respiration of heterotrophic microbes</w:t>
      </w:r>
      <w:r>
        <w:rPr>
          <w:lang w:val="en-US"/>
        </w:rPr>
        <w:t xml:space="preserve">, considered to be mainly bacteria. </w:t>
      </w:r>
      <w:r w:rsidRPr="00840257">
        <w:rPr>
          <w:lang w:val="en-US"/>
        </w:rPr>
        <w:t>The phytoplankton net production (PNP) was calculated as the difference between the measured GPP and the phytoplankton community respiration (PCR)</w:t>
      </w:r>
      <w:r>
        <w:rPr>
          <w:lang w:val="en-US"/>
        </w:rPr>
        <w:t xml:space="preserve"> estimated from the multiple regression model</w:t>
      </w:r>
      <w:r w:rsidRPr="00840257">
        <w:rPr>
          <w:lang w:val="en-US"/>
        </w:rPr>
        <w:t>.</w:t>
      </w:r>
      <w:r>
        <w:rPr>
          <w:lang w:val="en-US"/>
        </w:rPr>
        <w:t xml:space="preserve"> Bacterial gross production and net production could not be estimated directly from metabolism measurements. Instead, bacterial</w:t>
      </w:r>
      <w:r w:rsidRPr="00840257">
        <w:rPr>
          <w:lang w:val="en-US"/>
        </w:rPr>
        <w:t xml:space="preserve"> net production </w:t>
      </w:r>
      <w:r>
        <w:rPr>
          <w:lang w:val="en-US"/>
        </w:rPr>
        <w:t xml:space="preserve">rates </w:t>
      </w:r>
      <w:r w:rsidRPr="00840257">
        <w:rPr>
          <w:lang w:val="en-US"/>
        </w:rPr>
        <w:t>(BNP)</w:t>
      </w:r>
      <w:r>
        <w:rPr>
          <w:lang w:val="en-US"/>
        </w:rPr>
        <w:t xml:space="preserve"> </w:t>
      </w:r>
      <w:r w:rsidRPr="00840257">
        <w:rPr>
          <w:lang w:val="en-US"/>
        </w:rPr>
        <w:t xml:space="preserve">were </w:t>
      </w:r>
      <w:r>
        <w:rPr>
          <w:lang w:val="en-US"/>
        </w:rPr>
        <w:t>determined from the</w:t>
      </w:r>
      <w:r w:rsidRPr="00840257">
        <w:rPr>
          <w:lang w:val="en-US"/>
        </w:rPr>
        <w:t xml:space="preserve"> relationship </w:t>
      </w:r>
      <w:r>
        <w:rPr>
          <w:lang w:val="en-US"/>
        </w:rPr>
        <w:t>between bacterial community respiration (BCR),</w:t>
      </w:r>
      <w:r w:rsidRPr="00EC5475">
        <w:rPr>
          <w:lang w:val="en-US"/>
        </w:rPr>
        <w:t xml:space="preserve"> </w:t>
      </w:r>
      <w:r>
        <w:rPr>
          <w:lang w:val="en-US"/>
        </w:rPr>
        <w:t>estimated from the multiple regression model, and ba</w:t>
      </w:r>
      <w:r w:rsidRPr="00840257">
        <w:rPr>
          <w:lang w:val="en-US"/>
        </w:rPr>
        <w:t>cterial growth efficiency</w:t>
      </w:r>
      <w:r>
        <w:rPr>
          <w:lang w:val="en-US"/>
        </w:rPr>
        <w:t xml:space="preserve"> (BGE)</w:t>
      </w:r>
      <w:r w:rsidRPr="00840257">
        <w:rPr>
          <w:lang w:val="en-US"/>
        </w:rPr>
        <w:t>:</w:t>
      </w:r>
    </w:p>
    <w:p w14:paraId="2BE22C80" w14:textId="77777777" w:rsidR="00B10666" w:rsidRPr="00840257" w:rsidRDefault="00B10666" w:rsidP="00B10666">
      <w:pPr>
        <w:pStyle w:val="ListParagraph"/>
        <w:ind w:left="0"/>
        <w:rPr>
          <w:iCs/>
          <w:szCs w:val="21"/>
          <w:lang w:val="en-US"/>
        </w:rPr>
      </w:pPr>
    </w:p>
    <w:p w14:paraId="1ED1F25C" w14:textId="77777777" w:rsidR="00B10666" w:rsidRPr="00840257" w:rsidRDefault="00B10666" w:rsidP="00B10666">
      <w:pPr>
        <w:pStyle w:val="ListParagraph"/>
        <w:ind w:left="0"/>
        <w:rPr>
          <w:iCs/>
          <w:szCs w:val="21"/>
          <w:lang w:val="en-US"/>
        </w:rPr>
      </w:pPr>
      <m:oMathPara>
        <m:oMath>
          <m:r>
            <w:rPr>
              <w:rFonts w:ascii="Cambria Math" w:hAnsi="Cambria Math"/>
              <w:szCs w:val="22"/>
              <w:lang w:val="en-US"/>
            </w:rPr>
            <m:t>BNP=(BGE*BCR)/(1-BGE)                           (3)</m:t>
          </m:r>
        </m:oMath>
      </m:oMathPara>
    </w:p>
    <w:p w14:paraId="774B6E50" w14:textId="77777777" w:rsidR="00B10666" w:rsidRPr="001C3B25" w:rsidRDefault="00B10666" w:rsidP="00B10666">
      <w:pPr>
        <w:pStyle w:val="ListParagraph"/>
        <w:ind w:left="0"/>
        <w:rPr>
          <w:iCs/>
          <w:szCs w:val="21"/>
          <w:highlight w:val="yellow"/>
          <w:lang w:val="en-US"/>
        </w:rPr>
      </w:pPr>
    </w:p>
    <w:p w14:paraId="23D3EA6D" w14:textId="0EE467CE" w:rsidR="00B10666" w:rsidRDefault="00B10666" w:rsidP="00B10666">
      <w:pPr>
        <w:rPr>
          <w:lang w:val="en-US"/>
        </w:rPr>
      </w:pPr>
      <w:r w:rsidRPr="00840257">
        <w:rPr>
          <w:lang w:val="en-US"/>
        </w:rPr>
        <w:t>The BGE is influenced by a range of environmental conditions</w:t>
      </w:r>
      <w:r>
        <w:rPr>
          <w:lang w:val="en-US"/>
        </w:rPr>
        <w:t>,</w:t>
      </w:r>
      <w:r w:rsidRPr="00840257">
        <w:rPr>
          <w:lang w:val="en-US"/>
        </w:rPr>
        <w:t xml:space="preserve"> including the chemical composition of </w:t>
      </w:r>
      <w:r w:rsidRPr="00DE5456">
        <w:rPr>
          <w:lang w:val="en-US"/>
        </w:rPr>
        <w:t>DOC</w:t>
      </w:r>
      <w:r>
        <w:rPr>
          <w:lang w:val="en-US"/>
        </w:rPr>
        <w:t>,</w:t>
      </w:r>
      <w:r w:rsidRPr="00B82052">
        <w:rPr>
          <w:lang w:val="en-US"/>
        </w:rPr>
        <w:t xml:space="preserve"> and ranges from 0.05 to 0.4 (Rivkin and Legendre 2001; </w:t>
      </w:r>
      <w:r w:rsidR="008F4451" w:rsidRPr="00B82052">
        <w:rPr>
          <w:lang w:val="en-US"/>
        </w:rPr>
        <w:t>Marra</w:t>
      </w:r>
      <w:r w:rsidR="008F4451">
        <w:rPr>
          <w:lang w:val="en-US"/>
        </w:rPr>
        <w:t xml:space="preserve"> and Barber</w:t>
      </w:r>
      <w:r w:rsidR="008F4451" w:rsidRPr="00B82052">
        <w:rPr>
          <w:lang w:val="en-US"/>
        </w:rPr>
        <w:t xml:space="preserve"> 2004</w:t>
      </w:r>
      <w:r w:rsidR="008F4451">
        <w:rPr>
          <w:lang w:val="en-US"/>
        </w:rPr>
        <w:t xml:space="preserve">; </w:t>
      </w:r>
      <w:r w:rsidRPr="00B82052">
        <w:rPr>
          <w:lang w:val="en-US"/>
        </w:rPr>
        <w:t>Berggren and del Giorgio 2015)</w:t>
      </w:r>
      <w:r w:rsidRPr="00840257">
        <w:rPr>
          <w:lang w:val="en-US"/>
        </w:rPr>
        <w:t xml:space="preserve">. </w:t>
      </w:r>
      <w:r>
        <w:rPr>
          <w:lang w:val="en-US"/>
        </w:rPr>
        <w:t>A</w:t>
      </w:r>
      <w:r w:rsidRPr="00840257">
        <w:rPr>
          <w:lang w:val="en-US"/>
        </w:rPr>
        <w:t xml:space="preserve">n average value of 0.2 was considered </w:t>
      </w:r>
      <w:r>
        <w:rPr>
          <w:lang w:val="en-US"/>
        </w:rPr>
        <w:lastRenderedPageBreak/>
        <w:t>appropriate</w:t>
      </w:r>
      <w:r w:rsidRPr="00840257">
        <w:rPr>
          <w:lang w:val="en-US"/>
        </w:rPr>
        <w:t xml:space="preserve"> for the Murray River </w:t>
      </w:r>
      <w:r>
        <w:rPr>
          <w:lang w:val="en-US"/>
        </w:rPr>
        <w:t xml:space="preserve">from its </w:t>
      </w:r>
      <w:r w:rsidRPr="00840257">
        <w:rPr>
          <w:lang w:val="en-US"/>
        </w:rPr>
        <w:t xml:space="preserve">typical temperature and water quality </w:t>
      </w:r>
      <w:r>
        <w:rPr>
          <w:lang w:val="en-US"/>
        </w:rPr>
        <w:t>characteristics</w:t>
      </w:r>
      <w:r w:rsidRPr="00840257">
        <w:rPr>
          <w:lang w:val="en-US"/>
        </w:rPr>
        <w:t xml:space="preserve"> (Rivkin and Legendre 2001</w:t>
      </w:r>
      <w:r>
        <w:rPr>
          <w:lang w:val="en-US"/>
        </w:rPr>
        <w:t xml:space="preserve">; </w:t>
      </w:r>
      <w:r w:rsidRPr="00840257">
        <w:rPr>
          <w:lang w:val="en-US"/>
        </w:rPr>
        <w:t>Marra and Barber 2004; Berggren and del Giorgio 2015)</w:t>
      </w:r>
      <w:r>
        <w:rPr>
          <w:lang w:val="en-US"/>
        </w:rPr>
        <w:t>.</w:t>
      </w:r>
    </w:p>
    <w:p w14:paraId="13D518B7" w14:textId="77777777" w:rsidR="00B10666" w:rsidRDefault="00B10666" w:rsidP="00B10666">
      <w:pPr>
        <w:rPr>
          <w:i/>
          <w:u w:val="single"/>
        </w:rPr>
      </w:pPr>
      <w:r w:rsidRPr="00492C6E">
        <w:rPr>
          <w:i/>
          <w:u w:val="single"/>
        </w:rPr>
        <w:t>Data selection</w:t>
      </w:r>
    </w:p>
    <w:p w14:paraId="39838DE5" w14:textId="34551A4F" w:rsidR="00B10666" w:rsidRDefault="00B10666" w:rsidP="00B10666">
      <w:r w:rsidRPr="00AE1F3C">
        <w:t xml:space="preserve">Rivers are complex environments with </w:t>
      </w:r>
      <w:r>
        <w:t>a multitude of</w:t>
      </w:r>
      <w:r w:rsidRPr="00AE1F3C">
        <w:t xml:space="preserve"> interactions influencing the DO</w:t>
      </w:r>
      <w:r>
        <w:t>.</w:t>
      </w:r>
      <w:r w:rsidRPr="00AE1F3C">
        <w:t xml:space="preserve"> </w:t>
      </w:r>
      <w:r>
        <w:t>Many</w:t>
      </w:r>
      <w:r w:rsidRPr="00AE1F3C">
        <w:t xml:space="preserve"> of </w:t>
      </w:r>
      <w:r>
        <w:t>these ar</w:t>
      </w:r>
      <w:r w:rsidRPr="00AE1F3C">
        <w:t xml:space="preserve">e not captured in Equation 1, and it did not always reliably model the observed diel changes in DO, at times yielding regression coefficients of the wrong sign (±) and of unlikely magnitude. Analyses of metabolic rates were restricted to days when modelled daily DO fluctuations closely matched the observed </w:t>
      </w:r>
      <w:r>
        <w:t>data</w:t>
      </w:r>
      <w:r w:rsidRPr="00AE1F3C">
        <w:t>.</w:t>
      </w:r>
    </w:p>
    <w:p w14:paraId="6B403C34" w14:textId="77777777" w:rsidR="0040128C" w:rsidRPr="00AE1F3C" w:rsidRDefault="0040128C" w:rsidP="00B10666"/>
    <w:p w14:paraId="06E74FF4" w14:textId="77777777" w:rsidR="00B10666" w:rsidRPr="00E35C12" w:rsidRDefault="00B10666" w:rsidP="00B10666">
      <w:pPr>
        <w:pStyle w:val="Heading3"/>
      </w:pPr>
      <w:r w:rsidRPr="00C53DC5">
        <w:t>Results</w:t>
      </w:r>
    </w:p>
    <w:p w14:paraId="72F2FB3C" w14:textId="77777777" w:rsidR="00B10666" w:rsidRDefault="00B10666" w:rsidP="00B10666">
      <w:pPr>
        <w:pStyle w:val="ListParagraph"/>
        <w:ind w:left="0"/>
        <w:rPr>
          <w:i/>
          <w:u w:val="single"/>
        </w:rPr>
      </w:pPr>
      <w:r>
        <w:rPr>
          <w:i/>
          <w:u w:val="single"/>
        </w:rPr>
        <w:t xml:space="preserve">Monitoring conditions </w:t>
      </w:r>
    </w:p>
    <w:p w14:paraId="6E9D2474" w14:textId="37DB696B" w:rsidR="00B10666" w:rsidRDefault="00B10666" w:rsidP="00B10666">
      <w:pPr>
        <w:rPr>
          <w:lang w:val="en-US"/>
        </w:rPr>
      </w:pPr>
      <w:r>
        <w:t>F</w:t>
      </w:r>
      <w:r w:rsidRPr="00E52235">
        <w:t>low</w:t>
      </w:r>
      <w:r>
        <w:t xml:space="preserve">s </w:t>
      </w:r>
      <w:r w:rsidRPr="00E52235">
        <w:t xml:space="preserve">differed </w:t>
      </w:r>
      <w:r>
        <w:t>between years</w:t>
      </w:r>
      <w:r w:rsidRPr="00E52235">
        <w:t>, with peak</w:t>
      </w:r>
      <w:r>
        <w:t>s</w:t>
      </w:r>
      <w:r w:rsidRPr="00E52235">
        <w:t xml:space="preserve"> occurring in different months depending on water supply requirements and </w:t>
      </w:r>
      <w:r>
        <w:t xml:space="preserve">at times </w:t>
      </w:r>
      <w:r w:rsidRPr="00E52235">
        <w:t xml:space="preserve">occurrences of high </w:t>
      </w:r>
      <w:r>
        <w:t>unregulated</w:t>
      </w:r>
      <w:r w:rsidRPr="00E52235">
        <w:t xml:space="preserve"> flows (</w:t>
      </w:r>
      <w:r>
        <w:fldChar w:fldCharType="begin"/>
      </w:r>
      <w:r>
        <w:instrText xml:space="preserve"> REF _Ref192851872 \h </w:instrText>
      </w:r>
      <w:r>
        <w:fldChar w:fldCharType="separate"/>
      </w:r>
      <w:r w:rsidR="00102828" w:rsidRPr="00741669">
        <w:t xml:space="preserve">Figure </w:t>
      </w:r>
      <w:r w:rsidR="00102828">
        <w:rPr>
          <w:noProof/>
        </w:rPr>
        <w:t>15</w:t>
      </w:r>
      <w:r>
        <w:fldChar w:fldCharType="end"/>
      </w:r>
      <w:r w:rsidRPr="00E52235">
        <w:t xml:space="preserve">). </w:t>
      </w:r>
      <w:r w:rsidR="006E5AFC">
        <w:t xml:space="preserve">Within seasons, flow volumes were similar across the three sites and were predominantly below 15,000 ML/d, apart from the flood years of 2016-17 and 2022-23, and the high flow years of 2021-22 and 2023-24. </w:t>
      </w:r>
      <w:r w:rsidR="004924D6">
        <w:t>Sometimes,</w:t>
      </w:r>
      <w:r w:rsidR="006E5AFC">
        <w:t xml:space="preserve"> flows below Lock 6 were lower than at other sites, especially during high flow periods, when larger volumes entered the Chowilla anabranch, returning to the river downstream of the monitoring site below Lock 6.</w:t>
      </w:r>
      <w:r w:rsidR="006E5AFC" w:rsidRPr="198FE2E8">
        <w:rPr>
          <w:lang w:val="en-US"/>
        </w:rPr>
        <w:t xml:space="preserve"> The peak flow of 185,860 ML/d in 2022-23 was the highest measured since the maximum recorded flows of 1956, and the ten-year monitoring period captured the range of historical flows.</w:t>
      </w:r>
    </w:p>
    <w:p w14:paraId="311D9A49" w14:textId="6170E206" w:rsidR="00B10666" w:rsidRDefault="00651FCC" w:rsidP="00B10666">
      <w:pPr>
        <w:jc w:val="center"/>
        <w:rPr>
          <w:lang w:val="en-US"/>
        </w:rPr>
      </w:pPr>
      <w:r>
        <w:rPr>
          <w:noProof/>
          <w:lang w:val="en-US"/>
        </w:rPr>
        <w:drawing>
          <wp:inline distT="0" distB="0" distL="0" distR="0" wp14:anchorId="35FD1246" wp14:editId="16DA2320">
            <wp:extent cx="5664993" cy="2847975"/>
            <wp:effectExtent l="0" t="0" r="0" b="0"/>
            <wp:docPr id="736544556" name="Picture 1" descr="A graph showing discharge below multiple locks in the Lower Murray River from 2014 to 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544556" name="Picture 1" descr="A graph showing discharge below multiple locks in the Lower Murray River from 2014 to 2024. "/>
                    <pic:cNvPicPr/>
                  </pic:nvPicPr>
                  <pic:blipFill rotWithShape="1">
                    <a:blip r:embed="rId76" cstate="print">
                      <a:extLst>
                        <a:ext uri="{28A0092B-C50C-407E-A947-70E740481C1C}">
                          <a14:useLocalDpi xmlns:a14="http://schemas.microsoft.com/office/drawing/2010/main" val="0"/>
                        </a:ext>
                      </a:extLst>
                    </a:blip>
                    <a:srcRect r="1592" b="4055"/>
                    <a:stretch/>
                  </pic:blipFill>
                  <pic:spPr bwMode="auto">
                    <a:xfrm>
                      <a:off x="0" y="0"/>
                      <a:ext cx="5671051" cy="2851021"/>
                    </a:xfrm>
                    <a:prstGeom prst="rect">
                      <a:avLst/>
                    </a:prstGeom>
                    <a:ln>
                      <a:noFill/>
                    </a:ln>
                    <a:extLst>
                      <a:ext uri="{53640926-AAD7-44D8-BBD7-CCE9431645EC}">
                        <a14:shadowObscured xmlns:a14="http://schemas.microsoft.com/office/drawing/2010/main"/>
                      </a:ext>
                    </a:extLst>
                  </pic:spPr>
                </pic:pic>
              </a:graphicData>
            </a:graphic>
          </wp:inline>
        </w:drawing>
      </w:r>
    </w:p>
    <w:p w14:paraId="57B4AF3F" w14:textId="3BFD57E3" w:rsidR="00B10666" w:rsidRPr="004E4D50" w:rsidRDefault="00B10666" w:rsidP="00605FB2">
      <w:pPr>
        <w:pStyle w:val="Captions"/>
      </w:pPr>
      <w:bookmarkStart w:id="164" w:name="_Ref192851872"/>
      <w:bookmarkStart w:id="165" w:name="_Toc200464466"/>
      <w:r w:rsidRPr="00741669">
        <w:t xml:space="preserve">Figure </w:t>
      </w:r>
      <w:r w:rsidR="00967BB2">
        <w:fldChar w:fldCharType="begin"/>
      </w:r>
      <w:r w:rsidR="00967BB2">
        <w:instrText xml:space="preserve"> SEQ Figure \* ARABIC </w:instrText>
      </w:r>
      <w:r w:rsidR="00967BB2">
        <w:fldChar w:fldCharType="separate"/>
      </w:r>
      <w:r w:rsidR="00102828">
        <w:rPr>
          <w:noProof/>
        </w:rPr>
        <w:t>15</w:t>
      </w:r>
      <w:r w:rsidR="00967BB2">
        <w:rPr>
          <w:noProof/>
        </w:rPr>
        <w:fldChar w:fldCharType="end"/>
      </w:r>
      <w:bookmarkEnd w:id="164"/>
      <w:r w:rsidRPr="00741669">
        <w:t xml:space="preserve">. </w:t>
      </w:r>
      <w:r>
        <w:t>Water discharge at sites below Lock 6 (</w:t>
      </w:r>
      <w:r w:rsidRPr="005C15EB">
        <w:rPr>
          <w:color w:val="4472C4" w:themeColor="accent5"/>
        </w:rPr>
        <w:t>●</w:t>
      </w:r>
      <w:r>
        <w:t>), Lock 4 (</w:t>
      </w:r>
      <w:r w:rsidRPr="00E50BCF">
        <w:rPr>
          <w:color w:val="A5A5A5" w:themeColor="accent3"/>
        </w:rPr>
        <w:t>●</w:t>
      </w:r>
      <w:r>
        <w:t>) and Lock 1 (</w:t>
      </w:r>
      <w:r w:rsidRPr="00E50BCF">
        <w:rPr>
          <w:color w:val="ED7D31" w:themeColor="accent2"/>
        </w:rPr>
        <w:t>●</w:t>
      </w:r>
      <w:r>
        <w:t xml:space="preserve">) for each monitoring period from 2014 to 2024. Peak discharge in 2022-23 </w:t>
      </w:r>
      <w:r w:rsidR="006E5AFC">
        <w:t>was 186</w:t>
      </w:r>
      <w:r w:rsidR="00DF156A">
        <w:t>,000</w:t>
      </w:r>
      <w:r w:rsidR="006E5AFC">
        <w:t xml:space="preserve"> </w:t>
      </w:r>
      <w:r w:rsidR="00167193">
        <w:t>ML/d</w:t>
      </w:r>
      <w:r w:rsidR="006E5AFC">
        <w:t xml:space="preserve"> at Lock 4 and Lock 1.</w:t>
      </w:r>
      <w:bookmarkEnd w:id="165"/>
    </w:p>
    <w:p w14:paraId="144DFA3F" w14:textId="5609737B" w:rsidR="00B10666" w:rsidRDefault="00B10666" w:rsidP="00B10666">
      <w:r>
        <w:t>Apart from the flood and high flow years, c</w:t>
      </w:r>
      <w:r w:rsidRPr="00E52235">
        <w:t xml:space="preserve">ross-sectional areas and average depths remained relatively stable </w:t>
      </w:r>
      <w:r>
        <w:t xml:space="preserve">at each monitoring site due to low flows and </w:t>
      </w:r>
      <w:r w:rsidRPr="00E52235">
        <w:t>the regulating weirs (</w:t>
      </w:r>
      <w:r>
        <w:fldChar w:fldCharType="begin"/>
      </w:r>
      <w:r>
        <w:instrText xml:space="preserve"> REF _Ref192851998 \h </w:instrText>
      </w:r>
      <w:r>
        <w:fldChar w:fldCharType="separate"/>
      </w:r>
      <w:r w:rsidR="00102828">
        <w:t xml:space="preserve">Figure </w:t>
      </w:r>
      <w:r w:rsidR="00102828">
        <w:rPr>
          <w:noProof/>
        </w:rPr>
        <w:t>16</w:t>
      </w:r>
      <w:r>
        <w:fldChar w:fldCharType="end"/>
      </w:r>
      <w:r w:rsidRPr="00E52235">
        <w:t xml:space="preserve">). </w:t>
      </w:r>
      <w:r>
        <w:t>T</w:t>
      </w:r>
      <w:r w:rsidRPr="00E52235">
        <w:t>here were marked differences</w:t>
      </w:r>
      <w:r>
        <w:t xml:space="preserve"> between sites</w:t>
      </w:r>
      <w:r w:rsidRPr="00E52235">
        <w:t xml:space="preserve">, with water depths and </w:t>
      </w:r>
      <w:r w:rsidRPr="00E52235">
        <w:lastRenderedPageBreak/>
        <w:t xml:space="preserve">cross-sectional areas </w:t>
      </w:r>
      <w:r w:rsidR="00F058A8">
        <w:t>~</w:t>
      </w:r>
      <w:r w:rsidRPr="00E52235">
        <w:t xml:space="preserve">1.5 times larger </w:t>
      </w:r>
      <w:r>
        <w:t>below Lock 1</w:t>
      </w:r>
      <w:r w:rsidRPr="00E52235">
        <w:t xml:space="preserve"> than</w:t>
      </w:r>
      <w:r>
        <w:t xml:space="preserve"> Lock </w:t>
      </w:r>
      <w:r w:rsidRPr="00E52235">
        <w:t xml:space="preserve">6, while the </w:t>
      </w:r>
      <w:r>
        <w:t xml:space="preserve">site below Lock </w:t>
      </w:r>
      <w:r w:rsidRPr="00E52235">
        <w:t>4</w:t>
      </w:r>
      <w:r>
        <w:t>,</w:t>
      </w:r>
      <w:r w:rsidRPr="00E52235">
        <w:t xml:space="preserve"> </w:t>
      </w:r>
      <w:r>
        <w:t>added in 2019-20, s</w:t>
      </w:r>
      <w:r w:rsidRPr="00E52235">
        <w:t>panned the other two sites</w:t>
      </w:r>
      <w:r>
        <w:t xml:space="preserve"> during low flows but was comparable with Lock 1 during high flows </w:t>
      </w:r>
      <w:r w:rsidRPr="00E52235">
        <w:t>(</w:t>
      </w:r>
      <w:r>
        <w:fldChar w:fldCharType="begin"/>
      </w:r>
      <w:r>
        <w:instrText xml:space="preserve"> REF _Ref192851998 \h </w:instrText>
      </w:r>
      <w:r>
        <w:fldChar w:fldCharType="separate"/>
      </w:r>
      <w:r w:rsidR="00102828">
        <w:t xml:space="preserve">Figure </w:t>
      </w:r>
      <w:r w:rsidR="00102828">
        <w:rPr>
          <w:noProof/>
        </w:rPr>
        <w:t>16</w:t>
      </w:r>
      <w:r>
        <w:fldChar w:fldCharType="end"/>
      </w:r>
      <w:r w:rsidRPr="00E52235">
        <w:t>)</w:t>
      </w:r>
      <w:r>
        <w:t>. Morphometric differences between sites created a range of hydrological and hydraulic conditions to assess patterns of metabolic responses to changing flows.</w:t>
      </w:r>
    </w:p>
    <w:p w14:paraId="4437E03C" w14:textId="77777777" w:rsidR="00B10666" w:rsidRDefault="00B10666" w:rsidP="00B10666">
      <w:pPr>
        <w:jc w:val="center"/>
      </w:pPr>
      <w:r w:rsidRPr="00247547">
        <w:rPr>
          <w:noProof/>
        </w:rPr>
        <w:drawing>
          <wp:inline distT="0" distB="0" distL="0" distR="0" wp14:anchorId="669F4B40" wp14:editId="43C971B7">
            <wp:extent cx="5639289" cy="5322269"/>
            <wp:effectExtent l="0" t="0" r="0" b="0"/>
            <wp:docPr id="1967444550" name="Picture 2" descr="Graphs showing average depth and average cross-sectional area downstream of Locks 6,4, and 1.">
              <a:extLst xmlns:a="http://schemas.openxmlformats.org/drawingml/2006/main">
                <a:ext uri="{FF2B5EF4-FFF2-40B4-BE49-F238E27FC236}">
                  <a16:creationId xmlns:a16="http://schemas.microsoft.com/office/drawing/2014/main" id="{685E0B42-A545-592C-9310-9C746C6CBD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44550" name="Picture 2" descr="Graphs showing average depth and average cross-sectional area downstream of Locks 6,4, and 1.">
                      <a:extLst>
                        <a:ext uri="{FF2B5EF4-FFF2-40B4-BE49-F238E27FC236}">
                          <a16:creationId xmlns:a16="http://schemas.microsoft.com/office/drawing/2014/main" id="{685E0B42-A545-592C-9310-9C746C6CBD3C}"/>
                        </a:ext>
                      </a:extLst>
                    </pic:cNvPr>
                    <pic:cNvPicPr>
                      <a:picLocks noChangeAspect="1"/>
                    </pic:cNvPicPr>
                  </pic:nvPicPr>
                  <pic:blipFill>
                    <a:blip r:embed="rId77"/>
                    <a:stretch>
                      <a:fillRect/>
                    </a:stretch>
                  </pic:blipFill>
                  <pic:spPr>
                    <a:xfrm>
                      <a:off x="0" y="0"/>
                      <a:ext cx="5639289" cy="5322269"/>
                    </a:xfrm>
                    <a:prstGeom prst="rect">
                      <a:avLst/>
                    </a:prstGeom>
                  </pic:spPr>
                </pic:pic>
              </a:graphicData>
            </a:graphic>
          </wp:inline>
        </w:drawing>
      </w:r>
    </w:p>
    <w:p w14:paraId="2EA2298D" w14:textId="738624FD" w:rsidR="00B10666" w:rsidRDefault="00B10666" w:rsidP="00B10666">
      <w:pPr>
        <w:pStyle w:val="Caption"/>
        <w:rPr>
          <w:rFonts w:eastAsia="MS Mincho" w:cs="Arial"/>
          <w:kern w:val="0"/>
          <w:lang w:val="en-US"/>
        </w:rPr>
      </w:pPr>
      <w:bookmarkStart w:id="166" w:name="_Ref192851998"/>
      <w:bookmarkStart w:id="167" w:name="_Toc200464467"/>
      <w:r>
        <w:t xml:space="preserve">Figure </w:t>
      </w:r>
      <w:r>
        <w:fldChar w:fldCharType="begin"/>
      </w:r>
      <w:r>
        <w:instrText>SEQ Figure \* ARABIC</w:instrText>
      </w:r>
      <w:r>
        <w:fldChar w:fldCharType="separate"/>
      </w:r>
      <w:r w:rsidR="00102828">
        <w:rPr>
          <w:noProof/>
        </w:rPr>
        <w:t>16</w:t>
      </w:r>
      <w:r>
        <w:fldChar w:fldCharType="end"/>
      </w:r>
      <w:bookmarkEnd w:id="166"/>
      <w:r>
        <w:t xml:space="preserve">. </w:t>
      </w:r>
      <w:r>
        <w:rPr>
          <w:rFonts w:eastAsia="MS Mincho" w:cs="Arial"/>
          <w:kern w:val="0"/>
          <w:lang w:val="en-US"/>
        </w:rPr>
        <w:t xml:space="preserve"> Average depth and average cross-sectional area </w:t>
      </w:r>
      <w:r w:rsidRPr="002A5C9A">
        <w:rPr>
          <w:rFonts w:eastAsia="MS Mincho" w:cs="Arial"/>
          <w:kern w:val="0"/>
          <w:lang w:val="en-US"/>
        </w:rPr>
        <w:t xml:space="preserve">downstream </w:t>
      </w:r>
      <w:r w:rsidRPr="006004C2">
        <w:rPr>
          <w:rFonts w:eastAsia="MS Mincho" w:cs="Arial"/>
          <w:kern w:val="0"/>
          <w:lang w:val="en-US"/>
        </w:rPr>
        <w:t>Lock 6 (</w:t>
      </w:r>
      <w:r w:rsidRPr="005C15EB">
        <w:rPr>
          <w:color w:val="4472C4" w:themeColor="accent5"/>
        </w:rPr>
        <w:t>●</w:t>
      </w:r>
      <w:r w:rsidRPr="006004C2">
        <w:rPr>
          <w:rFonts w:eastAsia="MS Mincho" w:cs="Arial"/>
          <w:kern w:val="0"/>
          <w:lang w:val="en-US"/>
        </w:rPr>
        <w:t>), Lock 4 (</w:t>
      </w:r>
      <w:r w:rsidRPr="00E50BCF">
        <w:rPr>
          <w:color w:val="A5A5A5" w:themeColor="accent3"/>
        </w:rPr>
        <w:t>●</w:t>
      </w:r>
      <w:r w:rsidRPr="006004C2">
        <w:rPr>
          <w:rFonts w:eastAsia="MS Mincho" w:cs="Arial"/>
          <w:kern w:val="0"/>
          <w:lang w:val="en-US"/>
        </w:rPr>
        <w:t>) and Lock 1 (</w:t>
      </w:r>
      <w:r w:rsidRPr="00E50BCF">
        <w:rPr>
          <w:color w:val="ED7D31" w:themeColor="accent2"/>
        </w:rPr>
        <w:t>●</w:t>
      </w:r>
      <w:r w:rsidRPr="006004C2">
        <w:rPr>
          <w:rFonts w:eastAsia="MS Mincho" w:cs="Arial"/>
          <w:kern w:val="0"/>
          <w:lang w:val="en-US"/>
        </w:rPr>
        <w:t xml:space="preserve">) </w:t>
      </w:r>
      <w:r w:rsidRPr="002A5C9A">
        <w:rPr>
          <w:rFonts w:eastAsia="MS Mincho" w:cs="Arial"/>
          <w:kern w:val="0"/>
          <w:lang w:val="en-US"/>
        </w:rPr>
        <w:t>for each monitoring period from 2014 to 2024</w:t>
      </w:r>
      <w:r>
        <w:rPr>
          <w:rFonts w:eastAsia="MS Mincho" w:cs="Arial"/>
          <w:kern w:val="0"/>
          <w:lang w:val="en-US"/>
        </w:rPr>
        <w:t>.</w:t>
      </w:r>
      <w:bookmarkEnd w:id="167"/>
    </w:p>
    <w:p w14:paraId="1E20D234" w14:textId="77777777" w:rsidR="00B10666" w:rsidRPr="00E52235" w:rsidRDefault="00B10666" w:rsidP="00B10666"/>
    <w:p w14:paraId="6C2CCF68" w14:textId="0A4BF322" w:rsidR="00B10666" w:rsidRDefault="00B10666" w:rsidP="00B10666">
      <w:r>
        <w:t>Within year changes</w:t>
      </w:r>
      <w:r w:rsidRPr="00E52235">
        <w:t xml:space="preserve"> in incident irradiance and water temperature </w:t>
      </w:r>
      <w:r w:rsidRPr="004B4D74">
        <w:t>were similar across sites</w:t>
      </w:r>
      <w:r>
        <w:t>, and inter</w:t>
      </w:r>
      <w:r w:rsidRPr="00E52235">
        <w:t xml:space="preserve">annual </w:t>
      </w:r>
      <w:r w:rsidRPr="00FE3430">
        <w:t>differences</w:t>
      </w:r>
      <w:r>
        <w:t xml:space="preserve"> were relatively small, the typical pattern demonstrated with data from below Lock 6 </w:t>
      </w:r>
      <w:r w:rsidRPr="004B4D74">
        <w:t>(</w:t>
      </w:r>
      <w:r>
        <w:fldChar w:fldCharType="begin"/>
      </w:r>
      <w:r>
        <w:instrText xml:space="preserve"> REF _Ref192852283 \h </w:instrText>
      </w:r>
      <w:r>
        <w:fldChar w:fldCharType="separate"/>
      </w:r>
      <w:r w:rsidR="00102828">
        <w:t xml:space="preserve">Figure </w:t>
      </w:r>
      <w:r w:rsidR="00102828">
        <w:rPr>
          <w:noProof/>
        </w:rPr>
        <w:t>17</w:t>
      </w:r>
      <w:r>
        <w:fldChar w:fldCharType="end"/>
      </w:r>
      <w:r w:rsidRPr="004B4D74">
        <w:t>)</w:t>
      </w:r>
      <w:r w:rsidRPr="00E52235">
        <w:t>. Water temperatures increased over the monitoring periods by 10 to 15</w:t>
      </w:r>
      <w:r w:rsidRPr="00E52235">
        <w:rPr>
          <w:vertAlign w:val="superscript"/>
        </w:rPr>
        <w:t>0</w:t>
      </w:r>
      <w:r w:rsidRPr="00E52235">
        <w:t>C with maxima near 28</w:t>
      </w:r>
      <w:r>
        <w:rPr>
          <w:vertAlign w:val="superscript"/>
        </w:rPr>
        <w:t>0</w:t>
      </w:r>
      <w:r w:rsidRPr="00E52235">
        <w:t>C</w:t>
      </w:r>
      <w:r>
        <w:t xml:space="preserve"> </w:t>
      </w:r>
      <w:r w:rsidRPr="004B4D74">
        <w:t>(</w:t>
      </w:r>
      <w:r>
        <w:fldChar w:fldCharType="begin"/>
      </w:r>
      <w:r>
        <w:instrText xml:space="preserve"> REF _Ref192852283 \h </w:instrText>
      </w:r>
      <w:r>
        <w:fldChar w:fldCharType="separate"/>
      </w:r>
      <w:r w:rsidR="00102828">
        <w:t xml:space="preserve">Figure </w:t>
      </w:r>
      <w:r w:rsidR="00102828">
        <w:rPr>
          <w:noProof/>
        </w:rPr>
        <w:t>17</w:t>
      </w:r>
      <w:r>
        <w:fldChar w:fldCharType="end"/>
      </w:r>
      <w:r w:rsidRPr="004B4D74">
        <w:t>)</w:t>
      </w:r>
      <w:r w:rsidRPr="00E52235">
        <w:t>.</w:t>
      </w:r>
    </w:p>
    <w:p w14:paraId="0E1DC3AB" w14:textId="77777777" w:rsidR="00B10666" w:rsidRDefault="00B10666" w:rsidP="00B10666"/>
    <w:p w14:paraId="26E82667" w14:textId="45746726" w:rsidR="00B10666" w:rsidRDefault="00DF156A" w:rsidP="00B10666">
      <w:pPr>
        <w:jc w:val="center"/>
      </w:pPr>
      <w:r w:rsidRPr="00DF156A">
        <w:rPr>
          <w:noProof/>
        </w:rPr>
        <w:lastRenderedPageBreak/>
        <w:drawing>
          <wp:inline distT="0" distB="0" distL="0" distR="0" wp14:anchorId="2CF6015D" wp14:editId="1D762B9E">
            <wp:extent cx="5396400" cy="2819619"/>
            <wp:effectExtent l="0" t="0" r="0" b="0"/>
            <wp:docPr id="375649275" name="Picture 3" descr="Graph showing incident PAR dose, mean PAR irradiance in the water column and average water temperature below Loc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49275" name="Picture 3" descr="Graph showing incident PAR dose, mean PAR irradiance in the water column and average water temperature below Lock 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396400" cy="2819619"/>
                    </a:xfrm>
                    <a:prstGeom prst="rect">
                      <a:avLst/>
                    </a:prstGeom>
                    <a:noFill/>
                    <a:ln>
                      <a:noFill/>
                    </a:ln>
                  </pic:spPr>
                </pic:pic>
              </a:graphicData>
            </a:graphic>
          </wp:inline>
        </w:drawing>
      </w:r>
    </w:p>
    <w:p w14:paraId="3316087F" w14:textId="0BE25DAA" w:rsidR="00B10666" w:rsidRPr="00F963E4" w:rsidRDefault="00B10666" w:rsidP="00B10666">
      <w:pPr>
        <w:pStyle w:val="Caption"/>
        <w:rPr>
          <w:rFonts w:eastAsia="MS Mincho" w:cs="Arial"/>
          <w:kern w:val="0"/>
          <w:lang w:val="en-US"/>
        </w:rPr>
      </w:pPr>
      <w:bookmarkStart w:id="168" w:name="_Ref192852283"/>
      <w:bookmarkStart w:id="169" w:name="_Toc200464468"/>
      <w:r>
        <w:t xml:space="preserve">Figure </w:t>
      </w:r>
      <w:r>
        <w:fldChar w:fldCharType="begin"/>
      </w:r>
      <w:r>
        <w:instrText>SEQ Figure \* ARABIC</w:instrText>
      </w:r>
      <w:r>
        <w:fldChar w:fldCharType="separate"/>
      </w:r>
      <w:r w:rsidR="00102828">
        <w:rPr>
          <w:noProof/>
        </w:rPr>
        <w:t>17</w:t>
      </w:r>
      <w:r>
        <w:fldChar w:fldCharType="end"/>
      </w:r>
      <w:bookmarkEnd w:id="168"/>
      <w:r>
        <w:t xml:space="preserve">. </w:t>
      </w:r>
      <w:r>
        <w:rPr>
          <w:rFonts w:eastAsia="MS Mincho" w:cs="Arial"/>
          <w:kern w:val="0"/>
          <w:lang w:val="en-US"/>
        </w:rPr>
        <w:t>Incident PAR dose (</w:t>
      </w:r>
      <w:r w:rsidRPr="002A5C9A">
        <w:rPr>
          <w:color w:val="A6A6A6" w:themeColor="background1" w:themeShade="A6"/>
        </w:rPr>
        <w:t>●</w:t>
      </w:r>
      <w:r>
        <w:rPr>
          <w:rFonts w:eastAsia="MS Mincho" w:cs="Arial"/>
          <w:kern w:val="0"/>
          <w:lang w:val="en-US"/>
        </w:rPr>
        <w:t>), mean PAR irradiance in the water column (</w:t>
      </w:r>
      <w:r w:rsidRPr="00F963E4">
        <w:rPr>
          <w:color w:val="4472C4" w:themeColor="accent5"/>
        </w:rPr>
        <w:t>●</w:t>
      </w:r>
      <w:r>
        <w:rPr>
          <w:rFonts w:eastAsia="MS Mincho" w:cs="Arial"/>
          <w:kern w:val="0"/>
          <w:lang w:val="en-US"/>
        </w:rPr>
        <w:t>) and average water temperature (</w:t>
      </w:r>
      <w:r w:rsidRPr="002A5C9A">
        <w:rPr>
          <w:color w:val="ED7D31" w:themeColor="accent2"/>
        </w:rPr>
        <w:t>●</w:t>
      </w:r>
      <w:r>
        <w:rPr>
          <w:color w:val="4472C4" w:themeColor="accent5"/>
        </w:rPr>
        <w:t xml:space="preserve">) </w:t>
      </w:r>
      <w:r>
        <w:rPr>
          <w:rFonts w:eastAsia="MS Mincho" w:cs="Arial"/>
          <w:kern w:val="0"/>
          <w:lang w:val="en-US"/>
        </w:rPr>
        <w:t>below Lock 6, representative of all sites, for each monitoring period from 2014 to 2024.</w:t>
      </w:r>
      <w:bookmarkEnd w:id="169"/>
    </w:p>
    <w:p w14:paraId="6F50CA1F" w14:textId="77777777" w:rsidR="00B10666" w:rsidRPr="00E52235" w:rsidRDefault="00B10666" w:rsidP="00B10666"/>
    <w:p w14:paraId="09670D3D" w14:textId="77777777" w:rsidR="00B10666" w:rsidRDefault="00B10666" w:rsidP="00B10666">
      <w:pPr>
        <w:pStyle w:val="ListParagraph"/>
        <w:ind w:left="0"/>
        <w:rPr>
          <w:i/>
          <w:u w:val="single"/>
        </w:rPr>
      </w:pPr>
      <w:r>
        <w:rPr>
          <w:i/>
          <w:u w:val="single"/>
        </w:rPr>
        <w:t>Dissolved oxygen (DO)</w:t>
      </w:r>
      <w:r w:rsidRPr="00636D03">
        <w:rPr>
          <w:i/>
          <w:u w:val="single"/>
        </w:rPr>
        <w:t xml:space="preserve"> </w:t>
      </w:r>
    </w:p>
    <w:p w14:paraId="517387F2" w14:textId="3D909EF3" w:rsidR="00B10666" w:rsidRDefault="00B10666" w:rsidP="00B10666">
      <w:pPr>
        <w:rPr>
          <w:lang w:val="en-US"/>
        </w:rPr>
      </w:pPr>
      <w:r w:rsidRPr="00727C5E">
        <w:t xml:space="preserve">Average daily DO concentrations </w:t>
      </w:r>
      <w:r>
        <w:t xml:space="preserve">during the 2014–2024 monitoring seasons </w:t>
      </w:r>
      <w:r w:rsidRPr="00727C5E">
        <w:t xml:space="preserve">were </w:t>
      </w:r>
      <w:r>
        <w:t>typically</w:t>
      </w:r>
      <w:r w:rsidRPr="00727C5E">
        <w:t xml:space="preserve"> close to saturation levels except during the flood years of 2016-17 and 2022-23</w:t>
      </w:r>
      <w:r>
        <w:t>,</w:t>
      </w:r>
      <w:r w:rsidRPr="00727C5E">
        <w:t xml:space="preserve"> when concentrations declined precipitously as </w:t>
      </w:r>
      <w:r>
        <w:t>water level</w:t>
      </w:r>
      <w:r w:rsidRPr="00727C5E">
        <w:t xml:space="preserve"> increased (</w:t>
      </w:r>
      <w:r>
        <w:fldChar w:fldCharType="begin"/>
      </w:r>
      <w:r>
        <w:instrText xml:space="preserve"> REF _Ref59030272 \h </w:instrText>
      </w:r>
      <w:r>
        <w:fldChar w:fldCharType="separate"/>
      </w:r>
      <w:r w:rsidR="00102828" w:rsidRPr="00C05682">
        <w:t xml:space="preserve">Figure </w:t>
      </w:r>
      <w:r w:rsidR="00102828">
        <w:rPr>
          <w:noProof/>
        </w:rPr>
        <w:t>18</w:t>
      </w:r>
      <w:r>
        <w:fldChar w:fldCharType="end"/>
      </w:r>
      <w:r w:rsidRPr="00727C5E">
        <w:t>).</w:t>
      </w:r>
      <w:r>
        <w:t xml:space="preserve"> </w:t>
      </w:r>
      <w:r>
        <w:rPr>
          <w:lang w:val="en-US"/>
        </w:rPr>
        <w:t>During the 2016-17 flood, DO reduced to 0 gO</w:t>
      </w:r>
      <w:r w:rsidRPr="00E52235">
        <w:rPr>
          <w:vertAlign w:val="subscript"/>
          <w:lang w:val="en-US"/>
        </w:rPr>
        <w:t>2</w:t>
      </w:r>
      <w:r>
        <w:rPr>
          <w:lang w:val="en-US"/>
        </w:rPr>
        <w:t>/m</w:t>
      </w:r>
      <w:r w:rsidRPr="00E52235">
        <w:rPr>
          <w:vertAlign w:val="superscript"/>
          <w:lang w:val="en-US"/>
        </w:rPr>
        <w:t>3</w:t>
      </w:r>
      <w:r>
        <w:rPr>
          <w:lang w:val="en-US"/>
        </w:rPr>
        <w:t xml:space="preserve"> (0% saturation) below Lock 6, and 1.8 gO</w:t>
      </w:r>
      <w:r w:rsidRPr="00E52235">
        <w:rPr>
          <w:vertAlign w:val="subscript"/>
          <w:lang w:val="en-US"/>
        </w:rPr>
        <w:t>2</w:t>
      </w:r>
      <w:r>
        <w:rPr>
          <w:lang w:val="en-US"/>
        </w:rPr>
        <w:t>/m</w:t>
      </w:r>
      <w:r w:rsidRPr="00E52235">
        <w:rPr>
          <w:vertAlign w:val="superscript"/>
          <w:lang w:val="en-US"/>
        </w:rPr>
        <w:t>3</w:t>
      </w:r>
      <w:r>
        <w:rPr>
          <w:lang w:val="en-US"/>
        </w:rPr>
        <w:t xml:space="preserve"> (21% saturation) below Lock 4. Similar reductions occurred during the 2022-23 flood, to 1, 2 and 3 gO</w:t>
      </w:r>
      <w:r w:rsidRPr="0096100B">
        <w:rPr>
          <w:vertAlign w:val="subscript"/>
          <w:lang w:val="en-US"/>
        </w:rPr>
        <w:t>2</w:t>
      </w:r>
      <w:r>
        <w:rPr>
          <w:lang w:val="en-US"/>
        </w:rPr>
        <w:t>/m</w:t>
      </w:r>
      <w:r w:rsidRPr="00E52235">
        <w:rPr>
          <w:vertAlign w:val="superscript"/>
          <w:lang w:val="en-US"/>
        </w:rPr>
        <w:t>3</w:t>
      </w:r>
      <w:r>
        <w:rPr>
          <w:lang w:val="en-US"/>
        </w:rPr>
        <w:t>, 11%, 27% and 39% saturation respectively downstream of Locks 6, 4, and 1 (</w:t>
      </w:r>
      <w:r>
        <w:rPr>
          <w:lang w:val="en-US"/>
        </w:rPr>
        <w:fldChar w:fldCharType="begin"/>
      </w:r>
      <w:r>
        <w:rPr>
          <w:lang w:val="en-US"/>
        </w:rPr>
        <w:instrText xml:space="preserve"> REF _Ref59030272 \h </w:instrText>
      </w:r>
      <w:r>
        <w:rPr>
          <w:lang w:val="en-US"/>
        </w:rPr>
      </w:r>
      <w:r>
        <w:rPr>
          <w:lang w:val="en-US"/>
        </w:rPr>
        <w:fldChar w:fldCharType="separate"/>
      </w:r>
      <w:r w:rsidR="00102828" w:rsidRPr="00C05682">
        <w:t xml:space="preserve">Figure </w:t>
      </w:r>
      <w:r w:rsidR="00102828">
        <w:rPr>
          <w:noProof/>
        </w:rPr>
        <w:t>18</w:t>
      </w:r>
      <w:r>
        <w:rPr>
          <w:lang w:val="en-US"/>
        </w:rPr>
        <w:fldChar w:fldCharType="end"/>
      </w:r>
      <w:r>
        <w:rPr>
          <w:lang w:val="en-US"/>
        </w:rPr>
        <w:t>). In both floods, DO remained below the 5 gO</w:t>
      </w:r>
      <w:r w:rsidRPr="0096100B">
        <w:rPr>
          <w:vertAlign w:val="subscript"/>
          <w:lang w:val="en-US"/>
        </w:rPr>
        <w:t>2</w:t>
      </w:r>
      <w:r>
        <w:rPr>
          <w:lang w:val="en-US"/>
        </w:rPr>
        <w:t>/m</w:t>
      </w:r>
      <w:r w:rsidRPr="00E52235">
        <w:rPr>
          <w:vertAlign w:val="superscript"/>
          <w:lang w:val="en-US"/>
        </w:rPr>
        <w:t>3</w:t>
      </w:r>
      <w:r>
        <w:rPr>
          <w:lang w:val="en-US"/>
        </w:rPr>
        <w:t xml:space="preserve"> level considered critical to the support of aquatic organisms</w:t>
      </w:r>
      <w:r w:rsidRPr="00073EDC">
        <w:rPr>
          <w:lang w:val="en-US"/>
        </w:rPr>
        <w:t xml:space="preserve"> </w:t>
      </w:r>
      <w:r>
        <w:rPr>
          <w:lang w:val="en-US"/>
        </w:rPr>
        <w:t xml:space="preserve">for </w:t>
      </w:r>
      <w:r w:rsidR="00F058A8">
        <w:rPr>
          <w:lang w:val="en-US"/>
        </w:rPr>
        <w:t>~</w:t>
      </w:r>
      <w:r>
        <w:rPr>
          <w:lang w:val="en-US"/>
        </w:rPr>
        <w:t>2 months.</w:t>
      </w:r>
    </w:p>
    <w:p w14:paraId="58331DE3" w14:textId="77777777" w:rsidR="00B10666" w:rsidRDefault="00B10666" w:rsidP="00B10666">
      <w:pPr>
        <w:pStyle w:val="ListParagraph"/>
        <w:ind w:left="0"/>
        <w:jc w:val="center"/>
        <w:rPr>
          <w:iCs/>
          <w:szCs w:val="22"/>
          <w:lang w:val="en-US"/>
        </w:rPr>
      </w:pPr>
      <w:bookmarkStart w:id="170" w:name="_Hlk163815731"/>
      <w:r>
        <w:rPr>
          <w:iCs/>
          <w:noProof/>
          <w:szCs w:val="22"/>
          <w:lang w:val="en-US"/>
        </w:rPr>
        <w:lastRenderedPageBreak/>
        <w:drawing>
          <wp:inline distT="0" distB="0" distL="0" distR="0" wp14:anchorId="4586013B" wp14:editId="7BC894BB">
            <wp:extent cx="5456555" cy="5255588"/>
            <wp:effectExtent l="0" t="0" r="0" b="2540"/>
            <wp:docPr id="78293652" name="Picture 33" descr="Dissolved oxygen concentrations and percent saturation at sites downstream of Lock 6, 4, a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93652" name="Picture 33" descr="Dissolved oxygen concentrations and percent saturation at sites downstream of Lock 6, 4, and 1."/>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bwMode="auto">
                    <a:xfrm>
                      <a:off x="0" y="0"/>
                      <a:ext cx="5456555" cy="5255588"/>
                    </a:xfrm>
                    <a:prstGeom prst="rect">
                      <a:avLst/>
                    </a:prstGeom>
                    <a:noFill/>
                  </pic:spPr>
                </pic:pic>
              </a:graphicData>
            </a:graphic>
          </wp:inline>
        </w:drawing>
      </w:r>
    </w:p>
    <w:p w14:paraId="3C0E788A" w14:textId="26BDF284" w:rsidR="00B10666" w:rsidRPr="00D671B0" w:rsidRDefault="00B10666" w:rsidP="00605FB2">
      <w:pPr>
        <w:pStyle w:val="Captions"/>
      </w:pPr>
      <w:bookmarkStart w:id="171" w:name="_Ref59030272"/>
      <w:bookmarkStart w:id="172" w:name="_Toc103170068"/>
      <w:bookmarkStart w:id="173" w:name="_Toc152860246"/>
      <w:bookmarkStart w:id="174" w:name="_Toc200464469"/>
      <w:r w:rsidRPr="00C05682">
        <w:t xml:space="preserve">Figure </w:t>
      </w:r>
      <w:r w:rsidR="00967BB2">
        <w:fldChar w:fldCharType="begin"/>
      </w:r>
      <w:r w:rsidR="00967BB2">
        <w:instrText xml:space="preserve"> SEQ Figure \* ARABIC </w:instrText>
      </w:r>
      <w:r w:rsidR="00967BB2">
        <w:fldChar w:fldCharType="separate"/>
      </w:r>
      <w:r w:rsidR="00102828">
        <w:rPr>
          <w:noProof/>
        </w:rPr>
        <w:t>18</w:t>
      </w:r>
      <w:r w:rsidR="00967BB2">
        <w:rPr>
          <w:noProof/>
        </w:rPr>
        <w:fldChar w:fldCharType="end"/>
      </w:r>
      <w:bookmarkEnd w:id="171"/>
      <w:r w:rsidRPr="00C05682">
        <w:t xml:space="preserve">. </w:t>
      </w:r>
      <w:bookmarkEnd w:id="172"/>
      <w:bookmarkEnd w:id="173"/>
      <w:r w:rsidRPr="00C05682">
        <w:t xml:space="preserve">Dissolved oxygen </w:t>
      </w:r>
      <w:r w:rsidR="008F4451">
        <w:t xml:space="preserve">(DO) </w:t>
      </w:r>
      <w:r w:rsidRPr="00C05682">
        <w:t>concentration</w:t>
      </w:r>
      <w:r>
        <w:t>s and percent saturation</w:t>
      </w:r>
      <w:r w:rsidRPr="00C05682">
        <w:t xml:space="preserve"> at sites downstream of Lock 6 (</w:t>
      </w:r>
      <w:r w:rsidRPr="00C05682">
        <w:rPr>
          <w:color w:val="0070C0"/>
        </w:rPr>
        <w:t>●</w:t>
      </w:r>
      <w:r w:rsidRPr="00C05682">
        <w:t>), Lock 4 (</w:t>
      </w:r>
      <w:r w:rsidRPr="00C05682">
        <w:rPr>
          <w:color w:val="A6A6A6" w:themeColor="background1" w:themeShade="A6"/>
        </w:rPr>
        <w:t>●</w:t>
      </w:r>
      <w:r w:rsidRPr="00C05682">
        <w:t>), and Lock 1 (</w:t>
      </w:r>
      <w:r w:rsidRPr="00C05682">
        <w:rPr>
          <w:color w:val="ED7D31" w:themeColor="accent2"/>
        </w:rPr>
        <w:t>●</w:t>
      </w:r>
      <w:r w:rsidRPr="00C05682">
        <w:t>) for each monitoring period from 2014 to 202</w:t>
      </w:r>
      <w:r>
        <w:t>4</w:t>
      </w:r>
      <w:r w:rsidRPr="00C05682">
        <w:t>.</w:t>
      </w:r>
      <w:bookmarkEnd w:id="174"/>
    </w:p>
    <w:bookmarkEnd w:id="170"/>
    <w:p w14:paraId="12330F44" w14:textId="77777777" w:rsidR="00B10666" w:rsidRPr="00E52235" w:rsidRDefault="00B10666" w:rsidP="00B10666">
      <w:pPr>
        <w:pStyle w:val="ListParagraph"/>
        <w:ind w:left="0"/>
        <w:rPr>
          <w:i/>
          <w:u w:val="single"/>
        </w:rPr>
      </w:pPr>
      <w:r w:rsidRPr="00E52235">
        <w:rPr>
          <w:i/>
          <w:u w:val="single"/>
        </w:rPr>
        <w:t>Metabolism estimates</w:t>
      </w:r>
    </w:p>
    <w:p w14:paraId="4BDD61F8" w14:textId="10716D86" w:rsidR="00B10666" w:rsidRDefault="00B10666" w:rsidP="00B10666">
      <w:pPr>
        <w:rPr>
          <w:lang w:val="en-US"/>
        </w:rPr>
      </w:pPr>
      <w:r>
        <w:rPr>
          <w:lang w:val="en-US"/>
        </w:rPr>
        <w:t xml:space="preserve">During the ten years of monitoring, there were periods when metabolism measurements were unavailable due to probe failures, reduced access by flooding, and changed hydraulics due to flow management strategies, totaling a loss of 661 data days. In addition, </w:t>
      </w:r>
      <w:r w:rsidRPr="00E52235">
        <w:rPr>
          <w:lang w:val="en-US"/>
        </w:rPr>
        <w:t>diel DO patterns were not always well described by Equation 2, with more complex DO fluctuations yielding poor regression fits and unreliable coefficients. Daily data that did not fit the model were removed from analyses</w:t>
      </w:r>
      <w:r>
        <w:rPr>
          <w:lang w:val="en-US"/>
        </w:rPr>
        <w:t xml:space="preserve">, leaving a total of 2,552 data days, respectively 919, 557, and 1,076 below Locks 6, 4 and 1, </w:t>
      </w:r>
      <w:r w:rsidR="006E5AFC" w:rsidRPr="198FE2E8">
        <w:rPr>
          <w:lang w:val="en-US"/>
        </w:rPr>
        <w:t>with data reductions of 41%, 35%, and 28% across the sites.</w:t>
      </w:r>
    </w:p>
    <w:p w14:paraId="07043EC3" w14:textId="77777777" w:rsidR="00B10666" w:rsidRDefault="00B10666" w:rsidP="00B10666">
      <w:pPr>
        <w:pStyle w:val="ListParagraph"/>
        <w:ind w:left="0"/>
        <w:rPr>
          <w:i/>
          <w:u w:val="single"/>
        </w:rPr>
      </w:pPr>
      <w:r w:rsidRPr="00E35C12">
        <w:rPr>
          <w:i/>
          <w:u w:val="single"/>
        </w:rPr>
        <w:t>Daily metabolic rates</w:t>
      </w:r>
    </w:p>
    <w:p w14:paraId="48E8863F" w14:textId="788F9422" w:rsidR="00B10666" w:rsidRPr="0081329C" w:rsidRDefault="00B10666" w:rsidP="00B10666">
      <w:r>
        <w:t>In each monitoring period, river metabolism typically started at low rates near (±)1 gO</w:t>
      </w:r>
      <w:r w:rsidRPr="00E52235">
        <w:rPr>
          <w:vertAlign w:val="subscript"/>
        </w:rPr>
        <w:t>2</w:t>
      </w:r>
      <w:r>
        <w:t>/m</w:t>
      </w:r>
      <w:r w:rsidRPr="00E52235">
        <w:rPr>
          <w:vertAlign w:val="superscript"/>
        </w:rPr>
        <w:t>3</w:t>
      </w:r>
      <w:r>
        <w:t>/day, positive for GPP and negative for ER, then typically increased in magnitude (±) to maxima that were sustained over the final few months (</w:t>
      </w:r>
      <w:r>
        <w:fldChar w:fldCharType="begin"/>
      </w:r>
      <w:r>
        <w:instrText xml:space="preserve"> REF _Ref127867002 \h </w:instrText>
      </w:r>
      <w:r>
        <w:fldChar w:fldCharType="separate"/>
      </w:r>
      <w:r w:rsidR="00102828">
        <w:t xml:space="preserve">Figure </w:t>
      </w:r>
      <w:r w:rsidR="00102828">
        <w:rPr>
          <w:noProof/>
        </w:rPr>
        <w:t>19</w:t>
      </w:r>
      <w:r>
        <w:fldChar w:fldCharType="end"/>
      </w:r>
      <w:r>
        <w:t>). The extent of rate increases differed between years with 2021-22 showing little change over the season, whereas 2020-21 and 2023-24 reached maxima between 4 and 6 gO</w:t>
      </w:r>
      <w:r w:rsidRPr="00F33CBB">
        <w:rPr>
          <w:vertAlign w:val="subscript"/>
        </w:rPr>
        <w:t>2</w:t>
      </w:r>
      <w:r>
        <w:t>/m</w:t>
      </w:r>
      <w:r w:rsidRPr="00F33CBB">
        <w:rPr>
          <w:vertAlign w:val="superscript"/>
        </w:rPr>
        <w:t>3</w:t>
      </w:r>
      <w:r>
        <w:t xml:space="preserve">/day </w:t>
      </w:r>
      <w:r>
        <w:lastRenderedPageBreak/>
        <w:t>(</w:t>
      </w:r>
      <w:r w:rsidR="00CF0150">
        <w:fldChar w:fldCharType="begin"/>
      </w:r>
      <w:r w:rsidR="00CF0150">
        <w:instrText xml:space="preserve"> REF _Ref127867002 \h </w:instrText>
      </w:r>
      <w:r w:rsidR="00CF0150">
        <w:fldChar w:fldCharType="separate"/>
      </w:r>
      <w:r w:rsidR="00102828">
        <w:t xml:space="preserve">Figure </w:t>
      </w:r>
      <w:r w:rsidR="00102828">
        <w:rPr>
          <w:noProof/>
        </w:rPr>
        <w:t>19</w:t>
      </w:r>
      <w:r w:rsidR="00CF0150">
        <w:fldChar w:fldCharType="end"/>
      </w:r>
      <w:r>
        <w:t xml:space="preserve">; </w:t>
      </w:r>
      <w:r>
        <w:fldChar w:fldCharType="begin"/>
      </w:r>
      <w:r>
        <w:instrText xml:space="preserve"> REF _Ref125372659 \h </w:instrText>
      </w:r>
      <w:r>
        <w:fldChar w:fldCharType="separate"/>
      </w:r>
      <w:r w:rsidR="00102828">
        <w:t xml:space="preserve">Figure </w:t>
      </w:r>
      <w:r w:rsidR="00102828">
        <w:rPr>
          <w:noProof/>
        </w:rPr>
        <w:t>20</w:t>
      </w:r>
      <w:r>
        <w:fldChar w:fldCharType="end"/>
      </w:r>
      <w:r>
        <w:t>). Daily variations within seasons were sometimes large as metabolism responded to rapid shifts in environmental conditions. Seasonal differences reflected large-scale environmental changes, with metabolism rates during 2021-22 curtailed, and those during the final 2023-24 season expanded in range (</w:t>
      </w:r>
      <w:r>
        <w:fldChar w:fldCharType="begin"/>
      </w:r>
      <w:r>
        <w:instrText xml:space="preserve"> REF _Ref125372659 \h </w:instrText>
      </w:r>
      <w:r>
        <w:fldChar w:fldCharType="separate"/>
      </w:r>
      <w:r w:rsidR="00102828">
        <w:t xml:space="preserve">Figure </w:t>
      </w:r>
      <w:r w:rsidR="00102828">
        <w:rPr>
          <w:noProof/>
        </w:rPr>
        <w:t>20</w:t>
      </w:r>
      <w:r>
        <w:fldChar w:fldCharType="end"/>
      </w:r>
      <w:r>
        <w:t xml:space="preserve">). This expanded range covered many of the earlier periods and provided a means of confirming whether responses </w:t>
      </w:r>
      <w:r w:rsidR="00127FA1" w:rsidRPr="00127FA1">
        <w:t xml:space="preserve">to environmental conditions </w:t>
      </w:r>
      <w:r>
        <w:t xml:space="preserve">from earlier restricted ranges </w:t>
      </w:r>
      <w:r w:rsidR="00127FA1">
        <w:t>concurred</w:t>
      </w:r>
      <w:r>
        <w:t xml:space="preserve"> and could be combined into a single model. </w:t>
      </w:r>
    </w:p>
    <w:p w14:paraId="1B72FCB3" w14:textId="77777777" w:rsidR="00B10666" w:rsidRDefault="00B10666" w:rsidP="00B10666">
      <w:pPr>
        <w:pStyle w:val="ListParagraph"/>
        <w:spacing w:after="0"/>
        <w:ind w:left="0"/>
        <w:contextualSpacing w:val="0"/>
        <w:jc w:val="center"/>
        <w:rPr>
          <w:iCs/>
          <w:szCs w:val="22"/>
          <w:lang w:val="en-US"/>
        </w:rPr>
      </w:pPr>
      <w:r>
        <w:rPr>
          <w:iCs/>
          <w:noProof/>
          <w:szCs w:val="22"/>
          <w:lang w:val="en-US"/>
        </w:rPr>
        <w:drawing>
          <wp:inline distT="0" distB="0" distL="0" distR="0" wp14:anchorId="6C46DB37" wp14:editId="7AE39FFC">
            <wp:extent cx="4380614" cy="6399974"/>
            <wp:effectExtent l="0" t="0" r="1270" b="1270"/>
            <wp:docPr id="1850732106" name="Picture 34" descr="Daily gross photosynthesis and ecosystem respiration at sampling sites downstream of Lock 6,4 a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732106" name="Picture 34" descr="Daily gross photosynthesis and ecosystem respiration at sampling sites downstream of Lock 6,4 and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397235" cy="6424257"/>
                    </a:xfrm>
                    <a:prstGeom prst="rect">
                      <a:avLst/>
                    </a:prstGeom>
                    <a:noFill/>
                  </pic:spPr>
                </pic:pic>
              </a:graphicData>
            </a:graphic>
          </wp:inline>
        </w:drawing>
      </w:r>
    </w:p>
    <w:p w14:paraId="25552264" w14:textId="1BF86E01" w:rsidR="00B10666" w:rsidRDefault="00B10666" w:rsidP="00B10666">
      <w:pPr>
        <w:pStyle w:val="Caption"/>
      </w:pPr>
      <w:bookmarkStart w:id="175" w:name="_Ref96527759"/>
      <w:bookmarkStart w:id="176" w:name="_Ref127867002"/>
      <w:bookmarkStart w:id="177" w:name="_Toc200464470"/>
      <w:r>
        <w:t xml:space="preserve">Figure </w:t>
      </w:r>
      <w:bookmarkEnd w:id="175"/>
      <w:r>
        <w:fldChar w:fldCharType="begin"/>
      </w:r>
      <w:r>
        <w:instrText xml:space="preserve"> SEQ Figure \* ARABIC </w:instrText>
      </w:r>
      <w:r>
        <w:fldChar w:fldCharType="separate"/>
      </w:r>
      <w:r w:rsidR="00102828">
        <w:rPr>
          <w:noProof/>
        </w:rPr>
        <w:t>19</w:t>
      </w:r>
      <w:r>
        <w:fldChar w:fldCharType="end"/>
      </w:r>
      <w:bookmarkEnd w:id="176"/>
      <w:r>
        <w:t xml:space="preserve">. </w:t>
      </w:r>
      <w:r w:rsidRPr="009A2686">
        <w:t>Daily gross photosynthesis (GPP</w:t>
      </w:r>
      <w:r>
        <w:t>, positive rates</w:t>
      </w:r>
      <w:r w:rsidRPr="009A2686">
        <w:t>) and ecosystem respiration (ER</w:t>
      </w:r>
      <w:r>
        <w:t>, negative rates)</w:t>
      </w:r>
      <w:r w:rsidRPr="009A2686">
        <w:t xml:space="preserve"> </w:t>
      </w:r>
      <w:r w:rsidR="00CF2070">
        <w:t xml:space="preserve">at sampling sites </w:t>
      </w:r>
      <w:r>
        <w:t xml:space="preserve">downstream of </w:t>
      </w:r>
      <w:r w:rsidRPr="00C3722F">
        <w:t>(</w:t>
      </w:r>
      <w:r w:rsidRPr="00F33CBB">
        <w:t>a</w:t>
      </w:r>
      <w:r w:rsidRPr="00C3722F">
        <w:t>)</w:t>
      </w:r>
      <w:r>
        <w:t xml:space="preserve"> </w:t>
      </w:r>
      <w:r w:rsidRPr="00C3722F">
        <w:t>Lock 6, (</w:t>
      </w:r>
      <w:r w:rsidRPr="00F33CBB">
        <w:t>b</w:t>
      </w:r>
      <w:r w:rsidRPr="00C3722F">
        <w:t>) Lock 4 and (</w:t>
      </w:r>
      <w:r w:rsidRPr="00F33CBB">
        <w:t>c</w:t>
      </w:r>
      <w:r w:rsidRPr="000B0669">
        <w:t>)</w:t>
      </w:r>
      <w:r>
        <w:t xml:space="preserve"> </w:t>
      </w:r>
      <w:r w:rsidRPr="00C3722F">
        <w:t>Lock 1</w:t>
      </w:r>
      <w:r>
        <w:t>,</w:t>
      </w:r>
      <w:r w:rsidRPr="000B0669">
        <w:t xml:space="preserve"> </w:t>
      </w:r>
      <w:r>
        <w:t xml:space="preserve">on day number from July 1 </w:t>
      </w:r>
      <w:r w:rsidRPr="000B0669">
        <w:t xml:space="preserve">for each monitoring period: </w:t>
      </w:r>
      <w:r>
        <w:t>2014-</w:t>
      </w:r>
      <w:r w:rsidRPr="002F05B1">
        <w:t>15 (</w:t>
      </w:r>
      <w:r w:rsidRPr="00E52235">
        <w:rPr>
          <w:color w:val="4472C4" w:themeColor="accent5"/>
        </w:rPr>
        <w:t>●</w:t>
      </w:r>
      <w:r w:rsidRPr="00E52235">
        <w:t>), 2015-</w:t>
      </w:r>
      <w:r w:rsidRPr="000B0669">
        <w:t>16 (</w:t>
      </w:r>
      <w:r w:rsidRPr="002F05B1">
        <w:rPr>
          <w:color w:val="ED7D31" w:themeColor="accent2"/>
        </w:rPr>
        <w:t>●</w:t>
      </w:r>
      <w:r w:rsidRPr="000B0669">
        <w:t xml:space="preserve">), </w:t>
      </w:r>
      <w:r>
        <w:t>2016-17 (</w:t>
      </w:r>
      <w:r w:rsidRPr="00E52235">
        <w:rPr>
          <w:color w:val="A5A5A5" w:themeColor="accent3"/>
        </w:rPr>
        <w:t>●</w:t>
      </w:r>
      <w:r w:rsidRPr="00E52235">
        <w:t>), 2017-18 (</w:t>
      </w:r>
      <w:r w:rsidRPr="00E52235">
        <w:rPr>
          <w:color w:val="FFC000" w:themeColor="accent4"/>
        </w:rPr>
        <w:t>●</w:t>
      </w:r>
      <w:r w:rsidRPr="00E52235">
        <w:t>), 2018-19 (</w:t>
      </w:r>
      <w:r w:rsidRPr="00E52235">
        <w:rPr>
          <w:color w:val="5B9BD5" w:themeColor="accent1"/>
        </w:rPr>
        <w:t>●</w:t>
      </w:r>
      <w:r w:rsidRPr="00E52235">
        <w:t>), 2019-20 (</w:t>
      </w:r>
      <w:r w:rsidRPr="00E52235">
        <w:rPr>
          <w:color w:val="70AD47" w:themeColor="accent6"/>
        </w:rPr>
        <w:t>●</w:t>
      </w:r>
      <w:r w:rsidRPr="00E52235">
        <w:t>), 2020-21 (●), 2021-22 (</w:t>
      </w:r>
      <w:r w:rsidRPr="00E52235">
        <w:rPr>
          <w:color w:val="833C0B" w:themeColor="accent2" w:themeShade="80"/>
        </w:rPr>
        <w:t>●</w:t>
      </w:r>
      <w:r w:rsidRPr="00E52235">
        <w:t>), 2022-23 (</w:t>
      </w:r>
      <w:r w:rsidRPr="00E52235">
        <w:rPr>
          <w:color w:val="7B7B7B" w:themeColor="accent3" w:themeShade="BF"/>
        </w:rPr>
        <w:t>●</w:t>
      </w:r>
      <w:r w:rsidRPr="00E52235">
        <w:t>), 2023-24 (</w:t>
      </w:r>
      <w:r w:rsidRPr="00E52235">
        <w:rPr>
          <w:color w:val="BF8F00" w:themeColor="accent4" w:themeShade="BF"/>
        </w:rPr>
        <w:t>●</w:t>
      </w:r>
      <w:r w:rsidRPr="00E52235">
        <w:t>)</w:t>
      </w:r>
      <w:r w:rsidRPr="009A2686">
        <w:t>.</w:t>
      </w:r>
      <w:bookmarkEnd w:id="177"/>
    </w:p>
    <w:p w14:paraId="4E15151E" w14:textId="77777777" w:rsidR="00B10666" w:rsidRDefault="00B10666" w:rsidP="00B10666">
      <w:pPr>
        <w:spacing w:before="0" w:after="160" w:line="259" w:lineRule="auto"/>
        <w:jc w:val="left"/>
        <w:rPr>
          <w:b/>
          <w:bCs/>
          <w:color w:val="auto"/>
          <w:sz w:val="20"/>
          <w:szCs w:val="18"/>
        </w:rPr>
      </w:pPr>
      <w:r>
        <w:br w:type="page"/>
      </w:r>
    </w:p>
    <w:p w14:paraId="7B0CAB3D" w14:textId="7C1DFC68" w:rsidR="00B10666" w:rsidRDefault="00DF156A" w:rsidP="00B10666">
      <w:pPr>
        <w:spacing w:after="0"/>
        <w:jc w:val="center"/>
      </w:pPr>
      <w:r w:rsidRPr="00DF156A">
        <w:rPr>
          <w:noProof/>
        </w:rPr>
        <w:lastRenderedPageBreak/>
        <w:drawing>
          <wp:inline distT="0" distB="0" distL="0" distR="0" wp14:anchorId="121B2A17" wp14:editId="34913B4C">
            <wp:extent cx="5396400" cy="2738673"/>
            <wp:effectExtent l="0" t="0" r="0" b="5080"/>
            <wp:docPr id="1490882256" name="Picture 5" descr="Annual time series of daily gross photosynthesis and ecosystem respiration at sampling sites downstream of Lock 6, 4 and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82256" name="Picture 5" descr="Annual time series of daily gross photosynthesis and ecosystem respiration at sampling sites downstream of Lock 6, 4 and 1. "/>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396400" cy="2738673"/>
                    </a:xfrm>
                    <a:prstGeom prst="rect">
                      <a:avLst/>
                    </a:prstGeom>
                    <a:noFill/>
                    <a:ln>
                      <a:noFill/>
                    </a:ln>
                  </pic:spPr>
                </pic:pic>
              </a:graphicData>
            </a:graphic>
          </wp:inline>
        </w:drawing>
      </w:r>
    </w:p>
    <w:p w14:paraId="30123A99" w14:textId="77777777" w:rsidR="00B10666" w:rsidRPr="00C01E44" w:rsidRDefault="00B10666" w:rsidP="00B10666">
      <w:pPr>
        <w:spacing w:before="0"/>
        <w:jc w:val="center"/>
        <w:rPr>
          <w:rFonts w:asciiTheme="minorHAnsi" w:hAnsiTheme="minorHAnsi" w:cstheme="minorHAnsi"/>
          <w:b/>
          <w:bCs/>
          <w:sz w:val="24"/>
          <w:szCs w:val="24"/>
        </w:rPr>
      </w:pPr>
      <w:r w:rsidRPr="00C01E44">
        <w:rPr>
          <w:rFonts w:asciiTheme="minorHAnsi" w:hAnsiTheme="minorHAnsi" w:cstheme="minorHAnsi"/>
          <w:b/>
          <w:bCs/>
          <w:sz w:val="24"/>
          <w:szCs w:val="24"/>
        </w:rPr>
        <w:t>Year</w:t>
      </w:r>
    </w:p>
    <w:p w14:paraId="465EC7BD" w14:textId="5F6FD165" w:rsidR="00B10666" w:rsidRDefault="00B10666" w:rsidP="00B10666">
      <w:pPr>
        <w:pStyle w:val="Caption"/>
      </w:pPr>
      <w:bookmarkStart w:id="178" w:name="_Ref125372659"/>
      <w:bookmarkStart w:id="179" w:name="_Toc200464471"/>
      <w:r>
        <w:t xml:space="preserve">Figure </w:t>
      </w:r>
      <w:r>
        <w:fldChar w:fldCharType="begin"/>
      </w:r>
      <w:r>
        <w:instrText>SEQ Figure \* ARABIC</w:instrText>
      </w:r>
      <w:r>
        <w:fldChar w:fldCharType="separate"/>
      </w:r>
      <w:r w:rsidR="00102828">
        <w:rPr>
          <w:noProof/>
        </w:rPr>
        <w:t>20</w:t>
      </w:r>
      <w:r>
        <w:fldChar w:fldCharType="end"/>
      </w:r>
      <w:bookmarkEnd w:id="178"/>
      <w:r>
        <w:t>. Annual time series of d</w:t>
      </w:r>
      <w:r w:rsidRPr="009A2686">
        <w:t>aily gross photosynthesis (GPP</w:t>
      </w:r>
      <w:r>
        <w:t>, positive rates</w:t>
      </w:r>
      <w:r w:rsidRPr="009A2686">
        <w:t>) and ecosystem respiration (ER</w:t>
      </w:r>
      <w:r>
        <w:t>, negative rates)</w:t>
      </w:r>
      <w:r w:rsidRPr="009A2686">
        <w:t xml:space="preserve"> </w:t>
      </w:r>
      <w:r w:rsidR="00CF2070">
        <w:t xml:space="preserve">at sampling sites </w:t>
      </w:r>
      <w:r>
        <w:t xml:space="preserve">downstream of </w:t>
      </w:r>
      <w:r w:rsidRPr="00C3722F">
        <w:t>Lock 6 (</w:t>
      </w:r>
      <w:r w:rsidRPr="005C15EB">
        <w:rPr>
          <w:color w:val="4472C4" w:themeColor="accent5"/>
        </w:rPr>
        <w:t>●</w:t>
      </w:r>
      <w:r w:rsidRPr="00C3722F">
        <w:t>), Lock 4 (</w:t>
      </w:r>
      <w:r w:rsidRPr="005A69A3">
        <w:rPr>
          <w:color w:val="A5A5A5" w:themeColor="accent3"/>
        </w:rPr>
        <w:t>●</w:t>
      </w:r>
      <w:r w:rsidRPr="00C3722F">
        <w:t>) and Lock 1 (</w:t>
      </w:r>
      <w:r w:rsidRPr="00C3722F">
        <w:rPr>
          <w:color w:val="ED7D31" w:themeColor="accent2"/>
        </w:rPr>
        <w:t>●</w:t>
      </w:r>
      <w:r w:rsidRPr="00C3722F">
        <w:t>)</w:t>
      </w:r>
      <w:r>
        <w:t>, for each monitoring period from 2014 to 2024.</w:t>
      </w:r>
      <w:bookmarkEnd w:id="179"/>
    </w:p>
    <w:p w14:paraId="3D21746D" w14:textId="77777777" w:rsidR="00B10666" w:rsidRPr="00746516" w:rsidRDefault="00B10666" w:rsidP="00B10666">
      <w:pPr>
        <w:rPr>
          <w:lang w:val="en-US"/>
        </w:rPr>
      </w:pPr>
    </w:p>
    <w:p w14:paraId="477C6079" w14:textId="77777777" w:rsidR="00B10666" w:rsidRPr="00E52235" w:rsidRDefault="00B10666" w:rsidP="00B10666">
      <w:pPr>
        <w:pStyle w:val="ListParagraph"/>
        <w:ind w:left="0"/>
        <w:rPr>
          <w:i/>
          <w:u w:val="single"/>
        </w:rPr>
      </w:pPr>
      <w:r w:rsidRPr="00E52235">
        <w:rPr>
          <w:i/>
          <w:u w:val="single"/>
        </w:rPr>
        <w:t xml:space="preserve">Gas exchange estimates </w:t>
      </w:r>
    </w:p>
    <w:p w14:paraId="098DEADC" w14:textId="73C7250F" w:rsidR="00B10666" w:rsidRDefault="00B10666" w:rsidP="00B10666">
      <w:pPr>
        <w:rPr>
          <w:lang w:val="en-US"/>
        </w:rPr>
      </w:pPr>
      <w:r w:rsidRPr="00E52235">
        <w:rPr>
          <w:lang w:val="en-US"/>
        </w:rPr>
        <w:t>Across all sites</w:t>
      </w:r>
      <w:r>
        <w:rPr>
          <w:lang w:val="en-US"/>
        </w:rPr>
        <w:t>,</w:t>
      </w:r>
      <w:r w:rsidRPr="00E52235">
        <w:rPr>
          <w:lang w:val="en-US"/>
        </w:rPr>
        <w:t xml:space="preserve"> </w:t>
      </w:r>
      <w:r>
        <w:rPr>
          <w:lang w:val="en-US"/>
        </w:rPr>
        <w:t xml:space="preserve">the patterns in the gas exchange coefficient (K) were remarkably similar, with </w:t>
      </w:r>
      <w:r w:rsidRPr="00E52235">
        <w:rPr>
          <w:lang w:val="en-US"/>
        </w:rPr>
        <w:t xml:space="preserve">K </w:t>
      </w:r>
      <w:r>
        <w:rPr>
          <w:lang w:val="en-US"/>
        </w:rPr>
        <w:t>in</w:t>
      </w:r>
      <w:r w:rsidRPr="00E52235">
        <w:rPr>
          <w:lang w:val="en-US"/>
        </w:rPr>
        <w:t>creas</w:t>
      </w:r>
      <w:r>
        <w:rPr>
          <w:lang w:val="en-US"/>
        </w:rPr>
        <w:t>ing</w:t>
      </w:r>
      <w:r w:rsidRPr="00E52235">
        <w:rPr>
          <w:lang w:val="en-US"/>
        </w:rPr>
        <w:t xml:space="preserve"> smoothly as mean water velocities </w:t>
      </w:r>
      <w:r>
        <w:rPr>
          <w:lang w:val="en-US"/>
        </w:rPr>
        <w:t>in</w:t>
      </w:r>
      <w:r w:rsidRPr="00E52235">
        <w:rPr>
          <w:lang w:val="en-US"/>
        </w:rPr>
        <w:t xml:space="preserve">creased from </w:t>
      </w:r>
      <w:r>
        <w:rPr>
          <w:lang w:val="en-US"/>
        </w:rPr>
        <w:t xml:space="preserve">0.18 to </w:t>
      </w:r>
      <w:r w:rsidRPr="00E52235">
        <w:rPr>
          <w:lang w:val="en-US"/>
        </w:rPr>
        <w:t>0.4 m</w:t>
      </w:r>
      <w:r>
        <w:rPr>
          <w:lang w:val="en-US"/>
        </w:rPr>
        <w:t>/</w:t>
      </w:r>
      <w:r w:rsidRPr="00E52235">
        <w:rPr>
          <w:lang w:val="en-US"/>
        </w:rPr>
        <w:t xml:space="preserve">s </w:t>
      </w:r>
      <w:r>
        <w:rPr>
          <w:lang w:val="en-US"/>
        </w:rPr>
        <w:t xml:space="preserve">(discharge range </w:t>
      </w:r>
      <w:r w:rsidR="00F058A8">
        <w:rPr>
          <w:lang w:val="en-US"/>
        </w:rPr>
        <w:t>~</w:t>
      </w:r>
      <w:r>
        <w:rPr>
          <w:lang w:val="en-US"/>
        </w:rPr>
        <w:t xml:space="preserve">7,000 to 20,000 ML/d), in a manner equivalent to reported relationships (Ulseth </w:t>
      </w:r>
      <w:r w:rsidRPr="007B7535">
        <w:rPr>
          <w:i/>
          <w:iCs/>
          <w:lang w:val="en-US"/>
        </w:rPr>
        <w:t>et al.</w:t>
      </w:r>
      <w:r>
        <w:rPr>
          <w:lang w:val="en-US"/>
        </w:rPr>
        <w:t xml:space="preserve"> 2019).</w:t>
      </w:r>
      <w:r w:rsidRPr="00E76FA7">
        <w:rPr>
          <w:lang w:val="en-US"/>
        </w:rPr>
        <w:t xml:space="preserve"> </w:t>
      </w:r>
      <w:r w:rsidRPr="007C2C69">
        <w:rPr>
          <w:lang w:val="en-US"/>
        </w:rPr>
        <w:t xml:space="preserve">Below the lower velocity boundary, the </w:t>
      </w:r>
      <w:r>
        <w:rPr>
          <w:lang w:val="en-US"/>
        </w:rPr>
        <w:t>highly</w:t>
      </w:r>
      <w:r w:rsidRPr="007C2C69">
        <w:rPr>
          <w:lang w:val="en-US"/>
        </w:rPr>
        <w:t xml:space="preserve"> variable</w:t>
      </w:r>
      <w:r>
        <w:rPr>
          <w:lang w:val="en-US"/>
        </w:rPr>
        <w:t xml:space="preserve"> and at times unlikely values of K,</w:t>
      </w:r>
      <w:r w:rsidRPr="007C2C69">
        <w:rPr>
          <w:lang w:val="en-US"/>
        </w:rPr>
        <w:t xml:space="preserve"> </w:t>
      </w:r>
      <w:r>
        <w:rPr>
          <w:lang w:val="en-US"/>
        </w:rPr>
        <w:t>suggested potentially unreliable river metabolism estimates (</w:t>
      </w:r>
      <w:r>
        <w:rPr>
          <w:lang w:val="en-US"/>
        </w:rPr>
        <w:fldChar w:fldCharType="begin"/>
      </w:r>
      <w:r>
        <w:rPr>
          <w:lang w:val="en-US"/>
        </w:rPr>
        <w:instrText xml:space="preserve"> REF _Ref59030552 \h </w:instrText>
      </w:r>
      <w:r>
        <w:rPr>
          <w:lang w:val="en-US"/>
        </w:rPr>
      </w:r>
      <w:r>
        <w:rPr>
          <w:lang w:val="en-US"/>
        </w:rPr>
        <w:fldChar w:fldCharType="separate"/>
      </w:r>
      <w:r w:rsidR="00102828">
        <w:t xml:space="preserve">Figure </w:t>
      </w:r>
      <w:r w:rsidR="00102828">
        <w:rPr>
          <w:noProof/>
        </w:rPr>
        <w:t>21</w:t>
      </w:r>
      <w:r>
        <w:rPr>
          <w:lang w:val="en-US"/>
        </w:rPr>
        <w:fldChar w:fldCharType="end"/>
      </w:r>
      <w:r w:rsidRPr="007C2C69">
        <w:rPr>
          <w:lang w:val="en-US"/>
        </w:rPr>
        <w:t>).</w:t>
      </w:r>
      <w:r w:rsidRPr="00A332FD">
        <w:rPr>
          <w:lang w:val="en-US"/>
        </w:rPr>
        <w:t xml:space="preserve"> </w:t>
      </w:r>
      <w:r>
        <w:rPr>
          <w:lang w:val="en-US"/>
        </w:rPr>
        <w:t>These responses were attributed to the increasing potential for reduced mixing and thermal stratification as flow declined below 7,000 ML/d (</w:t>
      </w:r>
      <w:r w:rsidRPr="004A2E07">
        <w:rPr>
          <w:lang w:val="en-US"/>
        </w:rPr>
        <w:t xml:space="preserve">Bormans </w:t>
      </w:r>
      <w:r w:rsidRPr="00B27DAA">
        <w:rPr>
          <w:i/>
          <w:iCs/>
          <w:lang w:val="en-US"/>
        </w:rPr>
        <w:t>et al.</w:t>
      </w:r>
      <w:r w:rsidRPr="004A2E07">
        <w:rPr>
          <w:lang w:val="en-US"/>
        </w:rPr>
        <w:t xml:space="preserve"> 1998</w:t>
      </w:r>
      <w:r>
        <w:rPr>
          <w:lang w:val="en-US"/>
        </w:rPr>
        <w:t xml:space="preserve">). </w:t>
      </w:r>
      <w:r w:rsidRPr="007C2C69">
        <w:rPr>
          <w:lang w:val="en-US"/>
        </w:rPr>
        <w:t>The upper flow velocity boundar</w:t>
      </w:r>
      <w:r>
        <w:rPr>
          <w:lang w:val="en-US"/>
        </w:rPr>
        <w:t>ies,</w:t>
      </w:r>
      <w:r w:rsidRPr="00FF3C42">
        <w:rPr>
          <w:lang w:val="en-US"/>
        </w:rPr>
        <w:t xml:space="preserve"> </w:t>
      </w:r>
      <w:r>
        <w:rPr>
          <w:lang w:val="en-US"/>
        </w:rPr>
        <w:t>(</w:t>
      </w:r>
      <w:r w:rsidRPr="00D21DA8">
        <w:rPr>
          <w:lang w:val="en-US"/>
        </w:rPr>
        <w:t>0.</w:t>
      </w:r>
      <w:r>
        <w:rPr>
          <w:lang w:val="en-US"/>
        </w:rPr>
        <w:t>5</w:t>
      </w:r>
      <w:r w:rsidRPr="00D21DA8">
        <w:rPr>
          <w:lang w:val="en-US"/>
        </w:rPr>
        <w:t>2, 0.4</w:t>
      </w:r>
      <w:r>
        <w:rPr>
          <w:lang w:val="en-US"/>
        </w:rPr>
        <w:t>3</w:t>
      </w:r>
      <w:r w:rsidRPr="00D21DA8">
        <w:rPr>
          <w:lang w:val="en-US"/>
        </w:rPr>
        <w:t xml:space="preserve"> and 0.</w:t>
      </w:r>
      <w:r>
        <w:rPr>
          <w:lang w:val="en-US"/>
        </w:rPr>
        <w:t xml:space="preserve">4 </w:t>
      </w:r>
      <w:r w:rsidRPr="00D21DA8">
        <w:rPr>
          <w:lang w:val="en-US"/>
        </w:rPr>
        <w:t>m</w:t>
      </w:r>
      <w:r>
        <w:rPr>
          <w:lang w:val="en-US"/>
        </w:rPr>
        <w:t>/</w:t>
      </w:r>
      <w:r w:rsidRPr="00D21DA8">
        <w:rPr>
          <w:lang w:val="en-US"/>
        </w:rPr>
        <w:t xml:space="preserve">s </w:t>
      </w:r>
      <w:r>
        <w:rPr>
          <w:lang w:val="en-US"/>
        </w:rPr>
        <w:t xml:space="preserve">below Locks </w:t>
      </w:r>
      <w:r w:rsidRPr="00D21DA8">
        <w:rPr>
          <w:lang w:val="en-US"/>
        </w:rPr>
        <w:t>6, 4, and 1</w:t>
      </w:r>
      <w:r>
        <w:rPr>
          <w:lang w:val="en-US"/>
        </w:rPr>
        <w:t>,</w:t>
      </w:r>
      <w:r w:rsidRPr="00FF3C42">
        <w:rPr>
          <w:lang w:val="en-US"/>
        </w:rPr>
        <w:t xml:space="preserve"> </w:t>
      </w:r>
      <w:r w:rsidRPr="00D21DA8">
        <w:rPr>
          <w:lang w:val="en-US"/>
        </w:rPr>
        <w:t>respectively</w:t>
      </w:r>
      <w:r>
        <w:rPr>
          <w:lang w:val="en-US"/>
        </w:rPr>
        <w:t>),</w:t>
      </w:r>
      <w:r w:rsidRPr="007C2C69">
        <w:rPr>
          <w:lang w:val="en-US"/>
        </w:rPr>
        <w:t xml:space="preserve"> marked unexpected decline</w:t>
      </w:r>
      <w:r>
        <w:rPr>
          <w:lang w:val="en-US"/>
        </w:rPr>
        <w:t>s</w:t>
      </w:r>
      <w:r w:rsidRPr="007C2C69">
        <w:rPr>
          <w:lang w:val="en-US"/>
        </w:rPr>
        <w:t xml:space="preserve"> in gas exchange coefficients </w:t>
      </w:r>
      <w:r>
        <w:rPr>
          <w:lang w:val="en-US"/>
        </w:rPr>
        <w:t>that suggested potentially unreliable river metabolism estimates</w:t>
      </w:r>
      <w:r w:rsidRPr="007C2C69">
        <w:rPr>
          <w:lang w:val="en-US"/>
        </w:rPr>
        <w:t xml:space="preserve">. </w:t>
      </w:r>
      <w:r>
        <w:rPr>
          <w:lang w:val="en-US"/>
        </w:rPr>
        <w:t xml:space="preserve">These declines were attributed to the increasing interaction between the river channel and low-lying floodplain areas at the </w:t>
      </w:r>
      <w:r w:rsidRPr="007C2C69">
        <w:rPr>
          <w:lang w:val="en-US"/>
        </w:rPr>
        <w:t>correspond</w:t>
      </w:r>
      <w:r>
        <w:rPr>
          <w:lang w:val="en-US"/>
        </w:rPr>
        <w:t>ing</w:t>
      </w:r>
      <w:r w:rsidRPr="007C2C69">
        <w:rPr>
          <w:lang w:val="en-US"/>
        </w:rPr>
        <w:t xml:space="preserve"> discharge rates </w:t>
      </w:r>
      <w:r>
        <w:rPr>
          <w:lang w:val="en-US"/>
        </w:rPr>
        <w:t>(</w:t>
      </w:r>
      <w:r w:rsidR="00F058A8">
        <w:rPr>
          <w:lang w:val="en-US"/>
        </w:rPr>
        <w:t>~</w:t>
      </w:r>
      <w:r w:rsidRPr="007C2C69">
        <w:rPr>
          <w:lang w:val="en-US"/>
        </w:rPr>
        <w:t>1</w:t>
      </w:r>
      <w:r>
        <w:rPr>
          <w:lang w:val="en-US"/>
        </w:rPr>
        <w:t>9</w:t>
      </w:r>
      <w:r w:rsidRPr="007C2C69">
        <w:rPr>
          <w:lang w:val="en-US"/>
        </w:rPr>
        <w:t>,000</w:t>
      </w:r>
      <w:r>
        <w:rPr>
          <w:lang w:val="en-US"/>
        </w:rPr>
        <w:t>–</w:t>
      </w:r>
      <w:r w:rsidRPr="007C2C69">
        <w:rPr>
          <w:lang w:val="en-US"/>
        </w:rPr>
        <w:t>2</w:t>
      </w:r>
      <w:r>
        <w:rPr>
          <w:lang w:val="en-US"/>
        </w:rPr>
        <w:t>4</w:t>
      </w:r>
      <w:r w:rsidRPr="007C2C69">
        <w:rPr>
          <w:lang w:val="en-US"/>
        </w:rPr>
        <w:t>,000</w:t>
      </w:r>
      <w:r>
        <w:rPr>
          <w:lang w:val="en-US"/>
        </w:rPr>
        <w:t> </w:t>
      </w:r>
      <w:r w:rsidRPr="007C2C69">
        <w:rPr>
          <w:lang w:val="en-US"/>
        </w:rPr>
        <w:t>ML/d</w:t>
      </w:r>
      <w:r>
        <w:rPr>
          <w:lang w:val="en-US"/>
        </w:rPr>
        <w:t>).</w:t>
      </w:r>
    </w:p>
    <w:p w14:paraId="2477B8CA" w14:textId="77777777" w:rsidR="00B10666" w:rsidRDefault="00B10666" w:rsidP="00B10666">
      <w:pPr>
        <w:pStyle w:val="ListParagraph"/>
        <w:ind w:left="0"/>
        <w:contextualSpacing w:val="0"/>
        <w:rPr>
          <w:lang w:val="en-US"/>
        </w:rPr>
      </w:pPr>
    </w:p>
    <w:p w14:paraId="1FF8E012" w14:textId="77777777" w:rsidR="00B10666" w:rsidRDefault="00B10666" w:rsidP="00B10666">
      <w:pPr>
        <w:pStyle w:val="ListParagraph"/>
        <w:ind w:left="0"/>
        <w:contextualSpacing w:val="0"/>
        <w:rPr>
          <w:iCs/>
          <w:szCs w:val="22"/>
          <w:lang w:val="en-US"/>
        </w:rPr>
      </w:pPr>
    </w:p>
    <w:p w14:paraId="29B8DF58" w14:textId="77777777" w:rsidR="00B10666" w:rsidRDefault="00B10666" w:rsidP="00B10666">
      <w:pPr>
        <w:pStyle w:val="ListParagraph"/>
        <w:ind w:left="0"/>
        <w:jc w:val="center"/>
        <w:rPr>
          <w:iCs/>
          <w:szCs w:val="22"/>
          <w:lang w:val="en-US"/>
        </w:rPr>
      </w:pPr>
      <w:r>
        <w:rPr>
          <w:iCs/>
          <w:noProof/>
          <w:szCs w:val="22"/>
          <w:lang w:val="en-US"/>
        </w:rPr>
        <w:lastRenderedPageBreak/>
        <w:drawing>
          <wp:inline distT="0" distB="0" distL="0" distR="0" wp14:anchorId="525B9676" wp14:editId="52AAD9AE">
            <wp:extent cx="4435358" cy="2695608"/>
            <wp:effectExtent l="0" t="0" r="3810" b="0"/>
            <wp:docPr id="4" name="Picture 4" descr="Graph showing the relationship between the gas exchange coefficient and water velocity at sampling sites downstream of Lock 6, 4 and 1 from 2014 to 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 showing the relationship between the gas exchange coefficient and water velocity at sampling sites downstream of Lock 6, 4 and 1 from 2014 to 2024. "/>
                    <pic:cNvPicPr>
                      <a:picLocks noChangeAspect="1" noChangeArrowheads="1"/>
                    </pic:cNvPicPr>
                  </pic:nvPicPr>
                  <pic:blipFill>
                    <a:blip r:embed="rId82">
                      <a:extLst>
                        <a:ext uri="{28A0092B-C50C-407E-A947-70E740481C1C}">
                          <a14:useLocalDpi xmlns:a14="http://schemas.microsoft.com/office/drawing/2010/main" val="0"/>
                        </a:ext>
                      </a:extLst>
                    </a:blip>
                    <a:srcRect l="1145" r="1145"/>
                    <a:stretch>
                      <a:fillRect/>
                    </a:stretch>
                  </pic:blipFill>
                  <pic:spPr bwMode="auto">
                    <a:xfrm>
                      <a:off x="0" y="0"/>
                      <a:ext cx="4435358" cy="2695608"/>
                    </a:xfrm>
                    <a:prstGeom prst="rect">
                      <a:avLst/>
                    </a:prstGeom>
                    <a:ln>
                      <a:noFill/>
                    </a:ln>
                    <a:extLst>
                      <a:ext uri="{53640926-AAD7-44D8-BBD7-CCE9431645EC}">
                        <a14:shadowObscured xmlns:a14="http://schemas.microsoft.com/office/drawing/2010/main"/>
                      </a:ext>
                    </a:extLst>
                  </pic:spPr>
                </pic:pic>
              </a:graphicData>
            </a:graphic>
          </wp:inline>
        </w:drawing>
      </w:r>
    </w:p>
    <w:p w14:paraId="345CED6A" w14:textId="442F7C42" w:rsidR="00B10666" w:rsidRDefault="00B10666" w:rsidP="00B10666">
      <w:pPr>
        <w:pStyle w:val="Caption"/>
      </w:pPr>
      <w:bookmarkStart w:id="180" w:name="_Ref59030552"/>
      <w:bookmarkStart w:id="181" w:name="_Toc152860249"/>
      <w:bookmarkStart w:id="182" w:name="_Ref156911785"/>
      <w:bookmarkStart w:id="183" w:name="_Toc200464472"/>
      <w:r>
        <w:t xml:space="preserve">Figure </w:t>
      </w:r>
      <w:r>
        <w:fldChar w:fldCharType="begin"/>
      </w:r>
      <w:r>
        <w:instrText>SEQ Figure \* ARABIC</w:instrText>
      </w:r>
      <w:r>
        <w:fldChar w:fldCharType="separate"/>
      </w:r>
      <w:r w:rsidR="00102828">
        <w:rPr>
          <w:noProof/>
        </w:rPr>
        <w:t>21</w:t>
      </w:r>
      <w:r>
        <w:fldChar w:fldCharType="end"/>
      </w:r>
      <w:bookmarkEnd w:id="180"/>
      <w:r>
        <w:t xml:space="preserve">. </w:t>
      </w:r>
      <w:r w:rsidRPr="005A1619">
        <w:t xml:space="preserve">The </w:t>
      </w:r>
      <w:r>
        <w:t xml:space="preserve">relationship between the </w:t>
      </w:r>
      <w:r w:rsidRPr="005A1619">
        <w:t xml:space="preserve">gas exchange </w:t>
      </w:r>
      <w:r>
        <w:t>coefficient</w:t>
      </w:r>
      <w:r w:rsidRPr="005A1619">
        <w:t xml:space="preserve"> </w:t>
      </w:r>
      <w:r>
        <w:t>(K) and</w:t>
      </w:r>
      <w:r w:rsidRPr="005A1619">
        <w:t xml:space="preserve"> water velocit</w:t>
      </w:r>
      <w:r>
        <w:t>y</w:t>
      </w:r>
      <w:r w:rsidR="00CF2070">
        <w:t xml:space="preserve"> at sampling sites</w:t>
      </w:r>
      <w:r>
        <w:t xml:space="preserve"> downstream of </w:t>
      </w:r>
      <w:r w:rsidRPr="00C3722F">
        <w:rPr>
          <w:szCs w:val="20"/>
        </w:rPr>
        <w:t>Lock 6 (</w:t>
      </w:r>
      <w:r w:rsidRPr="00C3722F">
        <w:rPr>
          <w:color w:val="0070C0"/>
          <w:szCs w:val="20"/>
        </w:rPr>
        <w:t>●</w:t>
      </w:r>
      <w:r w:rsidRPr="00C3722F">
        <w:rPr>
          <w:szCs w:val="20"/>
        </w:rPr>
        <w:t>), Lock 4 (</w:t>
      </w:r>
      <w:r w:rsidRPr="00C3722F">
        <w:rPr>
          <w:color w:val="808080" w:themeColor="background1" w:themeShade="80"/>
          <w:szCs w:val="20"/>
        </w:rPr>
        <w:t>●</w:t>
      </w:r>
      <w:r w:rsidRPr="00C3722F">
        <w:rPr>
          <w:szCs w:val="20"/>
        </w:rPr>
        <w:t>) and Lock 1 (</w:t>
      </w:r>
      <w:r w:rsidRPr="00C3722F">
        <w:rPr>
          <w:color w:val="ED7D31" w:themeColor="accent2"/>
          <w:szCs w:val="20"/>
        </w:rPr>
        <w:t>●</w:t>
      </w:r>
      <w:r w:rsidRPr="00C3722F">
        <w:rPr>
          <w:szCs w:val="20"/>
        </w:rPr>
        <w:t xml:space="preserve">) </w:t>
      </w:r>
      <w:r>
        <w:rPr>
          <w:szCs w:val="20"/>
        </w:rPr>
        <w:t>for all monitoring periods from 2014 to 2024</w:t>
      </w:r>
      <w:r>
        <w:t>.</w:t>
      </w:r>
      <w:bookmarkEnd w:id="181"/>
      <w:bookmarkEnd w:id="182"/>
      <w:bookmarkEnd w:id="183"/>
    </w:p>
    <w:p w14:paraId="6C0CC90E" w14:textId="77777777" w:rsidR="00B10666" w:rsidRDefault="00B10666" w:rsidP="00B10666"/>
    <w:p w14:paraId="418A1E37" w14:textId="77777777" w:rsidR="00B10666" w:rsidRDefault="00B10666" w:rsidP="00B10666">
      <w:pPr>
        <w:pStyle w:val="ListParagraph"/>
        <w:ind w:left="0"/>
        <w:contextualSpacing w:val="0"/>
        <w:rPr>
          <w:iCs/>
          <w:szCs w:val="22"/>
          <w:highlight w:val="yellow"/>
          <w:lang w:val="en-US"/>
        </w:rPr>
      </w:pPr>
      <w:r>
        <w:rPr>
          <w:i/>
          <w:u w:val="single"/>
        </w:rPr>
        <w:t>Influence of flow on light and g</w:t>
      </w:r>
      <w:r w:rsidRPr="00227FE9">
        <w:rPr>
          <w:i/>
          <w:u w:val="single"/>
        </w:rPr>
        <w:t xml:space="preserve">ross </w:t>
      </w:r>
      <w:r>
        <w:rPr>
          <w:i/>
          <w:u w:val="single"/>
        </w:rPr>
        <w:t>p</w:t>
      </w:r>
      <w:r w:rsidRPr="00227FE9">
        <w:rPr>
          <w:i/>
          <w:u w:val="single"/>
        </w:rPr>
        <w:t xml:space="preserve">rimary </w:t>
      </w:r>
      <w:r>
        <w:rPr>
          <w:i/>
          <w:u w:val="single"/>
        </w:rPr>
        <w:t>p</w:t>
      </w:r>
      <w:r w:rsidRPr="00227FE9">
        <w:rPr>
          <w:i/>
          <w:u w:val="single"/>
        </w:rPr>
        <w:t>roduction</w:t>
      </w:r>
      <w:r>
        <w:rPr>
          <w:i/>
          <w:u w:val="single"/>
        </w:rPr>
        <w:t xml:space="preserve"> </w:t>
      </w:r>
    </w:p>
    <w:p w14:paraId="6AB5EED5" w14:textId="1CEAF11A" w:rsidR="00B10666" w:rsidRPr="00E52235" w:rsidRDefault="00B10666" w:rsidP="00B10666">
      <w:r w:rsidRPr="00E52235">
        <w:t xml:space="preserve">Rates of GPP were </w:t>
      </w:r>
      <w:r w:rsidRPr="000C3592">
        <w:t>standardised</w:t>
      </w:r>
      <w:r w:rsidRPr="00E52235">
        <w:t xml:space="preserve"> to the chlorophyll concentration (GPP(b)) and compared with corresponding mean irradiances </w:t>
      </w:r>
      <w:r w:rsidR="008F4451">
        <w:t>(</w:t>
      </w:r>
      <w:r w:rsidRPr="00E52235">
        <w:rPr>
          <w:i/>
          <w:iCs/>
        </w:rPr>
        <w:t>Im</w:t>
      </w:r>
      <w:r w:rsidR="008F4451">
        <w:t>)</w:t>
      </w:r>
      <w:r w:rsidRPr="00E52235">
        <w:t xml:space="preserve">. </w:t>
      </w:r>
      <w:r>
        <w:t>T</w:t>
      </w:r>
      <w:r w:rsidRPr="00E52235">
        <w:t>he sample size</w:t>
      </w:r>
      <w:r>
        <w:t xml:space="preserve"> was increased by assuming</w:t>
      </w:r>
      <w:r w:rsidRPr="00E52235">
        <w:t xml:space="preserve"> </w:t>
      </w:r>
      <w:r>
        <w:t xml:space="preserve">that </w:t>
      </w:r>
      <w:r w:rsidRPr="00E52235">
        <w:t xml:space="preserve">chlorophyll concentrations were constant for three days </w:t>
      </w:r>
      <w:r>
        <w:t>before</w:t>
      </w:r>
      <w:r w:rsidRPr="00E52235">
        <w:t xml:space="preserve"> and </w:t>
      </w:r>
      <w:r>
        <w:t>after</w:t>
      </w:r>
      <w:r w:rsidRPr="00E52235">
        <w:t xml:space="preserve"> the sampling date</w:t>
      </w:r>
      <w:r>
        <w:t xml:space="preserve"> to include a wider range of GPP values</w:t>
      </w:r>
      <w:r w:rsidRPr="00E52235">
        <w:t xml:space="preserve">. Reductions in this time range had minor effects on the derived relationship. The data of 794 days (267, 206, 321 </w:t>
      </w:r>
      <w:r>
        <w:t>below</w:t>
      </w:r>
      <w:r w:rsidRPr="00E52235">
        <w:t xml:space="preserve"> Locks 6, 4 and 1 respectively), demonstrated a significant correlation between GPP(b) and </w:t>
      </w:r>
      <w:r w:rsidRPr="00E52235">
        <w:rPr>
          <w:i/>
          <w:iCs/>
        </w:rPr>
        <w:t>Im</w:t>
      </w:r>
      <w:r w:rsidRPr="00E52235">
        <w:t xml:space="preserve"> (</w:t>
      </w:r>
      <w:r>
        <w:fldChar w:fldCharType="begin"/>
      </w:r>
      <w:r>
        <w:instrText xml:space="preserve"> REF _Ref193267274 \h </w:instrText>
      </w:r>
      <w:r>
        <w:fldChar w:fldCharType="separate"/>
      </w:r>
      <w:r w:rsidR="00102828">
        <w:t xml:space="preserve">Figure </w:t>
      </w:r>
      <w:r w:rsidR="00102828">
        <w:rPr>
          <w:noProof/>
        </w:rPr>
        <w:t>22</w:t>
      </w:r>
      <w:r>
        <w:fldChar w:fldCharType="end"/>
      </w:r>
      <w:r w:rsidRPr="00E52235">
        <w:t xml:space="preserve">). </w:t>
      </w:r>
    </w:p>
    <w:p w14:paraId="60984CD3" w14:textId="77777777" w:rsidR="00B10666" w:rsidRDefault="00B10666" w:rsidP="00B10666">
      <w:pPr>
        <w:rPr>
          <w:lang w:val="en-US"/>
        </w:rPr>
      </w:pPr>
    </w:p>
    <w:p w14:paraId="4DC826A0" w14:textId="77777777" w:rsidR="00B10666" w:rsidRDefault="00B10666" w:rsidP="00B10666">
      <w:pPr>
        <w:jc w:val="center"/>
        <w:rPr>
          <w:lang w:val="en-US"/>
        </w:rPr>
      </w:pPr>
      <w:r w:rsidRPr="001D2D97">
        <w:rPr>
          <w:iCs/>
          <w:noProof/>
          <w:szCs w:val="22"/>
        </w:rPr>
        <w:drawing>
          <wp:inline distT="0" distB="0" distL="0" distR="0" wp14:anchorId="2DA0703D" wp14:editId="1D883FD8">
            <wp:extent cx="4185343" cy="2447715"/>
            <wp:effectExtent l="0" t="0" r="5715" b="0"/>
            <wp:docPr id="843542672" name="Picture 33" descr="Graph showing the relationship between gross primary production per unit chlorophyll and the mean irradiance of the water column from 2014 to 2024 at sampling sites downstream of Lock 6, 4 and 1.">
              <a:extLst xmlns:a="http://schemas.openxmlformats.org/drawingml/2006/main">
                <a:ext uri="{FF2B5EF4-FFF2-40B4-BE49-F238E27FC236}">
                  <a16:creationId xmlns:a16="http://schemas.microsoft.com/office/drawing/2014/main" id="{41AC0B9E-6433-EE2C-A526-E7EFADFACD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42672" name="Picture 33" descr="Graph showing the relationship between gross primary production per unit chlorophyll and the mean irradiance of the water column from 2014 to 2024 at sampling sites downstream of Lock 6, 4 and 1.">
                      <a:extLst>
                        <a:ext uri="{FF2B5EF4-FFF2-40B4-BE49-F238E27FC236}">
                          <a16:creationId xmlns:a16="http://schemas.microsoft.com/office/drawing/2014/main" id="{41AC0B9E-6433-EE2C-A526-E7EFADFACDB8}"/>
                        </a:ext>
                      </a:extLst>
                    </pic:cNvPr>
                    <pic:cNvPicPr>
                      <a:picLocks noChangeAspect="1"/>
                    </pic:cNvPicPr>
                  </pic:nvPicPr>
                  <pic:blipFill>
                    <a:blip r:embed="rId83">
                      <a:extLst>
                        <a:ext uri="{96DAC541-7B7A-43D3-8B79-37D633B846F1}">
                          <asvg:svgBlip xmlns:asvg="http://schemas.microsoft.com/office/drawing/2016/SVG/main" r:embed="rId84"/>
                        </a:ext>
                      </a:extLst>
                    </a:blip>
                    <a:stretch>
                      <a:fillRect/>
                    </a:stretch>
                  </pic:blipFill>
                  <pic:spPr>
                    <a:xfrm>
                      <a:off x="0" y="0"/>
                      <a:ext cx="4185343" cy="2447715"/>
                    </a:xfrm>
                    <a:prstGeom prst="rect">
                      <a:avLst/>
                    </a:prstGeom>
                  </pic:spPr>
                </pic:pic>
              </a:graphicData>
            </a:graphic>
          </wp:inline>
        </w:drawing>
      </w:r>
    </w:p>
    <w:p w14:paraId="127E9827" w14:textId="46D80091" w:rsidR="00B10666" w:rsidRPr="004B1320" w:rsidRDefault="00B10666" w:rsidP="00B10666">
      <w:pPr>
        <w:pStyle w:val="Caption"/>
        <w:rPr>
          <w:iCs/>
          <w:szCs w:val="22"/>
        </w:rPr>
      </w:pPr>
      <w:bookmarkStart w:id="184" w:name="_Ref193267274"/>
      <w:bookmarkStart w:id="185" w:name="_Toc200464473"/>
      <w:r>
        <w:t xml:space="preserve">Figure </w:t>
      </w:r>
      <w:r>
        <w:fldChar w:fldCharType="begin"/>
      </w:r>
      <w:r>
        <w:instrText>SEQ Figure \* ARABIC</w:instrText>
      </w:r>
      <w:r>
        <w:fldChar w:fldCharType="separate"/>
      </w:r>
      <w:r w:rsidR="00102828">
        <w:rPr>
          <w:noProof/>
        </w:rPr>
        <w:t>22</w:t>
      </w:r>
      <w:r>
        <w:fldChar w:fldCharType="end"/>
      </w:r>
      <w:bookmarkEnd w:id="184"/>
      <w:r>
        <w:t>.</w:t>
      </w:r>
      <w:r w:rsidRPr="00C53774">
        <w:t xml:space="preserve"> </w:t>
      </w:r>
      <w:r w:rsidRPr="005F7109">
        <w:t xml:space="preserve">The </w:t>
      </w:r>
      <w:r>
        <w:t>relationship</w:t>
      </w:r>
      <w:r w:rsidRPr="005F7109">
        <w:t xml:space="preserve"> </w:t>
      </w:r>
      <w:r>
        <w:t>between</w:t>
      </w:r>
      <w:r w:rsidRPr="005F7109">
        <w:t xml:space="preserve"> </w:t>
      </w:r>
      <w:r w:rsidRPr="000208E2">
        <w:t xml:space="preserve">gross primary production </w:t>
      </w:r>
      <w:r w:rsidRPr="005F7109">
        <w:t xml:space="preserve">per unit </w:t>
      </w:r>
      <w:r>
        <w:t>chlorophyll</w:t>
      </w:r>
      <w:r w:rsidRPr="005F7109">
        <w:t xml:space="preserve"> </w:t>
      </w:r>
      <w:r>
        <w:t>(GPP(b)) and</w:t>
      </w:r>
      <w:r w:rsidRPr="005F7109">
        <w:t xml:space="preserve"> the mean irradiance </w:t>
      </w:r>
      <w:r>
        <w:t>(</w:t>
      </w:r>
      <w:r w:rsidRPr="0040567A">
        <w:rPr>
          <w:i/>
          <w:iCs/>
        </w:rPr>
        <w:t>lm</w:t>
      </w:r>
      <w:r>
        <w:t xml:space="preserve">) </w:t>
      </w:r>
      <w:r w:rsidRPr="005F7109">
        <w:t>of the water column</w:t>
      </w:r>
      <w:r>
        <w:t xml:space="preserve"> for all </w:t>
      </w:r>
      <w:r>
        <w:rPr>
          <w:szCs w:val="20"/>
        </w:rPr>
        <w:t xml:space="preserve">monitoring periods from 2014 to 2024 </w:t>
      </w:r>
      <w:r w:rsidR="00CF2070">
        <w:rPr>
          <w:szCs w:val="20"/>
        </w:rPr>
        <w:t xml:space="preserve">at sampling sites </w:t>
      </w:r>
      <w:r>
        <w:t xml:space="preserve">downstream of </w:t>
      </w:r>
      <w:r w:rsidRPr="00C3722F">
        <w:rPr>
          <w:szCs w:val="20"/>
        </w:rPr>
        <w:t>Lock 6 (</w:t>
      </w:r>
      <w:r w:rsidRPr="00C3722F">
        <w:rPr>
          <w:color w:val="0070C0"/>
          <w:szCs w:val="20"/>
        </w:rPr>
        <w:t>●</w:t>
      </w:r>
      <w:r w:rsidRPr="00C3722F">
        <w:rPr>
          <w:szCs w:val="20"/>
        </w:rPr>
        <w:t>), Lock 4 (</w:t>
      </w:r>
      <w:r w:rsidRPr="00C3722F">
        <w:rPr>
          <w:color w:val="808080" w:themeColor="background1" w:themeShade="80"/>
          <w:szCs w:val="20"/>
        </w:rPr>
        <w:t>●</w:t>
      </w:r>
      <w:r w:rsidRPr="00C3722F">
        <w:rPr>
          <w:szCs w:val="20"/>
        </w:rPr>
        <w:t>) and Lock 1 (</w:t>
      </w:r>
      <w:r w:rsidRPr="00C3722F">
        <w:rPr>
          <w:color w:val="ED7D31" w:themeColor="accent2"/>
          <w:szCs w:val="20"/>
        </w:rPr>
        <w:t>●</w:t>
      </w:r>
      <w:r w:rsidRPr="00C3722F">
        <w:rPr>
          <w:szCs w:val="20"/>
        </w:rPr>
        <w:t>)</w:t>
      </w:r>
      <w:r>
        <w:rPr>
          <w:szCs w:val="20"/>
        </w:rPr>
        <w:t>, and the linear regression for all data except when water velocity was &lt;0.18 m/s below Lock 1.</w:t>
      </w:r>
      <w:bookmarkEnd w:id="185"/>
    </w:p>
    <w:p w14:paraId="1D9FC359" w14:textId="77777777" w:rsidR="00B10666" w:rsidRDefault="00B10666" w:rsidP="00B10666">
      <w:pPr>
        <w:rPr>
          <w:lang w:val="en-US"/>
        </w:rPr>
      </w:pPr>
      <w:r>
        <w:rPr>
          <w:lang w:val="en-US"/>
        </w:rPr>
        <w:lastRenderedPageBreak/>
        <w:t>A few samples downstream of Lock 1 did not match the general relationship, with high specific production rates unresponsive to changes in irradiance. These 33 dates occurred when water velocity was less than 0.18 m/s. Not all data below the low velocity boundary at Lock 1 showed this disparity, but an environmental cue to enable their objective separation could not be identified and all were removed from the correlation. The remaining data across all sites yielded the regression:</w:t>
      </w:r>
    </w:p>
    <w:p w14:paraId="1515E322" w14:textId="77777777" w:rsidR="00B10666" w:rsidRPr="00B27DAA" w:rsidRDefault="00B10666" w:rsidP="00B10666">
      <w:pPr>
        <w:jc w:val="center"/>
        <w:rPr>
          <w:rFonts w:ascii="Cambria Math" w:hAnsi="Cambria Math"/>
          <w:lang w:val="en-US"/>
        </w:rPr>
      </w:pPr>
      <w:r w:rsidRPr="00B27DAA">
        <w:rPr>
          <w:rFonts w:ascii="Cambria Math" w:hAnsi="Cambria Math"/>
          <w:lang w:val="en-US"/>
        </w:rPr>
        <w:t>GPP(b) = 0.81(±0.02)*</w:t>
      </w:r>
      <w:r w:rsidRPr="00B27DAA">
        <w:rPr>
          <w:rFonts w:ascii="Cambria Math" w:hAnsi="Cambria Math"/>
          <w:i/>
          <w:iCs/>
          <w:lang w:val="en-US"/>
        </w:rPr>
        <w:t>Im</w:t>
      </w:r>
      <w:r w:rsidRPr="00B27DAA">
        <w:rPr>
          <w:rFonts w:ascii="Cambria Math" w:hAnsi="Cambria Math"/>
          <w:lang w:val="en-US"/>
        </w:rPr>
        <w:t xml:space="preserve"> + 4.34(±2.29)    r</w:t>
      </w:r>
      <w:r w:rsidRPr="00B27DAA">
        <w:rPr>
          <w:rFonts w:ascii="Cambria Math" w:hAnsi="Cambria Math"/>
          <w:vertAlign w:val="superscript"/>
          <w:lang w:val="en-US"/>
        </w:rPr>
        <w:t>2</w:t>
      </w:r>
      <w:r w:rsidRPr="00B27DAA">
        <w:rPr>
          <w:rFonts w:ascii="Cambria Math" w:hAnsi="Cambria Math"/>
          <w:lang w:val="en-US"/>
        </w:rPr>
        <w:t>=0.63</w:t>
      </w:r>
    </w:p>
    <w:p w14:paraId="03B752DE" w14:textId="77777777" w:rsidR="00B10666" w:rsidRDefault="00B10666" w:rsidP="00B10666">
      <w:pPr>
        <w:rPr>
          <w:lang w:val="en-US"/>
        </w:rPr>
      </w:pPr>
      <w:r>
        <w:rPr>
          <w:lang w:val="en-US"/>
        </w:rPr>
        <w:t xml:space="preserve">As GPP(b) was expected to be zero when </w:t>
      </w:r>
      <w:r w:rsidRPr="001E2D7F">
        <w:rPr>
          <w:i/>
          <w:lang w:val="en-US"/>
        </w:rPr>
        <w:t>Im</w:t>
      </w:r>
      <w:r>
        <w:rPr>
          <w:lang w:val="en-US"/>
        </w:rPr>
        <w:t xml:space="preserve"> was zero, and the regression constant was not significantly different from zero, a linear regression was forced through the origin and yielded a slope of 0.85, not significantly different from the full regression. This relationship was used to assess the influence of different flow scenarios</w:t>
      </w:r>
      <w:r w:rsidRPr="009B1AFD">
        <w:rPr>
          <w:lang w:val="en-US"/>
        </w:rPr>
        <w:t xml:space="preserve"> </w:t>
      </w:r>
      <w:r>
        <w:rPr>
          <w:lang w:val="en-US"/>
        </w:rPr>
        <w:t>on relative changes in GPP(b). As</w:t>
      </w:r>
      <w:r w:rsidRPr="000D213E">
        <w:rPr>
          <w:lang w:val="en-US"/>
        </w:rPr>
        <w:t xml:space="preserve"> </w:t>
      </w:r>
      <w:r>
        <w:rPr>
          <w:lang w:val="en-US"/>
        </w:rPr>
        <w:t xml:space="preserve">incident irradiance and the vertical attenuation coefficient were considered unchanged when comparing daily actual and counterfactual flow scenarios, </w:t>
      </w:r>
      <w:r w:rsidRPr="001E2D7F">
        <w:rPr>
          <w:i/>
          <w:lang w:val="en-US"/>
        </w:rPr>
        <w:t>Im</w:t>
      </w:r>
      <w:r>
        <w:rPr>
          <w:lang w:val="en-US"/>
        </w:rPr>
        <w:t xml:space="preserve"> (Equation 2), and so GPP(b), depended inversely on the average depth. The ratio of GPP(b) estimates from daily flow scenarios was then equivalent to the ratio of the different average depths as: </w:t>
      </w:r>
    </w:p>
    <w:p w14:paraId="2AF2B503" w14:textId="77777777" w:rsidR="00B10666" w:rsidRPr="00B27DAA" w:rsidRDefault="00B10666" w:rsidP="00B10666">
      <w:pPr>
        <w:jc w:val="center"/>
        <w:rPr>
          <w:rFonts w:ascii="Cambria Math" w:hAnsi="Cambria Math"/>
          <w:lang w:val="en-US"/>
        </w:rPr>
      </w:pPr>
      <w:r w:rsidRPr="00B27DAA">
        <w:rPr>
          <w:rFonts w:ascii="Cambria Math" w:hAnsi="Cambria Math"/>
          <w:lang w:val="en-US"/>
        </w:rPr>
        <w:t>GPP(b) = 0.85 Im/(kd*zave)</w:t>
      </w:r>
    </w:p>
    <w:p w14:paraId="3C170DEE" w14:textId="77777777" w:rsidR="00B10666" w:rsidRPr="00B27DAA" w:rsidRDefault="00B10666" w:rsidP="00B10666">
      <w:pPr>
        <w:jc w:val="center"/>
        <w:rPr>
          <w:rFonts w:ascii="Cambria Math" w:hAnsi="Cambria Math"/>
          <w:lang w:val="en-US"/>
        </w:rPr>
      </w:pPr>
      <w:r w:rsidRPr="00B27DAA">
        <w:rPr>
          <w:rFonts w:ascii="Cambria Math" w:hAnsi="Cambria Math"/>
          <w:lang w:val="en-US"/>
        </w:rPr>
        <w:t>GPP(b)1/GPP(b)2 = zave2/zave1</w:t>
      </w:r>
    </w:p>
    <w:p w14:paraId="5B7E3522" w14:textId="77777777" w:rsidR="00B10666" w:rsidRDefault="00B10666" w:rsidP="00B10666">
      <w:pPr>
        <w:rPr>
          <w:lang w:val="en-US"/>
        </w:rPr>
      </w:pPr>
      <w:r w:rsidRPr="001E2D7F">
        <w:rPr>
          <w:lang w:val="en-US"/>
        </w:rPr>
        <w:t xml:space="preserve">Conversion of modelled GPP(b) </w:t>
      </w:r>
      <w:r>
        <w:rPr>
          <w:lang w:val="en-US"/>
        </w:rPr>
        <w:t xml:space="preserve">rates to </w:t>
      </w:r>
      <w:r w:rsidRPr="001E2D7F">
        <w:rPr>
          <w:lang w:val="en-US"/>
        </w:rPr>
        <w:t xml:space="preserve">estimates </w:t>
      </w:r>
      <w:r>
        <w:rPr>
          <w:lang w:val="en-US"/>
        </w:rPr>
        <w:t>of</w:t>
      </w:r>
      <w:r w:rsidRPr="001E2D7F">
        <w:rPr>
          <w:lang w:val="en-US"/>
        </w:rPr>
        <w:t xml:space="preserve"> GPP require</w:t>
      </w:r>
      <w:r>
        <w:rPr>
          <w:lang w:val="en-US"/>
        </w:rPr>
        <w:t>d</w:t>
      </w:r>
      <w:r w:rsidRPr="001E2D7F">
        <w:rPr>
          <w:lang w:val="en-US"/>
        </w:rPr>
        <w:t xml:space="preserve"> knowledge of the chlorophyll concentration</w:t>
      </w:r>
      <w:r>
        <w:rPr>
          <w:lang w:val="en-US"/>
        </w:rPr>
        <w:t>, but as this</w:t>
      </w:r>
      <w:r w:rsidRPr="001E2D7F">
        <w:rPr>
          <w:lang w:val="en-US"/>
        </w:rPr>
        <w:t xml:space="preserve"> </w:t>
      </w:r>
      <w:r>
        <w:rPr>
          <w:lang w:val="en-US"/>
        </w:rPr>
        <w:t>was</w:t>
      </w:r>
      <w:r w:rsidRPr="001E2D7F">
        <w:rPr>
          <w:lang w:val="en-US"/>
        </w:rPr>
        <w:t xml:space="preserve"> </w:t>
      </w:r>
      <w:r>
        <w:rPr>
          <w:lang w:val="en-US"/>
        </w:rPr>
        <w:t xml:space="preserve">assumed to be </w:t>
      </w:r>
      <w:r w:rsidRPr="001E2D7F">
        <w:rPr>
          <w:lang w:val="en-US"/>
        </w:rPr>
        <w:t xml:space="preserve">the same with and without environmental </w:t>
      </w:r>
      <w:r>
        <w:rPr>
          <w:lang w:val="en-US"/>
        </w:rPr>
        <w:t>water</w:t>
      </w:r>
      <w:r w:rsidRPr="001E2D7F">
        <w:rPr>
          <w:lang w:val="en-US"/>
        </w:rPr>
        <w:t xml:space="preserve">, relative </w:t>
      </w:r>
      <w:r>
        <w:rPr>
          <w:lang w:val="en-US"/>
        </w:rPr>
        <w:t xml:space="preserve">daily </w:t>
      </w:r>
      <w:r w:rsidRPr="001E2D7F">
        <w:rPr>
          <w:lang w:val="en-US"/>
        </w:rPr>
        <w:t xml:space="preserve">changes in GPP(b) and GPP </w:t>
      </w:r>
      <w:r>
        <w:rPr>
          <w:lang w:val="en-US"/>
        </w:rPr>
        <w:t>we</w:t>
      </w:r>
      <w:r w:rsidRPr="001E2D7F">
        <w:rPr>
          <w:lang w:val="en-US"/>
        </w:rPr>
        <w:t>re equivalent.</w:t>
      </w:r>
      <w:r>
        <w:rPr>
          <w:lang w:val="en-US"/>
        </w:rPr>
        <w:t xml:space="preserve"> This approach aligned with the general assumption that on any day the supply of water to the LMR had the same water quality characteristics under all flow scenarios.</w:t>
      </w:r>
    </w:p>
    <w:p w14:paraId="13C932BE" w14:textId="1E8FECEC" w:rsidR="00B10666" w:rsidRDefault="00B10666" w:rsidP="00B10666">
      <w:pPr>
        <w:rPr>
          <w:lang w:val="en-US"/>
        </w:rPr>
      </w:pPr>
      <w:bookmarkStart w:id="186" w:name="_Hlk132809178"/>
      <w:r>
        <w:rPr>
          <w:lang w:val="en-US"/>
        </w:rPr>
        <w:t xml:space="preserve">Delivery of environmental water increased water depth and reduced </w:t>
      </w:r>
      <w:r w:rsidRPr="00B27DAA">
        <w:rPr>
          <w:i/>
          <w:iCs/>
          <w:lang w:val="en-US"/>
        </w:rPr>
        <w:t>Im</w:t>
      </w:r>
      <w:r>
        <w:rPr>
          <w:lang w:val="en-US"/>
        </w:rPr>
        <w:t xml:space="preserve"> with associated reductions in GPP(b) and GPP (</w:t>
      </w:r>
      <w:r>
        <w:rPr>
          <w:lang w:val="en-US"/>
        </w:rPr>
        <w:fldChar w:fldCharType="begin"/>
      </w:r>
      <w:r>
        <w:rPr>
          <w:lang w:val="en-US"/>
        </w:rPr>
        <w:instrText xml:space="preserve"> REF _Ref193267315 \h </w:instrText>
      </w:r>
      <w:r>
        <w:rPr>
          <w:lang w:val="en-US"/>
        </w:rPr>
      </w:r>
      <w:r>
        <w:rPr>
          <w:lang w:val="en-US"/>
        </w:rPr>
        <w:fldChar w:fldCharType="separate"/>
      </w:r>
      <w:r w:rsidR="00102828">
        <w:t xml:space="preserve">Figure </w:t>
      </w:r>
      <w:r w:rsidR="00102828">
        <w:rPr>
          <w:noProof/>
        </w:rPr>
        <w:t>23</w:t>
      </w:r>
      <w:r>
        <w:rPr>
          <w:lang w:val="en-US"/>
        </w:rPr>
        <w:fldChar w:fldCharType="end"/>
      </w:r>
      <w:r>
        <w:rPr>
          <w:lang w:val="en-US"/>
        </w:rPr>
        <w:t>). Relative reductions due to Commonwealth environmental water ranged from almost zero to 26%, with the smallest ranges below Lock</w:t>
      </w:r>
      <w:r w:rsidR="00CD126F">
        <w:rPr>
          <w:lang w:val="en-US"/>
        </w:rPr>
        <w:t> </w:t>
      </w:r>
      <w:r>
        <w:rPr>
          <w:lang w:val="en-US"/>
        </w:rPr>
        <w:t>1 (maximum 11%), then below Lock 6 (maximum 19%) and the largest below Lock 4 (maximum 26%), reflecting different depth responses to discharge. The number of days with reductions in GPP greater than 10% illustrated the integrated impacts across sites, with those below Locks 6 and 4 in some years having reductions for 4 to 11 weeks (</w:t>
      </w:r>
      <w:r>
        <w:rPr>
          <w:lang w:val="en-US"/>
        </w:rPr>
        <w:fldChar w:fldCharType="begin"/>
      </w:r>
      <w:r>
        <w:rPr>
          <w:lang w:val="en-US"/>
        </w:rPr>
        <w:instrText xml:space="preserve"> REF _Ref193267315 \h </w:instrText>
      </w:r>
      <w:r>
        <w:rPr>
          <w:lang w:val="en-US"/>
        </w:rPr>
      </w:r>
      <w:r>
        <w:rPr>
          <w:lang w:val="en-US"/>
        </w:rPr>
        <w:fldChar w:fldCharType="separate"/>
      </w:r>
      <w:r w:rsidR="00102828">
        <w:t xml:space="preserve">Figure </w:t>
      </w:r>
      <w:r w:rsidR="00102828">
        <w:rPr>
          <w:noProof/>
        </w:rPr>
        <w:t>23</w:t>
      </w:r>
      <w:r>
        <w:rPr>
          <w:lang w:val="en-US"/>
        </w:rPr>
        <w:fldChar w:fldCharType="end"/>
      </w:r>
      <w:r>
        <w:rPr>
          <w:lang w:val="en-US"/>
        </w:rPr>
        <w:t xml:space="preserve">). </w:t>
      </w:r>
      <w:bookmarkStart w:id="187" w:name="_Hlk132880599"/>
      <w:r>
        <w:rPr>
          <w:lang w:val="en-US"/>
        </w:rPr>
        <w:t xml:space="preserve">Such prolonged reductions in primary production </w:t>
      </w:r>
      <w:bookmarkEnd w:id="187"/>
      <w:r>
        <w:rPr>
          <w:lang w:val="en-US"/>
        </w:rPr>
        <w:t>are expected to reduce basal food resource concentrations.</w:t>
      </w:r>
    </w:p>
    <w:p w14:paraId="28AC7140" w14:textId="69DC865C" w:rsidR="00B10666" w:rsidRDefault="00B10666" w:rsidP="00B10666">
      <w:pPr>
        <w:rPr>
          <w:lang w:val="en-US"/>
        </w:rPr>
      </w:pPr>
      <w:r>
        <w:rPr>
          <w:lang w:val="en-US"/>
        </w:rPr>
        <w:t>Rates of GPP described the volumetric primary production supply but not the total supply to the river, which was estimated from the product of GPP and the cross-sectional area of the flow. Relative changes in cross-sectional GPP due to Commonwealth environmental water were estimated from the relative change in average depth, and the corresponding relative change in cross-sectional areas. Despite some large reductions in the volumetric GPP due to environmental water (</w:t>
      </w:r>
      <w:r>
        <w:rPr>
          <w:lang w:val="en-US"/>
        </w:rPr>
        <w:fldChar w:fldCharType="begin"/>
      </w:r>
      <w:r>
        <w:rPr>
          <w:lang w:val="en-US"/>
        </w:rPr>
        <w:instrText xml:space="preserve"> REF _Ref193267274 \h </w:instrText>
      </w:r>
      <w:r>
        <w:rPr>
          <w:lang w:val="en-US"/>
        </w:rPr>
      </w:r>
      <w:r>
        <w:rPr>
          <w:lang w:val="en-US"/>
        </w:rPr>
        <w:fldChar w:fldCharType="separate"/>
      </w:r>
      <w:r w:rsidR="00102828">
        <w:t xml:space="preserve">Figure </w:t>
      </w:r>
      <w:r w:rsidR="00102828">
        <w:rPr>
          <w:noProof/>
        </w:rPr>
        <w:t>22</w:t>
      </w:r>
      <w:r>
        <w:rPr>
          <w:lang w:val="en-US"/>
        </w:rPr>
        <w:fldChar w:fldCharType="end"/>
      </w:r>
      <w:r>
        <w:rPr>
          <w:lang w:val="en-US"/>
        </w:rPr>
        <w:t>), the cross-sectional production per linear metre was less impacted, as relative increases in cross-sectional areas were often of similar size or larger than the relative reductions in GPP. These opposite effects were a function of the relationship between depth and cross-sectional area at the different sites.</w:t>
      </w:r>
      <w:r w:rsidRPr="00703958">
        <w:rPr>
          <w:lang w:val="en-US"/>
        </w:rPr>
        <w:t xml:space="preserve"> </w:t>
      </w:r>
      <w:r>
        <w:rPr>
          <w:lang w:val="en-US"/>
        </w:rPr>
        <w:t>The changes in cross-sectional production due to Commonwealth environmental water were increases of up to 6.4% below Lock 6, decreases of 3% to increases of 1% below Lock 4, and increases of up to 6% below Lock 1 (</w:t>
      </w:r>
      <w:r>
        <w:rPr>
          <w:lang w:val="en-US"/>
        </w:rPr>
        <w:fldChar w:fldCharType="begin"/>
      </w:r>
      <w:r>
        <w:rPr>
          <w:lang w:val="en-US"/>
        </w:rPr>
        <w:instrText xml:space="preserve"> REF _Ref193267315 \h </w:instrText>
      </w:r>
      <w:r>
        <w:rPr>
          <w:lang w:val="en-US"/>
        </w:rPr>
      </w:r>
      <w:r>
        <w:rPr>
          <w:lang w:val="en-US"/>
        </w:rPr>
        <w:fldChar w:fldCharType="separate"/>
      </w:r>
      <w:r w:rsidR="00102828">
        <w:t xml:space="preserve">Figure </w:t>
      </w:r>
      <w:r w:rsidR="00102828">
        <w:rPr>
          <w:noProof/>
        </w:rPr>
        <w:t>23</w:t>
      </w:r>
      <w:r>
        <w:rPr>
          <w:lang w:val="en-US"/>
        </w:rPr>
        <w:fldChar w:fldCharType="end"/>
      </w:r>
      <w:r>
        <w:rPr>
          <w:lang w:val="en-US"/>
        </w:rPr>
        <w:t xml:space="preserve">). The </w:t>
      </w:r>
      <w:r>
        <w:rPr>
          <w:lang w:val="en-US"/>
        </w:rPr>
        <w:lastRenderedPageBreak/>
        <w:t>longest period in any season when cross-sectional GPP increased by more than 5% was 17 days.</w:t>
      </w:r>
    </w:p>
    <w:p w14:paraId="7A817000" w14:textId="77777777" w:rsidR="00B10666" w:rsidRDefault="00B10666" w:rsidP="00B10666">
      <w:pPr>
        <w:rPr>
          <w:lang w:val="en-US"/>
        </w:rPr>
      </w:pPr>
    </w:p>
    <w:p w14:paraId="52B2A257" w14:textId="77777777" w:rsidR="00B10666" w:rsidRDefault="00B10666" w:rsidP="00B10666">
      <w:pPr>
        <w:jc w:val="center"/>
        <w:rPr>
          <w:lang w:val="en-US"/>
        </w:rPr>
      </w:pPr>
      <w:r>
        <w:rPr>
          <w:noProof/>
          <w:lang w:val="en-US"/>
        </w:rPr>
        <w:drawing>
          <wp:inline distT="0" distB="0" distL="0" distR="0" wp14:anchorId="0B210AC7" wp14:editId="57D37509">
            <wp:extent cx="5426075" cy="6517005"/>
            <wp:effectExtent l="0" t="0" r="3175" b="0"/>
            <wp:docPr id="1028106927" name="Picture 36" descr="Graphs showing changes in GPP across seasons at sites downstream of Lock 6, 4 a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106927" name="Picture 36" descr="Graphs showing changes in GPP across seasons at sites downstream of Lock 6, 4 and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26075" cy="6517005"/>
                    </a:xfrm>
                    <a:prstGeom prst="rect">
                      <a:avLst/>
                    </a:prstGeom>
                    <a:noFill/>
                  </pic:spPr>
                </pic:pic>
              </a:graphicData>
            </a:graphic>
          </wp:inline>
        </w:drawing>
      </w:r>
    </w:p>
    <w:p w14:paraId="2A0AC4A4" w14:textId="51D1D2C2" w:rsidR="00B10666" w:rsidRPr="00CD3F51" w:rsidRDefault="00B10666" w:rsidP="00B10666">
      <w:pPr>
        <w:pStyle w:val="Caption"/>
      </w:pPr>
      <w:bookmarkStart w:id="188" w:name="_Ref193267315"/>
      <w:bookmarkStart w:id="189" w:name="_Toc200464474"/>
      <w:r>
        <w:t xml:space="preserve">Figure </w:t>
      </w:r>
      <w:r>
        <w:fldChar w:fldCharType="begin"/>
      </w:r>
      <w:r>
        <w:instrText>SEQ Figure \* ARABIC</w:instrText>
      </w:r>
      <w:r>
        <w:fldChar w:fldCharType="separate"/>
      </w:r>
      <w:r w:rsidR="00102828">
        <w:rPr>
          <w:noProof/>
        </w:rPr>
        <w:t>23</w:t>
      </w:r>
      <w:r>
        <w:fldChar w:fldCharType="end"/>
      </w:r>
      <w:bookmarkEnd w:id="188"/>
      <w:r>
        <w:t>. F</w:t>
      </w:r>
      <w:r w:rsidRPr="00C3722F">
        <w:rPr>
          <w:szCs w:val="20"/>
        </w:rPr>
        <w:t>raction</w:t>
      </w:r>
      <w:r>
        <w:rPr>
          <w:szCs w:val="20"/>
        </w:rPr>
        <w:t xml:space="preserve">al changes in volumetric GPP </w:t>
      </w:r>
      <w:r w:rsidRPr="00C3722F">
        <w:t>(</w:t>
      </w:r>
      <w:r w:rsidRPr="002A5C9A">
        <w:rPr>
          <w:color w:val="70AD47" w:themeColor="accent6"/>
        </w:rPr>
        <w:t>●</w:t>
      </w:r>
      <w:r w:rsidRPr="00C3722F">
        <w:t>)</w:t>
      </w:r>
      <w:r>
        <w:rPr>
          <w:szCs w:val="20"/>
        </w:rPr>
        <w:t xml:space="preserve"> cross-sectional area </w:t>
      </w:r>
      <w:r w:rsidRPr="00C3722F">
        <w:t>(</w:t>
      </w:r>
      <w:r w:rsidRPr="002A5C9A">
        <w:rPr>
          <w:color w:val="BF8F00" w:themeColor="accent4" w:themeShade="BF"/>
        </w:rPr>
        <w:t>●</w:t>
      </w:r>
      <w:r w:rsidRPr="00C3722F">
        <w:t>)</w:t>
      </w:r>
      <w:r>
        <w:t xml:space="preserve"> and cross-sectional </w:t>
      </w:r>
      <w:r>
        <w:rPr>
          <w:szCs w:val="20"/>
        </w:rPr>
        <w:t xml:space="preserve">GPP </w:t>
      </w:r>
      <w:r w:rsidRPr="00C3722F">
        <w:t>(</w:t>
      </w:r>
      <w:r w:rsidRPr="002A5C9A">
        <w:rPr>
          <w:color w:val="C00000"/>
        </w:rPr>
        <w:t>●</w:t>
      </w:r>
      <w:r w:rsidRPr="00C3722F">
        <w:t>)</w:t>
      </w:r>
      <w:r>
        <w:t xml:space="preserve"> </w:t>
      </w:r>
      <w:r>
        <w:rPr>
          <w:szCs w:val="20"/>
        </w:rPr>
        <w:t xml:space="preserve">and the number of days each season that the decrease </w:t>
      </w:r>
      <w:r w:rsidR="001D5B50">
        <w:rPr>
          <w:szCs w:val="20"/>
        </w:rPr>
        <w:t>i</w:t>
      </w:r>
      <w:r>
        <w:rPr>
          <w:szCs w:val="20"/>
        </w:rPr>
        <w:t xml:space="preserve">n volumetric GPP due to </w:t>
      </w:r>
      <w:r w:rsidRPr="00C3722F">
        <w:rPr>
          <w:szCs w:val="20"/>
        </w:rPr>
        <w:t>C</w:t>
      </w:r>
      <w:r>
        <w:rPr>
          <w:szCs w:val="20"/>
        </w:rPr>
        <w:t>ommonwealth environmental water was greater than 10% at the sites</w:t>
      </w:r>
      <w:r w:rsidRPr="00BB5D8C">
        <w:t xml:space="preserve"> </w:t>
      </w:r>
      <w:r>
        <w:t xml:space="preserve">downstream of </w:t>
      </w:r>
      <w:r w:rsidRPr="00C3722F">
        <w:t>Lock 6 (</w:t>
      </w:r>
      <w:r w:rsidRPr="002A5C9A">
        <w:t>a</w:t>
      </w:r>
      <w:r w:rsidRPr="00C3722F">
        <w:t>), Lock 4 (</w:t>
      </w:r>
      <w:r w:rsidRPr="002A5C9A">
        <w:t>b</w:t>
      </w:r>
      <w:r w:rsidRPr="00C3722F">
        <w:t>) and Lock 1 (</w:t>
      </w:r>
      <w:r w:rsidRPr="002A5C9A">
        <w:t>c</w:t>
      </w:r>
      <w:r w:rsidRPr="00C3722F">
        <w:t>)</w:t>
      </w:r>
      <w:r>
        <w:t>.</w:t>
      </w:r>
      <w:bookmarkEnd w:id="189"/>
    </w:p>
    <w:p w14:paraId="7A2683AB" w14:textId="61699B40" w:rsidR="00B10666" w:rsidRDefault="00B10666" w:rsidP="00B10666">
      <w:pPr>
        <w:rPr>
          <w:lang w:val="en-US"/>
        </w:rPr>
      </w:pPr>
      <w:r>
        <w:rPr>
          <w:lang w:val="en-US"/>
        </w:rPr>
        <w:t xml:space="preserve">The seasonally integrated effects of Commonwealth environmental water delivery on volumetric and cross-sectional GPP were estimated by comparing the adjusted rates summed over available days with the measured rates summed over the same days. In some monitoring periods, the number of data days were similar to the deployment days </w:t>
      </w:r>
      <w:r>
        <w:rPr>
          <w:lang w:val="en-US"/>
        </w:rPr>
        <w:lastRenderedPageBreak/>
        <w:t>and seasonal integrals were estimated, whereas at other times the data days were substantially less, and sums did not estimate seasonal integrals but indicated the influence of additional flows on metabolism. This is depicted for the sites below Locks 6 and 4, that were most strongly affected (</w:t>
      </w:r>
      <w:r>
        <w:rPr>
          <w:lang w:val="en-US"/>
        </w:rPr>
        <w:fldChar w:fldCharType="begin"/>
      </w:r>
      <w:r>
        <w:rPr>
          <w:lang w:val="en-US"/>
        </w:rPr>
        <w:instrText xml:space="preserve"> REF _Ref193267626 \h </w:instrText>
      </w:r>
      <w:r>
        <w:rPr>
          <w:lang w:val="en-US"/>
        </w:rPr>
      </w:r>
      <w:r>
        <w:rPr>
          <w:lang w:val="en-US"/>
        </w:rPr>
        <w:fldChar w:fldCharType="separate"/>
      </w:r>
      <w:r w:rsidR="00102828">
        <w:t xml:space="preserve">Figure </w:t>
      </w:r>
      <w:r w:rsidR="00102828">
        <w:rPr>
          <w:noProof/>
        </w:rPr>
        <w:t>24</w:t>
      </w:r>
      <w:r>
        <w:rPr>
          <w:lang w:val="en-US"/>
        </w:rPr>
        <w:fldChar w:fldCharType="end"/>
      </w:r>
      <w:r>
        <w:rPr>
          <w:lang w:val="en-US"/>
        </w:rPr>
        <w:t>).</w:t>
      </w:r>
    </w:p>
    <w:p w14:paraId="32962AE3" w14:textId="77777777" w:rsidR="00B10666" w:rsidRDefault="00B10666" w:rsidP="00B10666">
      <w:pPr>
        <w:rPr>
          <w:lang w:val="en-US"/>
        </w:rPr>
      </w:pPr>
      <w:r>
        <w:rPr>
          <w:lang w:val="en-US"/>
        </w:rPr>
        <w:t>The largest relative reduction in integrated volumetric GPP was by 10% below Lock 4 during 2019-20 and 2023-24, while the largest relative reduction below Lock 6 was by 6% in 2023-24. The largest relative increase in cross-sectional GPP was by 2% below Lock 6 over each studied period from 2014-15 to 2018-19 and then again in 2023-24 with insignificant changes in other seasons. Below Lock 4, all seasonal changes in cross-sectional GPP</w:t>
      </w:r>
      <w:bookmarkEnd w:id="186"/>
      <w:r>
        <w:rPr>
          <w:lang w:val="en-US"/>
        </w:rPr>
        <w:t xml:space="preserve"> were insignificant.</w:t>
      </w:r>
    </w:p>
    <w:p w14:paraId="45F8125E" w14:textId="77777777" w:rsidR="00B10666" w:rsidRDefault="00B10666" w:rsidP="00B10666">
      <w:pPr>
        <w:rPr>
          <w:lang w:val="en-US"/>
        </w:rPr>
      </w:pPr>
    </w:p>
    <w:p w14:paraId="58E57A10" w14:textId="77777777" w:rsidR="00B10666" w:rsidRPr="00CD3F51" w:rsidRDefault="00B10666" w:rsidP="00B10666">
      <w:pPr>
        <w:pStyle w:val="ListParagraph"/>
        <w:ind w:left="0"/>
        <w:rPr>
          <w:i/>
          <w:u w:val="single"/>
        </w:rPr>
      </w:pPr>
      <w:r w:rsidRPr="00CD3F51">
        <w:rPr>
          <w:i/>
          <w:u w:val="single"/>
        </w:rPr>
        <w:t>Determinants of ecosystem respiration and net production</w:t>
      </w:r>
    </w:p>
    <w:p w14:paraId="76889073" w14:textId="250481B6" w:rsidR="00B10666" w:rsidRDefault="00B10666" w:rsidP="00B10666">
      <w:pPr>
        <w:rPr>
          <w:iCs/>
          <w:szCs w:val="22"/>
          <w:lang w:val="en-US"/>
        </w:rPr>
      </w:pPr>
      <w:r w:rsidRPr="00CD3F51">
        <w:rPr>
          <w:iCs/>
          <w:szCs w:val="22"/>
          <w:lang w:val="en-US"/>
        </w:rPr>
        <w:t xml:space="preserve">A </w:t>
      </w:r>
      <w:r>
        <w:rPr>
          <w:iCs/>
          <w:szCs w:val="22"/>
          <w:lang w:val="en-US"/>
        </w:rPr>
        <w:t xml:space="preserve">primary </w:t>
      </w:r>
      <w:r w:rsidRPr="00CD3F51">
        <w:rPr>
          <w:iCs/>
          <w:szCs w:val="22"/>
          <w:lang w:val="en-US"/>
        </w:rPr>
        <w:t xml:space="preserve">source of organic carbon within the river channel </w:t>
      </w:r>
      <w:r>
        <w:rPr>
          <w:iCs/>
          <w:szCs w:val="22"/>
          <w:lang w:val="en-US"/>
        </w:rPr>
        <w:t>was</w:t>
      </w:r>
      <w:r w:rsidRPr="00CD3F51">
        <w:rPr>
          <w:iCs/>
          <w:szCs w:val="22"/>
          <w:lang w:val="en-US"/>
        </w:rPr>
        <w:t xml:space="preserve"> GPP that support</w:t>
      </w:r>
      <w:r>
        <w:rPr>
          <w:iCs/>
          <w:szCs w:val="22"/>
          <w:lang w:val="en-US"/>
        </w:rPr>
        <w:t>ed</w:t>
      </w:r>
      <w:r w:rsidRPr="00CD3F51">
        <w:rPr>
          <w:iCs/>
          <w:szCs w:val="22"/>
          <w:lang w:val="en-US"/>
        </w:rPr>
        <w:t xml:space="preserve"> autotrophic </w:t>
      </w:r>
      <w:r>
        <w:rPr>
          <w:iCs/>
          <w:szCs w:val="22"/>
          <w:lang w:val="en-US"/>
        </w:rPr>
        <w:t xml:space="preserve">respiration and </w:t>
      </w:r>
      <w:r w:rsidRPr="00CD3F51">
        <w:rPr>
          <w:iCs/>
          <w:szCs w:val="22"/>
          <w:lang w:val="en-US"/>
        </w:rPr>
        <w:t>growth</w:t>
      </w:r>
      <w:r>
        <w:rPr>
          <w:iCs/>
          <w:szCs w:val="22"/>
          <w:lang w:val="en-US"/>
        </w:rPr>
        <w:t>, with net production contributing to basal food supplies. A plot of the dependence of ER on GPP</w:t>
      </w:r>
      <w:r w:rsidRPr="00A24066">
        <w:rPr>
          <w:iCs/>
          <w:szCs w:val="22"/>
          <w:lang w:val="en-US"/>
        </w:rPr>
        <w:t xml:space="preserve"> </w:t>
      </w:r>
      <w:r>
        <w:rPr>
          <w:iCs/>
          <w:szCs w:val="22"/>
          <w:lang w:val="en-US"/>
        </w:rPr>
        <w:t xml:space="preserve">across all sites indicated extended periods of strong correlation, but with times of significant variation </w:t>
      </w:r>
      <w:r w:rsidRPr="00CD3F51">
        <w:rPr>
          <w:iCs/>
          <w:szCs w:val="22"/>
          <w:lang w:val="en-US"/>
        </w:rPr>
        <w:t>(</w:t>
      </w:r>
      <w:r>
        <w:rPr>
          <w:iCs/>
          <w:szCs w:val="22"/>
          <w:lang w:val="en-US"/>
        </w:rPr>
        <w:fldChar w:fldCharType="begin"/>
      </w:r>
      <w:r>
        <w:rPr>
          <w:iCs/>
          <w:szCs w:val="22"/>
          <w:lang w:val="en-US"/>
        </w:rPr>
        <w:instrText xml:space="preserve"> REF _Ref193267654 \h </w:instrText>
      </w:r>
      <w:r>
        <w:rPr>
          <w:iCs/>
          <w:szCs w:val="22"/>
          <w:lang w:val="en-US"/>
        </w:rPr>
      </w:r>
      <w:r>
        <w:rPr>
          <w:iCs/>
          <w:szCs w:val="22"/>
          <w:lang w:val="en-US"/>
        </w:rPr>
        <w:fldChar w:fldCharType="separate"/>
      </w:r>
      <w:r w:rsidR="00102828" w:rsidRPr="00CD3F51">
        <w:t xml:space="preserve">Figure </w:t>
      </w:r>
      <w:r w:rsidR="00102828">
        <w:rPr>
          <w:noProof/>
        </w:rPr>
        <w:t>25</w:t>
      </w:r>
      <w:r>
        <w:rPr>
          <w:iCs/>
          <w:szCs w:val="22"/>
          <w:lang w:val="en-US"/>
        </w:rPr>
        <w:fldChar w:fldCharType="end"/>
      </w:r>
      <w:r w:rsidRPr="00CD3F51">
        <w:rPr>
          <w:iCs/>
          <w:szCs w:val="22"/>
          <w:lang w:val="en-US"/>
        </w:rPr>
        <w:t>).</w:t>
      </w:r>
      <w:r>
        <w:rPr>
          <w:iCs/>
          <w:szCs w:val="22"/>
          <w:lang w:val="en-US"/>
        </w:rPr>
        <w:t xml:space="preserve"> Bacterial catabolism of</w:t>
      </w:r>
      <w:r w:rsidRPr="00CD3F51">
        <w:rPr>
          <w:iCs/>
          <w:szCs w:val="22"/>
          <w:lang w:val="en-US"/>
        </w:rPr>
        <w:t xml:space="preserve"> DOC</w:t>
      </w:r>
      <w:r>
        <w:rPr>
          <w:iCs/>
          <w:szCs w:val="22"/>
          <w:lang w:val="en-US"/>
        </w:rPr>
        <w:t xml:space="preserve"> from </w:t>
      </w:r>
      <w:r w:rsidRPr="00CD3F51">
        <w:rPr>
          <w:iCs/>
          <w:szCs w:val="22"/>
          <w:lang w:val="en-US"/>
        </w:rPr>
        <w:t xml:space="preserve">autotrophs or external sources </w:t>
      </w:r>
      <w:r>
        <w:rPr>
          <w:iCs/>
          <w:szCs w:val="22"/>
          <w:lang w:val="en-US"/>
        </w:rPr>
        <w:t>also contributed to ER, supporting heterotrophic production and returning</w:t>
      </w:r>
      <w:r w:rsidRPr="00CD3F51">
        <w:rPr>
          <w:iCs/>
          <w:szCs w:val="22"/>
          <w:lang w:val="en-US"/>
        </w:rPr>
        <w:t xml:space="preserve"> an additional </w:t>
      </w:r>
      <w:r>
        <w:rPr>
          <w:iCs/>
          <w:szCs w:val="22"/>
          <w:lang w:val="en-US"/>
        </w:rPr>
        <w:t xml:space="preserve">basal </w:t>
      </w:r>
      <w:r w:rsidRPr="00CD3F51">
        <w:rPr>
          <w:iCs/>
          <w:szCs w:val="22"/>
          <w:lang w:val="en-US"/>
        </w:rPr>
        <w:t xml:space="preserve">food source for consumers. </w:t>
      </w:r>
      <w:r>
        <w:rPr>
          <w:iCs/>
          <w:szCs w:val="22"/>
          <w:lang w:val="en-US"/>
        </w:rPr>
        <w:t xml:space="preserve">To apportion ER between these two pathways, </w:t>
      </w:r>
      <w:r w:rsidRPr="00CD3F51">
        <w:rPr>
          <w:iCs/>
          <w:szCs w:val="22"/>
          <w:lang w:val="en-US"/>
        </w:rPr>
        <w:t xml:space="preserve">a multiple linear regression </w:t>
      </w:r>
      <w:r>
        <w:rPr>
          <w:iCs/>
          <w:szCs w:val="22"/>
          <w:lang w:val="en-US"/>
        </w:rPr>
        <w:t>was applied with GPP and DOC in carbon units (gC/m</w:t>
      </w:r>
      <w:r w:rsidRPr="00B27DAA">
        <w:rPr>
          <w:iCs/>
          <w:szCs w:val="22"/>
          <w:vertAlign w:val="superscript"/>
          <w:lang w:val="en-US"/>
        </w:rPr>
        <w:t>3</w:t>
      </w:r>
      <w:r>
        <w:rPr>
          <w:iCs/>
          <w:szCs w:val="22"/>
          <w:lang w:val="en-US"/>
        </w:rPr>
        <w:t>/day) as explanatory variables</w:t>
      </w:r>
      <w:r w:rsidRPr="00CD3F51">
        <w:rPr>
          <w:iCs/>
          <w:szCs w:val="22"/>
          <w:lang w:val="en-US"/>
        </w:rPr>
        <w:t xml:space="preserve">. </w:t>
      </w:r>
      <w:r>
        <w:rPr>
          <w:iCs/>
          <w:szCs w:val="22"/>
          <w:lang w:val="en-US"/>
        </w:rPr>
        <w:t xml:space="preserve">Metabolism </w:t>
      </w:r>
      <w:r w:rsidRPr="00CD3F51">
        <w:rPr>
          <w:iCs/>
          <w:szCs w:val="22"/>
          <w:lang w:val="en-US"/>
        </w:rPr>
        <w:t xml:space="preserve">data </w:t>
      </w:r>
      <w:r>
        <w:rPr>
          <w:iCs/>
          <w:szCs w:val="22"/>
          <w:lang w:val="en-US"/>
        </w:rPr>
        <w:t>with matching DOC measurements</w:t>
      </w:r>
      <w:r w:rsidRPr="00D64FCA">
        <w:rPr>
          <w:iCs/>
          <w:szCs w:val="22"/>
          <w:lang w:val="en-US"/>
        </w:rPr>
        <w:t xml:space="preserve"> </w:t>
      </w:r>
      <w:r w:rsidRPr="00CD3F51">
        <w:rPr>
          <w:iCs/>
          <w:szCs w:val="22"/>
          <w:lang w:val="en-US"/>
        </w:rPr>
        <w:t xml:space="preserve">from all </w:t>
      </w:r>
      <w:r>
        <w:rPr>
          <w:iCs/>
          <w:szCs w:val="22"/>
          <w:lang w:val="en-US"/>
        </w:rPr>
        <w:t xml:space="preserve">sites and </w:t>
      </w:r>
      <w:r w:rsidRPr="00CD3F51">
        <w:rPr>
          <w:iCs/>
          <w:szCs w:val="22"/>
          <w:lang w:val="en-US"/>
        </w:rPr>
        <w:t>years</w:t>
      </w:r>
      <w:r>
        <w:rPr>
          <w:iCs/>
          <w:szCs w:val="22"/>
          <w:lang w:val="en-US"/>
        </w:rPr>
        <w:t xml:space="preserve"> (</w:t>
      </w:r>
      <w:r w:rsidRPr="00641EAA">
        <w:rPr>
          <w:i/>
          <w:szCs w:val="22"/>
          <w:lang w:val="en-US"/>
        </w:rPr>
        <w:t>n</w:t>
      </w:r>
      <w:r>
        <w:rPr>
          <w:iCs/>
          <w:szCs w:val="22"/>
          <w:lang w:val="en-US"/>
        </w:rPr>
        <w:t xml:space="preserve"> = 343) </w:t>
      </w:r>
      <w:r w:rsidRPr="00CD3F51">
        <w:rPr>
          <w:iCs/>
          <w:szCs w:val="22"/>
          <w:lang w:val="en-US"/>
        </w:rPr>
        <w:t xml:space="preserve">yielded </w:t>
      </w:r>
      <w:r>
        <w:rPr>
          <w:iCs/>
          <w:szCs w:val="22"/>
          <w:lang w:val="en-US"/>
        </w:rPr>
        <w:t>the</w:t>
      </w:r>
      <w:r w:rsidRPr="00CD3F51">
        <w:rPr>
          <w:iCs/>
          <w:szCs w:val="22"/>
          <w:lang w:val="en-US"/>
        </w:rPr>
        <w:t xml:space="preserve"> relationship:</w:t>
      </w:r>
    </w:p>
    <w:p w14:paraId="701A8768" w14:textId="77777777" w:rsidR="00B10666" w:rsidRPr="00CD3F51" w:rsidRDefault="00B10666" w:rsidP="00B10666">
      <w:pPr>
        <w:rPr>
          <w:iCs/>
          <w:szCs w:val="22"/>
          <w:lang w:val="en-US"/>
        </w:rPr>
      </w:pPr>
    </w:p>
    <w:p w14:paraId="44C995E5" w14:textId="77777777" w:rsidR="00B10666" w:rsidRPr="00CD3F51" w:rsidRDefault="00B10666" w:rsidP="00B10666">
      <w:pPr>
        <w:pStyle w:val="ListParagraph"/>
        <w:ind w:left="0"/>
        <w:rPr>
          <w:iCs/>
          <w:szCs w:val="21"/>
          <w:lang w:val="en-US"/>
        </w:rPr>
      </w:pPr>
      <m:oMathPara>
        <m:oMath>
          <m:r>
            <m:rPr>
              <m:sty m:val="p"/>
            </m:rPr>
            <w:rPr>
              <w:rFonts w:ascii="Cambria Math" w:hAnsi="Cambria Math"/>
              <w:szCs w:val="22"/>
              <w:lang w:val="en-US"/>
            </w:rPr>
            <m:t xml:space="preserve">ER = 0.76 (±0.05)*GPP + 0.07 (±0.02)* DOC - 0.23 (±0.13), </m:t>
          </m:r>
          <m:sSup>
            <m:sSupPr>
              <m:ctrlPr>
                <w:rPr>
                  <w:rFonts w:ascii="Cambria Math" w:hAnsi="Cambria Math"/>
                  <w:szCs w:val="22"/>
                  <w:lang w:val="en-US"/>
                </w:rPr>
              </m:ctrlPr>
            </m:sSupPr>
            <m:e>
              <m:r>
                <m:rPr>
                  <m:sty m:val="p"/>
                </m:rPr>
                <w:rPr>
                  <w:rFonts w:ascii="Cambria Math" w:hAnsi="Cambria Math"/>
                  <w:szCs w:val="22"/>
                  <w:lang w:val="en-US"/>
                </w:rPr>
                <m:t xml:space="preserve">  r</m:t>
              </m:r>
            </m:e>
            <m:sup>
              <m:r>
                <w:rPr>
                  <w:rFonts w:ascii="Cambria Math" w:hAnsi="Cambria Math"/>
                  <w:szCs w:val="22"/>
                  <w:lang w:val="en-US"/>
                </w:rPr>
                <m:t>2</m:t>
              </m:r>
            </m:sup>
          </m:sSup>
          <m:r>
            <m:rPr>
              <m:sty m:val="p"/>
            </m:rPr>
            <w:rPr>
              <w:rFonts w:ascii="Cambria Math" w:hAnsi="Cambria Math"/>
              <w:szCs w:val="22"/>
              <w:lang w:val="en-US"/>
            </w:rPr>
            <m:t>=0.44</m:t>
          </m:r>
          <m:r>
            <w:rPr>
              <w:rFonts w:ascii="Cambria Math" w:hAnsi="Cambria Math"/>
              <w:szCs w:val="22"/>
              <w:lang w:val="en-US"/>
            </w:rPr>
            <m:t xml:space="preserve"> </m:t>
          </m:r>
        </m:oMath>
      </m:oMathPara>
    </w:p>
    <w:p w14:paraId="04884870" w14:textId="77777777" w:rsidR="00B10666" w:rsidRDefault="00B10666" w:rsidP="00B10666">
      <w:pPr>
        <w:rPr>
          <w:iCs/>
          <w:szCs w:val="22"/>
          <w:lang w:val="en-US"/>
        </w:rPr>
      </w:pPr>
    </w:p>
    <w:p w14:paraId="7B4FA6C8" w14:textId="77777777" w:rsidR="00B10666" w:rsidRDefault="00B10666" w:rsidP="00B10666">
      <w:pPr>
        <w:rPr>
          <w:lang w:val="en-US"/>
        </w:rPr>
      </w:pPr>
      <w:r w:rsidRPr="00CD3F51">
        <w:rPr>
          <w:iCs/>
          <w:szCs w:val="22"/>
          <w:lang w:val="en-US"/>
        </w:rPr>
        <w:t xml:space="preserve">The </w:t>
      </w:r>
      <w:r>
        <w:rPr>
          <w:iCs/>
          <w:szCs w:val="22"/>
          <w:lang w:val="en-US"/>
        </w:rPr>
        <w:t xml:space="preserve">significant </w:t>
      </w:r>
      <w:r w:rsidRPr="00CD3F51">
        <w:rPr>
          <w:iCs/>
          <w:szCs w:val="22"/>
          <w:lang w:val="en-US"/>
        </w:rPr>
        <w:t>regression coefficients were used to estimate</w:t>
      </w:r>
      <w:r w:rsidRPr="00CD3F51">
        <w:rPr>
          <w:lang w:val="en-US"/>
        </w:rPr>
        <w:t xml:space="preserve"> the separate contributions to respiration, </w:t>
      </w:r>
      <w:r>
        <w:rPr>
          <w:lang w:val="en-US"/>
        </w:rPr>
        <w:t xml:space="preserve">from which were calculated </w:t>
      </w:r>
      <w:r w:rsidRPr="00CD3F51">
        <w:rPr>
          <w:lang w:val="en-US"/>
        </w:rPr>
        <w:t>the c</w:t>
      </w:r>
      <w:r w:rsidRPr="00CD3F51">
        <w:rPr>
          <w:iCs/>
          <w:szCs w:val="22"/>
          <w:lang w:val="en-US"/>
        </w:rPr>
        <w:t xml:space="preserve">orresponding phytoplankton net production </w:t>
      </w:r>
      <w:r w:rsidRPr="00CD3F51">
        <w:rPr>
          <w:lang w:val="en-US"/>
        </w:rPr>
        <w:t>(PNP)</w:t>
      </w:r>
      <w:r>
        <w:rPr>
          <w:lang w:val="en-US"/>
        </w:rPr>
        <w:t>,</w:t>
      </w:r>
      <w:r w:rsidRPr="00CD3F51">
        <w:rPr>
          <w:lang w:val="en-US"/>
        </w:rPr>
        <w:t xml:space="preserve"> </w:t>
      </w:r>
      <w:r>
        <w:rPr>
          <w:lang w:val="en-US"/>
        </w:rPr>
        <w:t xml:space="preserve">and </w:t>
      </w:r>
      <w:r w:rsidRPr="00CD3F51">
        <w:rPr>
          <w:lang w:val="en-US"/>
        </w:rPr>
        <w:t>bacteria</w:t>
      </w:r>
      <w:r>
        <w:rPr>
          <w:lang w:val="en-US"/>
        </w:rPr>
        <w:t>l</w:t>
      </w:r>
      <w:r w:rsidRPr="00CD3F51">
        <w:rPr>
          <w:lang w:val="en-US"/>
        </w:rPr>
        <w:t xml:space="preserve"> net production (BNP)</w:t>
      </w:r>
      <w:r>
        <w:rPr>
          <w:lang w:val="en-US"/>
        </w:rPr>
        <w:t>.</w:t>
      </w:r>
    </w:p>
    <w:p w14:paraId="39BE4C67" w14:textId="77777777" w:rsidR="00B10666" w:rsidRDefault="00B10666" w:rsidP="00B10666">
      <w:pPr>
        <w:rPr>
          <w:lang w:val="en-US"/>
        </w:rPr>
        <w:sectPr w:rsidR="00B10666" w:rsidSect="00B10666">
          <w:pgSz w:w="11900" w:h="16840"/>
          <w:pgMar w:top="1440" w:right="1440" w:bottom="1440" w:left="1440" w:header="709" w:footer="709" w:gutter="0"/>
          <w:cols w:space="720"/>
        </w:sectPr>
      </w:pPr>
    </w:p>
    <w:p w14:paraId="5485EE19" w14:textId="77777777" w:rsidR="00B10666" w:rsidRDefault="00B10666" w:rsidP="00B10666">
      <w:pPr>
        <w:jc w:val="center"/>
        <w:rPr>
          <w:iCs/>
          <w:szCs w:val="22"/>
          <w:lang w:val="en-US"/>
        </w:rPr>
      </w:pPr>
      <w:r>
        <w:rPr>
          <w:iCs/>
          <w:noProof/>
          <w:szCs w:val="22"/>
          <w:lang w:val="en-US"/>
        </w:rPr>
        <w:lastRenderedPageBreak/>
        <w:drawing>
          <wp:inline distT="0" distB="0" distL="0" distR="0" wp14:anchorId="63F4DC79" wp14:editId="5DEE11A3">
            <wp:extent cx="8663305" cy="4742815"/>
            <wp:effectExtent l="0" t="0" r="4445" b="635"/>
            <wp:docPr id="1039722413" name="Picture 37" descr="Four graphs showing integrated volumetric and cross-sectional GPP with and without Commonwealth environmental water below Lock 6 and Lock 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722413" name="Picture 37" descr="Four graphs showing integrated volumetric and cross-sectional GPP with and without Commonwealth environmental water below Lock 6 and Lock 4. "/>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663305" cy="4742815"/>
                    </a:xfrm>
                    <a:prstGeom prst="rect">
                      <a:avLst/>
                    </a:prstGeom>
                    <a:noFill/>
                  </pic:spPr>
                </pic:pic>
              </a:graphicData>
            </a:graphic>
          </wp:inline>
        </w:drawing>
      </w:r>
    </w:p>
    <w:p w14:paraId="310C1764" w14:textId="668EFAFA" w:rsidR="00B10666" w:rsidRPr="00E52235" w:rsidRDefault="00B10666" w:rsidP="00B10666">
      <w:pPr>
        <w:pStyle w:val="Caption"/>
      </w:pPr>
      <w:bookmarkStart w:id="190" w:name="_Ref193267626"/>
      <w:bookmarkStart w:id="191" w:name="_Toc200464475"/>
      <w:r>
        <w:t xml:space="preserve">Figure </w:t>
      </w:r>
      <w:r>
        <w:fldChar w:fldCharType="begin"/>
      </w:r>
      <w:r>
        <w:instrText>SEQ Figure \* ARABIC</w:instrText>
      </w:r>
      <w:r>
        <w:fldChar w:fldCharType="separate"/>
      </w:r>
      <w:r w:rsidR="00102828">
        <w:rPr>
          <w:noProof/>
        </w:rPr>
        <w:t>24</w:t>
      </w:r>
      <w:r>
        <w:fldChar w:fldCharType="end"/>
      </w:r>
      <w:bookmarkEnd w:id="190"/>
      <w:r>
        <w:t>.</w:t>
      </w:r>
      <w:r w:rsidRPr="00E52235">
        <w:t xml:space="preserve"> Integrated volumetric and cross-sectional GPP with (</w:t>
      </w:r>
      <w:r w:rsidRPr="00E52235">
        <w:rPr>
          <w:color w:val="4472C4" w:themeColor="accent5"/>
        </w:rPr>
        <w:t>●</w:t>
      </w:r>
      <w:r w:rsidRPr="00E52235">
        <w:t>) and without (</w:t>
      </w:r>
      <w:r w:rsidRPr="00E52235">
        <w:rPr>
          <w:color w:val="ED7D31" w:themeColor="accent2"/>
        </w:rPr>
        <w:t>●</w:t>
      </w:r>
      <w:r w:rsidRPr="00E52235">
        <w:t>) Commonwealth environmental water, and the difference due to the additional flow (</w:t>
      </w:r>
      <w:r w:rsidRPr="00E52235">
        <w:rPr>
          <w:color w:val="C00000"/>
        </w:rPr>
        <w:t>●</w:t>
      </w:r>
      <w:r w:rsidRPr="00E52235">
        <w:t xml:space="preserve">), below Lock 6 (a) and </w:t>
      </w:r>
      <w:r>
        <w:t xml:space="preserve">Lock </w:t>
      </w:r>
      <w:r w:rsidRPr="00E52235">
        <w:t>4 (b).</w:t>
      </w:r>
      <w:r>
        <w:t xml:space="preserve"> Number ratios indicate days with reliable data over the total days monitored.</w:t>
      </w:r>
      <w:bookmarkEnd w:id="191"/>
    </w:p>
    <w:p w14:paraId="37EA16CB" w14:textId="77777777" w:rsidR="00B10666" w:rsidRDefault="00B10666" w:rsidP="00B10666">
      <w:pPr>
        <w:rPr>
          <w:iCs/>
          <w:szCs w:val="22"/>
          <w:lang w:val="en-US"/>
        </w:rPr>
        <w:sectPr w:rsidR="00B10666" w:rsidSect="00B10666">
          <w:pgSz w:w="16840" w:h="11900" w:orient="landscape"/>
          <w:pgMar w:top="1440" w:right="1440" w:bottom="1440" w:left="1440" w:header="709" w:footer="709" w:gutter="0"/>
          <w:cols w:space="720"/>
        </w:sectPr>
      </w:pPr>
    </w:p>
    <w:p w14:paraId="2A793DD1" w14:textId="77777777" w:rsidR="00B10666" w:rsidRDefault="00B10666" w:rsidP="00B10666">
      <w:pPr>
        <w:rPr>
          <w:iCs/>
          <w:szCs w:val="22"/>
          <w:lang w:val="en-US"/>
        </w:rPr>
      </w:pPr>
    </w:p>
    <w:p w14:paraId="08454D20" w14:textId="77777777" w:rsidR="00B10666" w:rsidRDefault="00B10666" w:rsidP="00B10666">
      <w:pPr>
        <w:jc w:val="center"/>
        <w:rPr>
          <w:iCs/>
          <w:szCs w:val="22"/>
          <w:lang w:val="en-US"/>
        </w:rPr>
      </w:pPr>
      <w:r w:rsidRPr="00CD3F51">
        <w:rPr>
          <w:iCs/>
          <w:noProof/>
          <w:szCs w:val="22"/>
          <w:lang w:val="en-US"/>
        </w:rPr>
        <w:drawing>
          <wp:inline distT="0" distB="0" distL="0" distR="0" wp14:anchorId="77ED65A7" wp14:editId="120F8443">
            <wp:extent cx="4246118" cy="2615609"/>
            <wp:effectExtent l="0" t="0" r="2540" b="0"/>
            <wp:docPr id="153691351" name="Picture 153691351" descr="A graph of Reliance of ecosystem respiration on gross primary productivity within the river channel from 2014 to 2024 at sampling sites downstream of Lock 6, Lock 4 and Loc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1351" name="Picture 153691351" descr="A graph of Reliance of ecosystem respiration on gross primary productivity within the river channel from 2014 to 2024 at sampling sites downstream of Lock 6, Lock 4 and Lock 1."/>
                    <pic:cNvPicPr>
                      <a:picLocks noChangeAspect="1" noChangeArrowheads="1"/>
                    </pic:cNvPicPr>
                  </pic:nvPicPr>
                  <pic:blipFill>
                    <a:blip r:embed="rId87">
                      <a:extLst>
                        <a:ext uri="{28A0092B-C50C-407E-A947-70E740481C1C}">
                          <a14:useLocalDpi xmlns:a14="http://schemas.microsoft.com/office/drawing/2010/main" val="0"/>
                        </a:ext>
                      </a:extLst>
                    </a:blip>
                    <a:stretch>
                      <a:fillRect/>
                    </a:stretch>
                  </pic:blipFill>
                  <pic:spPr bwMode="auto">
                    <a:xfrm>
                      <a:off x="0" y="0"/>
                      <a:ext cx="4253787" cy="2620333"/>
                    </a:xfrm>
                    <a:prstGeom prst="rect">
                      <a:avLst/>
                    </a:prstGeom>
                  </pic:spPr>
                </pic:pic>
              </a:graphicData>
            </a:graphic>
          </wp:inline>
        </w:drawing>
      </w:r>
    </w:p>
    <w:p w14:paraId="65AC8210" w14:textId="65FE1FE2" w:rsidR="00B10666" w:rsidRPr="00CD3F51" w:rsidRDefault="00B10666" w:rsidP="00605FB2">
      <w:pPr>
        <w:pStyle w:val="Captions"/>
      </w:pPr>
      <w:bookmarkStart w:id="192" w:name="_Ref193267654"/>
      <w:bookmarkStart w:id="193" w:name="_Toc200464476"/>
      <w:r w:rsidRPr="00CD3F51">
        <w:t xml:space="preserve">Figure </w:t>
      </w:r>
      <w:r w:rsidR="00967BB2">
        <w:fldChar w:fldCharType="begin"/>
      </w:r>
      <w:r w:rsidR="00967BB2">
        <w:instrText xml:space="preserve"> SEQ Figure \* ARABIC </w:instrText>
      </w:r>
      <w:r w:rsidR="00967BB2">
        <w:fldChar w:fldCharType="separate"/>
      </w:r>
      <w:r w:rsidR="00102828">
        <w:rPr>
          <w:noProof/>
        </w:rPr>
        <w:t>25</w:t>
      </w:r>
      <w:r w:rsidR="00967BB2">
        <w:rPr>
          <w:noProof/>
        </w:rPr>
        <w:fldChar w:fldCharType="end"/>
      </w:r>
      <w:bookmarkEnd w:id="192"/>
      <w:r w:rsidRPr="00CD3F51">
        <w:t>. Reliance of ecosystem respiration (ER) on gross primary productivity (GPP) within the river channel for all monitored periods from 2014 to 202</w:t>
      </w:r>
      <w:r>
        <w:t>4</w:t>
      </w:r>
      <w:r w:rsidRPr="00CD3F51">
        <w:t xml:space="preserve"> </w:t>
      </w:r>
      <w:r w:rsidR="00CF2070">
        <w:t xml:space="preserve">at sampling sites </w:t>
      </w:r>
      <w:r w:rsidRPr="00CD3F51">
        <w:t>downstream of Lock 6 (</w:t>
      </w:r>
      <w:r w:rsidRPr="00CD3F51">
        <w:rPr>
          <w:color w:val="4472C4" w:themeColor="accent5"/>
        </w:rPr>
        <w:t>●</w:t>
      </w:r>
      <w:r w:rsidRPr="00CD3F51">
        <w:t>), Lock 4 (</w:t>
      </w:r>
      <w:r w:rsidRPr="00CD3F51">
        <w:rPr>
          <w:color w:val="A5A5A5" w:themeColor="accent3"/>
        </w:rPr>
        <w:t>●</w:t>
      </w:r>
      <w:r w:rsidRPr="00CD3F51">
        <w:t>) and Lock 1 (</w:t>
      </w:r>
      <w:r w:rsidRPr="00CD3F51">
        <w:rPr>
          <w:color w:val="ED7D31" w:themeColor="accent2"/>
        </w:rPr>
        <w:t>●</w:t>
      </w:r>
      <w:r w:rsidRPr="00CD3F51">
        <w:t xml:space="preserve">), with </w:t>
      </w:r>
      <w:r>
        <w:t>velocities downstream of Lock 1 ≥ 0.18 m/s</w:t>
      </w:r>
      <w:r w:rsidRPr="00CD3F51">
        <w:t>.</w:t>
      </w:r>
      <w:bookmarkEnd w:id="193"/>
    </w:p>
    <w:p w14:paraId="26069DEB" w14:textId="77777777" w:rsidR="00B10666" w:rsidRDefault="00B10666" w:rsidP="00B10666">
      <w:pPr>
        <w:rPr>
          <w:iCs/>
          <w:szCs w:val="22"/>
          <w:lang w:val="en-US"/>
        </w:rPr>
      </w:pPr>
    </w:p>
    <w:p w14:paraId="66E50EBE" w14:textId="4B36E9AA" w:rsidR="00B10666" w:rsidRDefault="00B10666" w:rsidP="00B10666">
      <w:pPr>
        <w:rPr>
          <w:iCs/>
          <w:szCs w:val="22"/>
          <w:lang w:val="en-US"/>
        </w:rPr>
      </w:pPr>
      <w:r>
        <w:rPr>
          <w:iCs/>
          <w:szCs w:val="22"/>
          <w:lang w:val="en-US"/>
        </w:rPr>
        <w:t xml:space="preserve">Seasonal patterns in PNP and BNP were similar across sites and both responded to flow conditions </w:t>
      </w:r>
      <w:r>
        <w:rPr>
          <w:lang w:val="en-US"/>
        </w:rPr>
        <w:t>(</w:t>
      </w:r>
      <w:r>
        <w:rPr>
          <w:lang w:val="en-US"/>
        </w:rPr>
        <w:fldChar w:fldCharType="begin"/>
      </w:r>
      <w:r>
        <w:rPr>
          <w:lang w:val="en-US"/>
        </w:rPr>
        <w:instrText xml:space="preserve"> REF _Ref59030717 \h </w:instrText>
      </w:r>
      <w:r>
        <w:rPr>
          <w:lang w:val="en-US"/>
        </w:rPr>
      </w:r>
      <w:r>
        <w:rPr>
          <w:lang w:val="en-US"/>
        </w:rPr>
        <w:fldChar w:fldCharType="separate"/>
      </w:r>
      <w:r w:rsidR="00102828">
        <w:t xml:space="preserve">Figure </w:t>
      </w:r>
      <w:r w:rsidR="00102828">
        <w:rPr>
          <w:noProof/>
        </w:rPr>
        <w:t>26</w:t>
      </w:r>
      <w:r>
        <w:rPr>
          <w:lang w:val="en-US"/>
        </w:rPr>
        <w:fldChar w:fldCharType="end"/>
      </w:r>
      <w:r>
        <w:rPr>
          <w:lang w:val="en-US"/>
        </w:rPr>
        <w:t>)</w:t>
      </w:r>
      <w:r>
        <w:rPr>
          <w:iCs/>
          <w:szCs w:val="22"/>
          <w:lang w:val="en-US"/>
        </w:rPr>
        <w:t xml:space="preserve">. During low flow years, &lt;15,000 </w:t>
      </w:r>
      <w:r w:rsidR="00167193">
        <w:rPr>
          <w:iCs/>
          <w:szCs w:val="22"/>
          <w:lang w:val="en-US"/>
        </w:rPr>
        <w:t>ML/d</w:t>
      </w:r>
      <w:r>
        <w:rPr>
          <w:iCs/>
          <w:szCs w:val="22"/>
          <w:lang w:val="en-US"/>
        </w:rPr>
        <w:t xml:space="preserve"> (</w:t>
      </w:r>
      <w:r>
        <w:rPr>
          <w:iCs/>
          <w:szCs w:val="22"/>
          <w:lang w:val="en-US"/>
        </w:rPr>
        <w:fldChar w:fldCharType="begin"/>
      </w:r>
      <w:r>
        <w:rPr>
          <w:iCs/>
          <w:szCs w:val="22"/>
          <w:lang w:val="en-US"/>
        </w:rPr>
        <w:instrText xml:space="preserve"> REF _Ref192851872 \h </w:instrText>
      </w:r>
      <w:r>
        <w:rPr>
          <w:iCs/>
          <w:szCs w:val="22"/>
          <w:lang w:val="en-US"/>
        </w:rPr>
      </w:r>
      <w:r>
        <w:rPr>
          <w:iCs/>
          <w:szCs w:val="22"/>
          <w:lang w:val="en-US"/>
        </w:rPr>
        <w:fldChar w:fldCharType="separate"/>
      </w:r>
      <w:r w:rsidR="00102828" w:rsidRPr="00741669">
        <w:t xml:space="preserve">Figure </w:t>
      </w:r>
      <w:r w:rsidR="00102828">
        <w:rPr>
          <w:noProof/>
        </w:rPr>
        <w:t>15</w:t>
      </w:r>
      <w:r>
        <w:rPr>
          <w:iCs/>
          <w:szCs w:val="22"/>
          <w:lang w:val="en-US"/>
        </w:rPr>
        <w:fldChar w:fldCharType="end"/>
      </w:r>
      <w:r>
        <w:rPr>
          <w:iCs/>
          <w:szCs w:val="22"/>
          <w:lang w:val="en-US"/>
        </w:rPr>
        <w:t>), BNP remained relatively stable and ranged from 0.04–0.1 gC/m</w:t>
      </w:r>
      <w:r w:rsidRPr="00E52235">
        <w:rPr>
          <w:iCs/>
          <w:szCs w:val="22"/>
          <w:vertAlign w:val="superscript"/>
          <w:lang w:val="en-US"/>
        </w:rPr>
        <w:t>3</w:t>
      </w:r>
      <w:r>
        <w:rPr>
          <w:iCs/>
          <w:szCs w:val="22"/>
          <w:lang w:val="en-US"/>
        </w:rPr>
        <w:t>/day (</w:t>
      </w:r>
      <w:r>
        <w:rPr>
          <w:iCs/>
          <w:szCs w:val="22"/>
          <w:lang w:val="en-US"/>
        </w:rPr>
        <w:fldChar w:fldCharType="begin"/>
      </w:r>
      <w:r>
        <w:rPr>
          <w:iCs/>
          <w:szCs w:val="22"/>
          <w:lang w:val="en-US"/>
        </w:rPr>
        <w:instrText xml:space="preserve"> REF _Ref59030717 \h </w:instrText>
      </w:r>
      <w:r>
        <w:rPr>
          <w:iCs/>
          <w:szCs w:val="22"/>
          <w:lang w:val="en-US"/>
        </w:rPr>
      </w:r>
      <w:r>
        <w:rPr>
          <w:iCs/>
          <w:szCs w:val="22"/>
          <w:lang w:val="en-US"/>
        </w:rPr>
        <w:fldChar w:fldCharType="separate"/>
      </w:r>
      <w:r w:rsidR="00102828">
        <w:t xml:space="preserve">Figure </w:t>
      </w:r>
      <w:r w:rsidR="00102828">
        <w:rPr>
          <w:noProof/>
        </w:rPr>
        <w:t>26</w:t>
      </w:r>
      <w:r>
        <w:rPr>
          <w:iCs/>
          <w:szCs w:val="22"/>
          <w:lang w:val="en-US"/>
        </w:rPr>
        <w:fldChar w:fldCharType="end"/>
      </w:r>
      <w:r>
        <w:rPr>
          <w:iCs/>
          <w:szCs w:val="22"/>
          <w:lang w:val="en-US"/>
        </w:rPr>
        <w:t>). Early in the season PNP was of similar magnitude but increased significantly as the season progressed and GPP increased, reaching a maximum of 0.57</w:t>
      </w:r>
      <w:r w:rsidRPr="00DE5B4A">
        <w:rPr>
          <w:iCs/>
          <w:szCs w:val="22"/>
          <w:lang w:val="en-US"/>
        </w:rPr>
        <w:t xml:space="preserve"> </w:t>
      </w:r>
      <w:r>
        <w:rPr>
          <w:iCs/>
          <w:szCs w:val="22"/>
          <w:lang w:val="en-US"/>
        </w:rPr>
        <w:t>gC/m</w:t>
      </w:r>
      <w:r w:rsidRPr="009D537C">
        <w:rPr>
          <w:iCs/>
          <w:szCs w:val="22"/>
          <w:vertAlign w:val="superscript"/>
          <w:lang w:val="en-US"/>
        </w:rPr>
        <w:t>3</w:t>
      </w:r>
      <w:r>
        <w:rPr>
          <w:iCs/>
          <w:szCs w:val="22"/>
          <w:lang w:val="en-US"/>
        </w:rPr>
        <w:t>/day below Lock 6. PNP typically contributed 60–80% of the combined net production (CNP) due to phytoplankton and bacteria (</w:t>
      </w:r>
      <w:r>
        <w:rPr>
          <w:iCs/>
          <w:szCs w:val="22"/>
          <w:lang w:val="en-US"/>
        </w:rPr>
        <w:fldChar w:fldCharType="begin"/>
      </w:r>
      <w:r>
        <w:rPr>
          <w:iCs/>
          <w:szCs w:val="22"/>
          <w:lang w:val="en-US"/>
        </w:rPr>
        <w:instrText xml:space="preserve"> REF _Ref59030717 \h </w:instrText>
      </w:r>
      <w:r>
        <w:rPr>
          <w:iCs/>
          <w:szCs w:val="22"/>
          <w:lang w:val="en-US"/>
        </w:rPr>
      </w:r>
      <w:r>
        <w:rPr>
          <w:iCs/>
          <w:szCs w:val="22"/>
          <w:lang w:val="en-US"/>
        </w:rPr>
        <w:fldChar w:fldCharType="separate"/>
      </w:r>
      <w:r w:rsidR="00102828">
        <w:t xml:space="preserve">Figure </w:t>
      </w:r>
      <w:r w:rsidR="00102828">
        <w:rPr>
          <w:noProof/>
        </w:rPr>
        <w:t>26</w:t>
      </w:r>
      <w:r>
        <w:rPr>
          <w:iCs/>
          <w:szCs w:val="22"/>
          <w:lang w:val="en-US"/>
        </w:rPr>
        <w:fldChar w:fldCharType="end"/>
      </w:r>
      <w:r>
        <w:rPr>
          <w:iCs/>
          <w:szCs w:val="22"/>
          <w:lang w:val="en-US"/>
        </w:rPr>
        <w:t>).</w:t>
      </w:r>
    </w:p>
    <w:p w14:paraId="7C738F13" w14:textId="0ED62C15" w:rsidR="00B10666" w:rsidRDefault="00B10666" w:rsidP="00B10666">
      <w:pPr>
        <w:rPr>
          <w:iCs/>
          <w:szCs w:val="22"/>
          <w:lang w:val="en-US"/>
        </w:rPr>
      </w:pPr>
      <w:r>
        <w:rPr>
          <w:iCs/>
          <w:szCs w:val="22"/>
          <w:lang w:val="en-US"/>
        </w:rPr>
        <w:t xml:space="preserve">In contrast, during the four high flow seasons (&gt;15,000 </w:t>
      </w:r>
      <w:r w:rsidR="00167193">
        <w:rPr>
          <w:iCs/>
          <w:szCs w:val="22"/>
          <w:lang w:val="en-US"/>
        </w:rPr>
        <w:t>ML/d</w:t>
      </w:r>
      <w:r>
        <w:rPr>
          <w:iCs/>
          <w:szCs w:val="22"/>
          <w:lang w:val="en-US"/>
        </w:rPr>
        <w:t>), BNP was larger due to increased DOC concentrations, with rates above 0.1 gC/m</w:t>
      </w:r>
      <w:r w:rsidRPr="009D537C">
        <w:rPr>
          <w:iCs/>
          <w:szCs w:val="22"/>
          <w:vertAlign w:val="superscript"/>
          <w:lang w:val="en-US"/>
        </w:rPr>
        <w:t>3</w:t>
      </w:r>
      <w:r>
        <w:rPr>
          <w:iCs/>
          <w:szCs w:val="22"/>
          <w:lang w:val="en-US"/>
        </w:rPr>
        <w:t>/day that ranged up to 0.26 gC/m</w:t>
      </w:r>
      <w:r w:rsidRPr="009D537C">
        <w:rPr>
          <w:iCs/>
          <w:szCs w:val="22"/>
          <w:vertAlign w:val="superscript"/>
          <w:lang w:val="en-US"/>
        </w:rPr>
        <w:t>3</w:t>
      </w:r>
      <w:r>
        <w:rPr>
          <w:iCs/>
          <w:szCs w:val="22"/>
          <w:lang w:val="en-US"/>
        </w:rPr>
        <w:t xml:space="preserve">/day below Lock 6 in 2022. In some high flow years, BNP contributed more than 50% of CNP (PNP &lt; 50%, </w:t>
      </w:r>
      <w:r w:rsidR="00CF0150">
        <w:rPr>
          <w:iCs/>
          <w:szCs w:val="22"/>
          <w:lang w:val="en-US"/>
        </w:rPr>
        <w:fldChar w:fldCharType="begin"/>
      </w:r>
      <w:r w:rsidR="00CF0150">
        <w:rPr>
          <w:iCs/>
          <w:szCs w:val="22"/>
          <w:lang w:val="en-US"/>
        </w:rPr>
        <w:instrText xml:space="preserve"> REF _Ref59030717 \h </w:instrText>
      </w:r>
      <w:r w:rsidR="00CF0150">
        <w:rPr>
          <w:iCs/>
          <w:szCs w:val="22"/>
          <w:lang w:val="en-US"/>
        </w:rPr>
      </w:r>
      <w:r w:rsidR="00CF0150">
        <w:rPr>
          <w:iCs/>
          <w:szCs w:val="22"/>
          <w:lang w:val="en-US"/>
        </w:rPr>
        <w:fldChar w:fldCharType="separate"/>
      </w:r>
      <w:r w:rsidR="00102828">
        <w:t xml:space="preserve">Figure </w:t>
      </w:r>
      <w:r w:rsidR="00102828">
        <w:rPr>
          <w:noProof/>
        </w:rPr>
        <w:t>26</w:t>
      </w:r>
      <w:r w:rsidR="00CF0150">
        <w:rPr>
          <w:iCs/>
          <w:szCs w:val="22"/>
          <w:lang w:val="en-US"/>
        </w:rPr>
        <w:fldChar w:fldCharType="end"/>
      </w:r>
      <w:r>
        <w:rPr>
          <w:iCs/>
          <w:szCs w:val="22"/>
          <w:lang w:val="en-US"/>
        </w:rPr>
        <w:t>), and in 2021-22 BNP was mostly larger than PNP and contributed 60 to 80% of a CNP similar in magnitude to those of the low flow years (</w:t>
      </w:r>
      <w:r>
        <w:rPr>
          <w:iCs/>
          <w:szCs w:val="22"/>
          <w:lang w:val="en-US"/>
        </w:rPr>
        <w:fldChar w:fldCharType="begin"/>
      </w:r>
      <w:r>
        <w:rPr>
          <w:iCs/>
          <w:szCs w:val="22"/>
          <w:lang w:val="en-US"/>
        </w:rPr>
        <w:instrText xml:space="preserve"> REF _Ref59030717 \h </w:instrText>
      </w:r>
      <w:r>
        <w:rPr>
          <w:iCs/>
          <w:szCs w:val="22"/>
          <w:lang w:val="en-US"/>
        </w:rPr>
      </w:r>
      <w:r>
        <w:rPr>
          <w:iCs/>
          <w:szCs w:val="22"/>
          <w:lang w:val="en-US"/>
        </w:rPr>
        <w:fldChar w:fldCharType="separate"/>
      </w:r>
      <w:r w:rsidR="00102828">
        <w:t xml:space="preserve">Figure </w:t>
      </w:r>
      <w:r w:rsidR="00102828">
        <w:rPr>
          <w:noProof/>
        </w:rPr>
        <w:t>26</w:t>
      </w:r>
      <w:r>
        <w:rPr>
          <w:iCs/>
          <w:szCs w:val="22"/>
          <w:lang w:val="en-US"/>
        </w:rPr>
        <w:fldChar w:fldCharType="end"/>
      </w:r>
      <w:r>
        <w:rPr>
          <w:iCs/>
          <w:szCs w:val="22"/>
          <w:lang w:val="en-US"/>
        </w:rPr>
        <w:t xml:space="preserve">). During the 2023-24 season, </w:t>
      </w:r>
      <w:r>
        <w:rPr>
          <w:lang w:val="en-US"/>
        </w:rPr>
        <w:t xml:space="preserve">flows reduced from a high of 51,000 ML/d down to </w:t>
      </w:r>
      <w:r w:rsidR="00F058A8">
        <w:t>~</w:t>
      </w:r>
      <w:r>
        <w:rPr>
          <w:lang w:val="en-US"/>
        </w:rPr>
        <w:t>6,000</w:t>
      </w:r>
      <w:r w:rsidR="00F058A8">
        <w:rPr>
          <w:lang w:val="en-US"/>
        </w:rPr>
        <w:t> </w:t>
      </w:r>
      <w:r>
        <w:rPr>
          <w:lang w:val="en-US"/>
        </w:rPr>
        <w:t>ML/d, overlapping flows observed across the previous monitoring seasons. The contribution of BNP reduced from 70 to 15% as DOC concentrations reduced, and</w:t>
      </w:r>
      <w:r>
        <w:rPr>
          <w:iCs/>
          <w:szCs w:val="22"/>
          <w:lang w:val="en-US"/>
        </w:rPr>
        <w:t xml:space="preserve"> PNP increased in response to improved irradiance levels as depth decreased.</w:t>
      </w:r>
    </w:p>
    <w:p w14:paraId="7844B5FF" w14:textId="77777777" w:rsidR="00B10666" w:rsidRDefault="00B10666" w:rsidP="00B10666">
      <w:pPr>
        <w:rPr>
          <w:iCs/>
          <w:szCs w:val="22"/>
          <w:lang w:val="en-US"/>
        </w:rPr>
      </w:pPr>
    </w:p>
    <w:p w14:paraId="7F06FFA1" w14:textId="77777777" w:rsidR="00B10666" w:rsidRDefault="00B10666" w:rsidP="00B10666">
      <w:pPr>
        <w:spacing w:after="0"/>
        <w:jc w:val="center"/>
        <w:rPr>
          <w:iCs/>
          <w:szCs w:val="22"/>
          <w:lang w:val="en-US"/>
        </w:rPr>
      </w:pPr>
      <w:r>
        <w:rPr>
          <w:iCs/>
          <w:noProof/>
          <w:szCs w:val="22"/>
          <w:lang w:val="en-US"/>
        </w:rPr>
        <w:lastRenderedPageBreak/>
        <w:drawing>
          <wp:inline distT="0" distB="0" distL="0" distR="0" wp14:anchorId="63DAC323" wp14:editId="43F15C13">
            <wp:extent cx="5773420" cy="6858635"/>
            <wp:effectExtent l="0" t="0" r="0" b="0"/>
            <wp:docPr id="117706226" name="Picture 38" descr="Graphs displaying the net production rates of phytoplankton, bacteria, the combined total, and the fraction of combined due to phytoplankton, downstream of Lock 6, Lock 4 and Lock 1 between 2014–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6226" name="Picture 38" descr="Graphs displaying the net production rates of phytoplankton, bacteria, the combined total, and the fraction of combined due to phytoplankton, downstream of Lock 6, Lock 4 and Lock 1 between 2014–202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73420" cy="6858635"/>
                    </a:xfrm>
                    <a:prstGeom prst="rect">
                      <a:avLst/>
                    </a:prstGeom>
                    <a:noFill/>
                  </pic:spPr>
                </pic:pic>
              </a:graphicData>
            </a:graphic>
          </wp:inline>
        </w:drawing>
      </w:r>
    </w:p>
    <w:p w14:paraId="4A89B767" w14:textId="77777777" w:rsidR="00B10666" w:rsidRPr="009855F6" w:rsidRDefault="00B10666" w:rsidP="00B10666">
      <w:pPr>
        <w:spacing w:before="0"/>
        <w:jc w:val="center"/>
        <w:rPr>
          <w:rFonts w:asciiTheme="minorHAnsi" w:hAnsiTheme="minorHAnsi" w:cstheme="minorHAnsi"/>
          <w:b/>
          <w:bCs/>
          <w:iCs/>
          <w:sz w:val="24"/>
          <w:szCs w:val="24"/>
          <w:lang w:val="en-US"/>
        </w:rPr>
      </w:pPr>
      <w:r>
        <w:rPr>
          <w:rFonts w:asciiTheme="minorHAnsi" w:hAnsiTheme="minorHAnsi" w:cstheme="minorHAnsi"/>
          <w:b/>
          <w:bCs/>
          <w:iCs/>
          <w:sz w:val="24"/>
          <w:szCs w:val="24"/>
          <w:lang w:val="en-US"/>
        </w:rPr>
        <w:t>Date</w:t>
      </w:r>
    </w:p>
    <w:p w14:paraId="204DC442" w14:textId="3D20F591" w:rsidR="00B10666" w:rsidRPr="00BA6252" w:rsidRDefault="00B10666" w:rsidP="00B10666">
      <w:pPr>
        <w:pStyle w:val="Caption"/>
        <w:rPr>
          <w:i/>
          <w:u w:val="single"/>
        </w:rPr>
      </w:pPr>
      <w:bookmarkStart w:id="194" w:name="_Ref59030717"/>
      <w:bookmarkStart w:id="195" w:name="_Toc103170074"/>
      <w:bookmarkStart w:id="196" w:name="_Toc152860255"/>
      <w:bookmarkStart w:id="197" w:name="_Toc200464477"/>
      <w:r>
        <w:t xml:space="preserve">Figure </w:t>
      </w:r>
      <w:r>
        <w:fldChar w:fldCharType="begin"/>
      </w:r>
      <w:r>
        <w:instrText>SEQ Figure \* ARABIC</w:instrText>
      </w:r>
      <w:r>
        <w:fldChar w:fldCharType="separate"/>
      </w:r>
      <w:r w:rsidR="00102828">
        <w:rPr>
          <w:noProof/>
        </w:rPr>
        <w:t>26</w:t>
      </w:r>
      <w:r>
        <w:fldChar w:fldCharType="end"/>
      </w:r>
      <w:bookmarkEnd w:id="194"/>
      <w:r>
        <w:t xml:space="preserve">. Net </w:t>
      </w:r>
      <w:r w:rsidRPr="00C3722F">
        <w:rPr>
          <w:szCs w:val="20"/>
        </w:rPr>
        <w:t>production rates of phytoplankton (</w:t>
      </w:r>
      <w:r>
        <w:rPr>
          <w:szCs w:val="20"/>
        </w:rPr>
        <w:t xml:space="preserve">PNP, </w:t>
      </w:r>
      <w:r w:rsidRPr="00E52235">
        <w:rPr>
          <w:color w:val="70AD47" w:themeColor="accent6"/>
          <w:szCs w:val="20"/>
        </w:rPr>
        <w:t>●</w:t>
      </w:r>
      <w:r w:rsidRPr="00C3722F">
        <w:rPr>
          <w:szCs w:val="20"/>
        </w:rPr>
        <w:t>), bacteria (</w:t>
      </w:r>
      <w:r>
        <w:rPr>
          <w:szCs w:val="20"/>
        </w:rPr>
        <w:t xml:space="preserve">BNP, </w:t>
      </w:r>
      <w:r w:rsidRPr="00C75083">
        <w:rPr>
          <w:color w:val="ED7D31" w:themeColor="accent2"/>
          <w:szCs w:val="20"/>
        </w:rPr>
        <w:t>●</w:t>
      </w:r>
      <w:r w:rsidRPr="00C3722F">
        <w:rPr>
          <w:szCs w:val="20"/>
        </w:rPr>
        <w:t>)</w:t>
      </w:r>
      <w:r>
        <w:rPr>
          <w:szCs w:val="20"/>
        </w:rPr>
        <w:t>,</w:t>
      </w:r>
      <w:r w:rsidRPr="00C3722F">
        <w:rPr>
          <w:szCs w:val="20"/>
        </w:rPr>
        <w:t xml:space="preserve"> </w:t>
      </w:r>
      <w:r>
        <w:rPr>
          <w:szCs w:val="20"/>
        </w:rPr>
        <w:t xml:space="preserve">the combined total (CNP, </w:t>
      </w:r>
      <w:r w:rsidRPr="00E52235">
        <w:rPr>
          <w:color w:val="C00000"/>
          <w:szCs w:val="20"/>
        </w:rPr>
        <w:t>●</w:t>
      </w:r>
      <w:r w:rsidRPr="00E52235">
        <w:rPr>
          <w:szCs w:val="20"/>
        </w:rPr>
        <w:t xml:space="preserve">), and the </w:t>
      </w:r>
      <w:r>
        <w:rPr>
          <w:szCs w:val="20"/>
        </w:rPr>
        <w:t xml:space="preserve">fraction of combined due to phytoplankton </w:t>
      </w:r>
      <w:r w:rsidRPr="00C3722F">
        <w:rPr>
          <w:szCs w:val="20"/>
        </w:rPr>
        <w:t>(</w:t>
      </w:r>
      <w:r>
        <w:rPr>
          <w:szCs w:val="20"/>
        </w:rPr>
        <w:t>Δ</w:t>
      </w:r>
      <w:r w:rsidRPr="00C3722F">
        <w:rPr>
          <w:szCs w:val="20"/>
        </w:rPr>
        <w:t>)</w:t>
      </w:r>
      <w:r>
        <w:rPr>
          <w:szCs w:val="20"/>
        </w:rPr>
        <w:t xml:space="preserve">, </w:t>
      </w:r>
      <w:r>
        <w:t>downstream of Lock 6 (a)</w:t>
      </w:r>
      <w:r w:rsidRPr="00C3722F">
        <w:rPr>
          <w:szCs w:val="20"/>
        </w:rPr>
        <w:t>,</w:t>
      </w:r>
      <w:r>
        <w:rPr>
          <w:szCs w:val="20"/>
        </w:rPr>
        <w:t xml:space="preserve"> Lock 4</w:t>
      </w:r>
      <w:r w:rsidRPr="00C3722F">
        <w:rPr>
          <w:szCs w:val="20"/>
        </w:rPr>
        <w:t xml:space="preserve"> </w:t>
      </w:r>
      <w:r>
        <w:rPr>
          <w:szCs w:val="20"/>
        </w:rPr>
        <w:t xml:space="preserve">(b) </w:t>
      </w:r>
      <w:r w:rsidRPr="00C3722F">
        <w:rPr>
          <w:szCs w:val="20"/>
        </w:rPr>
        <w:t xml:space="preserve">and </w:t>
      </w:r>
      <w:r>
        <w:rPr>
          <w:szCs w:val="20"/>
        </w:rPr>
        <w:t xml:space="preserve">Lock 1 (c), </w:t>
      </w:r>
      <w:r w:rsidRPr="00C3722F">
        <w:rPr>
          <w:szCs w:val="20"/>
        </w:rPr>
        <w:t>for a</w:t>
      </w:r>
      <w:r>
        <w:t>ll dates during 2014–2024 with matching DOC measurements.</w:t>
      </w:r>
      <w:bookmarkEnd w:id="195"/>
      <w:bookmarkEnd w:id="196"/>
      <w:bookmarkEnd w:id="197"/>
    </w:p>
    <w:p w14:paraId="626EE9A6" w14:textId="77777777" w:rsidR="00B10666" w:rsidRDefault="00B10666" w:rsidP="00B10666"/>
    <w:p w14:paraId="6AF7626F" w14:textId="77777777" w:rsidR="0040128C" w:rsidRDefault="0040128C" w:rsidP="00B10666">
      <w:pPr>
        <w:spacing w:before="0" w:after="160" w:line="259" w:lineRule="auto"/>
        <w:jc w:val="left"/>
        <w:rPr>
          <w:i/>
          <w:u w:val="single"/>
        </w:rPr>
      </w:pPr>
    </w:p>
    <w:p w14:paraId="141D2BB1" w14:textId="77777777" w:rsidR="0040128C" w:rsidRDefault="0040128C">
      <w:pPr>
        <w:spacing w:before="0" w:after="160" w:line="259" w:lineRule="auto"/>
        <w:jc w:val="left"/>
        <w:rPr>
          <w:i/>
          <w:u w:val="single"/>
        </w:rPr>
      </w:pPr>
      <w:r>
        <w:rPr>
          <w:i/>
          <w:u w:val="single"/>
        </w:rPr>
        <w:br w:type="page"/>
      </w:r>
    </w:p>
    <w:p w14:paraId="54065EB1" w14:textId="14F60A4E" w:rsidR="00B10666" w:rsidRDefault="00B10666" w:rsidP="00B10666">
      <w:pPr>
        <w:spacing w:before="0" w:after="160" w:line="259" w:lineRule="auto"/>
        <w:jc w:val="left"/>
        <w:rPr>
          <w:i/>
          <w:u w:val="single"/>
        </w:rPr>
      </w:pPr>
      <w:r>
        <w:rPr>
          <w:i/>
          <w:u w:val="single"/>
        </w:rPr>
        <w:lastRenderedPageBreak/>
        <w:t>Water quality</w:t>
      </w:r>
    </w:p>
    <w:p w14:paraId="136BA0E4" w14:textId="0070663E" w:rsidR="00B10666" w:rsidRPr="002A5C9A" w:rsidRDefault="00B10666" w:rsidP="00B10666">
      <w:bookmarkStart w:id="198" w:name="_Ref35595463"/>
      <w:r>
        <w:t>W</w:t>
      </w:r>
      <w:r w:rsidRPr="002A5C9A">
        <w:t>ater quality was comparable across sites</w:t>
      </w:r>
      <w:r>
        <w:t xml:space="preserve"> within seasons</w:t>
      </w:r>
      <w:r w:rsidRPr="002A5C9A">
        <w:t xml:space="preserve"> (</w:t>
      </w:r>
      <w:r>
        <w:fldChar w:fldCharType="begin"/>
      </w:r>
      <w:r>
        <w:instrText xml:space="preserve"> REF _Ref59030758 \h </w:instrText>
      </w:r>
      <w:r>
        <w:fldChar w:fldCharType="separate"/>
      </w:r>
      <w:r w:rsidR="00102828">
        <w:t xml:space="preserve">Figure </w:t>
      </w:r>
      <w:r w:rsidR="00102828">
        <w:rPr>
          <w:noProof/>
        </w:rPr>
        <w:t>27</w:t>
      </w:r>
      <w:r>
        <w:fldChar w:fldCharType="end"/>
      </w:r>
      <w:r w:rsidRPr="002A5C9A">
        <w:t>)</w:t>
      </w:r>
      <w:r>
        <w:t xml:space="preserve">. Between seasons, water quality differed markedly, </w:t>
      </w:r>
      <w:r w:rsidRPr="002A5C9A">
        <w:t xml:space="preserve">especially during the </w:t>
      </w:r>
      <w:r>
        <w:t>two flood years and the high flow years (</w:t>
      </w:r>
      <w:r>
        <w:fldChar w:fldCharType="begin"/>
      </w:r>
      <w:r>
        <w:instrText xml:space="preserve"> REF _Ref192851872 \h </w:instrText>
      </w:r>
      <w:r>
        <w:fldChar w:fldCharType="separate"/>
      </w:r>
      <w:r w:rsidR="00102828" w:rsidRPr="00741669">
        <w:t xml:space="preserve">Figure </w:t>
      </w:r>
      <w:r w:rsidR="00102828">
        <w:rPr>
          <w:noProof/>
        </w:rPr>
        <w:t>15</w:t>
      </w:r>
      <w:r>
        <w:fldChar w:fldCharType="end"/>
      </w:r>
      <w:r>
        <w:t>),</w:t>
      </w:r>
      <w:r w:rsidRPr="002A5C9A">
        <w:t xml:space="preserve"> </w:t>
      </w:r>
      <w:r>
        <w:t xml:space="preserve">but also in low flow years in response to changes in </w:t>
      </w:r>
      <w:r w:rsidRPr="002A5C9A">
        <w:t xml:space="preserve">upstream water sources. For example, turbidity was high during the 2018-19 season due to enhanced flows from turbid </w:t>
      </w:r>
      <w:r>
        <w:t>Lake Victoria</w:t>
      </w:r>
      <w:r w:rsidRPr="002A5C9A">
        <w:t xml:space="preserve"> (</w:t>
      </w:r>
      <w:r>
        <w:fldChar w:fldCharType="begin"/>
      </w:r>
      <w:r>
        <w:instrText xml:space="preserve"> REF _Ref59030758 \h </w:instrText>
      </w:r>
      <w:r>
        <w:fldChar w:fldCharType="separate"/>
      </w:r>
      <w:r w:rsidR="00102828">
        <w:t xml:space="preserve">Figure </w:t>
      </w:r>
      <w:r w:rsidR="00102828">
        <w:rPr>
          <w:noProof/>
        </w:rPr>
        <w:t>27</w:t>
      </w:r>
      <w:r>
        <w:fldChar w:fldCharType="end"/>
      </w:r>
      <w:r w:rsidRPr="002A5C9A">
        <w:t>).</w:t>
      </w:r>
    </w:p>
    <w:p w14:paraId="23081695" w14:textId="7789BAC4" w:rsidR="00B10666" w:rsidRDefault="00B10666" w:rsidP="00B10666">
      <w:r>
        <w:t>The water column mean irradiance (</w:t>
      </w:r>
      <w:r w:rsidRPr="00A430F3">
        <w:rPr>
          <w:i/>
          <w:iCs/>
        </w:rPr>
        <w:t>Im</w:t>
      </w:r>
      <w:r>
        <w:t xml:space="preserve">) was a major driver of GPP and depended on </w:t>
      </w:r>
      <w:r w:rsidRPr="00DB7AE7">
        <w:rPr>
          <w:i/>
          <w:iCs/>
        </w:rPr>
        <w:t>I</w:t>
      </w:r>
      <w:r w:rsidRPr="00A430F3">
        <w:rPr>
          <w:i/>
          <w:iCs/>
          <w:vertAlign w:val="subscript"/>
        </w:rPr>
        <w:t>0</w:t>
      </w:r>
      <w:r>
        <w:t xml:space="preserve">, </w:t>
      </w:r>
      <w:r w:rsidRPr="009A0AAF">
        <w:rPr>
          <w:i/>
          <w:iCs/>
        </w:rPr>
        <w:t>k</w:t>
      </w:r>
      <w:r w:rsidRPr="009A0AAF">
        <w:rPr>
          <w:i/>
          <w:iCs/>
          <w:vertAlign w:val="subscript"/>
        </w:rPr>
        <w:t>d</w:t>
      </w:r>
      <w:r>
        <w:t xml:space="preserve"> and </w:t>
      </w:r>
      <w:r w:rsidRPr="009A0AAF">
        <w:rPr>
          <w:i/>
          <w:iCs/>
        </w:rPr>
        <w:t>z</w:t>
      </w:r>
      <w:r w:rsidRPr="009A0AAF">
        <w:rPr>
          <w:i/>
          <w:iCs/>
          <w:vertAlign w:val="subscript"/>
        </w:rPr>
        <w:t>ave</w:t>
      </w:r>
      <w:r>
        <w:t xml:space="preserve"> (Equation 2). Changes in </w:t>
      </w:r>
      <w:r w:rsidRPr="00A430F3">
        <w:rPr>
          <w:i/>
          <w:iCs/>
        </w:rPr>
        <w:t>Im</w:t>
      </w:r>
      <w:r>
        <w:t xml:space="preserve"> were inversely related to </w:t>
      </w:r>
      <w:r w:rsidRPr="009A0AAF">
        <w:rPr>
          <w:i/>
          <w:iCs/>
        </w:rPr>
        <w:t>k</w:t>
      </w:r>
      <w:r w:rsidRPr="009A0AAF">
        <w:rPr>
          <w:i/>
          <w:iCs/>
          <w:vertAlign w:val="subscript"/>
        </w:rPr>
        <w:t>d</w:t>
      </w:r>
      <w:r>
        <w:t xml:space="preserve"> which was largely influenced by turbidity and DOC, with little effect from chlorophyll</w:t>
      </w:r>
      <w:r w:rsidR="001C3717">
        <w:t>-</w:t>
      </w:r>
      <w:r w:rsidRPr="00A21A7E">
        <w:rPr>
          <w:i/>
          <w:iCs/>
        </w:rPr>
        <w:t>a</w:t>
      </w:r>
      <w:r>
        <w:t xml:space="preserve"> concentration (</w:t>
      </w:r>
      <w:r>
        <w:fldChar w:fldCharType="begin"/>
      </w:r>
      <w:r>
        <w:instrText xml:space="preserve"> REF _Ref59030758 \h </w:instrText>
      </w:r>
      <w:r>
        <w:fldChar w:fldCharType="separate"/>
      </w:r>
      <w:r w:rsidR="00102828">
        <w:t xml:space="preserve">Figure </w:t>
      </w:r>
      <w:r w:rsidR="00102828">
        <w:rPr>
          <w:noProof/>
        </w:rPr>
        <w:t>27</w:t>
      </w:r>
      <w:r>
        <w:fldChar w:fldCharType="end"/>
      </w:r>
      <w:r>
        <w:t xml:space="preserve">). A multiple regression with DOC and NTU as explanatory variables for </w:t>
      </w:r>
      <w:r w:rsidR="00364318" w:rsidRPr="009A0AAF">
        <w:rPr>
          <w:i/>
          <w:iCs/>
        </w:rPr>
        <w:t>k</w:t>
      </w:r>
      <w:r w:rsidR="00364318" w:rsidRPr="009A0AAF">
        <w:rPr>
          <w:i/>
          <w:iCs/>
          <w:vertAlign w:val="subscript"/>
        </w:rPr>
        <w:t>d</w:t>
      </w:r>
      <w:r w:rsidR="00364318" w:rsidDel="00364318">
        <w:t xml:space="preserve"> </w:t>
      </w:r>
      <w:r>
        <w:t>yielded:</w:t>
      </w:r>
    </w:p>
    <w:p w14:paraId="08571E1C" w14:textId="77777777" w:rsidR="00B10666" w:rsidRPr="00B27DAA" w:rsidRDefault="00B10666" w:rsidP="00B10666">
      <w:pPr>
        <w:jc w:val="center"/>
        <w:rPr>
          <w:rFonts w:ascii="Cambria Math" w:hAnsi="Cambria Math"/>
        </w:rPr>
      </w:pPr>
      <w:r w:rsidRPr="00B27DAA">
        <w:rPr>
          <w:rFonts w:ascii="Cambria Math" w:hAnsi="Cambria Math"/>
        </w:rPr>
        <w:t>Kd = 0.05(±0.001)* NTU + 0.2(±0.01)*DOC + 0.6(±0.09)     r</w:t>
      </w:r>
      <w:r w:rsidRPr="00B27DAA">
        <w:rPr>
          <w:rFonts w:ascii="Cambria Math" w:hAnsi="Cambria Math"/>
          <w:vertAlign w:val="superscript"/>
        </w:rPr>
        <w:t>2</w:t>
      </w:r>
      <w:r w:rsidRPr="00B27DAA">
        <w:rPr>
          <w:rFonts w:ascii="Cambria Math" w:hAnsi="Cambria Math"/>
        </w:rPr>
        <w:t>=0.91</w:t>
      </w:r>
    </w:p>
    <w:p w14:paraId="112AD2B2" w14:textId="76F54ED7" w:rsidR="00B10666" w:rsidRDefault="00B10666" w:rsidP="00B10666">
      <w:r>
        <w:t xml:space="preserve">In 2021-22, the high </w:t>
      </w:r>
      <w:r w:rsidRPr="009A0AAF">
        <w:rPr>
          <w:i/>
          <w:iCs/>
        </w:rPr>
        <w:t>k</w:t>
      </w:r>
      <w:r w:rsidRPr="009A0AAF">
        <w:rPr>
          <w:i/>
          <w:iCs/>
          <w:vertAlign w:val="subscript"/>
        </w:rPr>
        <w:t>d</w:t>
      </w:r>
      <w:r>
        <w:t xml:space="preserve"> was associated with enhanced turbidity, whereas in 2022-23 a similar </w:t>
      </w:r>
      <w:r w:rsidRPr="009A0AAF">
        <w:rPr>
          <w:i/>
          <w:iCs/>
        </w:rPr>
        <w:t>k</w:t>
      </w:r>
      <w:r w:rsidRPr="009A0AAF">
        <w:rPr>
          <w:i/>
          <w:iCs/>
          <w:vertAlign w:val="subscript"/>
        </w:rPr>
        <w:t>d</w:t>
      </w:r>
      <w:r>
        <w:t xml:space="preserve"> was associated with increased DOC concentrations (</w:t>
      </w:r>
      <w:r>
        <w:fldChar w:fldCharType="begin"/>
      </w:r>
      <w:r>
        <w:instrText xml:space="preserve"> REF _Ref59030758 \h </w:instrText>
      </w:r>
      <w:r>
        <w:fldChar w:fldCharType="separate"/>
      </w:r>
      <w:r w:rsidR="00102828">
        <w:t xml:space="preserve">Figure </w:t>
      </w:r>
      <w:r w:rsidR="00102828">
        <w:rPr>
          <w:noProof/>
        </w:rPr>
        <w:t>27</w:t>
      </w:r>
      <w:r>
        <w:fldChar w:fldCharType="end"/>
      </w:r>
      <w:r>
        <w:t xml:space="preserve">). </w:t>
      </w:r>
    </w:p>
    <w:p w14:paraId="32E1A4D2" w14:textId="0A30F21F" w:rsidR="00B10666" w:rsidRDefault="00B10666" w:rsidP="00B10666">
      <w:r>
        <w:t>The consistently higher DOC concentrations of 2021-22, 2022-23 and 2023-24 were associated with higher concentrations of chlorophyll</w:t>
      </w:r>
      <w:r w:rsidR="001C3717">
        <w:t>-</w:t>
      </w:r>
      <w:r w:rsidRPr="00A21A7E">
        <w:rPr>
          <w:i/>
          <w:iCs/>
        </w:rPr>
        <w:t>a</w:t>
      </w:r>
      <w:r>
        <w:t>, TP and TN (</w:t>
      </w:r>
      <w:r>
        <w:fldChar w:fldCharType="begin"/>
      </w:r>
      <w:r>
        <w:instrText xml:space="preserve"> REF _Ref59030758 \h </w:instrText>
      </w:r>
      <w:r>
        <w:fldChar w:fldCharType="separate"/>
      </w:r>
      <w:r w:rsidR="00102828">
        <w:t xml:space="preserve">Figure </w:t>
      </w:r>
      <w:r w:rsidR="00102828">
        <w:rPr>
          <w:noProof/>
        </w:rPr>
        <w:t>27</w:t>
      </w:r>
      <w:r>
        <w:fldChar w:fldCharType="end"/>
      </w:r>
      <w:r>
        <w:t>). Data from all sites and seasons over the ten-year monitoring showed abrupt increases of between 45 and 80% in DOC, TP, and TN as flows exceeded 18,000 ML/d, with the step change continuing up to 35,000 ML/d (</w:t>
      </w:r>
      <w:r>
        <w:fldChar w:fldCharType="begin"/>
      </w:r>
      <w:r>
        <w:instrText xml:space="preserve"> REF _Ref160799137 \h </w:instrText>
      </w:r>
      <w:r>
        <w:fldChar w:fldCharType="separate"/>
      </w:r>
      <w:r w:rsidR="00102828">
        <w:t xml:space="preserve">Figure </w:t>
      </w:r>
      <w:r w:rsidR="00102828">
        <w:rPr>
          <w:noProof/>
        </w:rPr>
        <w:t>28</w:t>
      </w:r>
      <w:r>
        <w:fldChar w:fldCharType="end"/>
      </w:r>
      <w:r>
        <w:t>). These increased levels were linked with floodplain inundation and associated with a decline in gas exchange coefficients. Further increases in water levels increased DOC concentrations that between 10 and 25 mgC/L led to steep declines in DO (</w:t>
      </w:r>
      <w:r>
        <w:fldChar w:fldCharType="begin"/>
      </w:r>
      <w:r>
        <w:instrText xml:space="preserve"> REF _Ref160799155 \h </w:instrText>
      </w:r>
      <w:r>
        <w:fldChar w:fldCharType="separate"/>
      </w:r>
      <w:r w:rsidR="00102828" w:rsidRPr="003B1B73">
        <w:t xml:space="preserve">Figure </w:t>
      </w:r>
      <w:r w:rsidR="00102828">
        <w:rPr>
          <w:noProof/>
        </w:rPr>
        <w:t>29</w:t>
      </w:r>
      <w:r>
        <w:fldChar w:fldCharType="end"/>
      </w:r>
      <w:r>
        <w:t>).</w:t>
      </w:r>
    </w:p>
    <w:p w14:paraId="157CE1EF" w14:textId="77777777" w:rsidR="00B10666" w:rsidRDefault="00B10666" w:rsidP="00B10666"/>
    <w:p w14:paraId="72F458E6" w14:textId="77777777" w:rsidR="00B10666" w:rsidRDefault="00B10666" w:rsidP="00B10666">
      <w:pPr>
        <w:spacing w:before="0" w:after="160" w:line="259" w:lineRule="auto"/>
        <w:jc w:val="left"/>
        <w:sectPr w:rsidR="00B10666" w:rsidSect="00B10666">
          <w:pgSz w:w="11900" w:h="16840"/>
          <w:pgMar w:top="1440" w:right="1440" w:bottom="1440" w:left="1440" w:header="709" w:footer="709" w:gutter="0"/>
          <w:cols w:space="720"/>
        </w:sectPr>
      </w:pPr>
    </w:p>
    <w:p w14:paraId="23036FE9" w14:textId="77777777" w:rsidR="00B10666" w:rsidRDefault="00B10666" w:rsidP="00B10666">
      <w:pPr>
        <w:spacing w:before="0" w:after="160" w:line="259" w:lineRule="auto"/>
        <w:jc w:val="center"/>
      </w:pPr>
      <w:r w:rsidRPr="001D2D97">
        <w:lastRenderedPageBreak/>
        <w:t xml:space="preserve"> </w:t>
      </w:r>
      <w:r w:rsidRPr="001A5AB4">
        <w:rPr>
          <w:noProof/>
        </w:rPr>
        <w:t xml:space="preserve"> </w:t>
      </w:r>
      <w:r>
        <w:rPr>
          <w:noProof/>
        </w:rPr>
        <w:drawing>
          <wp:inline distT="0" distB="0" distL="0" distR="0" wp14:anchorId="0993E302" wp14:editId="1EF492D5">
            <wp:extent cx="6525828" cy="4894371"/>
            <wp:effectExtent l="0" t="0" r="8890" b="1905"/>
            <wp:docPr id="1199330185" name="Picture 31" descr="Six graphs displaying Vertical attenuation, Turbidity, Dissolved organic carbon, Chlorophyll-a, Total phosphorus, and Total nitrogen, below Locks 6 , 4 and 1 during 2014–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330185" name="Picture 31" descr="Six graphs displaying Vertical attenuation, Turbidity, Dissolved organic carbon, Chlorophyll-a, Total phosphorus, and Total nitrogen, below Locks 6 , 4 and 1 during 2014–2024."/>
                    <pic:cNvPicPr>
                      <a:picLocks noChangeAspect="1" noChangeArrowheads="1"/>
                    </pic:cNvPicPr>
                  </pic:nvPicPr>
                  <pic:blipFill>
                    <a:blip r:embed="rId89">
                      <a:extLst>
                        <a:ext uri="{28A0092B-C50C-407E-A947-70E740481C1C}">
                          <a14:useLocalDpi xmlns:a14="http://schemas.microsoft.com/office/drawing/2010/main" val="0"/>
                        </a:ext>
                      </a:extLst>
                    </a:blip>
                    <a:stretch>
                      <a:fillRect/>
                    </a:stretch>
                  </pic:blipFill>
                  <pic:spPr bwMode="auto">
                    <a:xfrm>
                      <a:off x="0" y="0"/>
                      <a:ext cx="6525828" cy="4894371"/>
                    </a:xfrm>
                    <a:prstGeom prst="rect">
                      <a:avLst/>
                    </a:prstGeom>
                    <a:noFill/>
                  </pic:spPr>
                </pic:pic>
              </a:graphicData>
            </a:graphic>
          </wp:inline>
        </w:drawing>
      </w:r>
    </w:p>
    <w:p w14:paraId="55E8F6F7" w14:textId="33A3C46E" w:rsidR="00B10666" w:rsidRDefault="00B10666" w:rsidP="00B10666">
      <w:pPr>
        <w:pStyle w:val="Caption"/>
        <w:rPr>
          <w:szCs w:val="20"/>
        </w:rPr>
      </w:pPr>
      <w:bookmarkStart w:id="199" w:name="_Ref59030758"/>
      <w:bookmarkStart w:id="200" w:name="_Toc103170075"/>
      <w:bookmarkStart w:id="201" w:name="_Toc152860256"/>
      <w:bookmarkStart w:id="202" w:name="_Toc200464478"/>
      <w:r>
        <w:t xml:space="preserve">Figure </w:t>
      </w:r>
      <w:r>
        <w:fldChar w:fldCharType="begin"/>
      </w:r>
      <w:r>
        <w:instrText>SEQ Figure \* ARABIC</w:instrText>
      </w:r>
      <w:r>
        <w:fldChar w:fldCharType="separate"/>
      </w:r>
      <w:r w:rsidR="00102828">
        <w:rPr>
          <w:noProof/>
        </w:rPr>
        <w:t>27</w:t>
      </w:r>
      <w:r>
        <w:fldChar w:fldCharType="end"/>
      </w:r>
      <w:bookmarkEnd w:id="199"/>
      <w:r>
        <w:t xml:space="preserve">. (a) </w:t>
      </w:r>
      <w:r>
        <w:rPr>
          <w:szCs w:val="20"/>
        </w:rPr>
        <w:t>Vertical attenuation (</w:t>
      </w:r>
      <w:r w:rsidRPr="009A0AAF">
        <w:rPr>
          <w:i/>
          <w:iCs/>
          <w:szCs w:val="20"/>
        </w:rPr>
        <w:t>k</w:t>
      </w:r>
      <w:r w:rsidRPr="009A0AAF">
        <w:rPr>
          <w:i/>
          <w:iCs/>
          <w:szCs w:val="20"/>
          <w:vertAlign w:val="subscript"/>
        </w:rPr>
        <w:t>d</w:t>
      </w:r>
      <w:r>
        <w:rPr>
          <w:szCs w:val="20"/>
        </w:rPr>
        <w:t xml:space="preserve">), (b) </w:t>
      </w:r>
      <w:r w:rsidRPr="00C3722F">
        <w:rPr>
          <w:szCs w:val="20"/>
        </w:rPr>
        <w:t>Turbidity</w:t>
      </w:r>
      <w:r>
        <w:rPr>
          <w:szCs w:val="20"/>
        </w:rPr>
        <w:t>,</w:t>
      </w:r>
      <w:r w:rsidRPr="00C3722F">
        <w:rPr>
          <w:szCs w:val="20"/>
        </w:rPr>
        <w:t xml:space="preserve"> (</w:t>
      </w:r>
      <w:r>
        <w:rPr>
          <w:szCs w:val="20"/>
        </w:rPr>
        <w:t>c</w:t>
      </w:r>
      <w:r w:rsidRPr="00C3722F">
        <w:rPr>
          <w:szCs w:val="20"/>
        </w:rPr>
        <w:t>)</w:t>
      </w:r>
      <w:r>
        <w:rPr>
          <w:szCs w:val="20"/>
        </w:rPr>
        <w:t xml:space="preserve"> </w:t>
      </w:r>
      <w:r>
        <w:t>Dissolved organic carbon (DOC),</w:t>
      </w:r>
      <w:r>
        <w:rPr>
          <w:szCs w:val="20"/>
        </w:rPr>
        <w:t xml:space="preserve"> </w:t>
      </w:r>
      <w:r w:rsidRPr="00C3722F">
        <w:rPr>
          <w:szCs w:val="20"/>
        </w:rPr>
        <w:t>(</w:t>
      </w:r>
      <w:r>
        <w:rPr>
          <w:szCs w:val="20"/>
        </w:rPr>
        <w:t>d</w:t>
      </w:r>
      <w:r w:rsidRPr="00C3722F">
        <w:rPr>
          <w:szCs w:val="20"/>
        </w:rPr>
        <w:t>)</w:t>
      </w:r>
      <w:r w:rsidRPr="006D213F">
        <w:t xml:space="preserve"> </w:t>
      </w:r>
      <w:r>
        <w:rPr>
          <w:szCs w:val="20"/>
        </w:rPr>
        <w:t>Chlorophyll</w:t>
      </w:r>
      <w:r w:rsidR="00364318">
        <w:rPr>
          <w:szCs w:val="20"/>
        </w:rPr>
        <w:t xml:space="preserve"> </w:t>
      </w:r>
      <w:r w:rsidRPr="00A21A7E">
        <w:rPr>
          <w:i/>
          <w:iCs/>
          <w:szCs w:val="20"/>
        </w:rPr>
        <w:t>a</w:t>
      </w:r>
      <w:r>
        <w:rPr>
          <w:szCs w:val="20"/>
        </w:rPr>
        <w:t>,</w:t>
      </w:r>
      <w:r w:rsidRPr="00C3722F">
        <w:rPr>
          <w:szCs w:val="20"/>
        </w:rPr>
        <w:t xml:space="preserve"> </w:t>
      </w:r>
      <w:r>
        <w:t xml:space="preserve">(e) </w:t>
      </w:r>
      <w:r w:rsidRPr="00C3722F">
        <w:rPr>
          <w:szCs w:val="20"/>
        </w:rPr>
        <w:t>Total phosphorus</w:t>
      </w:r>
      <w:r>
        <w:rPr>
          <w:szCs w:val="20"/>
        </w:rPr>
        <w:t>,</w:t>
      </w:r>
      <w:r w:rsidRPr="00C3722F">
        <w:rPr>
          <w:szCs w:val="20"/>
        </w:rPr>
        <w:t xml:space="preserve"> </w:t>
      </w:r>
      <w:r>
        <w:rPr>
          <w:szCs w:val="20"/>
        </w:rPr>
        <w:t xml:space="preserve">and </w:t>
      </w:r>
      <w:r>
        <w:t xml:space="preserve">(f) Total </w:t>
      </w:r>
      <w:r w:rsidRPr="00C3722F">
        <w:rPr>
          <w:szCs w:val="20"/>
        </w:rPr>
        <w:t>nitrogen</w:t>
      </w:r>
      <w:r>
        <w:rPr>
          <w:szCs w:val="20"/>
        </w:rPr>
        <w:t>,</w:t>
      </w:r>
      <w:r w:rsidRPr="00C3722F">
        <w:rPr>
          <w:szCs w:val="20"/>
        </w:rPr>
        <w:t xml:space="preserve"> </w:t>
      </w:r>
      <w:r>
        <w:rPr>
          <w:szCs w:val="20"/>
        </w:rPr>
        <w:t>below L</w:t>
      </w:r>
      <w:r w:rsidRPr="00C3722F">
        <w:rPr>
          <w:szCs w:val="20"/>
        </w:rPr>
        <w:t>ock</w:t>
      </w:r>
      <w:r>
        <w:rPr>
          <w:szCs w:val="20"/>
        </w:rPr>
        <w:t>s</w:t>
      </w:r>
      <w:r w:rsidRPr="00C3722F">
        <w:rPr>
          <w:szCs w:val="20"/>
        </w:rPr>
        <w:t xml:space="preserve"> 6 (</w:t>
      </w:r>
      <w:r w:rsidRPr="00FB3ECE">
        <w:rPr>
          <w:color w:val="4472C4" w:themeColor="accent5"/>
          <w:szCs w:val="20"/>
        </w:rPr>
        <w:t>●</w:t>
      </w:r>
      <w:r w:rsidRPr="00C3722F">
        <w:rPr>
          <w:szCs w:val="20"/>
        </w:rPr>
        <w:t>),</w:t>
      </w:r>
      <w:r>
        <w:rPr>
          <w:szCs w:val="20"/>
        </w:rPr>
        <w:t xml:space="preserve"> </w:t>
      </w:r>
      <w:r w:rsidRPr="00C3722F">
        <w:rPr>
          <w:szCs w:val="20"/>
        </w:rPr>
        <w:t>4 (</w:t>
      </w:r>
      <w:r w:rsidRPr="00FB3ECE">
        <w:rPr>
          <w:color w:val="A5A5A5" w:themeColor="accent3"/>
          <w:szCs w:val="20"/>
        </w:rPr>
        <w:t>●</w:t>
      </w:r>
      <w:r w:rsidRPr="00C3722F">
        <w:rPr>
          <w:szCs w:val="20"/>
        </w:rPr>
        <w:t>) and 1 (</w:t>
      </w:r>
      <w:r w:rsidRPr="00FB3ECE">
        <w:rPr>
          <w:color w:val="ED7D31" w:themeColor="accent2"/>
          <w:szCs w:val="20"/>
        </w:rPr>
        <w:t>●</w:t>
      </w:r>
      <w:r w:rsidRPr="00C3722F">
        <w:rPr>
          <w:szCs w:val="20"/>
        </w:rPr>
        <w:t>)</w:t>
      </w:r>
      <w:bookmarkEnd w:id="198"/>
      <w:r>
        <w:rPr>
          <w:szCs w:val="20"/>
        </w:rPr>
        <w:t xml:space="preserve"> during</w:t>
      </w:r>
      <w:r>
        <w:t xml:space="preserve"> 2014–2024</w:t>
      </w:r>
      <w:r w:rsidRPr="00C3722F">
        <w:rPr>
          <w:szCs w:val="20"/>
        </w:rPr>
        <w:t>.</w:t>
      </w:r>
      <w:bookmarkEnd w:id="200"/>
      <w:bookmarkEnd w:id="201"/>
      <w:bookmarkEnd w:id="202"/>
    </w:p>
    <w:p w14:paraId="655739D8" w14:textId="77777777" w:rsidR="00B10666" w:rsidRDefault="00B10666" w:rsidP="00B10666">
      <w:pPr>
        <w:sectPr w:rsidR="00B10666" w:rsidSect="00B10666">
          <w:pgSz w:w="16840" w:h="11900" w:orient="landscape"/>
          <w:pgMar w:top="1440" w:right="1440" w:bottom="1440" w:left="1440" w:header="709" w:footer="709" w:gutter="0"/>
          <w:cols w:space="720"/>
        </w:sectPr>
      </w:pPr>
    </w:p>
    <w:p w14:paraId="5E5304AF" w14:textId="77777777" w:rsidR="00B10666" w:rsidRDefault="00B10666" w:rsidP="00B10666"/>
    <w:p w14:paraId="31E79906" w14:textId="77777777" w:rsidR="00B10666" w:rsidRDefault="00B10666" w:rsidP="00B10666">
      <w:pPr>
        <w:jc w:val="center"/>
      </w:pPr>
      <w:r>
        <w:rPr>
          <w:noProof/>
        </w:rPr>
        <w:drawing>
          <wp:inline distT="0" distB="0" distL="0" distR="0" wp14:anchorId="6BE6CA0E" wp14:editId="69FFE192">
            <wp:extent cx="3646694" cy="5406435"/>
            <wp:effectExtent l="0" t="0" r="0" b="3810"/>
            <wp:docPr id="612659282" name="Picture 1" descr="Graphs showing changes in dissolved organic carbon, total phosphorus, and total nitrogen in response to flow volumes at sampling sites downstream of Lock 6, 4 and 1 during 2014–2024 with discharge &lt;40,000 M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59282" name="Picture 1" descr="Graphs showing changes in dissolved organic carbon, total phosphorus, and total nitrogen in response to flow volumes at sampling sites downstream of Lock 6, 4 and 1 during 2014–2024 with discharge &lt;40,000 ML/d."/>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bwMode="auto">
                    <a:xfrm>
                      <a:off x="0" y="0"/>
                      <a:ext cx="3646694" cy="5406435"/>
                    </a:xfrm>
                    <a:prstGeom prst="rect">
                      <a:avLst/>
                    </a:prstGeom>
                  </pic:spPr>
                </pic:pic>
              </a:graphicData>
            </a:graphic>
          </wp:inline>
        </w:drawing>
      </w:r>
    </w:p>
    <w:p w14:paraId="1CE640CA" w14:textId="00791CD3" w:rsidR="00B10666" w:rsidRDefault="00B10666" w:rsidP="00B10666">
      <w:pPr>
        <w:pStyle w:val="Caption"/>
      </w:pPr>
      <w:bookmarkStart w:id="203" w:name="_Ref156911628"/>
      <w:bookmarkStart w:id="204" w:name="_Ref160799137"/>
      <w:bookmarkStart w:id="205" w:name="_Toc200464479"/>
      <w:r>
        <w:t xml:space="preserve">Figure </w:t>
      </w:r>
      <w:bookmarkEnd w:id="203"/>
      <w:r>
        <w:fldChar w:fldCharType="begin"/>
      </w:r>
      <w:r>
        <w:instrText xml:space="preserve"> SEQ Figure \* ARABIC </w:instrText>
      </w:r>
      <w:r>
        <w:fldChar w:fldCharType="separate"/>
      </w:r>
      <w:r w:rsidR="00102828">
        <w:rPr>
          <w:noProof/>
        </w:rPr>
        <w:t>28</w:t>
      </w:r>
      <w:r>
        <w:fldChar w:fldCharType="end"/>
      </w:r>
      <w:bookmarkEnd w:id="204"/>
      <w:r>
        <w:t>. C</w:t>
      </w:r>
      <w:r>
        <w:rPr>
          <w:szCs w:val="20"/>
        </w:rPr>
        <w:t xml:space="preserve">hanges in dissolved organic carbon (DOC) (a), total phosphorus (TP) (b), and total nitrogen (TN) (c) in response to flow volumes </w:t>
      </w:r>
      <w:r w:rsidR="00CF2070">
        <w:rPr>
          <w:szCs w:val="20"/>
        </w:rPr>
        <w:t xml:space="preserve">at sampling sites </w:t>
      </w:r>
      <w:r>
        <w:t xml:space="preserve">downstream of </w:t>
      </w:r>
      <w:r w:rsidRPr="00C3722F">
        <w:t>Lock 6 (</w:t>
      </w:r>
      <w:r w:rsidRPr="005C15EB">
        <w:rPr>
          <w:color w:val="4472C4" w:themeColor="accent5"/>
        </w:rPr>
        <w:t>●</w:t>
      </w:r>
      <w:r w:rsidRPr="00C3722F">
        <w:t>), Lock 4 (</w:t>
      </w:r>
      <w:r w:rsidRPr="005A69A3">
        <w:rPr>
          <w:color w:val="A5A5A5" w:themeColor="accent3"/>
        </w:rPr>
        <w:t>●</w:t>
      </w:r>
      <w:r w:rsidRPr="00C3722F">
        <w:t>) and Lock 1 (</w:t>
      </w:r>
      <w:r w:rsidRPr="00C3722F">
        <w:rPr>
          <w:color w:val="ED7D31" w:themeColor="accent2"/>
        </w:rPr>
        <w:t>●</w:t>
      </w:r>
      <w:r w:rsidRPr="00C3722F">
        <w:t>)</w:t>
      </w:r>
      <w:r>
        <w:t>during 2014–2024 with discharge &lt;40,000 ML/d. Circled DOC results indicate stable or rising flows, other DOC data points indicate high or falling flows.</w:t>
      </w:r>
      <w:bookmarkEnd w:id="205"/>
      <w:r>
        <w:t xml:space="preserve"> </w:t>
      </w:r>
    </w:p>
    <w:p w14:paraId="48505568" w14:textId="77777777" w:rsidR="00B10666" w:rsidRDefault="00B10666" w:rsidP="00B10666"/>
    <w:p w14:paraId="4CE95052" w14:textId="77777777" w:rsidR="00B10666" w:rsidRPr="003B1B73" w:rsidRDefault="00B10666" w:rsidP="00B10666">
      <w:pPr>
        <w:jc w:val="center"/>
      </w:pPr>
      <w:r w:rsidRPr="003B1B73">
        <w:rPr>
          <w:noProof/>
        </w:rPr>
        <w:lastRenderedPageBreak/>
        <w:drawing>
          <wp:inline distT="0" distB="0" distL="0" distR="0" wp14:anchorId="7AE362C4" wp14:editId="641FF993">
            <wp:extent cx="4446905" cy="2682240"/>
            <wp:effectExtent l="0" t="0" r="0" b="3810"/>
            <wp:docPr id="193195090" name="Picture 1" descr="Graph showing changes in dissolved oxygen in response to increasing organic car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95090" name="Picture 1" descr="Graph showing changes in dissolved oxygen in response to increasing organic carbon."/>
                    <pic:cNvPicPr>
                      <a:picLocks noChangeAspect="1" noChangeArrowheads="1"/>
                    </pic:cNvPicPr>
                  </pic:nvPicPr>
                  <pic:blipFill>
                    <a:blip r:embed="rId91">
                      <a:extLst>
                        <a:ext uri="{28A0092B-C50C-407E-A947-70E740481C1C}">
                          <a14:useLocalDpi xmlns:a14="http://schemas.microsoft.com/office/drawing/2010/main" val="0"/>
                        </a:ext>
                      </a:extLst>
                    </a:blip>
                    <a:srcRect l="42" r="42"/>
                    <a:stretch>
                      <a:fillRect/>
                    </a:stretch>
                  </pic:blipFill>
                  <pic:spPr bwMode="auto">
                    <a:xfrm>
                      <a:off x="0" y="0"/>
                      <a:ext cx="4446905" cy="2682240"/>
                    </a:xfrm>
                    <a:prstGeom prst="rect">
                      <a:avLst/>
                    </a:prstGeom>
                    <a:noFill/>
                    <a:ln>
                      <a:noFill/>
                    </a:ln>
                    <a:extLst>
                      <a:ext uri="{53640926-AAD7-44D8-BBD7-CCE9431645EC}">
                        <a14:shadowObscured xmlns:a14="http://schemas.microsoft.com/office/drawing/2010/main"/>
                      </a:ext>
                    </a:extLst>
                  </pic:spPr>
                </pic:pic>
              </a:graphicData>
            </a:graphic>
          </wp:inline>
        </w:drawing>
      </w:r>
    </w:p>
    <w:p w14:paraId="2DBB35F4" w14:textId="486A0969" w:rsidR="00B10666" w:rsidRDefault="00B10666" w:rsidP="00B10666">
      <w:pPr>
        <w:pStyle w:val="Caption"/>
      </w:pPr>
      <w:bookmarkStart w:id="206" w:name="_Ref156911647"/>
      <w:bookmarkStart w:id="207" w:name="_Ref160799155"/>
      <w:bookmarkStart w:id="208" w:name="_Toc200464480"/>
      <w:r w:rsidRPr="003B1B73">
        <w:t xml:space="preserve">Figure </w:t>
      </w:r>
      <w:bookmarkEnd w:id="206"/>
      <w:r w:rsidRPr="003B1B73">
        <w:fldChar w:fldCharType="begin"/>
      </w:r>
      <w:r w:rsidRPr="003B1B73">
        <w:instrText xml:space="preserve"> SEQ Figure \* ARABIC </w:instrText>
      </w:r>
      <w:r w:rsidRPr="003B1B73">
        <w:fldChar w:fldCharType="separate"/>
      </w:r>
      <w:r w:rsidR="00102828">
        <w:rPr>
          <w:noProof/>
        </w:rPr>
        <w:t>29</w:t>
      </w:r>
      <w:r w:rsidRPr="003B1B73">
        <w:fldChar w:fldCharType="end"/>
      </w:r>
      <w:bookmarkEnd w:id="207"/>
      <w:r w:rsidRPr="003B1B73">
        <w:t>. C</w:t>
      </w:r>
      <w:r w:rsidRPr="003B1B73">
        <w:rPr>
          <w:szCs w:val="20"/>
        </w:rPr>
        <w:t xml:space="preserve">hanges in dissolved oxygen (DO) in response to increasing dissolved organic carbon (DOC) concentrations </w:t>
      </w:r>
      <w:r w:rsidR="00CF2070">
        <w:rPr>
          <w:szCs w:val="20"/>
        </w:rPr>
        <w:t xml:space="preserve">at sampling sites </w:t>
      </w:r>
      <w:r w:rsidRPr="003B1B73">
        <w:t>downstream of Lock 6 (</w:t>
      </w:r>
      <w:r w:rsidRPr="003B1B73">
        <w:rPr>
          <w:color w:val="4472C4" w:themeColor="accent5"/>
        </w:rPr>
        <w:t>●</w:t>
      </w:r>
      <w:r w:rsidRPr="003B1B73">
        <w:t>), Lock 4 (</w:t>
      </w:r>
      <w:r w:rsidRPr="003B1B73">
        <w:rPr>
          <w:color w:val="A5A5A5" w:themeColor="accent3"/>
        </w:rPr>
        <w:t>●</w:t>
      </w:r>
      <w:r w:rsidRPr="003B1B73">
        <w:t>) and Lock 1 (</w:t>
      </w:r>
      <w:r w:rsidRPr="003B1B73">
        <w:rPr>
          <w:color w:val="ED7D31" w:themeColor="accent2"/>
        </w:rPr>
        <w:t>●</w:t>
      </w:r>
      <w:r w:rsidRPr="003B1B73">
        <w:t>) during 2014</w:t>
      </w:r>
      <w:r>
        <w:t>–</w:t>
      </w:r>
      <w:r w:rsidRPr="003B1B73">
        <w:t>2024.</w:t>
      </w:r>
      <w:bookmarkEnd w:id="208"/>
      <w:r>
        <w:t xml:space="preserve"> </w:t>
      </w:r>
    </w:p>
    <w:p w14:paraId="02119528" w14:textId="77777777" w:rsidR="00B10666" w:rsidRPr="00D028EE" w:rsidRDefault="00B10666" w:rsidP="00B10666"/>
    <w:p w14:paraId="7793C5E4" w14:textId="77777777" w:rsidR="00B10666" w:rsidRDefault="00B10666" w:rsidP="00B10666">
      <w:pPr>
        <w:pStyle w:val="Heading3"/>
      </w:pPr>
      <w:r>
        <w:t>Evaluation</w:t>
      </w:r>
    </w:p>
    <w:p w14:paraId="7B1BBC08" w14:textId="77777777" w:rsidR="00B10666" w:rsidRDefault="00B10666" w:rsidP="00B10666">
      <w:pPr>
        <w:rPr>
          <w:lang w:val="en-US"/>
        </w:rPr>
      </w:pPr>
      <w:r>
        <w:rPr>
          <w:lang w:val="en-US"/>
        </w:rPr>
        <w:t>Changes in river metabolism and water quality were linked with flows of Commonwealth environmental water, but evaluating the environmental outcomes was difficult. This reflected a paucity of knowledge regarding the interpretation of river metabolism measurements, and the complexity of system linkages. An informative example is the expected reduction in GPP with increased flows</w:t>
      </w:r>
      <w:r w:rsidRPr="00996D4A">
        <w:rPr>
          <w:lang w:val="en-US"/>
        </w:rPr>
        <w:t xml:space="preserve"> </w:t>
      </w:r>
      <w:r>
        <w:rPr>
          <w:lang w:val="en-US"/>
        </w:rPr>
        <w:t xml:space="preserve">due to increased water depths reducing light availability. Although reductions in volumetric GPP were at times substantial and expected to impact food supplies, the total GPP per metre of river (cross-sectional GPP) remained largely unchanged or even increased slightly. The implications for river food webs of these changes in food resource distributions are unknown, making simple evaluation difficult. </w:t>
      </w:r>
    </w:p>
    <w:p w14:paraId="72096794" w14:textId="77777777" w:rsidR="00B10666" w:rsidRDefault="00B10666" w:rsidP="00B10666">
      <w:pPr>
        <w:rPr>
          <w:lang w:val="en-US"/>
        </w:rPr>
      </w:pPr>
      <w:r>
        <w:rPr>
          <w:lang w:val="en-US"/>
        </w:rPr>
        <w:t>To provide some evaluation of environmental outcomes, a set of metrics was constructed that attributed potential benefits of Commonwealth environmental water to changes in gas exchange rates, and total river primary production and decomposition. S</w:t>
      </w:r>
      <w:r w:rsidRPr="006E7799">
        <w:rPr>
          <w:lang w:val="en-US"/>
        </w:rPr>
        <w:t>ignificance level</w:t>
      </w:r>
      <w:r>
        <w:rPr>
          <w:lang w:val="en-US"/>
        </w:rPr>
        <w:t>s</w:t>
      </w:r>
      <w:r w:rsidRPr="006E7799">
        <w:rPr>
          <w:lang w:val="en-US"/>
        </w:rPr>
        <w:t xml:space="preserve"> w</w:t>
      </w:r>
      <w:r>
        <w:rPr>
          <w:lang w:val="en-US"/>
        </w:rPr>
        <w:t>ere</w:t>
      </w:r>
      <w:r w:rsidRPr="006E7799">
        <w:rPr>
          <w:lang w:val="en-US"/>
        </w:rPr>
        <w:t xml:space="preserve"> assigned to each evaluation question</w:t>
      </w:r>
      <w:r>
        <w:rPr>
          <w:lang w:val="en-US"/>
        </w:rPr>
        <w:t xml:space="preserve"> based on the </w:t>
      </w:r>
      <w:r w:rsidRPr="006E7799">
        <w:rPr>
          <w:lang w:val="en-US"/>
        </w:rPr>
        <w:t xml:space="preserve">extent </w:t>
      </w:r>
      <w:r>
        <w:rPr>
          <w:lang w:val="en-US"/>
        </w:rPr>
        <w:t xml:space="preserve">that </w:t>
      </w:r>
      <w:r w:rsidRPr="006E7799">
        <w:rPr>
          <w:lang w:val="en-US"/>
        </w:rPr>
        <w:t xml:space="preserve">Commonwealth </w:t>
      </w:r>
      <w:r>
        <w:rPr>
          <w:lang w:val="en-US"/>
        </w:rPr>
        <w:t>e</w:t>
      </w:r>
      <w:r w:rsidRPr="006E7799">
        <w:rPr>
          <w:lang w:val="en-US"/>
        </w:rPr>
        <w:t xml:space="preserve">nvironmental </w:t>
      </w:r>
      <w:r>
        <w:rPr>
          <w:lang w:val="en-US"/>
        </w:rPr>
        <w:t>w</w:t>
      </w:r>
      <w:r w:rsidRPr="006E7799">
        <w:rPr>
          <w:lang w:val="en-US"/>
        </w:rPr>
        <w:t xml:space="preserve">ater contributed towards </w:t>
      </w:r>
      <w:r>
        <w:rPr>
          <w:lang w:val="en-US"/>
        </w:rPr>
        <w:t>the</w:t>
      </w:r>
      <w:r w:rsidRPr="006E7799">
        <w:rPr>
          <w:lang w:val="en-US"/>
        </w:rPr>
        <w:t xml:space="preserve"> observed outcome</w:t>
      </w:r>
      <w:r>
        <w:rPr>
          <w:lang w:val="en-US"/>
        </w:rPr>
        <w:t>, in one case the length of time of an enhanced effect, and in the other cases a percentage estimate of the extent of influence</w:t>
      </w:r>
      <w:r w:rsidRPr="006E7799">
        <w:rPr>
          <w:lang w:val="en-US"/>
        </w:rPr>
        <w:t xml:space="preserve">. The thresholds for significance </w:t>
      </w:r>
      <w:r>
        <w:rPr>
          <w:lang w:val="en-US"/>
        </w:rPr>
        <w:t xml:space="preserve">levels </w:t>
      </w:r>
      <w:r w:rsidRPr="006E7799">
        <w:rPr>
          <w:lang w:val="en-US"/>
        </w:rPr>
        <w:t xml:space="preserve">among </w:t>
      </w:r>
      <w:r>
        <w:rPr>
          <w:lang w:val="en-US"/>
        </w:rPr>
        <w:t xml:space="preserve">the </w:t>
      </w:r>
      <w:r w:rsidRPr="006E7799">
        <w:rPr>
          <w:lang w:val="en-US"/>
        </w:rPr>
        <w:t xml:space="preserve">indicators </w:t>
      </w:r>
      <w:r>
        <w:rPr>
          <w:lang w:val="en-US"/>
        </w:rPr>
        <w:t xml:space="preserve">were </w:t>
      </w:r>
      <w:r w:rsidRPr="006E7799">
        <w:rPr>
          <w:lang w:val="en-US"/>
        </w:rPr>
        <w:t>based on expert opinion</w:t>
      </w:r>
      <w:r>
        <w:rPr>
          <w:lang w:val="en-US"/>
        </w:rPr>
        <w:t xml:space="preserve"> and may be adjusted in response to developing understanding of these processes.</w:t>
      </w:r>
    </w:p>
    <w:p w14:paraId="6DD78F86" w14:textId="77777777" w:rsidR="00B10666" w:rsidRDefault="00B10666" w:rsidP="00B10666">
      <w:pPr>
        <w:spacing w:before="0" w:after="160" w:line="259" w:lineRule="auto"/>
        <w:jc w:val="left"/>
        <w:rPr>
          <w:rFonts w:eastAsiaTheme="majorEastAsia" w:cstheme="majorBidi"/>
          <w:b/>
          <w:i/>
          <w:color w:val="44546A" w:themeColor="text2"/>
          <w:sz w:val="24"/>
          <w:szCs w:val="24"/>
        </w:rPr>
      </w:pPr>
      <w:r>
        <w:br w:type="page"/>
      </w:r>
    </w:p>
    <w:p w14:paraId="01AA0424" w14:textId="77777777" w:rsidR="00B10666" w:rsidRDefault="00B10666" w:rsidP="00B10666">
      <w:pPr>
        <w:sectPr w:rsidR="00B10666" w:rsidSect="00B10666">
          <w:pgSz w:w="11900" w:h="16840"/>
          <w:pgMar w:top="1440" w:right="1440" w:bottom="1440" w:left="1440" w:header="709" w:footer="709" w:gutter="0"/>
          <w:cols w:space="720"/>
        </w:sectPr>
      </w:pPr>
      <w:bookmarkStart w:id="209" w:name="_Ref31792748"/>
    </w:p>
    <w:p w14:paraId="726D8150" w14:textId="705D7497" w:rsidR="00B10666" w:rsidRPr="00FA63F8" w:rsidRDefault="00B10666" w:rsidP="00605FB2">
      <w:pPr>
        <w:pStyle w:val="Captions"/>
      </w:pPr>
      <w:bookmarkStart w:id="210" w:name="_Ref95920514"/>
      <w:bookmarkStart w:id="211" w:name="_Toc101963862"/>
      <w:bookmarkStart w:id="212" w:name="_Toc152860304"/>
      <w:bookmarkStart w:id="213" w:name="_Toc200464529"/>
      <w:r>
        <w:lastRenderedPageBreak/>
        <w:t xml:space="preserve">Table </w:t>
      </w:r>
      <w:r w:rsidR="002A56B0">
        <w:fldChar w:fldCharType="begin"/>
      </w:r>
      <w:r w:rsidR="002A56B0">
        <w:instrText xml:space="preserve"> SEQ Table \* ARABIC </w:instrText>
      </w:r>
      <w:r w:rsidR="002A56B0">
        <w:fldChar w:fldCharType="separate"/>
      </w:r>
      <w:r w:rsidR="00102828">
        <w:rPr>
          <w:noProof/>
        </w:rPr>
        <w:t>5</w:t>
      </w:r>
      <w:r w:rsidR="002A56B0">
        <w:rPr>
          <w:noProof/>
        </w:rPr>
        <w:fldChar w:fldCharType="end"/>
      </w:r>
      <w:bookmarkEnd w:id="209"/>
      <w:bookmarkEnd w:id="210"/>
      <w:r>
        <w:rPr>
          <w:noProof/>
        </w:rPr>
        <w:t>.</w:t>
      </w:r>
      <w:r>
        <w:t xml:space="preserve"> Stream Metabolism evaluation questions and answers relating to Commonwealth environmental water (CEW) and environmental water (eWater). DS = downstream.</w:t>
      </w:r>
      <w:bookmarkEnd w:id="211"/>
      <w:bookmarkEnd w:id="212"/>
      <w:bookmarkEnd w:id="213"/>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le of stream metabolism evaluation questions and answers relating to Commonwealth environmental water and environmental water. "/>
      </w:tblPr>
      <w:tblGrid>
        <w:gridCol w:w="1723"/>
        <w:gridCol w:w="1035"/>
        <w:gridCol w:w="1206"/>
        <w:gridCol w:w="993"/>
        <w:gridCol w:w="992"/>
        <w:gridCol w:w="992"/>
        <w:gridCol w:w="992"/>
        <w:gridCol w:w="993"/>
        <w:gridCol w:w="992"/>
        <w:gridCol w:w="992"/>
        <w:gridCol w:w="992"/>
        <w:gridCol w:w="993"/>
        <w:gridCol w:w="1055"/>
      </w:tblGrid>
      <w:tr w:rsidR="006E5AFC" w:rsidRPr="004561A6" w14:paraId="6B5DAF51" w14:textId="77777777" w:rsidTr="00951A02">
        <w:trPr>
          <w:cantSplit/>
          <w:trHeight w:val="20"/>
          <w:tblHeader/>
        </w:trPr>
        <w:tc>
          <w:tcPr>
            <w:tcW w:w="1723" w:type="dxa"/>
            <w:vMerge w:val="restart"/>
            <w:tcBorders>
              <w:top w:val="single" w:sz="4" w:space="0" w:color="auto"/>
              <w:left w:val="single" w:sz="4" w:space="0" w:color="auto"/>
              <w:right w:val="single" w:sz="4" w:space="0" w:color="auto"/>
            </w:tcBorders>
          </w:tcPr>
          <w:p w14:paraId="2E9912B5" w14:textId="77777777" w:rsidR="006E5AFC" w:rsidRPr="004561A6" w:rsidRDefault="006E5AFC" w:rsidP="00951A02">
            <w:pPr>
              <w:spacing w:before="80" w:after="80"/>
              <w:jc w:val="center"/>
              <w:rPr>
                <w:rFonts w:cs="Arial"/>
                <w:b/>
                <w:sz w:val="18"/>
                <w:szCs w:val="18"/>
              </w:rPr>
            </w:pPr>
            <w:r>
              <w:rPr>
                <w:rFonts w:cs="Arial"/>
                <w:b/>
                <w:sz w:val="18"/>
                <w:szCs w:val="18"/>
              </w:rPr>
              <w:t>CEWH</w:t>
            </w:r>
            <w:r w:rsidRPr="004561A6">
              <w:rPr>
                <w:rFonts w:cs="Arial"/>
                <w:b/>
                <w:sz w:val="18"/>
                <w:szCs w:val="18"/>
              </w:rPr>
              <w:t xml:space="preserve"> evaluation questions </w:t>
            </w:r>
          </w:p>
        </w:tc>
        <w:tc>
          <w:tcPr>
            <w:tcW w:w="12227" w:type="dxa"/>
            <w:gridSpan w:val="12"/>
            <w:tcBorders>
              <w:top w:val="single" w:sz="4" w:space="0" w:color="auto"/>
              <w:left w:val="single" w:sz="4" w:space="0" w:color="auto"/>
              <w:right w:val="single" w:sz="4" w:space="0" w:color="auto"/>
            </w:tcBorders>
          </w:tcPr>
          <w:p w14:paraId="416F7163" w14:textId="77777777" w:rsidR="006E5AFC" w:rsidRPr="004561A6" w:rsidRDefault="006E5AFC" w:rsidP="00951A02">
            <w:pPr>
              <w:spacing w:before="80" w:after="80"/>
              <w:jc w:val="center"/>
              <w:rPr>
                <w:rFonts w:cs="Arial"/>
                <w:b/>
                <w:sz w:val="18"/>
                <w:szCs w:val="18"/>
              </w:rPr>
            </w:pPr>
            <w:r w:rsidRPr="004561A6">
              <w:rPr>
                <w:rFonts w:cs="Arial"/>
                <w:b/>
                <w:sz w:val="18"/>
                <w:szCs w:val="18"/>
              </w:rPr>
              <w:t>Outcomes of CEW delivery</w:t>
            </w:r>
          </w:p>
        </w:tc>
      </w:tr>
      <w:tr w:rsidR="006E5AFC" w:rsidRPr="004561A6" w14:paraId="2DA759F6" w14:textId="77777777" w:rsidTr="008B4826">
        <w:trPr>
          <w:cantSplit/>
          <w:trHeight w:val="20"/>
          <w:tblHeader/>
        </w:trPr>
        <w:tc>
          <w:tcPr>
            <w:tcW w:w="1723" w:type="dxa"/>
            <w:vMerge/>
          </w:tcPr>
          <w:p w14:paraId="041B93CA" w14:textId="77777777" w:rsidR="006E5AFC" w:rsidRPr="004561A6" w:rsidRDefault="006E5AFC" w:rsidP="00951A02">
            <w:pPr>
              <w:spacing w:before="80" w:after="80"/>
              <w:jc w:val="center"/>
              <w:rPr>
                <w:rFonts w:cs="Arial"/>
                <w:b/>
                <w:sz w:val="18"/>
                <w:szCs w:val="18"/>
              </w:rPr>
            </w:pPr>
          </w:p>
        </w:tc>
        <w:tc>
          <w:tcPr>
            <w:tcW w:w="1035" w:type="dxa"/>
            <w:tcBorders>
              <w:left w:val="single" w:sz="4" w:space="0" w:color="auto"/>
              <w:bottom w:val="single" w:sz="4" w:space="0" w:color="auto"/>
              <w:right w:val="single" w:sz="4" w:space="0" w:color="auto"/>
            </w:tcBorders>
          </w:tcPr>
          <w:p w14:paraId="31016C73" w14:textId="77777777" w:rsidR="006E5AFC" w:rsidRPr="004561A6" w:rsidRDefault="006E5AFC" w:rsidP="00951A02">
            <w:pPr>
              <w:spacing w:before="80" w:after="80"/>
              <w:jc w:val="center"/>
              <w:rPr>
                <w:rFonts w:cs="Arial"/>
                <w:b/>
                <w:sz w:val="18"/>
                <w:szCs w:val="18"/>
              </w:rPr>
            </w:pPr>
            <w:r w:rsidRPr="004561A6">
              <w:rPr>
                <w:rFonts w:cs="Arial"/>
                <w:b/>
                <w:sz w:val="18"/>
                <w:szCs w:val="18"/>
              </w:rPr>
              <w:t>Site</w:t>
            </w:r>
          </w:p>
        </w:tc>
        <w:tc>
          <w:tcPr>
            <w:tcW w:w="1206" w:type="dxa"/>
            <w:tcBorders>
              <w:left w:val="single" w:sz="4" w:space="0" w:color="auto"/>
              <w:bottom w:val="single" w:sz="4" w:space="0" w:color="auto"/>
              <w:right w:val="single" w:sz="4" w:space="0" w:color="auto"/>
            </w:tcBorders>
            <w:vAlign w:val="bottom"/>
          </w:tcPr>
          <w:p w14:paraId="1EAA36DF" w14:textId="77777777" w:rsidR="006E5AFC" w:rsidRPr="004561A6" w:rsidRDefault="006E5AFC" w:rsidP="00951A02">
            <w:pPr>
              <w:spacing w:before="80" w:after="80"/>
              <w:jc w:val="center"/>
              <w:rPr>
                <w:rFonts w:cs="Arial"/>
                <w:b/>
                <w:sz w:val="18"/>
                <w:szCs w:val="18"/>
              </w:rPr>
            </w:pPr>
            <w:r w:rsidRPr="004561A6">
              <w:rPr>
                <w:rFonts w:cs="Arial"/>
                <w:b/>
                <w:sz w:val="18"/>
                <w:szCs w:val="18"/>
              </w:rPr>
              <w:t>eWater type</w:t>
            </w:r>
          </w:p>
        </w:tc>
        <w:tc>
          <w:tcPr>
            <w:tcW w:w="993" w:type="dxa"/>
            <w:tcBorders>
              <w:top w:val="single" w:sz="4" w:space="0" w:color="auto"/>
              <w:left w:val="single" w:sz="4" w:space="0" w:color="auto"/>
              <w:bottom w:val="single" w:sz="4" w:space="0" w:color="auto"/>
            </w:tcBorders>
            <w:vAlign w:val="bottom"/>
          </w:tcPr>
          <w:p w14:paraId="0307BA3E" w14:textId="77777777" w:rsidR="006E5AFC" w:rsidRPr="004561A6" w:rsidRDefault="006E5AFC" w:rsidP="00951A02">
            <w:pPr>
              <w:spacing w:before="80" w:after="80"/>
              <w:jc w:val="center"/>
              <w:rPr>
                <w:rFonts w:cs="Arial"/>
                <w:b/>
                <w:sz w:val="18"/>
                <w:szCs w:val="18"/>
              </w:rPr>
            </w:pPr>
            <w:r w:rsidRPr="004561A6">
              <w:rPr>
                <w:rFonts w:cs="Arial"/>
                <w:b/>
                <w:sz w:val="18"/>
                <w:szCs w:val="18"/>
              </w:rPr>
              <w:t>2014-15</w:t>
            </w:r>
          </w:p>
        </w:tc>
        <w:tc>
          <w:tcPr>
            <w:tcW w:w="992" w:type="dxa"/>
            <w:tcBorders>
              <w:top w:val="single" w:sz="4" w:space="0" w:color="auto"/>
              <w:bottom w:val="single" w:sz="4" w:space="0" w:color="auto"/>
            </w:tcBorders>
            <w:vAlign w:val="bottom"/>
          </w:tcPr>
          <w:p w14:paraId="5A809CF6" w14:textId="77777777" w:rsidR="006E5AFC" w:rsidRPr="004561A6" w:rsidRDefault="006E5AFC" w:rsidP="00951A02">
            <w:pPr>
              <w:spacing w:before="80" w:after="80"/>
              <w:jc w:val="center"/>
              <w:rPr>
                <w:rFonts w:cs="Arial"/>
                <w:b/>
                <w:sz w:val="18"/>
                <w:szCs w:val="18"/>
              </w:rPr>
            </w:pPr>
            <w:r w:rsidRPr="004561A6">
              <w:rPr>
                <w:rFonts w:cs="Arial"/>
                <w:b/>
                <w:sz w:val="18"/>
                <w:szCs w:val="18"/>
              </w:rPr>
              <w:t>2015-16</w:t>
            </w:r>
          </w:p>
        </w:tc>
        <w:tc>
          <w:tcPr>
            <w:tcW w:w="992" w:type="dxa"/>
            <w:tcBorders>
              <w:top w:val="single" w:sz="4" w:space="0" w:color="auto"/>
              <w:bottom w:val="single" w:sz="4" w:space="0" w:color="auto"/>
            </w:tcBorders>
            <w:vAlign w:val="bottom"/>
          </w:tcPr>
          <w:p w14:paraId="13126B4E" w14:textId="77777777" w:rsidR="006E5AFC" w:rsidRPr="004561A6" w:rsidRDefault="006E5AFC" w:rsidP="00951A02">
            <w:pPr>
              <w:spacing w:before="80" w:after="80"/>
              <w:jc w:val="center"/>
              <w:rPr>
                <w:rFonts w:cs="Arial"/>
                <w:b/>
                <w:sz w:val="18"/>
                <w:szCs w:val="18"/>
              </w:rPr>
            </w:pPr>
            <w:r w:rsidRPr="004561A6">
              <w:rPr>
                <w:rFonts w:cs="Arial"/>
                <w:b/>
                <w:sz w:val="18"/>
                <w:szCs w:val="18"/>
              </w:rPr>
              <w:t>2016-17</w:t>
            </w:r>
          </w:p>
        </w:tc>
        <w:tc>
          <w:tcPr>
            <w:tcW w:w="992" w:type="dxa"/>
            <w:tcBorders>
              <w:top w:val="single" w:sz="4" w:space="0" w:color="auto"/>
              <w:bottom w:val="single" w:sz="4" w:space="0" w:color="auto"/>
            </w:tcBorders>
            <w:vAlign w:val="bottom"/>
          </w:tcPr>
          <w:p w14:paraId="44AB42F6" w14:textId="77777777" w:rsidR="006E5AFC" w:rsidRPr="004561A6" w:rsidRDefault="006E5AFC" w:rsidP="00951A02">
            <w:pPr>
              <w:spacing w:before="80" w:after="80"/>
              <w:jc w:val="center"/>
              <w:rPr>
                <w:rFonts w:cs="Arial"/>
                <w:b/>
                <w:sz w:val="18"/>
                <w:szCs w:val="18"/>
              </w:rPr>
            </w:pPr>
            <w:r w:rsidRPr="004561A6">
              <w:rPr>
                <w:rFonts w:cs="Arial"/>
                <w:b/>
                <w:sz w:val="18"/>
                <w:szCs w:val="18"/>
              </w:rPr>
              <w:t>2017-18</w:t>
            </w:r>
          </w:p>
        </w:tc>
        <w:tc>
          <w:tcPr>
            <w:tcW w:w="993" w:type="dxa"/>
            <w:tcBorders>
              <w:top w:val="single" w:sz="4" w:space="0" w:color="auto"/>
              <w:bottom w:val="single" w:sz="4" w:space="0" w:color="auto"/>
            </w:tcBorders>
            <w:vAlign w:val="bottom"/>
          </w:tcPr>
          <w:p w14:paraId="7934B6F9" w14:textId="77777777" w:rsidR="006E5AFC" w:rsidRPr="004561A6" w:rsidRDefault="006E5AFC" w:rsidP="00951A02">
            <w:pPr>
              <w:spacing w:before="80" w:after="80"/>
              <w:jc w:val="center"/>
              <w:rPr>
                <w:rFonts w:cs="Arial"/>
                <w:b/>
                <w:sz w:val="18"/>
                <w:szCs w:val="18"/>
              </w:rPr>
            </w:pPr>
            <w:r w:rsidRPr="004561A6">
              <w:rPr>
                <w:rFonts w:cs="Arial"/>
                <w:b/>
                <w:sz w:val="18"/>
                <w:szCs w:val="18"/>
              </w:rPr>
              <w:t>2018-19</w:t>
            </w:r>
          </w:p>
        </w:tc>
        <w:tc>
          <w:tcPr>
            <w:tcW w:w="992" w:type="dxa"/>
            <w:tcBorders>
              <w:top w:val="single" w:sz="4" w:space="0" w:color="auto"/>
              <w:bottom w:val="single" w:sz="4" w:space="0" w:color="auto"/>
            </w:tcBorders>
            <w:vAlign w:val="bottom"/>
          </w:tcPr>
          <w:p w14:paraId="765C65F7" w14:textId="77777777" w:rsidR="006E5AFC" w:rsidRPr="004561A6" w:rsidRDefault="006E5AFC" w:rsidP="00951A02">
            <w:pPr>
              <w:spacing w:before="80" w:after="80"/>
              <w:jc w:val="center"/>
              <w:rPr>
                <w:rFonts w:cs="Arial"/>
                <w:b/>
                <w:sz w:val="18"/>
                <w:szCs w:val="18"/>
              </w:rPr>
            </w:pPr>
            <w:r w:rsidRPr="004561A6">
              <w:rPr>
                <w:rFonts w:cs="Arial"/>
                <w:b/>
                <w:sz w:val="18"/>
                <w:szCs w:val="18"/>
              </w:rPr>
              <w:t>2019-20</w:t>
            </w:r>
          </w:p>
        </w:tc>
        <w:tc>
          <w:tcPr>
            <w:tcW w:w="992" w:type="dxa"/>
            <w:tcBorders>
              <w:top w:val="single" w:sz="4" w:space="0" w:color="auto"/>
              <w:bottom w:val="single" w:sz="4" w:space="0" w:color="auto"/>
            </w:tcBorders>
            <w:vAlign w:val="bottom"/>
          </w:tcPr>
          <w:p w14:paraId="51C0AA24" w14:textId="77777777" w:rsidR="006E5AFC" w:rsidRPr="004561A6" w:rsidRDefault="006E5AFC" w:rsidP="00951A02">
            <w:pPr>
              <w:spacing w:before="80" w:after="80"/>
              <w:jc w:val="center"/>
              <w:rPr>
                <w:rFonts w:cs="Arial"/>
                <w:b/>
                <w:sz w:val="18"/>
                <w:szCs w:val="18"/>
              </w:rPr>
            </w:pPr>
            <w:r w:rsidRPr="004561A6">
              <w:rPr>
                <w:rFonts w:cs="Arial"/>
                <w:b/>
                <w:sz w:val="18"/>
                <w:szCs w:val="18"/>
              </w:rPr>
              <w:t>2020-21</w:t>
            </w:r>
          </w:p>
        </w:tc>
        <w:tc>
          <w:tcPr>
            <w:tcW w:w="992" w:type="dxa"/>
            <w:tcBorders>
              <w:top w:val="single" w:sz="4" w:space="0" w:color="auto"/>
              <w:bottom w:val="single" w:sz="4" w:space="0" w:color="auto"/>
            </w:tcBorders>
            <w:vAlign w:val="bottom"/>
          </w:tcPr>
          <w:p w14:paraId="674C1931" w14:textId="77777777" w:rsidR="006E5AFC" w:rsidRPr="004561A6" w:rsidRDefault="006E5AFC" w:rsidP="00951A02">
            <w:pPr>
              <w:spacing w:before="80" w:after="80"/>
              <w:jc w:val="center"/>
              <w:rPr>
                <w:rFonts w:cs="Arial"/>
                <w:b/>
                <w:sz w:val="18"/>
                <w:szCs w:val="18"/>
              </w:rPr>
            </w:pPr>
            <w:r w:rsidRPr="004561A6">
              <w:rPr>
                <w:rFonts w:cs="Arial"/>
                <w:b/>
                <w:sz w:val="18"/>
                <w:szCs w:val="18"/>
              </w:rPr>
              <w:t>2021-22</w:t>
            </w:r>
          </w:p>
        </w:tc>
        <w:tc>
          <w:tcPr>
            <w:tcW w:w="993" w:type="dxa"/>
            <w:tcBorders>
              <w:top w:val="single" w:sz="4" w:space="0" w:color="auto"/>
              <w:bottom w:val="single" w:sz="4" w:space="0" w:color="auto"/>
            </w:tcBorders>
            <w:vAlign w:val="bottom"/>
          </w:tcPr>
          <w:p w14:paraId="6D6F5F24" w14:textId="77777777" w:rsidR="006E5AFC" w:rsidRPr="004561A6" w:rsidRDefault="006E5AFC" w:rsidP="00951A02">
            <w:pPr>
              <w:spacing w:before="80" w:after="80"/>
              <w:jc w:val="center"/>
              <w:rPr>
                <w:rFonts w:cs="Arial"/>
                <w:b/>
                <w:sz w:val="18"/>
                <w:szCs w:val="18"/>
              </w:rPr>
            </w:pPr>
            <w:r>
              <w:rPr>
                <w:rFonts w:cs="Arial"/>
                <w:b/>
                <w:sz w:val="18"/>
                <w:szCs w:val="18"/>
              </w:rPr>
              <w:t>2022-23</w:t>
            </w:r>
          </w:p>
        </w:tc>
        <w:tc>
          <w:tcPr>
            <w:tcW w:w="1055" w:type="dxa"/>
            <w:tcBorders>
              <w:top w:val="single" w:sz="4" w:space="0" w:color="auto"/>
              <w:bottom w:val="single" w:sz="4" w:space="0" w:color="auto"/>
            </w:tcBorders>
            <w:vAlign w:val="bottom"/>
          </w:tcPr>
          <w:p w14:paraId="64A1C8F5" w14:textId="77777777" w:rsidR="006E5AFC" w:rsidRDefault="006E5AFC" w:rsidP="00951A02">
            <w:pPr>
              <w:spacing w:before="80" w:after="80"/>
              <w:jc w:val="center"/>
              <w:rPr>
                <w:rFonts w:cs="Arial"/>
                <w:b/>
                <w:sz w:val="18"/>
                <w:szCs w:val="18"/>
              </w:rPr>
            </w:pPr>
            <w:r>
              <w:rPr>
                <w:rFonts w:cs="Arial"/>
                <w:b/>
                <w:sz w:val="18"/>
                <w:szCs w:val="18"/>
              </w:rPr>
              <w:t>2023-24</w:t>
            </w:r>
          </w:p>
        </w:tc>
      </w:tr>
      <w:tr w:rsidR="003F509B" w:rsidRPr="004561A6" w14:paraId="666E5F68" w14:textId="77777777" w:rsidTr="008B4826">
        <w:trPr>
          <w:cantSplit/>
          <w:trHeight w:val="444"/>
        </w:trPr>
        <w:tc>
          <w:tcPr>
            <w:tcW w:w="1723" w:type="dxa"/>
            <w:vMerge w:val="restart"/>
            <w:tcBorders>
              <w:top w:val="single" w:sz="4" w:space="0" w:color="auto"/>
              <w:left w:val="single" w:sz="4" w:space="0" w:color="auto"/>
              <w:right w:val="single" w:sz="4" w:space="0" w:color="auto"/>
            </w:tcBorders>
          </w:tcPr>
          <w:p w14:paraId="08330EFB" w14:textId="77777777" w:rsidR="006E5AFC" w:rsidRPr="004561A6" w:rsidRDefault="006E5AFC" w:rsidP="00951A02">
            <w:pPr>
              <w:spacing w:before="80" w:after="80"/>
              <w:jc w:val="left"/>
              <w:rPr>
                <w:color w:val="auto"/>
                <w:sz w:val="18"/>
                <w:szCs w:val="18"/>
              </w:rPr>
            </w:pPr>
            <w:r w:rsidRPr="004561A6">
              <w:rPr>
                <w:sz w:val="18"/>
                <w:szCs w:val="18"/>
              </w:rPr>
              <w:t>What did CEW contribute to dissolved oxygen levels?</w:t>
            </w:r>
          </w:p>
        </w:tc>
        <w:tc>
          <w:tcPr>
            <w:tcW w:w="1035" w:type="dxa"/>
            <w:vMerge w:val="restart"/>
            <w:tcBorders>
              <w:top w:val="single" w:sz="4" w:space="0" w:color="auto"/>
              <w:left w:val="single" w:sz="4" w:space="0" w:color="auto"/>
              <w:right w:val="single" w:sz="4" w:space="0" w:color="auto"/>
            </w:tcBorders>
          </w:tcPr>
          <w:p w14:paraId="29D27A24" w14:textId="77777777" w:rsidR="006E5AFC" w:rsidRPr="004561A6" w:rsidRDefault="006E5AFC" w:rsidP="00951A02">
            <w:pPr>
              <w:spacing w:before="80" w:after="80"/>
              <w:jc w:val="left"/>
              <w:rPr>
                <w:b/>
                <w:bCs/>
                <w:color w:val="auto"/>
                <w:sz w:val="18"/>
                <w:szCs w:val="18"/>
              </w:rPr>
            </w:pPr>
            <w:r w:rsidRPr="004561A6">
              <w:rPr>
                <w:b/>
                <w:bCs/>
                <w:color w:val="auto"/>
                <w:sz w:val="18"/>
                <w:szCs w:val="18"/>
              </w:rPr>
              <w:t>DS Lock 6</w:t>
            </w:r>
          </w:p>
        </w:tc>
        <w:tc>
          <w:tcPr>
            <w:tcW w:w="1206" w:type="dxa"/>
            <w:tcBorders>
              <w:top w:val="single" w:sz="4" w:space="0" w:color="auto"/>
              <w:left w:val="single" w:sz="4" w:space="0" w:color="auto"/>
              <w:right w:val="single" w:sz="4" w:space="0" w:color="auto"/>
            </w:tcBorders>
            <w:vAlign w:val="bottom"/>
          </w:tcPr>
          <w:p w14:paraId="0AA49172" w14:textId="77777777" w:rsidR="006E5AFC" w:rsidRPr="004561A6" w:rsidRDefault="006E5AFC" w:rsidP="00951A02">
            <w:pPr>
              <w:spacing w:before="80" w:after="80"/>
              <w:jc w:val="center"/>
              <w:rPr>
                <w:color w:val="auto"/>
                <w:sz w:val="18"/>
                <w:szCs w:val="18"/>
              </w:rPr>
            </w:pPr>
            <w:r w:rsidRPr="004561A6">
              <w:rPr>
                <w:color w:val="auto"/>
                <w:sz w:val="18"/>
                <w:szCs w:val="18"/>
              </w:rPr>
              <w:t>All eWater</w:t>
            </w:r>
          </w:p>
        </w:tc>
        <w:tc>
          <w:tcPr>
            <w:tcW w:w="993" w:type="dxa"/>
            <w:tcBorders>
              <w:top w:val="single" w:sz="4" w:space="0" w:color="auto"/>
              <w:left w:val="single" w:sz="4" w:space="0" w:color="auto"/>
              <w:bottom w:val="single" w:sz="4" w:space="0" w:color="auto"/>
              <w:right w:val="single" w:sz="4" w:space="0" w:color="auto"/>
            </w:tcBorders>
            <w:shd w:val="clear" w:color="auto" w:fill="5B9BD5" w:themeFill="accent1"/>
          </w:tcPr>
          <w:p w14:paraId="666C7823" w14:textId="77777777" w:rsidR="006E5AFC" w:rsidRPr="004561A6" w:rsidRDefault="006E5AFC" w:rsidP="00951A02">
            <w:pPr>
              <w:spacing w:before="80" w:after="80"/>
              <w:jc w:val="left"/>
              <w:rPr>
                <w:color w:val="auto"/>
                <w:sz w:val="18"/>
                <w:szCs w:val="18"/>
              </w:rPr>
            </w:pPr>
            <w:r w:rsidRPr="198FE2E8">
              <w:rPr>
                <w:color w:val="auto"/>
                <w:sz w:val="18"/>
                <w:szCs w:val="18"/>
              </w:rPr>
              <w:t>54</w:t>
            </w:r>
          </w:p>
        </w:tc>
        <w:tc>
          <w:tcPr>
            <w:tcW w:w="992" w:type="dxa"/>
            <w:tcBorders>
              <w:top w:val="single" w:sz="4" w:space="0" w:color="auto"/>
              <w:left w:val="single" w:sz="4" w:space="0" w:color="auto"/>
              <w:bottom w:val="single" w:sz="4" w:space="0" w:color="auto"/>
              <w:right w:val="single" w:sz="4" w:space="0" w:color="auto"/>
            </w:tcBorders>
            <w:shd w:val="clear" w:color="auto" w:fill="5B9BD5" w:themeFill="accent1"/>
          </w:tcPr>
          <w:p w14:paraId="6A49B99E" w14:textId="77777777" w:rsidR="006E5AFC" w:rsidRPr="004561A6" w:rsidRDefault="006E5AFC" w:rsidP="00951A02">
            <w:pPr>
              <w:spacing w:before="80" w:after="80"/>
              <w:jc w:val="left"/>
              <w:rPr>
                <w:color w:val="auto"/>
                <w:sz w:val="18"/>
                <w:szCs w:val="18"/>
              </w:rPr>
            </w:pPr>
            <w:r w:rsidRPr="004561A6">
              <w:rPr>
                <w:color w:val="auto"/>
                <w:sz w:val="18"/>
                <w:szCs w:val="18"/>
              </w:rPr>
              <w:t>68</w:t>
            </w:r>
          </w:p>
        </w:tc>
        <w:tc>
          <w:tcPr>
            <w:tcW w:w="992" w:type="dxa"/>
            <w:tcBorders>
              <w:top w:val="single" w:sz="4" w:space="0" w:color="auto"/>
              <w:left w:val="single" w:sz="4" w:space="0" w:color="auto"/>
              <w:bottom w:val="single" w:sz="4" w:space="0" w:color="auto"/>
              <w:right w:val="single" w:sz="4" w:space="0" w:color="auto"/>
            </w:tcBorders>
            <w:shd w:val="clear" w:color="auto" w:fill="5B9BD5" w:themeFill="accent1"/>
          </w:tcPr>
          <w:p w14:paraId="2962D99C" w14:textId="77777777" w:rsidR="006E5AFC" w:rsidRPr="004561A6" w:rsidRDefault="006E5AFC" w:rsidP="00951A02">
            <w:pPr>
              <w:spacing w:before="80" w:after="80"/>
              <w:jc w:val="left"/>
              <w:rPr>
                <w:color w:val="auto"/>
                <w:sz w:val="18"/>
                <w:szCs w:val="18"/>
              </w:rPr>
            </w:pPr>
            <w:r w:rsidRPr="004561A6">
              <w:rPr>
                <w:color w:val="auto"/>
                <w:sz w:val="18"/>
                <w:szCs w:val="18"/>
              </w:rPr>
              <w:t>36</w:t>
            </w:r>
          </w:p>
        </w:tc>
        <w:tc>
          <w:tcPr>
            <w:tcW w:w="992" w:type="dxa"/>
            <w:tcBorders>
              <w:top w:val="single" w:sz="4" w:space="0" w:color="auto"/>
              <w:left w:val="single" w:sz="4" w:space="0" w:color="auto"/>
              <w:bottom w:val="single" w:sz="4" w:space="0" w:color="auto"/>
              <w:right w:val="single" w:sz="4" w:space="0" w:color="auto"/>
            </w:tcBorders>
            <w:shd w:val="clear" w:color="auto" w:fill="5B9BD5" w:themeFill="accent1"/>
          </w:tcPr>
          <w:p w14:paraId="50430F23" w14:textId="77777777" w:rsidR="006E5AFC" w:rsidRPr="004561A6" w:rsidRDefault="006E5AFC" w:rsidP="00951A02">
            <w:pPr>
              <w:spacing w:before="80" w:after="80"/>
              <w:jc w:val="left"/>
              <w:rPr>
                <w:color w:val="auto"/>
                <w:sz w:val="18"/>
                <w:szCs w:val="18"/>
              </w:rPr>
            </w:pPr>
            <w:r w:rsidRPr="004561A6">
              <w:rPr>
                <w:color w:val="auto"/>
                <w:sz w:val="18"/>
                <w:szCs w:val="18"/>
              </w:rPr>
              <w:t>69</w:t>
            </w:r>
          </w:p>
        </w:tc>
        <w:tc>
          <w:tcPr>
            <w:tcW w:w="993" w:type="dxa"/>
            <w:tcBorders>
              <w:top w:val="single" w:sz="4" w:space="0" w:color="auto"/>
              <w:left w:val="single" w:sz="4" w:space="0" w:color="auto"/>
              <w:bottom w:val="single" w:sz="4" w:space="0" w:color="auto"/>
              <w:right w:val="single" w:sz="4" w:space="0" w:color="auto"/>
            </w:tcBorders>
            <w:shd w:val="clear" w:color="auto" w:fill="5B9BD5" w:themeFill="accent1"/>
          </w:tcPr>
          <w:p w14:paraId="37A886E9" w14:textId="77777777" w:rsidR="006E5AFC" w:rsidRPr="004561A6" w:rsidRDefault="006E5AFC" w:rsidP="00951A02">
            <w:pPr>
              <w:spacing w:before="80" w:after="80"/>
              <w:jc w:val="left"/>
              <w:rPr>
                <w:color w:val="auto"/>
                <w:sz w:val="18"/>
                <w:szCs w:val="18"/>
              </w:rPr>
            </w:pPr>
            <w:r w:rsidRPr="004561A6">
              <w:rPr>
                <w:color w:val="auto"/>
                <w:sz w:val="18"/>
                <w:szCs w:val="18"/>
              </w:rPr>
              <w:t>46</w:t>
            </w:r>
          </w:p>
        </w:tc>
        <w:tc>
          <w:tcPr>
            <w:tcW w:w="992" w:type="dxa"/>
            <w:tcBorders>
              <w:top w:val="single" w:sz="4" w:space="0" w:color="auto"/>
              <w:left w:val="single" w:sz="4" w:space="0" w:color="auto"/>
              <w:bottom w:val="single" w:sz="4" w:space="0" w:color="auto"/>
              <w:right w:val="single" w:sz="4" w:space="0" w:color="auto"/>
            </w:tcBorders>
            <w:shd w:val="clear" w:color="auto" w:fill="5B9BD5" w:themeFill="accent1"/>
          </w:tcPr>
          <w:p w14:paraId="574C6046" w14:textId="77777777" w:rsidR="006E5AFC" w:rsidRPr="004561A6" w:rsidRDefault="006E5AFC" w:rsidP="00951A02">
            <w:pPr>
              <w:spacing w:before="80" w:after="80"/>
              <w:jc w:val="left"/>
              <w:rPr>
                <w:color w:val="auto"/>
                <w:sz w:val="18"/>
                <w:szCs w:val="18"/>
              </w:rPr>
            </w:pPr>
            <w:r w:rsidRPr="004561A6">
              <w:rPr>
                <w:color w:val="auto"/>
                <w:sz w:val="18"/>
                <w:szCs w:val="18"/>
              </w:rPr>
              <w:t>40</w:t>
            </w:r>
          </w:p>
        </w:tc>
        <w:tc>
          <w:tcPr>
            <w:tcW w:w="992" w:type="dxa"/>
            <w:tcBorders>
              <w:top w:val="single" w:sz="4" w:space="0" w:color="auto"/>
              <w:left w:val="single" w:sz="4" w:space="0" w:color="auto"/>
              <w:bottom w:val="single" w:sz="4" w:space="0" w:color="auto"/>
              <w:right w:val="single" w:sz="4" w:space="0" w:color="auto"/>
            </w:tcBorders>
            <w:shd w:val="clear" w:color="auto" w:fill="5B9BD5" w:themeFill="accent1"/>
          </w:tcPr>
          <w:p w14:paraId="28165026" w14:textId="77777777" w:rsidR="006E5AFC" w:rsidRPr="004561A6" w:rsidRDefault="006E5AFC" w:rsidP="00951A02">
            <w:pPr>
              <w:spacing w:before="80" w:after="80"/>
              <w:jc w:val="left"/>
              <w:rPr>
                <w:color w:val="auto"/>
                <w:sz w:val="18"/>
                <w:szCs w:val="18"/>
              </w:rPr>
            </w:pPr>
            <w:r w:rsidRPr="004561A6">
              <w:rPr>
                <w:color w:val="auto"/>
                <w:sz w:val="18"/>
                <w:szCs w:val="18"/>
              </w:rPr>
              <w:t>92</w:t>
            </w:r>
          </w:p>
        </w:tc>
        <w:tc>
          <w:tcPr>
            <w:tcW w:w="99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B0D78CC" w14:textId="77777777" w:rsidR="006E5AFC" w:rsidRPr="004561A6" w:rsidRDefault="006E5AFC" w:rsidP="00951A02">
            <w:pPr>
              <w:spacing w:before="80" w:after="80"/>
              <w:jc w:val="left"/>
              <w:rPr>
                <w:color w:val="auto"/>
                <w:sz w:val="18"/>
                <w:szCs w:val="18"/>
              </w:rPr>
            </w:pPr>
            <w:r w:rsidRPr="004561A6">
              <w:rPr>
                <w:color w:val="auto"/>
                <w:sz w:val="18"/>
                <w:szCs w:val="18"/>
              </w:rPr>
              <w:t>0</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EE036C0" w14:textId="77777777" w:rsidR="006E5AFC" w:rsidRPr="004561A6" w:rsidRDefault="006E5AFC" w:rsidP="00951A02">
            <w:pPr>
              <w:spacing w:before="80" w:after="80"/>
              <w:jc w:val="left"/>
              <w:rPr>
                <w:color w:val="auto"/>
                <w:sz w:val="18"/>
                <w:szCs w:val="18"/>
              </w:rPr>
            </w:pPr>
            <w:r>
              <w:rPr>
                <w:color w:val="auto"/>
                <w:sz w:val="18"/>
                <w:szCs w:val="18"/>
              </w:rPr>
              <w:t>0</w:t>
            </w:r>
          </w:p>
        </w:tc>
        <w:tc>
          <w:tcPr>
            <w:tcW w:w="1055" w:type="dxa"/>
            <w:tcBorders>
              <w:top w:val="single" w:sz="4" w:space="0" w:color="auto"/>
              <w:left w:val="single" w:sz="4" w:space="0" w:color="auto"/>
              <w:bottom w:val="single" w:sz="4" w:space="0" w:color="auto"/>
              <w:right w:val="single" w:sz="4" w:space="0" w:color="auto"/>
            </w:tcBorders>
            <w:shd w:val="clear" w:color="auto" w:fill="5B9BD5" w:themeFill="accent1"/>
          </w:tcPr>
          <w:p w14:paraId="0AA13B58" w14:textId="77777777" w:rsidR="006E5AFC" w:rsidRDefault="006E5AFC" w:rsidP="00951A02">
            <w:pPr>
              <w:spacing w:before="80" w:after="80"/>
              <w:jc w:val="left"/>
              <w:rPr>
                <w:color w:val="auto"/>
                <w:sz w:val="18"/>
                <w:szCs w:val="18"/>
              </w:rPr>
            </w:pPr>
            <w:r>
              <w:rPr>
                <w:color w:val="auto"/>
                <w:sz w:val="18"/>
                <w:szCs w:val="18"/>
              </w:rPr>
              <w:t>45</w:t>
            </w:r>
          </w:p>
        </w:tc>
      </w:tr>
      <w:tr w:rsidR="003F509B" w:rsidRPr="004561A6" w14:paraId="4E934E47" w14:textId="77777777" w:rsidTr="008B4826">
        <w:trPr>
          <w:cantSplit/>
          <w:trHeight w:val="454"/>
        </w:trPr>
        <w:tc>
          <w:tcPr>
            <w:tcW w:w="1723" w:type="dxa"/>
            <w:vMerge/>
          </w:tcPr>
          <w:p w14:paraId="334EFAB7" w14:textId="77777777" w:rsidR="006E5AFC" w:rsidRPr="004561A6" w:rsidRDefault="006E5AFC" w:rsidP="00951A02">
            <w:pPr>
              <w:spacing w:before="80" w:after="80"/>
              <w:jc w:val="left"/>
              <w:rPr>
                <w:sz w:val="18"/>
                <w:szCs w:val="18"/>
              </w:rPr>
            </w:pPr>
          </w:p>
        </w:tc>
        <w:tc>
          <w:tcPr>
            <w:tcW w:w="1035" w:type="dxa"/>
            <w:vMerge/>
          </w:tcPr>
          <w:p w14:paraId="77F50177" w14:textId="77777777" w:rsidR="006E5AFC" w:rsidRPr="004561A6" w:rsidRDefault="006E5AFC" w:rsidP="00951A02">
            <w:pPr>
              <w:spacing w:before="80" w:after="80"/>
              <w:jc w:val="left"/>
              <w:rPr>
                <w:b/>
                <w:bCs/>
                <w:color w:val="auto"/>
                <w:sz w:val="18"/>
                <w:szCs w:val="18"/>
              </w:rPr>
            </w:pPr>
          </w:p>
        </w:tc>
        <w:tc>
          <w:tcPr>
            <w:tcW w:w="1206" w:type="dxa"/>
            <w:tcBorders>
              <w:top w:val="single" w:sz="4" w:space="0" w:color="auto"/>
              <w:left w:val="single" w:sz="4" w:space="0" w:color="auto"/>
              <w:right w:val="single" w:sz="4" w:space="0" w:color="auto"/>
            </w:tcBorders>
          </w:tcPr>
          <w:p w14:paraId="0D461AE9" w14:textId="77777777" w:rsidR="006E5AFC" w:rsidRPr="004561A6" w:rsidRDefault="006E5AFC" w:rsidP="00951A02">
            <w:pPr>
              <w:spacing w:before="80" w:after="80"/>
              <w:jc w:val="left"/>
              <w:rPr>
                <w:color w:val="auto"/>
                <w:sz w:val="18"/>
                <w:szCs w:val="18"/>
              </w:rPr>
            </w:pPr>
            <w:r>
              <w:rPr>
                <w:color w:val="auto"/>
                <w:sz w:val="18"/>
                <w:szCs w:val="18"/>
              </w:rPr>
              <w:t>C</w:t>
            </w:r>
            <w:r w:rsidRPr="004561A6">
              <w:rPr>
                <w:color w:val="auto"/>
                <w:sz w:val="18"/>
                <w:szCs w:val="18"/>
              </w:rPr>
              <w:t>EW</w:t>
            </w:r>
          </w:p>
        </w:tc>
        <w:tc>
          <w:tcPr>
            <w:tcW w:w="993" w:type="dxa"/>
            <w:tcBorders>
              <w:top w:val="single" w:sz="4" w:space="0" w:color="auto"/>
              <w:left w:val="single" w:sz="4" w:space="0" w:color="auto"/>
              <w:right w:val="single" w:sz="4" w:space="0" w:color="auto"/>
            </w:tcBorders>
            <w:shd w:val="clear" w:color="auto" w:fill="E2EFD9" w:themeFill="accent6" w:themeFillTint="33"/>
          </w:tcPr>
          <w:p w14:paraId="558306AE" w14:textId="77777777" w:rsidR="006E5AFC" w:rsidRPr="004561A6" w:rsidRDefault="006E5AFC" w:rsidP="00951A02">
            <w:pPr>
              <w:spacing w:before="80" w:after="80"/>
              <w:jc w:val="left"/>
              <w:rPr>
                <w:color w:val="auto"/>
                <w:sz w:val="18"/>
                <w:szCs w:val="18"/>
              </w:rPr>
            </w:pPr>
            <w:r w:rsidRPr="004561A6">
              <w:rPr>
                <w:color w:val="auto"/>
                <w:sz w:val="18"/>
                <w:szCs w:val="18"/>
              </w:rPr>
              <w:t>0</w:t>
            </w:r>
          </w:p>
        </w:tc>
        <w:tc>
          <w:tcPr>
            <w:tcW w:w="992" w:type="dxa"/>
            <w:tcBorders>
              <w:top w:val="single" w:sz="4" w:space="0" w:color="auto"/>
              <w:left w:val="single" w:sz="4" w:space="0" w:color="auto"/>
              <w:right w:val="single" w:sz="4" w:space="0" w:color="auto"/>
            </w:tcBorders>
            <w:shd w:val="clear" w:color="auto" w:fill="5B9BD5" w:themeFill="accent1"/>
          </w:tcPr>
          <w:p w14:paraId="1EA4173B" w14:textId="77777777" w:rsidR="006E5AFC" w:rsidRPr="004561A6" w:rsidRDefault="006E5AFC" w:rsidP="00951A02">
            <w:pPr>
              <w:spacing w:before="80" w:after="80"/>
              <w:jc w:val="left"/>
              <w:rPr>
                <w:color w:val="auto"/>
                <w:sz w:val="18"/>
                <w:szCs w:val="18"/>
              </w:rPr>
            </w:pPr>
            <w:r w:rsidRPr="004561A6">
              <w:rPr>
                <w:color w:val="auto"/>
                <w:sz w:val="18"/>
                <w:szCs w:val="18"/>
              </w:rPr>
              <w:t>52</w:t>
            </w:r>
          </w:p>
        </w:tc>
        <w:tc>
          <w:tcPr>
            <w:tcW w:w="992" w:type="dxa"/>
            <w:tcBorders>
              <w:top w:val="single" w:sz="4" w:space="0" w:color="auto"/>
              <w:left w:val="single" w:sz="4" w:space="0" w:color="auto"/>
              <w:right w:val="single" w:sz="4" w:space="0" w:color="auto"/>
            </w:tcBorders>
            <w:shd w:val="clear" w:color="auto" w:fill="70AD47" w:themeFill="accent6"/>
          </w:tcPr>
          <w:p w14:paraId="181BF9FE" w14:textId="77777777" w:rsidR="006E5AFC" w:rsidRPr="004561A6" w:rsidRDefault="006E5AFC" w:rsidP="00951A02">
            <w:pPr>
              <w:spacing w:before="80" w:after="80"/>
              <w:jc w:val="left"/>
              <w:rPr>
                <w:color w:val="auto"/>
                <w:sz w:val="18"/>
                <w:szCs w:val="18"/>
              </w:rPr>
            </w:pPr>
            <w:r w:rsidRPr="004561A6">
              <w:rPr>
                <w:color w:val="auto"/>
                <w:sz w:val="18"/>
                <w:szCs w:val="18"/>
              </w:rPr>
              <w:t>22</w:t>
            </w:r>
          </w:p>
        </w:tc>
        <w:tc>
          <w:tcPr>
            <w:tcW w:w="992" w:type="dxa"/>
            <w:tcBorders>
              <w:top w:val="single" w:sz="4" w:space="0" w:color="auto"/>
              <w:left w:val="single" w:sz="4" w:space="0" w:color="auto"/>
              <w:right w:val="single" w:sz="4" w:space="0" w:color="auto"/>
            </w:tcBorders>
            <w:shd w:val="clear" w:color="auto" w:fill="5B9BD5" w:themeFill="accent1"/>
          </w:tcPr>
          <w:p w14:paraId="04524AA9" w14:textId="77777777" w:rsidR="006E5AFC" w:rsidRPr="004561A6" w:rsidRDefault="006E5AFC" w:rsidP="00951A02">
            <w:pPr>
              <w:spacing w:before="80" w:after="80"/>
              <w:jc w:val="left"/>
              <w:rPr>
                <w:color w:val="auto"/>
                <w:sz w:val="18"/>
                <w:szCs w:val="18"/>
              </w:rPr>
            </w:pPr>
            <w:r w:rsidRPr="004561A6">
              <w:rPr>
                <w:color w:val="auto"/>
                <w:sz w:val="18"/>
                <w:szCs w:val="18"/>
              </w:rPr>
              <w:t>51</w:t>
            </w:r>
          </w:p>
        </w:tc>
        <w:tc>
          <w:tcPr>
            <w:tcW w:w="993" w:type="dxa"/>
            <w:tcBorders>
              <w:top w:val="single" w:sz="4" w:space="0" w:color="auto"/>
              <w:left w:val="single" w:sz="4" w:space="0" w:color="auto"/>
              <w:right w:val="single" w:sz="4" w:space="0" w:color="auto"/>
            </w:tcBorders>
            <w:shd w:val="clear" w:color="auto" w:fill="70AD47" w:themeFill="accent6"/>
          </w:tcPr>
          <w:p w14:paraId="6406F083" w14:textId="77777777" w:rsidR="006E5AFC" w:rsidRPr="004561A6" w:rsidRDefault="006E5AFC" w:rsidP="00951A02">
            <w:pPr>
              <w:spacing w:before="80" w:after="80"/>
              <w:jc w:val="left"/>
              <w:rPr>
                <w:color w:val="auto"/>
                <w:sz w:val="18"/>
                <w:szCs w:val="18"/>
              </w:rPr>
            </w:pPr>
            <w:r w:rsidRPr="004561A6">
              <w:rPr>
                <w:color w:val="auto"/>
                <w:sz w:val="18"/>
                <w:szCs w:val="18"/>
              </w:rPr>
              <w:t>26</w:t>
            </w:r>
          </w:p>
        </w:tc>
        <w:tc>
          <w:tcPr>
            <w:tcW w:w="992" w:type="dxa"/>
            <w:tcBorders>
              <w:top w:val="single" w:sz="4" w:space="0" w:color="auto"/>
              <w:left w:val="single" w:sz="4" w:space="0" w:color="auto"/>
              <w:right w:val="single" w:sz="4" w:space="0" w:color="auto"/>
            </w:tcBorders>
            <w:shd w:val="clear" w:color="auto" w:fill="70AD47" w:themeFill="accent6"/>
          </w:tcPr>
          <w:p w14:paraId="7945B77D" w14:textId="77777777" w:rsidR="006E5AFC" w:rsidRPr="004561A6" w:rsidRDefault="006E5AFC" w:rsidP="00951A02">
            <w:pPr>
              <w:spacing w:before="80" w:after="80"/>
              <w:jc w:val="left"/>
              <w:rPr>
                <w:color w:val="auto"/>
                <w:sz w:val="18"/>
                <w:szCs w:val="18"/>
              </w:rPr>
            </w:pPr>
            <w:r w:rsidRPr="004561A6">
              <w:rPr>
                <w:color w:val="auto"/>
                <w:sz w:val="18"/>
                <w:szCs w:val="18"/>
              </w:rPr>
              <w:t>30</w:t>
            </w:r>
          </w:p>
        </w:tc>
        <w:tc>
          <w:tcPr>
            <w:tcW w:w="992" w:type="dxa"/>
            <w:tcBorders>
              <w:top w:val="single" w:sz="4" w:space="0" w:color="auto"/>
              <w:left w:val="single" w:sz="4" w:space="0" w:color="auto"/>
              <w:right w:val="single" w:sz="4" w:space="0" w:color="auto"/>
            </w:tcBorders>
            <w:shd w:val="clear" w:color="auto" w:fill="5B9BD5" w:themeFill="accent1"/>
          </w:tcPr>
          <w:p w14:paraId="029D37D1" w14:textId="77777777" w:rsidR="006E5AFC" w:rsidRPr="004561A6" w:rsidRDefault="006E5AFC" w:rsidP="00951A02">
            <w:pPr>
              <w:spacing w:before="80" w:after="80"/>
              <w:jc w:val="left"/>
              <w:rPr>
                <w:color w:val="auto"/>
                <w:sz w:val="18"/>
                <w:szCs w:val="18"/>
              </w:rPr>
            </w:pPr>
            <w:r w:rsidRPr="004561A6">
              <w:rPr>
                <w:color w:val="auto"/>
                <w:sz w:val="18"/>
                <w:szCs w:val="18"/>
              </w:rPr>
              <w:t>7</w:t>
            </w:r>
            <w:r>
              <w:rPr>
                <w:color w:val="auto"/>
                <w:sz w:val="18"/>
                <w:szCs w:val="18"/>
              </w:rPr>
              <w:t>8</w:t>
            </w:r>
            <w:r w:rsidRPr="004561A6">
              <w:rPr>
                <w:color w:val="auto"/>
                <w:sz w:val="18"/>
                <w:szCs w:val="18"/>
              </w:rPr>
              <w:t xml:space="preserve"> </w:t>
            </w:r>
          </w:p>
        </w:tc>
        <w:tc>
          <w:tcPr>
            <w:tcW w:w="992" w:type="dxa"/>
            <w:tcBorders>
              <w:top w:val="single" w:sz="4" w:space="0" w:color="auto"/>
              <w:left w:val="single" w:sz="4" w:space="0" w:color="auto"/>
              <w:right w:val="single" w:sz="4" w:space="0" w:color="auto"/>
            </w:tcBorders>
            <w:shd w:val="clear" w:color="auto" w:fill="E2EFD9" w:themeFill="accent6" w:themeFillTint="33"/>
          </w:tcPr>
          <w:p w14:paraId="6472F4B6" w14:textId="77777777" w:rsidR="006E5AFC" w:rsidRPr="004561A6" w:rsidRDefault="006E5AFC" w:rsidP="00951A02">
            <w:pPr>
              <w:spacing w:before="80" w:after="80"/>
              <w:jc w:val="left"/>
              <w:rPr>
                <w:color w:val="auto"/>
                <w:sz w:val="18"/>
                <w:szCs w:val="18"/>
              </w:rPr>
            </w:pPr>
            <w:r w:rsidRPr="004561A6">
              <w:rPr>
                <w:color w:val="auto"/>
                <w:sz w:val="18"/>
                <w:szCs w:val="18"/>
              </w:rPr>
              <w:t>0</w:t>
            </w:r>
          </w:p>
        </w:tc>
        <w:tc>
          <w:tcPr>
            <w:tcW w:w="993" w:type="dxa"/>
            <w:tcBorders>
              <w:top w:val="single" w:sz="4" w:space="0" w:color="auto"/>
              <w:left w:val="single" w:sz="4" w:space="0" w:color="auto"/>
              <w:right w:val="single" w:sz="4" w:space="0" w:color="auto"/>
            </w:tcBorders>
            <w:shd w:val="clear" w:color="auto" w:fill="E2EFD9" w:themeFill="accent6" w:themeFillTint="33"/>
          </w:tcPr>
          <w:p w14:paraId="2922D545" w14:textId="77777777" w:rsidR="006E5AFC" w:rsidRPr="004561A6" w:rsidRDefault="006E5AFC" w:rsidP="00951A02">
            <w:pPr>
              <w:spacing w:before="80" w:after="80"/>
              <w:jc w:val="left"/>
              <w:rPr>
                <w:color w:val="auto"/>
                <w:sz w:val="18"/>
                <w:szCs w:val="18"/>
              </w:rPr>
            </w:pPr>
            <w:r>
              <w:rPr>
                <w:color w:val="auto"/>
                <w:sz w:val="18"/>
                <w:szCs w:val="18"/>
              </w:rPr>
              <w:t>0</w:t>
            </w:r>
          </w:p>
        </w:tc>
        <w:tc>
          <w:tcPr>
            <w:tcW w:w="1055" w:type="dxa"/>
            <w:tcBorders>
              <w:top w:val="single" w:sz="4" w:space="0" w:color="auto"/>
              <w:left w:val="single" w:sz="4" w:space="0" w:color="auto"/>
              <w:right w:val="single" w:sz="4" w:space="0" w:color="auto"/>
            </w:tcBorders>
            <w:shd w:val="clear" w:color="auto" w:fill="70AD47" w:themeFill="accent6"/>
          </w:tcPr>
          <w:p w14:paraId="385C78CE" w14:textId="77777777" w:rsidR="006E5AFC" w:rsidRDefault="006E5AFC" w:rsidP="00951A02">
            <w:pPr>
              <w:spacing w:before="80" w:after="80"/>
              <w:jc w:val="left"/>
              <w:rPr>
                <w:color w:val="auto"/>
                <w:sz w:val="18"/>
                <w:szCs w:val="18"/>
              </w:rPr>
            </w:pPr>
            <w:r>
              <w:rPr>
                <w:color w:val="auto"/>
                <w:sz w:val="18"/>
                <w:szCs w:val="18"/>
              </w:rPr>
              <w:t>29</w:t>
            </w:r>
          </w:p>
        </w:tc>
      </w:tr>
      <w:tr w:rsidR="003F509B" w:rsidRPr="004561A6" w14:paraId="3AB4BC77" w14:textId="77777777" w:rsidTr="008B4826">
        <w:trPr>
          <w:cantSplit/>
          <w:trHeight w:val="20"/>
        </w:trPr>
        <w:tc>
          <w:tcPr>
            <w:tcW w:w="1723" w:type="dxa"/>
            <w:vMerge/>
          </w:tcPr>
          <w:p w14:paraId="042ED2A9" w14:textId="77777777" w:rsidR="006E5AFC" w:rsidRPr="004561A6" w:rsidRDefault="006E5AFC" w:rsidP="00951A02">
            <w:pPr>
              <w:spacing w:before="80" w:after="80"/>
              <w:jc w:val="left"/>
              <w:rPr>
                <w:sz w:val="18"/>
                <w:szCs w:val="18"/>
              </w:rPr>
            </w:pPr>
          </w:p>
        </w:tc>
        <w:tc>
          <w:tcPr>
            <w:tcW w:w="1035" w:type="dxa"/>
            <w:vMerge w:val="restart"/>
            <w:tcBorders>
              <w:top w:val="single" w:sz="4" w:space="0" w:color="auto"/>
              <w:left w:val="single" w:sz="4" w:space="0" w:color="auto"/>
              <w:right w:val="single" w:sz="4" w:space="0" w:color="auto"/>
            </w:tcBorders>
          </w:tcPr>
          <w:p w14:paraId="13546135" w14:textId="77777777" w:rsidR="006E5AFC" w:rsidRPr="004561A6" w:rsidRDefault="006E5AFC" w:rsidP="00951A02">
            <w:pPr>
              <w:spacing w:before="80" w:after="80"/>
              <w:jc w:val="left"/>
              <w:rPr>
                <w:b/>
                <w:bCs/>
                <w:color w:val="auto"/>
                <w:sz w:val="18"/>
                <w:szCs w:val="18"/>
              </w:rPr>
            </w:pPr>
            <w:r w:rsidRPr="004561A6">
              <w:rPr>
                <w:b/>
                <w:bCs/>
                <w:color w:val="auto"/>
                <w:sz w:val="18"/>
                <w:szCs w:val="18"/>
              </w:rPr>
              <w:t>DS Lock 4</w:t>
            </w:r>
          </w:p>
        </w:tc>
        <w:tc>
          <w:tcPr>
            <w:tcW w:w="1206" w:type="dxa"/>
            <w:tcBorders>
              <w:top w:val="single" w:sz="4" w:space="0" w:color="auto"/>
              <w:left w:val="single" w:sz="4" w:space="0" w:color="auto"/>
              <w:right w:val="single" w:sz="4" w:space="0" w:color="auto"/>
            </w:tcBorders>
          </w:tcPr>
          <w:p w14:paraId="2721F07E" w14:textId="77777777" w:rsidR="006E5AFC" w:rsidRPr="004561A6" w:rsidRDefault="006E5AFC" w:rsidP="00951A02">
            <w:pPr>
              <w:spacing w:before="80" w:after="80"/>
              <w:jc w:val="left"/>
              <w:rPr>
                <w:color w:val="auto"/>
                <w:sz w:val="18"/>
                <w:szCs w:val="18"/>
              </w:rPr>
            </w:pPr>
            <w:r w:rsidRPr="004561A6">
              <w:rPr>
                <w:color w:val="auto"/>
                <w:sz w:val="18"/>
                <w:szCs w:val="18"/>
              </w:rPr>
              <w:t>All eWater</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13DB20" w14:textId="77777777" w:rsidR="006E5AFC" w:rsidRPr="004561A6" w:rsidRDefault="006E5AFC" w:rsidP="00951A02">
            <w:pPr>
              <w:spacing w:before="80" w:after="80"/>
              <w:jc w:val="left"/>
              <w:rPr>
                <w:color w:val="auto"/>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CA542A" w14:textId="77777777" w:rsidR="006E5AFC" w:rsidRPr="004561A6" w:rsidRDefault="006E5AFC" w:rsidP="00951A02">
            <w:pPr>
              <w:spacing w:before="80" w:after="80"/>
              <w:jc w:val="left"/>
              <w:rPr>
                <w:color w:val="auto"/>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0B7432" w14:textId="77777777" w:rsidR="006E5AFC" w:rsidRPr="004561A6" w:rsidRDefault="006E5AFC" w:rsidP="00951A02">
            <w:pPr>
              <w:spacing w:before="80" w:after="80"/>
              <w:jc w:val="left"/>
              <w:rPr>
                <w:color w:val="auto"/>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75910F" w14:textId="77777777" w:rsidR="006E5AFC" w:rsidRPr="004561A6" w:rsidRDefault="006E5AFC" w:rsidP="00951A02">
            <w:pPr>
              <w:spacing w:before="80" w:after="80"/>
              <w:jc w:val="left"/>
              <w:rPr>
                <w:color w:val="auto"/>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4ACB3C" w14:textId="77777777" w:rsidR="006E5AFC" w:rsidRPr="004561A6" w:rsidRDefault="006E5AFC" w:rsidP="00951A02">
            <w:pPr>
              <w:spacing w:before="80" w:after="80"/>
              <w:jc w:val="left"/>
              <w:rPr>
                <w:color w:val="auto"/>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5B9BD5" w:themeFill="accent1"/>
          </w:tcPr>
          <w:p w14:paraId="08638E19" w14:textId="77777777" w:rsidR="006E5AFC" w:rsidRPr="004561A6" w:rsidRDefault="006E5AFC" w:rsidP="00951A02">
            <w:pPr>
              <w:spacing w:before="80" w:after="80"/>
              <w:jc w:val="left"/>
              <w:rPr>
                <w:color w:val="auto"/>
                <w:sz w:val="18"/>
                <w:szCs w:val="18"/>
              </w:rPr>
            </w:pPr>
            <w:r w:rsidRPr="004561A6">
              <w:rPr>
                <w:color w:val="auto"/>
                <w:sz w:val="18"/>
                <w:szCs w:val="18"/>
              </w:rPr>
              <w:t>5</w:t>
            </w:r>
            <w:r>
              <w:rPr>
                <w:color w:val="auto"/>
                <w:sz w:val="18"/>
                <w:szCs w:val="18"/>
              </w:rPr>
              <w:t>2</w:t>
            </w:r>
          </w:p>
        </w:tc>
        <w:tc>
          <w:tcPr>
            <w:tcW w:w="992" w:type="dxa"/>
            <w:tcBorders>
              <w:top w:val="single" w:sz="4" w:space="0" w:color="auto"/>
              <w:left w:val="single" w:sz="4" w:space="0" w:color="auto"/>
              <w:bottom w:val="single" w:sz="4" w:space="0" w:color="auto"/>
              <w:right w:val="single" w:sz="4" w:space="0" w:color="auto"/>
            </w:tcBorders>
            <w:shd w:val="clear" w:color="auto" w:fill="5B9BD5" w:themeFill="accent1"/>
          </w:tcPr>
          <w:p w14:paraId="6E4F0BA1" w14:textId="77777777" w:rsidR="006E5AFC" w:rsidRPr="004561A6" w:rsidRDefault="006E5AFC" w:rsidP="00951A02">
            <w:pPr>
              <w:spacing w:before="80" w:after="80"/>
              <w:jc w:val="left"/>
              <w:rPr>
                <w:color w:val="auto"/>
                <w:sz w:val="18"/>
                <w:szCs w:val="18"/>
              </w:rPr>
            </w:pPr>
            <w:r w:rsidRPr="004561A6">
              <w:rPr>
                <w:color w:val="auto"/>
                <w:sz w:val="18"/>
                <w:szCs w:val="18"/>
              </w:rPr>
              <w:t>100</w:t>
            </w:r>
          </w:p>
        </w:tc>
        <w:tc>
          <w:tcPr>
            <w:tcW w:w="99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97E0251" w14:textId="77777777" w:rsidR="006E5AFC" w:rsidRPr="004561A6" w:rsidRDefault="006E5AFC" w:rsidP="00951A02">
            <w:pPr>
              <w:spacing w:before="80" w:after="80"/>
              <w:jc w:val="left"/>
              <w:rPr>
                <w:color w:val="auto"/>
                <w:sz w:val="18"/>
                <w:szCs w:val="18"/>
              </w:rPr>
            </w:pPr>
            <w:r w:rsidRPr="004561A6">
              <w:rPr>
                <w:color w:val="auto"/>
                <w:sz w:val="18"/>
                <w:szCs w:val="18"/>
              </w:rPr>
              <w:t>0</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22BCDBF" w14:textId="77777777" w:rsidR="006E5AFC" w:rsidRPr="004561A6" w:rsidRDefault="006E5AFC" w:rsidP="00951A02">
            <w:pPr>
              <w:spacing w:before="80" w:after="80"/>
              <w:jc w:val="left"/>
              <w:rPr>
                <w:color w:val="auto"/>
                <w:sz w:val="18"/>
                <w:szCs w:val="18"/>
              </w:rPr>
            </w:pPr>
            <w:r>
              <w:rPr>
                <w:color w:val="auto"/>
                <w:sz w:val="18"/>
                <w:szCs w:val="18"/>
              </w:rPr>
              <w:t>0</w:t>
            </w:r>
          </w:p>
        </w:tc>
        <w:tc>
          <w:tcPr>
            <w:tcW w:w="1055" w:type="dxa"/>
            <w:tcBorders>
              <w:top w:val="single" w:sz="4" w:space="0" w:color="auto"/>
              <w:left w:val="single" w:sz="4" w:space="0" w:color="auto"/>
              <w:bottom w:val="single" w:sz="4" w:space="0" w:color="auto"/>
              <w:right w:val="single" w:sz="4" w:space="0" w:color="auto"/>
            </w:tcBorders>
            <w:shd w:val="clear" w:color="auto" w:fill="5B9BD5" w:themeFill="accent1"/>
          </w:tcPr>
          <w:p w14:paraId="0580D695" w14:textId="77777777" w:rsidR="006E5AFC" w:rsidRDefault="006E5AFC" w:rsidP="00951A02">
            <w:pPr>
              <w:spacing w:before="80" w:after="80"/>
              <w:jc w:val="left"/>
              <w:rPr>
                <w:color w:val="auto"/>
                <w:sz w:val="18"/>
                <w:szCs w:val="18"/>
              </w:rPr>
            </w:pPr>
            <w:r>
              <w:rPr>
                <w:color w:val="auto"/>
                <w:sz w:val="18"/>
                <w:szCs w:val="18"/>
              </w:rPr>
              <w:t>37</w:t>
            </w:r>
          </w:p>
        </w:tc>
      </w:tr>
      <w:tr w:rsidR="003F509B" w:rsidRPr="004561A6" w14:paraId="7E8D0F9C" w14:textId="77777777" w:rsidTr="008B4826">
        <w:trPr>
          <w:cantSplit/>
          <w:trHeight w:val="409"/>
        </w:trPr>
        <w:tc>
          <w:tcPr>
            <w:tcW w:w="1723" w:type="dxa"/>
            <w:vMerge/>
          </w:tcPr>
          <w:p w14:paraId="42AEECC2" w14:textId="77777777" w:rsidR="006E5AFC" w:rsidRPr="004561A6" w:rsidRDefault="006E5AFC" w:rsidP="00951A02">
            <w:pPr>
              <w:spacing w:before="80" w:after="80"/>
              <w:jc w:val="left"/>
              <w:rPr>
                <w:sz w:val="18"/>
                <w:szCs w:val="18"/>
              </w:rPr>
            </w:pPr>
          </w:p>
        </w:tc>
        <w:tc>
          <w:tcPr>
            <w:tcW w:w="1035" w:type="dxa"/>
            <w:vMerge/>
          </w:tcPr>
          <w:p w14:paraId="4BBDABE9" w14:textId="77777777" w:rsidR="006E5AFC" w:rsidRPr="004561A6" w:rsidRDefault="006E5AFC" w:rsidP="00951A02">
            <w:pPr>
              <w:spacing w:before="80" w:after="80"/>
              <w:jc w:val="left"/>
              <w:rPr>
                <w:b/>
                <w:bCs/>
                <w:color w:val="auto"/>
                <w:sz w:val="18"/>
                <w:szCs w:val="18"/>
              </w:rPr>
            </w:pPr>
          </w:p>
        </w:tc>
        <w:tc>
          <w:tcPr>
            <w:tcW w:w="1206" w:type="dxa"/>
            <w:tcBorders>
              <w:top w:val="single" w:sz="4" w:space="0" w:color="auto"/>
              <w:left w:val="single" w:sz="4" w:space="0" w:color="auto"/>
              <w:right w:val="single" w:sz="4" w:space="0" w:color="auto"/>
            </w:tcBorders>
          </w:tcPr>
          <w:p w14:paraId="4678F6E4" w14:textId="77777777" w:rsidR="006E5AFC" w:rsidRPr="004561A6" w:rsidRDefault="006E5AFC" w:rsidP="00951A02">
            <w:pPr>
              <w:spacing w:before="80" w:after="80"/>
              <w:jc w:val="left"/>
              <w:rPr>
                <w:color w:val="auto"/>
                <w:sz w:val="18"/>
                <w:szCs w:val="18"/>
              </w:rPr>
            </w:pPr>
            <w:r w:rsidRPr="004561A6">
              <w:rPr>
                <w:color w:val="auto"/>
                <w:sz w:val="18"/>
                <w:szCs w:val="18"/>
              </w:rPr>
              <w:t>CEW</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29A45C3A" w14:textId="77777777" w:rsidR="006E5AFC" w:rsidRPr="004561A6" w:rsidRDefault="006E5AFC" w:rsidP="00951A02">
            <w:pPr>
              <w:spacing w:before="80" w:after="80"/>
              <w:jc w:val="left"/>
              <w:rPr>
                <w:color w:val="auto"/>
                <w:sz w:val="18"/>
                <w:szCs w:val="18"/>
              </w:rPr>
            </w:pPr>
          </w:p>
        </w:tc>
        <w:tc>
          <w:tcPr>
            <w:tcW w:w="992" w:type="dxa"/>
            <w:tcBorders>
              <w:top w:val="single" w:sz="4" w:space="0" w:color="auto"/>
              <w:left w:val="single" w:sz="4" w:space="0" w:color="auto"/>
              <w:right w:val="single" w:sz="4" w:space="0" w:color="auto"/>
            </w:tcBorders>
            <w:shd w:val="clear" w:color="auto" w:fill="D9D9D9" w:themeFill="background1" w:themeFillShade="D9"/>
          </w:tcPr>
          <w:p w14:paraId="2172D6EB" w14:textId="77777777" w:rsidR="006E5AFC" w:rsidRPr="004561A6" w:rsidRDefault="006E5AFC" w:rsidP="00951A02">
            <w:pPr>
              <w:spacing w:before="80" w:after="80"/>
              <w:jc w:val="left"/>
              <w:rPr>
                <w:color w:val="auto"/>
                <w:sz w:val="18"/>
                <w:szCs w:val="18"/>
              </w:rPr>
            </w:pPr>
          </w:p>
        </w:tc>
        <w:tc>
          <w:tcPr>
            <w:tcW w:w="992" w:type="dxa"/>
            <w:tcBorders>
              <w:top w:val="single" w:sz="4" w:space="0" w:color="auto"/>
              <w:left w:val="single" w:sz="4" w:space="0" w:color="auto"/>
              <w:right w:val="single" w:sz="4" w:space="0" w:color="auto"/>
            </w:tcBorders>
            <w:shd w:val="clear" w:color="auto" w:fill="D9D9D9" w:themeFill="background1" w:themeFillShade="D9"/>
          </w:tcPr>
          <w:p w14:paraId="4DABB18A" w14:textId="77777777" w:rsidR="006E5AFC" w:rsidRPr="004561A6" w:rsidRDefault="006E5AFC" w:rsidP="00951A02">
            <w:pPr>
              <w:spacing w:before="80" w:after="80"/>
              <w:jc w:val="left"/>
              <w:rPr>
                <w:color w:val="auto"/>
                <w:sz w:val="18"/>
                <w:szCs w:val="18"/>
              </w:rPr>
            </w:pPr>
          </w:p>
        </w:tc>
        <w:tc>
          <w:tcPr>
            <w:tcW w:w="992" w:type="dxa"/>
            <w:tcBorders>
              <w:top w:val="single" w:sz="4" w:space="0" w:color="auto"/>
              <w:left w:val="single" w:sz="4" w:space="0" w:color="auto"/>
              <w:right w:val="single" w:sz="4" w:space="0" w:color="auto"/>
            </w:tcBorders>
            <w:shd w:val="clear" w:color="auto" w:fill="D9D9D9" w:themeFill="background1" w:themeFillShade="D9"/>
          </w:tcPr>
          <w:p w14:paraId="4EC6CF80" w14:textId="77777777" w:rsidR="006E5AFC" w:rsidRPr="004561A6" w:rsidRDefault="006E5AFC" w:rsidP="00951A02">
            <w:pPr>
              <w:spacing w:before="80" w:after="80"/>
              <w:jc w:val="left"/>
              <w:rPr>
                <w:color w:val="auto"/>
                <w:sz w:val="18"/>
                <w:szCs w:val="18"/>
              </w:rPr>
            </w:pP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3C134F92" w14:textId="77777777" w:rsidR="006E5AFC" w:rsidRPr="004561A6" w:rsidRDefault="006E5AFC" w:rsidP="00951A02">
            <w:pPr>
              <w:spacing w:before="80" w:after="80"/>
              <w:jc w:val="left"/>
              <w:rPr>
                <w:color w:val="auto"/>
                <w:sz w:val="18"/>
                <w:szCs w:val="18"/>
              </w:rPr>
            </w:pPr>
          </w:p>
        </w:tc>
        <w:tc>
          <w:tcPr>
            <w:tcW w:w="992" w:type="dxa"/>
            <w:tcBorders>
              <w:top w:val="single" w:sz="4" w:space="0" w:color="auto"/>
              <w:left w:val="single" w:sz="4" w:space="0" w:color="auto"/>
              <w:right w:val="single" w:sz="4" w:space="0" w:color="auto"/>
            </w:tcBorders>
            <w:shd w:val="clear" w:color="auto" w:fill="5B9BD5" w:themeFill="accent1"/>
          </w:tcPr>
          <w:p w14:paraId="4BE0675C" w14:textId="77777777" w:rsidR="006E5AFC" w:rsidRPr="004561A6" w:rsidRDefault="006E5AFC" w:rsidP="00951A02">
            <w:pPr>
              <w:spacing w:before="80" w:after="80"/>
              <w:jc w:val="left"/>
              <w:rPr>
                <w:color w:val="auto"/>
                <w:sz w:val="18"/>
                <w:szCs w:val="18"/>
              </w:rPr>
            </w:pPr>
            <w:r w:rsidRPr="004561A6">
              <w:rPr>
                <w:color w:val="auto"/>
                <w:sz w:val="18"/>
                <w:szCs w:val="18"/>
              </w:rPr>
              <w:t>48</w:t>
            </w:r>
          </w:p>
        </w:tc>
        <w:tc>
          <w:tcPr>
            <w:tcW w:w="992" w:type="dxa"/>
            <w:tcBorders>
              <w:top w:val="single" w:sz="4" w:space="0" w:color="auto"/>
              <w:left w:val="single" w:sz="4" w:space="0" w:color="auto"/>
              <w:right w:val="single" w:sz="4" w:space="0" w:color="auto"/>
            </w:tcBorders>
            <w:shd w:val="clear" w:color="auto" w:fill="5B9BD5" w:themeFill="accent1"/>
          </w:tcPr>
          <w:p w14:paraId="7AEA0DA8" w14:textId="77777777" w:rsidR="006E5AFC" w:rsidRPr="004561A6" w:rsidRDefault="006E5AFC" w:rsidP="00951A02">
            <w:pPr>
              <w:spacing w:before="80" w:after="80"/>
              <w:jc w:val="left"/>
              <w:rPr>
                <w:color w:val="auto"/>
                <w:sz w:val="18"/>
                <w:szCs w:val="18"/>
              </w:rPr>
            </w:pPr>
            <w:r w:rsidRPr="004561A6">
              <w:rPr>
                <w:color w:val="auto"/>
                <w:sz w:val="18"/>
                <w:szCs w:val="18"/>
              </w:rPr>
              <w:t>79</w:t>
            </w:r>
          </w:p>
        </w:tc>
        <w:tc>
          <w:tcPr>
            <w:tcW w:w="992" w:type="dxa"/>
            <w:tcBorders>
              <w:top w:val="single" w:sz="4" w:space="0" w:color="auto"/>
              <w:left w:val="single" w:sz="4" w:space="0" w:color="auto"/>
              <w:right w:val="single" w:sz="4" w:space="0" w:color="auto"/>
            </w:tcBorders>
            <w:shd w:val="clear" w:color="auto" w:fill="E2EFD9" w:themeFill="accent6" w:themeFillTint="33"/>
          </w:tcPr>
          <w:p w14:paraId="001AF30D" w14:textId="77777777" w:rsidR="006E5AFC" w:rsidRPr="004561A6" w:rsidRDefault="006E5AFC" w:rsidP="00951A02">
            <w:pPr>
              <w:spacing w:before="80" w:after="80"/>
              <w:jc w:val="left"/>
              <w:rPr>
                <w:color w:val="auto"/>
                <w:sz w:val="18"/>
                <w:szCs w:val="18"/>
              </w:rPr>
            </w:pPr>
            <w:r w:rsidRPr="004561A6">
              <w:rPr>
                <w:color w:val="auto"/>
                <w:sz w:val="18"/>
                <w:szCs w:val="18"/>
              </w:rPr>
              <w:t>0</w:t>
            </w:r>
          </w:p>
        </w:tc>
        <w:tc>
          <w:tcPr>
            <w:tcW w:w="993" w:type="dxa"/>
            <w:tcBorders>
              <w:top w:val="single" w:sz="4" w:space="0" w:color="auto"/>
              <w:left w:val="single" w:sz="4" w:space="0" w:color="auto"/>
              <w:right w:val="single" w:sz="4" w:space="0" w:color="auto"/>
            </w:tcBorders>
            <w:shd w:val="clear" w:color="auto" w:fill="E2EFD9" w:themeFill="accent6" w:themeFillTint="33"/>
          </w:tcPr>
          <w:p w14:paraId="24EAE781" w14:textId="77777777" w:rsidR="006E5AFC" w:rsidRPr="004561A6" w:rsidRDefault="006E5AFC" w:rsidP="00951A02">
            <w:pPr>
              <w:spacing w:before="80" w:after="80"/>
              <w:jc w:val="left"/>
              <w:rPr>
                <w:color w:val="auto"/>
                <w:sz w:val="18"/>
                <w:szCs w:val="18"/>
              </w:rPr>
            </w:pPr>
            <w:r>
              <w:rPr>
                <w:color w:val="auto"/>
                <w:sz w:val="18"/>
                <w:szCs w:val="18"/>
              </w:rPr>
              <w:t>0</w:t>
            </w:r>
          </w:p>
        </w:tc>
        <w:tc>
          <w:tcPr>
            <w:tcW w:w="1055" w:type="dxa"/>
            <w:tcBorders>
              <w:top w:val="single" w:sz="4" w:space="0" w:color="auto"/>
              <w:left w:val="single" w:sz="4" w:space="0" w:color="auto"/>
              <w:right w:val="single" w:sz="4" w:space="0" w:color="auto"/>
            </w:tcBorders>
            <w:shd w:val="clear" w:color="auto" w:fill="70AD47" w:themeFill="accent6"/>
          </w:tcPr>
          <w:p w14:paraId="62C01907" w14:textId="77777777" w:rsidR="006E5AFC" w:rsidRDefault="006E5AFC" w:rsidP="00951A02">
            <w:pPr>
              <w:spacing w:before="80" w:after="80"/>
              <w:jc w:val="left"/>
              <w:rPr>
                <w:color w:val="auto"/>
                <w:sz w:val="18"/>
                <w:szCs w:val="18"/>
              </w:rPr>
            </w:pPr>
            <w:r>
              <w:rPr>
                <w:color w:val="auto"/>
                <w:sz w:val="18"/>
                <w:szCs w:val="18"/>
              </w:rPr>
              <w:t>20</w:t>
            </w:r>
          </w:p>
        </w:tc>
      </w:tr>
      <w:tr w:rsidR="003F509B" w:rsidRPr="004561A6" w14:paraId="0DBE443B" w14:textId="77777777" w:rsidTr="008B4826">
        <w:trPr>
          <w:cantSplit/>
          <w:trHeight w:val="20"/>
        </w:trPr>
        <w:tc>
          <w:tcPr>
            <w:tcW w:w="1723" w:type="dxa"/>
            <w:vMerge/>
          </w:tcPr>
          <w:p w14:paraId="049CCD5C" w14:textId="77777777" w:rsidR="006E5AFC" w:rsidRPr="004561A6" w:rsidRDefault="006E5AFC" w:rsidP="00951A02">
            <w:pPr>
              <w:spacing w:before="80" w:after="80"/>
              <w:jc w:val="left"/>
              <w:rPr>
                <w:sz w:val="18"/>
                <w:szCs w:val="18"/>
              </w:rPr>
            </w:pPr>
          </w:p>
        </w:tc>
        <w:tc>
          <w:tcPr>
            <w:tcW w:w="1035" w:type="dxa"/>
            <w:vMerge w:val="restart"/>
            <w:tcBorders>
              <w:top w:val="single" w:sz="4" w:space="0" w:color="auto"/>
              <w:left w:val="single" w:sz="4" w:space="0" w:color="auto"/>
              <w:right w:val="single" w:sz="4" w:space="0" w:color="auto"/>
            </w:tcBorders>
          </w:tcPr>
          <w:p w14:paraId="0E7EF54D" w14:textId="77777777" w:rsidR="006E5AFC" w:rsidRPr="004561A6" w:rsidRDefault="006E5AFC" w:rsidP="00951A02">
            <w:pPr>
              <w:spacing w:before="80" w:after="80"/>
              <w:jc w:val="left"/>
              <w:rPr>
                <w:b/>
                <w:bCs/>
                <w:color w:val="auto"/>
                <w:sz w:val="18"/>
                <w:szCs w:val="18"/>
              </w:rPr>
            </w:pPr>
            <w:r w:rsidRPr="004561A6">
              <w:rPr>
                <w:b/>
                <w:bCs/>
                <w:color w:val="auto"/>
                <w:sz w:val="18"/>
                <w:szCs w:val="18"/>
              </w:rPr>
              <w:t>DS Lock 1</w:t>
            </w:r>
          </w:p>
        </w:tc>
        <w:tc>
          <w:tcPr>
            <w:tcW w:w="1206" w:type="dxa"/>
            <w:tcBorders>
              <w:top w:val="single" w:sz="4" w:space="0" w:color="auto"/>
              <w:left w:val="single" w:sz="4" w:space="0" w:color="auto"/>
              <w:right w:val="single" w:sz="4" w:space="0" w:color="auto"/>
            </w:tcBorders>
          </w:tcPr>
          <w:p w14:paraId="37954B43" w14:textId="77777777" w:rsidR="006E5AFC" w:rsidRPr="004561A6" w:rsidRDefault="006E5AFC" w:rsidP="00951A02">
            <w:pPr>
              <w:spacing w:before="80" w:after="80"/>
              <w:jc w:val="left"/>
              <w:rPr>
                <w:color w:val="auto"/>
                <w:sz w:val="18"/>
                <w:szCs w:val="18"/>
              </w:rPr>
            </w:pPr>
            <w:r w:rsidRPr="004561A6">
              <w:rPr>
                <w:color w:val="auto"/>
                <w:sz w:val="18"/>
                <w:szCs w:val="18"/>
              </w:rPr>
              <w:t>All eWater</w:t>
            </w:r>
          </w:p>
        </w:tc>
        <w:tc>
          <w:tcPr>
            <w:tcW w:w="993" w:type="dxa"/>
            <w:tcBorders>
              <w:top w:val="single" w:sz="4" w:space="0" w:color="auto"/>
              <w:left w:val="single" w:sz="4" w:space="0" w:color="auto"/>
              <w:bottom w:val="single" w:sz="4" w:space="0" w:color="auto"/>
              <w:right w:val="single" w:sz="4" w:space="0" w:color="auto"/>
            </w:tcBorders>
            <w:shd w:val="clear" w:color="auto" w:fill="70AD47" w:themeFill="accent6"/>
          </w:tcPr>
          <w:p w14:paraId="75751D55" w14:textId="77777777" w:rsidR="006E5AFC" w:rsidRPr="004561A6" w:rsidRDefault="006E5AFC" w:rsidP="00951A02">
            <w:pPr>
              <w:spacing w:before="80" w:after="80"/>
              <w:jc w:val="left"/>
              <w:rPr>
                <w:color w:val="auto"/>
                <w:sz w:val="18"/>
                <w:szCs w:val="18"/>
              </w:rPr>
            </w:pPr>
            <w:r w:rsidRPr="004561A6">
              <w:rPr>
                <w:color w:val="auto"/>
                <w:sz w:val="18"/>
                <w:szCs w:val="18"/>
              </w:rPr>
              <w:t>2</w:t>
            </w:r>
            <w:r>
              <w:rPr>
                <w:color w:val="auto"/>
                <w:sz w:val="18"/>
                <w:szCs w:val="18"/>
              </w:rPr>
              <w:t>4</w:t>
            </w:r>
          </w:p>
        </w:tc>
        <w:tc>
          <w:tcPr>
            <w:tcW w:w="992" w:type="dxa"/>
            <w:tcBorders>
              <w:top w:val="single" w:sz="4" w:space="0" w:color="auto"/>
              <w:left w:val="single" w:sz="4" w:space="0" w:color="auto"/>
              <w:bottom w:val="single" w:sz="4" w:space="0" w:color="auto"/>
              <w:right w:val="single" w:sz="4" w:space="0" w:color="auto"/>
            </w:tcBorders>
            <w:shd w:val="clear" w:color="auto" w:fill="70AD47" w:themeFill="accent6"/>
          </w:tcPr>
          <w:p w14:paraId="28F33779" w14:textId="77777777" w:rsidR="006E5AFC" w:rsidRPr="004561A6" w:rsidRDefault="006E5AFC" w:rsidP="00951A02">
            <w:pPr>
              <w:spacing w:before="80" w:after="80"/>
              <w:jc w:val="left"/>
              <w:rPr>
                <w:color w:val="auto"/>
                <w:sz w:val="18"/>
                <w:szCs w:val="18"/>
              </w:rPr>
            </w:pPr>
            <w:r>
              <w:rPr>
                <w:color w:val="auto"/>
                <w:sz w:val="18"/>
                <w:szCs w:val="18"/>
              </w:rPr>
              <w:t>21</w:t>
            </w:r>
          </w:p>
        </w:tc>
        <w:tc>
          <w:tcPr>
            <w:tcW w:w="992"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5A3DE86" w14:textId="77777777" w:rsidR="006E5AFC" w:rsidRPr="004561A6" w:rsidRDefault="006E5AFC" w:rsidP="00951A02">
            <w:pPr>
              <w:spacing w:before="80" w:after="80"/>
              <w:jc w:val="left"/>
              <w:rPr>
                <w:color w:val="auto"/>
                <w:sz w:val="18"/>
                <w:szCs w:val="18"/>
              </w:rPr>
            </w:pPr>
            <w:r w:rsidRPr="004561A6">
              <w:rPr>
                <w:color w:val="auto"/>
                <w:sz w:val="18"/>
                <w:szCs w:val="18"/>
              </w:rPr>
              <w:t>1</w:t>
            </w:r>
            <w:r>
              <w:rPr>
                <w:color w:val="auto"/>
                <w:sz w:val="18"/>
                <w:szCs w:val="18"/>
              </w:rPr>
              <w:t>2</w:t>
            </w:r>
          </w:p>
        </w:tc>
        <w:tc>
          <w:tcPr>
            <w:tcW w:w="992" w:type="dxa"/>
            <w:tcBorders>
              <w:top w:val="single" w:sz="4" w:space="0" w:color="auto"/>
              <w:left w:val="single" w:sz="4" w:space="0" w:color="auto"/>
              <w:bottom w:val="single" w:sz="4" w:space="0" w:color="auto"/>
              <w:right w:val="single" w:sz="4" w:space="0" w:color="auto"/>
            </w:tcBorders>
            <w:shd w:val="clear" w:color="auto" w:fill="5B9BD5" w:themeFill="accent1"/>
          </w:tcPr>
          <w:p w14:paraId="4A9C6BAF" w14:textId="77777777" w:rsidR="006E5AFC" w:rsidRPr="004561A6" w:rsidRDefault="006E5AFC" w:rsidP="00951A02">
            <w:pPr>
              <w:spacing w:before="80" w:after="80"/>
              <w:jc w:val="left"/>
              <w:rPr>
                <w:color w:val="auto"/>
                <w:sz w:val="18"/>
                <w:szCs w:val="18"/>
              </w:rPr>
            </w:pPr>
            <w:r w:rsidRPr="004561A6">
              <w:rPr>
                <w:color w:val="auto"/>
                <w:sz w:val="18"/>
                <w:szCs w:val="18"/>
              </w:rPr>
              <w:t>5</w:t>
            </w:r>
            <w:r>
              <w:rPr>
                <w:color w:val="auto"/>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DDBEA78" w14:textId="77777777" w:rsidR="006E5AFC" w:rsidRPr="004561A6" w:rsidRDefault="006E5AFC" w:rsidP="00951A02">
            <w:pPr>
              <w:spacing w:before="80" w:after="80"/>
              <w:jc w:val="left"/>
              <w:rPr>
                <w:color w:val="auto"/>
                <w:sz w:val="18"/>
                <w:szCs w:val="18"/>
              </w:rPr>
            </w:pPr>
            <w:r>
              <w:rPr>
                <w:color w:val="auto"/>
                <w:sz w:val="18"/>
                <w:szCs w:val="18"/>
              </w:rPr>
              <w:t>3</w:t>
            </w:r>
          </w:p>
        </w:tc>
        <w:tc>
          <w:tcPr>
            <w:tcW w:w="992" w:type="dxa"/>
            <w:tcBorders>
              <w:top w:val="single" w:sz="4" w:space="0" w:color="auto"/>
              <w:left w:val="single" w:sz="4" w:space="0" w:color="auto"/>
              <w:bottom w:val="single" w:sz="4" w:space="0" w:color="auto"/>
              <w:right w:val="single" w:sz="4" w:space="0" w:color="auto"/>
            </w:tcBorders>
            <w:shd w:val="clear" w:color="auto" w:fill="5B9BD5" w:themeFill="accent1"/>
          </w:tcPr>
          <w:p w14:paraId="28BEEBE4" w14:textId="77777777" w:rsidR="006E5AFC" w:rsidRPr="004561A6" w:rsidRDefault="006E5AFC" w:rsidP="00951A02">
            <w:pPr>
              <w:spacing w:before="80" w:after="80"/>
              <w:jc w:val="left"/>
              <w:rPr>
                <w:color w:val="auto"/>
                <w:sz w:val="18"/>
                <w:szCs w:val="18"/>
              </w:rPr>
            </w:pPr>
            <w:r w:rsidRPr="004561A6">
              <w:rPr>
                <w:color w:val="auto"/>
                <w:sz w:val="18"/>
                <w:szCs w:val="18"/>
              </w:rPr>
              <w:t>3</w:t>
            </w:r>
            <w:r>
              <w:rPr>
                <w:color w:val="auto"/>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5B9BD5" w:themeFill="accent1"/>
          </w:tcPr>
          <w:p w14:paraId="3F6C4BB1" w14:textId="77777777" w:rsidR="006E5AFC" w:rsidRPr="004561A6" w:rsidRDefault="006E5AFC" w:rsidP="00951A02">
            <w:pPr>
              <w:spacing w:before="80" w:after="80"/>
              <w:jc w:val="left"/>
              <w:rPr>
                <w:color w:val="auto"/>
                <w:sz w:val="18"/>
                <w:szCs w:val="18"/>
              </w:rPr>
            </w:pPr>
            <w:r w:rsidRPr="004561A6">
              <w:rPr>
                <w:color w:val="auto"/>
                <w:sz w:val="18"/>
                <w:szCs w:val="18"/>
              </w:rPr>
              <w:t>5</w:t>
            </w:r>
            <w:r>
              <w:rPr>
                <w:color w:val="auto"/>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8A0922E" w14:textId="77777777" w:rsidR="006E5AFC" w:rsidRPr="004561A6" w:rsidRDefault="006E5AFC" w:rsidP="00951A02">
            <w:pPr>
              <w:spacing w:before="80" w:after="80"/>
              <w:jc w:val="left"/>
              <w:rPr>
                <w:color w:val="auto"/>
                <w:sz w:val="18"/>
                <w:szCs w:val="18"/>
              </w:rPr>
            </w:pPr>
            <w:r w:rsidRPr="004561A6">
              <w:rPr>
                <w:color w:val="auto"/>
                <w:sz w:val="18"/>
                <w:szCs w:val="18"/>
              </w:rPr>
              <w:t>0</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314B021" w14:textId="77777777" w:rsidR="006E5AFC" w:rsidRPr="004561A6" w:rsidRDefault="006E5AFC" w:rsidP="00951A02">
            <w:pPr>
              <w:spacing w:before="80" w:after="80"/>
              <w:jc w:val="left"/>
              <w:rPr>
                <w:color w:val="auto"/>
                <w:sz w:val="18"/>
                <w:szCs w:val="18"/>
              </w:rPr>
            </w:pPr>
            <w:r>
              <w:rPr>
                <w:color w:val="auto"/>
                <w:sz w:val="18"/>
                <w:szCs w:val="18"/>
              </w:rPr>
              <w:t>0</w:t>
            </w:r>
          </w:p>
        </w:tc>
        <w:tc>
          <w:tcPr>
            <w:tcW w:w="1055" w:type="dxa"/>
            <w:tcBorders>
              <w:top w:val="single" w:sz="4" w:space="0" w:color="auto"/>
              <w:left w:val="single" w:sz="4" w:space="0" w:color="auto"/>
              <w:bottom w:val="single" w:sz="4" w:space="0" w:color="auto"/>
              <w:right w:val="single" w:sz="4" w:space="0" w:color="auto"/>
            </w:tcBorders>
            <w:shd w:val="clear" w:color="auto" w:fill="5B9BD5" w:themeFill="accent1"/>
          </w:tcPr>
          <w:p w14:paraId="4BB5850E" w14:textId="77777777" w:rsidR="006E5AFC" w:rsidRDefault="006E5AFC" w:rsidP="00951A02">
            <w:pPr>
              <w:spacing w:before="80" w:after="80"/>
              <w:jc w:val="left"/>
              <w:rPr>
                <w:color w:val="auto"/>
                <w:sz w:val="18"/>
                <w:szCs w:val="18"/>
              </w:rPr>
            </w:pPr>
            <w:r>
              <w:rPr>
                <w:color w:val="auto"/>
                <w:sz w:val="18"/>
                <w:szCs w:val="18"/>
              </w:rPr>
              <w:t>45</w:t>
            </w:r>
          </w:p>
        </w:tc>
      </w:tr>
      <w:tr w:rsidR="003F509B" w:rsidRPr="004561A6" w14:paraId="0809297F" w14:textId="77777777" w:rsidTr="008B4826">
        <w:trPr>
          <w:cantSplit/>
          <w:trHeight w:val="406"/>
        </w:trPr>
        <w:tc>
          <w:tcPr>
            <w:tcW w:w="1723" w:type="dxa"/>
            <w:vMerge/>
          </w:tcPr>
          <w:p w14:paraId="574C4341" w14:textId="77777777" w:rsidR="006E5AFC" w:rsidRPr="004561A6" w:rsidRDefault="006E5AFC" w:rsidP="00951A02">
            <w:pPr>
              <w:spacing w:before="80" w:after="80"/>
              <w:jc w:val="left"/>
              <w:rPr>
                <w:sz w:val="18"/>
                <w:szCs w:val="18"/>
              </w:rPr>
            </w:pPr>
          </w:p>
        </w:tc>
        <w:tc>
          <w:tcPr>
            <w:tcW w:w="1035" w:type="dxa"/>
            <w:vMerge/>
          </w:tcPr>
          <w:p w14:paraId="23BCFAD1" w14:textId="77777777" w:rsidR="006E5AFC" w:rsidRPr="004561A6" w:rsidRDefault="006E5AFC" w:rsidP="00951A02">
            <w:pPr>
              <w:spacing w:before="80" w:after="80"/>
              <w:jc w:val="left"/>
              <w:rPr>
                <w:color w:val="auto"/>
                <w:sz w:val="18"/>
                <w:szCs w:val="18"/>
              </w:rPr>
            </w:pPr>
          </w:p>
        </w:tc>
        <w:tc>
          <w:tcPr>
            <w:tcW w:w="1206" w:type="dxa"/>
            <w:tcBorders>
              <w:top w:val="single" w:sz="4" w:space="0" w:color="auto"/>
              <w:left w:val="single" w:sz="4" w:space="0" w:color="auto"/>
              <w:right w:val="single" w:sz="4" w:space="0" w:color="auto"/>
            </w:tcBorders>
          </w:tcPr>
          <w:p w14:paraId="23EEF47A" w14:textId="77777777" w:rsidR="006E5AFC" w:rsidRPr="004561A6" w:rsidRDefault="006E5AFC" w:rsidP="00951A02">
            <w:pPr>
              <w:spacing w:before="80" w:after="80"/>
              <w:jc w:val="left"/>
              <w:rPr>
                <w:color w:val="auto"/>
                <w:sz w:val="18"/>
                <w:szCs w:val="18"/>
              </w:rPr>
            </w:pPr>
            <w:r w:rsidRPr="004561A6">
              <w:rPr>
                <w:color w:val="auto"/>
                <w:sz w:val="18"/>
                <w:szCs w:val="18"/>
              </w:rPr>
              <w:t>CEW</w:t>
            </w:r>
          </w:p>
        </w:tc>
        <w:tc>
          <w:tcPr>
            <w:tcW w:w="993" w:type="dxa"/>
            <w:tcBorders>
              <w:top w:val="single" w:sz="4" w:space="0" w:color="auto"/>
              <w:left w:val="single" w:sz="4" w:space="0" w:color="auto"/>
              <w:right w:val="single" w:sz="4" w:space="0" w:color="auto"/>
            </w:tcBorders>
            <w:shd w:val="clear" w:color="auto" w:fill="70AD47" w:themeFill="accent6"/>
          </w:tcPr>
          <w:p w14:paraId="2125A9EA" w14:textId="77777777" w:rsidR="006E5AFC" w:rsidRPr="004561A6" w:rsidRDefault="006E5AFC" w:rsidP="00951A02">
            <w:pPr>
              <w:spacing w:before="80" w:after="80"/>
              <w:jc w:val="left"/>
              <w:rPr>
                <w:color w:val="auto"/>
                <w:sz w:val="18"/>
                <w:szCs w:val="18"/>
              </w:rPr>
            </w:pPr>
            <w:r w:rsidRPr="004561A6">
              <w:rPr>
                <w:color w:val="auto"/>
                <w:sz w:val="18"/>
                <w:szCs w:val="18"/>
              </w:rPr>
              <w:t>2</w:t>
            </w:r>
            <w:r>
              <w:rPr>
                <w:color w:val="auto"/>
                <w:sz w:val="18"/>
                <w:szCs w:val="18"/>
              </w:rPr>
              <w:t>4</w:t>
            </w:r>
          </w:p>
        </w:tc>
        <w:tc>
          <w:tcPr>
            <w:tcW w:w="992" w:type="dxa"/>
            <w:tcBorders>
              <w:top w:val="single" w:sz="4" w:space="0" w:color="auto"/>
              <w:left w:val="single" w:sz="4" w:space="0" w:color="auto"/>
              <w:right w:val="single" w:sz="4" w:space="0" w:color="auto"/>
            </w:tcBorders>
            <w:shd w:val="clear" w:color="auto" w:fill="70AD47" w:themeFill="accent6"/>
          </w:tcPr>
          <w:p w14:paraId="3CF43553" w14:textId="77777777" w:rsidR="006E5AFC" w:rsidRPr="004561A6" w:rsidRDefault="006E5AFC" w:rsidP="00951A02">
            <w:pPr>
              <w:spacing w:before="80" w:after="80"/>
              <w:jc w:val="left"/>
              <w:rPr>
                <w:color w:val="auto"/>
                <w:sz w:val="18"/>
                <w:szCs w:val="18"/>
              </w:rPr>
            </w:pPr>
            <w:r>
              <w:rPr>
                <w:color w:val="auto"/>
                <w:sz w:val="18"/>
                <w:szCs w:val="18"/>
              </w:rPr>
              <w:t>21</w:t>
            </w:r>
          </w:p>
        </w:tc>
        <w:tc>
          <w:tcPr>
            <w:tcW w:w="992" w:type="dxa"/>
            <w:tcBorders>
              <w:top w:val="single" w:sz="4" w:space="0" w:color="auto"/>
              <w:left w:val="single" w:sz="4" w:space="0" w:color="auto"/>
              <w:right w:val="single" w:sz="4" w:space="0" w:color="auto"/>
            </w:tcBorders>
            <w:shd w:val="clear" w:color="auto" w:fill="A8D08D" w:themeFill="accent6" w:themeFillTint="99"/>
          </w:tcPr>
          <w:p w14:paraId="7FAE7748" w14:textId="77777777" w:rsidR="006E5AFC" w:rsidRPr="004561A6" w:rsidRDefault="006E5AFC" w:rsidP="00951A02">
            <w:pPr>
              <w:spacing w:before="80" w:after="80"/>
              <w:jc w:val="left"/>
              <w:rPr>
                <w:color w:val="auto"/>
                <w:sz w:val="18"/>
                <w:szCs w:val="18"/>
              </w:rPr>
            </w:pPr>
            <w:r>
              <w:rPr>
                <w:color w:val="auto"/>
                <w:sz w:val="18"/>
                <w:szCs w:val="18"/>
              </w:rPr>
              <w:t>12</w:t>
            </w:r>
          </w:p>
        </w:tc>
        <w:tc>
          <w:tcPr>
            <w:tcW w:w="992" w:type="dxa"/>
            <w:tcBorders>
              <w:top w:val="single" w:sz="4" w:space="0" w:color="auto"/>
              <w:left w:val="single" w:sz="4" w:space="0" w:color="auto"/>
              <w:right w:val="single" w:sz="4" w:space="0" w:color="auto"/>
            </w:tcBorders>
            <w:shd w:val="clear" w:color="auto" w:fill="5B9BD5" w:themeFill="accent1"/>
          </w:tcPr>
          <w:p w14:paraId="632305F5" w14:textId="77777777" w:rsidR="006E5AFC" w:rsidRPr="004561A6" w:rsidRDefault="006E5AFC" w:rsidP="00951A02">
            <w:pPr>
              <w:spacing w:before="80" w:after="80"/>
              <w:jc w:val="left"/>
              <w:rPr>
                <w:color w:val="auto"/>
                <w:sz w:val="18"/>
                <w:szCs w:val="18"/>
              </w:rPr>
            </w:pPr>
            <w:r w:rsidRPr="004561A6">
              <w:rPr>
                <w:color w:val="auto"/>
                <w:sz w:val="18"/>
                <w:szCs w:val="18"/>
              </w:rPr>
              <w:t>3</w:t>
            </w:r>
            <w:r>
              <w:rPr>
                <w:color w:val="auto"/>
                <w:sz w:val="18"/>
                <w:szCs w:val="18"/>
              </w:rPr>
              <w:t>8</w:t>
            </w:r>
          </w:p>
        </w:tc>
        <w:tc>
          <w:tcPr>
            <w:tcW w:w="993" w:type="dxa"/>
            <w:tcBorders>
              <w:top w:val="single" w:sz="4" w:space="0" w:color="auto"/>
              <w:left w:val="single" w:sz="4" w:space="0" w:color="auto"/>
              <w:right w:val="single" w:sz="4" w:space="0" w:color="auto"/>
            </w:tcBorders>
            <w:shd w:val="clear" w:color="auto" w:fill="E2EFD9" w:themeFill="accent6" w:themeFillTint="33"/>
          </w:tcPr>
          <w:p w14:paraId="51A86B22" w14:textId="77777777" w:rsidR="006E5AFC" w:rsidRPr="004561A6" w:rsidRDefault="006E5AFC" w:rsidP="00951A02">
            <w:pPr>
              <w:spacing w:before="80" w:after="80"/>
              <w:jc w:val="left"/>
              <w:rPr>
                <w:color w:val="auto"/>
                <w:sz w:val="18"/>
                <w:szCs w:val="18"/>
              </w:rPr>
            </w:pPr>
            <w:r>
              <w:rPr>
                <w:color w:val="auto"/>
                <w:sz w:val="18"/>
                <w:szCs w:val="18"/>
              </w:rPr>
              <w:t>3</w:t>
            </w:r>
          </w:p>
        </w:tc>
        <w:tc>
          <w:tcPr>
            <w:tcW w:w="992" w:type="dxa"/>
            <w:tcBorders>
              <w:top w:val="single" w:sz="4" w:space="0" w:color="auto"/>
              <w:left w:val="single" w:sz="4" w:space="0" w:color="auto"/>
              <w:right w:val="single" w:sz="4" w:space="0" w:color="auto"/>
            </w:tcBorders>
            <w:shd w:val="clear" w:color="auto" w:fill="5B9BD5" w:themeFill="accent1"/>
          </w:tcPr>
          <w:p w14:paraId="4522DD1B" w14:textId="77777777" w:rsidR="006E5AFC" w:rsidRPr="004561A6" w:rsidRDefault="006E5AFC" w:rsidP="00951A02">
            <w:pPr>
              <w:spacing w:before="80" w:after="80"/>
              <w:jc w:val="left"/>
              <w:rPr>
                <w:color w:val="auto"/>
                <w:sz w:val="18"/>
                <w:szCs w:val="18"/>
              </w:rPr>
            </w:pPr>
            <w:r w:rsidRPr="004561A6">
              <w:rPr>
                <w:color w:val="auto"/>
                <w:sz w:val="18"/>
                <w:szCs w:val="18"/>
              </w:rPr>
              <w:t>3</w:t>
            </w:r>
            <w:r>
              <w:rPr>
                <w:color w:val="auto"/>
                <w:sz w:val="18"/>
                <w:szCs w:val="18"/>
              </w:rPr>
              <w:t>6</w:t>
            </w:r>
          </w:p>
        </w:tc>
        <w:tc>
          <w:tcPr>
            <w:tcW w:w="992" w:type="dxa"/>
            <w:tcBorders>
              <w:top w:val="single" w:sz="4" w:space="0" w:color="auto"/>
              <w:left w:val="single" w:sz="4" w:space="0" w:color="auto"/>
              <w:right w:val="single" w:sz="4" w:space="0" w:color="auto"/>
            </w:tcBorders>
            <w:shd w:val="clear" w:color="auto" w:fill="5B9BD5" w:themeFill="accent1"/>
          </w:tcPr>
          <w:p w14:paraId="658921E8" w14:textId="77777777" w:rsidR="006E5AFC" w:rsidRPr="004561A6" w:rsidRDefault="006E5AFC" w:rsidP="00951A02">
            <w:pPr>
              <w:spacing w:before="80" w:after="80"/>
              <w:jc w:val="left"/>
              <w:rPr>
                <w:color w:val="auto"/>
                <w:sz w:val="18"/>
                <w:szCs w:val="18"/>
              </w:rPr>
            </w:pPr>
            <w:r w:rsidRPr="004561A6">
              <w:rPr>
                <w:color w:val="auto"/>
                <w:sz w:val="18"/>
                <w:szCs w:val="18"/>
              </w:rPr>
              <w:t>5</w:t>
            </w:r>
            <w:r>
              <w:rPr>
                <w:color w:val="auto"/>
                <w:sz w:val="18"/>
                <w:szCs w:val="18"/>
              </w:rPr>
              <w:t>4</w:t>
            </w:r>
          </w:p>
        </w:tc>
        <w:tc>
          <w:tcPr>
            <w:tcW w:w="992" w:type="dxa"/>
            <w:tcBorders>
              <w:top w:val="single" w:sz="4" w:space="0" w:color="auto"/>
              <w:left w:val="single" w:sz="4" w:space="0" w:color="auto"/>
              <w:right w:val="single" w:sz="4" w:space="0" w:color="auto"/>
            </w:tcBorders>
            <w:shd w:val="clear" w:color="auto" w:fill="E2EFD9" w:themeFill="accent6" w:themeFillTint="33"/>
          </w:tcPr>
          <w:p w14:paraId="58E6BDF6" w14:textId="77777777" w:rsidR="006E5AFC" w:rsidRPr="004561A6" w:rsidRDefault="006E5AFC" w:rsidP="00951A02">
            <w:pPr>
              <w:spacing w:before="80" w:after="80"/>
              <w:jc w:val="left"/>
              <w:rPr>
                <w:color w:val="auto"/>
                <w:sz w:val="18"/>
                <w:szCs w:val="18"/>
              </w:rPr>
            </w:pPr>
            <w:r w:rsidRPr="004561A6">
              <w:rPr>
                <w:color w:val="auto"/>
                <w:sz w:val="18"/>
                <w:szCs w:val="18"/>
              </w:rPr>
              <w:t>0</w:t>
            </w:r>
          </w:p>
        </w:tc>
        <w:tc>
          <w:tcPr>
            <w:tcW w:w="993" w:type="dxa"/>
            <w:tcBorders>
              <w:top w:val="single" w:sz="4" w:space="0" w:color="auto"/>
              <w:left w:val="single" w:sz="4" w:space="0" w:color="auto"/>
              <w:right w:val="single" w:sz="4" w:space="0" w:color="auto"/>
            </w:tcBorders>
            <w:shd w:val="clear" w:color="auto" w:fill="E2EFD9" w:themeFill="accent6" w:themeFillTint="33"/>
          </w:tcPr>
          <w:p w14:paraId="271269CD" w14:textId="77777777" w:rsidR="006E5AFC" w:rsidRPr="004561A6" w:rsidRDefault="006E5AFC" w:rsidP="00951A02">
            <w:pPr>
              <w:spacing w:before="80" w:after="80"/>
              <w:jc w:val="left"/>
              <w:rPr>
                <w:color w:val="auto"/>
                <w:sz w:val="18"/>
                <w:szCs w:val="18"/>
              </w:rPr>
            </w:pPr>
            <w:r>
              <w:rPr>
                <w:color w:val="auto"/>
                <w:sz w:val="18"/>
                <w:szCs w:val="18"/>
              </w:rPr>
              <w:t>0</w:t>
            </w:r>
          </w:p>
        </w:tc>
        <w:tc>
          <w:tcPr>
            <w:tcW w:w="1055" w:type="dxa"/>
            <w:tcBorders>
              <w:top w:val="single" w:sz="4" w:space="0" w:color="auto"/>
              <w:left w:val="single" w:sz="4" w:space="0" w:color="auto"/>
              <w:right w:val="single" w:sz="4" w:space="0" w:color="auto"/>
            </w:tcBorders>
            <w:shd w:val="clear" w:color="auto" w:fill="70AD47" w:themeFill="accent6"/>
          </w:tcPr>
          <w:p w14:paraId="08719260" w14:textId="77777777" w:rsidR="006E5AFC" w:rsidRDefault="006E5AFC" w:rsidP="00951A02">
            <w:pPr>
              <w:spacing w:before="80" w:after="80"/>
              <w:jc w:val="left"/>
              <w:rPr>
                <w:color w:val="auto"/>
                <w:sz w:val="18"/>
                <w:szCs w:val="18"/>
              </w:rPr>
            </w:pPr>
            <w:r>
              <w:rPr>
                <w:color w:val="auto"/>
                <w:sz w:val="18"/>
                <w:szCs w:val="18"/>
              </w:rPr>
              <w:t>26</w:t>
            </w:r>
          </w:p>
        </w:tc>
      </w:tr>
      <w:tr w:rsidR="006E5AFC" w:rsidRPr="004561A6" w14:paraId="2CB29131" w14:textId="77777777" w:rsidTr="00951A02">
        <w:trPr>
          <w:cantSplit/>
          <w:trHeight w:val="20"/>
        </w:trPr>
        <w:tc>
          <w:tcPr>
            <w:tcW w:w="1723" w:type="dxa"/>
            <w:vMerge/>
          </w:tcPr>
          <w:p w14:paraId="62899E96" w14:textId="77777777" w:rsidR="006E5AFC" w:rsidRPr="004561A6" w:rsidRDefault="006E5AFC" w:rsidP="00951A02">
            <w:pPr>
              <w:spacing w:before="80" w:after="80"/>
              <w:jc w:val="left"/>
              <w:rPr>
                <w:sz w:val="18"/>
                <w:szCs w:val="18"/>
              </w:rPr>
            </w:pPr>
          </w:p>
        </w:tc>
        <w:tc>
          <w:tcPr>
            <w:tcW w:w="12227" w:type="dxa"/>
            <w:gridSpan w:val="12"/>
            <w:tcBorders>
              <w:left w:val="single" w:sz="4" w:space="0" w:color="auto"/>
              <w:bottom w:val="single" w:sz="4" w:space="0" w:color="auto"/>
              <w:right w:val="single" w:sz="4" w:space="0" w:color="auto"/>
            </w:tcBorders>
            <w:shd w:val="clear" w:color="auto" w:fill="70AD47" w:themeFill="accent6"/>
          </w:tcPr>
          <w:p w14:paraId="5495DC33" w14:textId="77777777" w:rsidR="006E5AFC" w:rsidRPr="00B718C4" w:rsidRDefault="006E5AFC" w:rsidP="00951A02">
            <w:pPr>
              <w:pStyle w:val="TableHeading"/>
              <w:spacing w:before="80" w:after="80"/>
              <w:rPr>
                <w:b w:val="0"/>
                <w:sz w:val="18"/>
                <w:szCs w:val="18"/>
              </w:rPr>
            </w:pPr>
            <w:r>
              <w:rPr>
                <w:b w:val="0"/>
                <w:sz w:val="18"/>
                <w:szCs w:val="18"/>
              </w:rPr>
              <w:t>Long-term (2014–2024) outcome = moderate.</w:t>
            </w:r>
          </w:p>
          <w:p w14:paraId="142D6619" w14:textId="26C2924E" w:rsidR="006E5AFC" w:rsidRDefault="006E5AFC" w:rsidP="00951A02">
            <w:pPr>
              <w:spacing w:before="80" w:after="80"/>
              <w:jc w:val="left"/>
              <w:rPr>
                <w:b/>
                <w:bCs/>
                <w:sz w:val="18"/>
                <w:szCs w:val="18"/>
              </w:rPr>
            </w:pPr>
            <w:r w:rsidRPr="198FE2E8">
              <w:rPr>
                <w:sz w:val="18"/>
                <w:szCs w:val="18"/>
              </w:rPr>
              <w:t xml:space="preserve">Contributions of eWater and CEW can help decrease the likelihood of low DO during low flow periods by increasing water mixing and oxygen exchange at the surface. This was assessed as the </w:t>
            </w:r>
            <w:r w:rsidRPr="00AE6293">
              <w:rPr>
                <w:b/>
                <w:bCs/>
                <w:i/>
                <w:iCs/>
                <w:sz w:val="18"/>
                <w:szCs w:val="18"/>
              </w:rPr>
              <w:t>extra days per monitoring period with water velocities &gt;0.18 m/s due to CEW</w:t>
            </w:r>
            <w:r w:rsidRPr="198FE2E8">
              <w:rPr>
                <w:sz w:val="18"/>
                <w:szCs w:val="18"/>
              </w:rPr>
              <w:t>, and the total for all eWater. In 2023-24, CEW contributed 29 days of flow that moved velocities above 0.18 m/s, while All eWater supported 45 days above 0.18 m/s. A substantial CEW contribution was considered greater than 30 days, moderate 15–30 days, minor 7–14 days and negligible &lt; 7days.</w:t>
            </w:r>
          </w:p>
        </w:tc>
      </w:tr>
    </w:tbl>
    <w:p w14:paraId="19492202" w14:textId="21B5101D" w:rsidR="00A43430" w:rsidRDefault="00A43430" w:rsidP="00B10666">
      <w:pPr>
        <w:spacing w:before="0" w:after="0" w:line="240" w:lineRule="auto"/>
        <w:jc w:val="left"/>
        <w:rPr>
          <w:color w:val="auto"/>
          <w:kern w:val="0"/>
          <w:sz w:val="18"/>
          <w:szCs w:val="18"/>
          <w:lang w:val="en-US" w:bidi="en-US"/>
        </w:rPr>
      </w:pPr>
    </w:p>
    <w:p w14:paraId="3A37DE7C" w14:textId="77777777" w:rsidR="00A43430" w:rsidRDefault="00A43430">
      <w:pPr>
        <w:spacing w:before="0" w:after="160" w:line="259" w:lineRule="auto"/>
        <w:jc w:val="left"/>
        <w:rPr>
          <w:color w:val="auto"/>
          <w:kern w:val="0"/>
          <w:sz w:val="18"/>
          <w:szCs w:val="18"/>
          <w:lang w:val="en-US" w:bidi="en-US"/>
        </w:rPr>
      </w:pPr>
      <w:r>
        <w:rPr>
          <w:color w:val="auto"/>
          <w:kern w:val="0"/>
          <w:sz w:val="18"/>
          <w:szCs w:val="18"/>
          <w:lang w:val="en-US" w:bidi="en-US"/>
        </w:rPr>
        <w:br w:type="page"/>
      </w:r>
    </w:p>
    <w:p w14:paraId="356F289F" w14:textId="77777777" w:rsidR="00B10666" w:rsidRDefault="00B10666" w:rsidP="00B10666">
      <w:pPr>
        <w:spacing w:before="0" w:after="0" w:line="240" w:lineRule="auto"/>
        <w:jc w:val="left"/>
        <w:rPr>
          <w:color w:val="auto"/>
          <w:kern w:val="0"/>
          <w:sz w:val="18"/>
          <w:szCs w:val="18"/>
          <w:lang w:val="en-US" w:bidi="en-U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976"/>
        <w:gridCol w:w="1270"/>
        <w:gridCol w:w="969"/>
        <w:gridCol w:w="969"/>
        <w:gridCol w:w="969"/>
        <w:gridCol w:w="969"/>
        <w:gridCol w:w="594"/>
        <w:gridCol w:w="594"/>
        <w:gridCol w:w="969"/>
        <w:gridCol w:w="969"/>
        <w:gridCol w:w="969"/>
        <w:gridCol w:w="969"/>
        <w:gridCol w:w="722"/>
      </w:tblGrid>
      <w:tr w:rsidR="00B10666" w:rsidRPr="004561A6" w14:paraId="2B4CBB90" w14:textId="77777777" w:rsidTr="00B245A8">
        <w:trPr>
          <w:gridAfter w:val="1"/>
          <w:cantSplit/>
          <w:trHeight w:val="20"/>
          <w:tblHeader/>
        </w:trPr>
        <w:tc>
          <w:tcPr>
            <w:tcW w:w="0" w:type="auto"/>
            <w:vMerge w:val="restart"/>
            <w:tcBorders>
              <w:top w:val="single" w:sz="4" w:space="0" w:color="auto"/>
              <w:left w:val="single" w:sz="4" w:space="0" w:color="auto"/>
              <w:right w:val="single" w:sz="4" w:space="0" w:color="auto"/>
            </w:tcBorders>
          </w:tcPr>
          <w:p w14:paraId="25AA58EE" w14:textId="77777777" w:rsidR="00B10666" w:rsidRPr="004561A6" w:rsidRDefault="00B10666" w:rsidP="00B245A8">
            <w:pPr>
              <w:spacing w:before="80" w:after="80"/>
              <w:jc w:val="center"/>
              <w:rPr>
                <w:rFonts w:cs="Arial"/>
                <w:b/>
                <w:sz w:val="18"/>
                <w:szCs w:val="18"/>
              </w:rPr>
            </w:pPr>
            <w:r>
              <w:rPr>
                <w:rFonts w:cs="Arial"/>
                <w:b/>
                <w:sz w:val="18"/>
                <w:szCs w:val="18"/>
              </w:rPr>
              <w:t>CEWH</w:t>
            </w:r>
            <w:r w:rsidRPr="004561A6">
              <w:rPr>
                <w:rFonts w:cs="Arial"/>
                <w:b/>
                <w:sz w:val="18"/>
                <w:szCs w:val="18"/>
              </w:rPr>
              <w:t xml:space="preserve"> evaluation questions </w:t>
            </w:r>
          </w:p>
        </w:tc>
        <w:tc>
          <w:tcPr>
            <w:tcW w:w="0" w:type="auto"/>
            <w:gridSpan w:val="12"/>
            <w:tcBorders>
              <w:top w:val="single" w:sz="4" w:space="0" w:color="auto"/>
              <w:left w:val="single" w:sz="4" w:space="0" w:color="auto"/>
              <w:right w:val="single" w:sz="4" w:space="0" w:color="auto"/>
            </w:tcBorders>
          </w:tcPr>
          <w:p w14:paraId="132270C4" w14:textId="77777777" w:rsidR="00B10666" w:rsidRPr="004561A6" w:rsidRDefault="00B10666" w:rsidP="00B245A8">
            <w:pPr>
              <w:spacing w:before="80" w:after="80"/>
              <w:jc w:val="center"/>
              <w:rPr>
                <w:rFonts w:cs="Arial"/>
                <w:b/>
                <w:sz w:val="18"/>
                <w:szCs w:val="18"/>
              </w:rPr>
            </w:pPr>
            <w:r w:rsidRPr="004561A6">
              <w:rPr>
                <w:rFonts w:cs="Arial"/>
                <w:b/>
                <w:sz w:val="18"/>
                <w:szCs w:val="18"/>
              </w:rPr>
              <w:t>Outcomes of CEW delivery</w:t>
            </w:r>
          </w:p>
        </w:tc>
      </w:tr>
      <w:tr w:rsidR="00B10666" w:rsidRPr="004561A6" w14:paraId="6B29E8DA" w14:textId="77777777" w:rsidTr="008B4826">
        <w:trPr>
          <w:cantSplit/>
          <w:trHeight w:val="20"/>
          <w:tblHeader/>
        </w:trPr>
        <w:tc>
          <w:tcPr>
            <w:tcW w:w="0" w:type="auto"/>
            <w:vMerge/>
            <w:tcBorders>
              <w:left w:val="single" w:sz="4" w:space="0" w:color="auto"/>
              <w:bottom w:val="single" w:sz="4" w:space="0" w:color="auto"/>
              <w:right w:val="single" w:sz="4" w:space="0" w:color="auto"/>
            </w:tcBorders>
          </w:tcPr>
          <w:p w14:paraId="39C44B2B" w14:textId="77777777" w:rsidR="00B10666" w:rsidRPr="004561A6" w:rsidRDefault="00B10666" w:rsidP="00B245A8">
            <w:pPr>
              <w:spacing w:before="80" w:after="80"/>
              <w:jc w:val="center"/>
              <w:rPr>
                <w:rFonts w:cs="Arial"/>
                <w:b/>
                <w:sz w:val="18"/>
                <w:szCs w:val="18"/>
              </w:rPr>
            </w:pPr>
          </w:p>
        </w:tc>
        <w:tc>
          <w:tcPr>
            <w:tcW w:w="0" w:type="auto"/>
            <w:tcBorders>
              <w:left w:val="single" w:sz="4" w:space="0" w:color="auto"/>
              <w:bottom w:val="single" w:sz="4" w:space="0" w:color="auto"/>
              <w:right w:val="single" w:sz="4" w:space="0" w:color="auto"/>
            </w:tcBorders>
          </w:tcPr>
          <w:p w14:paraId="3A8491E1" w14:textId="77777777" w:rsidR="00B10666" w:rsidRPr="004561A6" w:rsidRDefault="00B10666" w:rsidP="00B245A8">
            <w:pPr>
              <w:spacing w:before="80" w:after="80"/>
              <w:jc w:val="center"/>
              <w:rPr>
                <w:rFonts w:cs="Arial"/>
                <w:b/>
                <w:sz w:val="18"/>
                <w:szCs w:val="18"/>
              </w:rPr>
            </w:pPr>
            <w:r w:rsidRPr="004561A6">
              <w:rPr>
                <w:rFonts w:cs="Arial"/>
                <w:b/>
                <w:sz w:val="18"/>
                <w:szCs w:val="18"/>
              </w:rPr>
              <w:t>Site</w:t>
            </w:r>
          </w:p>
        </w:tc>
        <w:tc>
          <w:tcPr>
            <w:tcW w:w="0" w:type="auto"/>
            <w:tcBorders>
              <w:left w:val="single" w:sz="4" w:space="0" w:color="auto"/>
              <w:bottom w:val="single" w:sz="4" w:space="0" w:color="auto"/>
              <w:right w:val="single" w:sz="4" w:space="0" w:color="auto"/>
            </w:tcBorders>
            <w:vAlign w:val="bottom"/>
          </w:tcPr>
          <w:p w14:paraId="0ADD35BD" w14:textId="77777777" w:rsidR="00B10666" w:rsidRPr="004561A6" w:rsidRDefault="00B10666" w:rsidP="00B245A8">
            <w:pPr>
              <w:spacing w:before="80" w:after="80"/>
              <w:jc w:val="center"/>
              <w:rPr>
                <w:rFonts w:cs="Arial"/>
                <w:b/>
                <w:sz w:val="18"/>
                <w:szCs w:val="18"/>
              </w:rPr>
            </w:pPr>
            <w:r w:rsidRPr="004561A6">
              <w:rPr>
                <w:rFonts w:cs="Arial"/>
                <w:b/>
                <w:sz w:val="18"/>
                <w:szCs w:val="18"/>
              </w:rPr>
              <w:t>eWater type</w:t>
            </w:r>
          </w:p>
        </w:tc>
        <w:tc>
          <w:tcPr>
            <w:tcW w:w="0" w:type="auto"/>
            <w:tcBorders>
              <w:top w:val="single" w:sz="4" w:space="0" w:color="auto"/>
              <w:left w:val="single" w:sz="4" w:space="0" w:color="auto"/>
              <w:bottom w:val="single" w:sz="4" w:space="0" w:color="auto"/>
            </w:tcBorders>
            <w:vAlign w:val="bottom"/>
          </w:tcPr>
          <w:p w14:paraId="636354B2" w14:textId="77777777" w:rsidR="00B10666" w:rsidRPr="004561A6" w:rsidRDefault="00B10666" w:rsidP="00B245A8">
            <w:pPr>
              <w:spacing w:before="80" w:after="80"/>
              <w:jc w:val="center"/>
              <w:rPr>
                <w:rFonts w:cs="Arial"/>
                <w:b/>
                <w:sz w:val="18"/>
                <w:szCs w:val="18"/>
              </w:rPr>
            </w:pPr>
            <w:r w:rsidRPr="004561A6">
              <w:rPr>
                <w:rFonts w:cs="Arial"/>
                <w:b/>
                <w:sz w:val="18"/>
                <w:szCs w:val="18"/>
              </w:rPr>
              <w:t>2014-15</w:t>
            </w:r>
          </w:p>
        </w:tc>
        <w:tc>
          <w:tcPr>
            <w:tcW w:w="0" w:type="auto"/>
            <w:tcBorders>
              <w:top w:val="single" w:sz="4" w:space="0" w:color="auto"/>
              <w:bottom w:val="single" w:sz="4" w:space="0" w:color="auto"/>
            </w:tcBorders>
            <w:vAlign w:val="bottom"/>
          </w:tcPr>
          <w:p w14:paraId="74B523FA" w14:textId="77777777" w:rsidR="00B10666" w:rsidRPr="004561A6" w:rsidRDefault="00B10666" w:rsidP="00B245A8">
            <w:pPr>
              <w:spacing w:before="80" w:after="80"/>
              <w:jc w:val="center"/>
              <w:rPr>
                <w:rFonts w:cs="Arial"/>
                <w:b/>
                <w:sz w:val="18"/>
                <w:szCs w:val="18"/>
              </w:rPr>
            </w:pPr>
            <w:r w:rsidRPr="004561A6">
              <w:rPr>
                <w:rFonts w:cs="Arial"/>
                <w:b/>
                <w:sz w:val="18"/>
                <w:szCs w:val="18"/>
              </w:rPr>
              <w:t>2015-16</w:t>
            </w:r>
          </w:p>
        </w:tc>
        <w:tc>
          <w:tcPr>
            <w:tcW w:w="0" w:type="auto"/>
            <w:tcBorders>
              <w:top w:val="single" w:sz="4" w:space="0" w:color="auto"/>
              <w:bottom w:val="single" w:sz="4" w:space="0" w:color="auto"/>
            </w:tcBorders>
            <w:vAlign w:val="bottom"/>
          </w:tcPr>
          <w:p w14:paraId="64321C90" w14:textId="77777777" w:rsidR="00B10666" w:rsidRPr="004561A6" w:rsidRDefault="00B10666" w:rsidP="00B245A8">
            <w:pPr>
              <w:spacing w:before="80" w:after="80"/>
              <w:jc w:val="center"/>
              <w:rPr>
                <w:rFonts w:cs="Arial"/>
                <w:b/>
                <w:sz w:val="18"/>
                <w:szCs w:val="18"/>
              </w:rPr>
            </w:pPr>
            <w:r w:rsidRPr="004561A6">
              <w:rPr>
                <w:rFonts w:cs="Arial"/>
                <w:b/>
                <w:sz w:val="18"/>
                <w:szCs w:val="18"/>
              </w:rPr>
              <w:t>2016-17</w:t>
            </w:r>
          </w:p>
        </w:tc>
        <w:tc>
          <w:tcPr>
            <w:tcW w:w="0" w:type="auto"/>
            <w:tcBorders>
              <w:top w:val="single" w:sz="4" w:space="0" w:color="auto"/>
              <w:bottom w:val="single" w:sz="4" w:space="0" w:color="auto"/>
            </w:tcBorders>
            <w:vAlign w:val="bottom"/>
          </w:tcPr>
          <w:p w14:paraId="717EAC22" w14:textId="77777777" w:rsidR="00B10666" w:rsidRPr="004561A6" w:rsidRDefault="00B10666" w:rsidP="00B245A8">
            <w:pPr>
              <w:spacing w:before="80" w:after="80"/>
              <w:jc w:val="center"/>
              <w:rPr>
                <w:rFonts w:cs="Arial"/>
                <w:b/>
                <w:sz w:val="18"/>
                <w:szCs w:val="18"/>
              </w:rPr>
            </w:pPr>
            <w:r w:rsidRPr="004561A6">
              <w:rPr>
                <w:rFonts w:cs="Arial"/>
                <w:b/>
                <w:sz w:val="18"/>
                <w:szCs w:val="18"/>
              </w:rPr>
              <w:t>2017-18</w:t>
            </w:r>
          </w:p>
        </w:tc>
        <w:tc>
          <w:tcPr>
            <w:tcW w:w="0" w:type="auto"/>
            <w:gridSpan w:val="2"/>
            <w:tcBorders>
              <w:top w:val="single" w:sz="4" w:space="0" w:color="auto"/>
              <w:bottom w:val="single" w:sz="4" w:space="0" w:color="auto"/>
            </w:tcBorders>
            <w:vAlign w:val="bottom"/>
          </w:tcPr>
          <w:p w14:paraId="239E7CCE" w14:textId="77777777" w:rsidR="00B10666" w:rsidRPr="004561A6" w:rsidRDefault="00B10666" w:rsidP="00B245A8">
            <w:pPr>
              <w:spacing w:before="80" w:after="80"/>
              <w:jc w:val="center"/>
              <w:rPr>
                <w:rFonts w:cs="Arial"/>
                <w:b/>
                <w:sz w:val="18"/>
                <w:szCs w:val="18"/>
              </w:rPr>
            </w:pPr>
            <w:r w:rsidRPr="004561A6">
              <w:rPr>
                <w:rFonts w:cs="Arial"/>
                <w:b/>
                <w:sz w:val="18"/>
                <w:szCs w:val="18"/>
              </w:rPr>
              <w:t>2018-19</w:t>
            </w:r>
          </w:p>
        </w:tc>
        <w:tc>
          <w:tcPr>
            <w:tcW w:w="0" w:type="auto"/>
            <w:tcBorders>
              <w:top w:val="single" w:sz="4" w:space="0" w:color="auto"/>
              <w:bottom w:val="single" w:sz="4" w:space="0" w:color="auto"/>
            </w:tcBorders>
            <w:vAlign w:val="bottom"/>
          </w:tcPr>
          <w:p w14:paraId="1226A668" w14:textId="77777777" w:rsidR="00B10666" w:rsidRPr="004561A6" w:rsidRDefault="00B10666" w:rsidP="00B245A8">
            <w:pPr>
              <w:spacing w:before="80" w:after="80"/>
              <w:jc w:val="center"/>
              <w:rPr>
                <w:rFonts w:cs="Arial"/>
                <w:b/>
                <w:sz w:val="18"/>
                <w:szCs w:val="18"/>
              </w:rPr>
            </w:pPr>
            <w:r w:rsidRPr="004561A6">
              <w:rPr>
                <w:rFonts w:cs="Arial"/>
                <w:b/>
                <w:sz w:val="18"/>
                <w:szCs w:val="18"/>
              </w:rPr>
              <w:t>2019-20</w:t>
            </w:r>
          </w:p>
        </w:tc>
        <w:tc>
          <w:tcPr>
            <w:tcW w:w="0" w:type="auto"/>
            <w:tcBorders>
              <w:top w:val="single" w:sz="4" w:space="0" w:color="auto"/>
              <w:bottom w:val="single" w:sz="4" w:space="0" w:color="auto"/>
            </w:tcBorders>
            <w:vAlign w:val="bottom"/>
          </w:tcPr>
          <w:p w14:paraId="6FCAA6C4" w14:textId="77777777" w:rsidR="00B10666" w:rsidRPr="004561A6" w:rsidRDefault="00B10666" w:rsidP="00B245A8">
            <w:pPr>
              <w:spacing w:before="80" w:after="80"/>
              <w:jc w:val="center"/>
              <w:rPr>
                <w:rFonts w:cs="Arial"/>
                <w:b/>
                <w:sz w:val="18"/>
                <w:szCs w:val="18"/>
              </w:rPr>
            </w:pPr>
            <w:r w:rsidRPr="004561A6">
              <w:rPr>
                <w:rFonts w:cs="Arial"/>
                <w:b/>
                <w:sz w:val="18"/>
                <w:szCs w:val="18"/>
              </w:rPr>
              <w:t>2020-21</w:t>
            </w:r>
          </w:p>
        </w:tc>
        <w:tc>
          <w:tcPr>
            <w:tcW w:w="0" w:type="auto"/>
            <w:tcBorders>
              <w:top w:val="single" w:sz="4" w:space="0" w:color="auto"/>
              <w:bottom w:val="single" w:sz="4" w:space="0" w:color="auto"/>
            </w:tcBorders>
            <w:vAlign w:val="bottom"/>
          </w:tcPr>
          <w:p w14:paraId="4C6C95E1" w14:textId="77777777" w:rsidR="00B10666" w:rsidRPr="004561A6" w:rsidRDefault="00B10666" w:rsidP="00B245A8">
            <w:pPr>
              <w:spacing w:before="80" w:after="80"/>
              <w:jc w:val="center"/>
              <w:rPr>
                <w:rFonts w:cs="Arial"/>
                <w:b/>
                <w:sz w:val="18"/>
                <w:szCs w:val="18"/>
              </w:rPr>
            </w:pPr>
            <w:r w:rsidRPr="004561A6">
              <w:rPr>
                <w:rFonts w:cs="Arial"/>
                <w:b/>
                <w:sz w:val="18"/>
                <w:szCs w:val="18"/>
              </w:rPr>
              <w:t>2021-22</w:t>
            </w:r>
          </w:p>
        </w:tc>
        <w:tc>
          <w:tcPr>
            <w:tcW w:w="0" w:type="auto"/>
            <w:tcBorders>
              <w:top w:val="single" w:sz="4" w:space="0" w:color="auto"/>
              <w:bottom w:val="single" w:sz="4" w:space="0" w:color="auto"/>
            </w:tcBorders>
            <w:vAlign w:val="bottom"/>
          </w:tcPr>
          <w:p w14:paraId="7CBEA922" w14:textId="77777777" w:rsidR="00B10666" w:rsidRPr="004561A6" w:rsidRDefault="00B10666" w:rsidP="00B245A8">
            <w:pPr>
              <w:spacing w:before="80" w:after="80"/>
              <w:jc w:val="center"/>
              <w:rPr>
                <w:rFonts w:cs="Arial"/>
                <w:b/>
                <w:sz w:val="18"/>
                <w:szCs w:val="18"/>
              </w:rPr>
            </w:pPr>
            <w:r>
              <w:rPr>
                <w:rFonts w:cs="Arial"/>
                <w:b/>
                <w:sz w:val="18"/>
                <w:szCs w:val="18"/>
              </w:rPr>
              <w:t>2022-23</w:t>
            </w:r>
          </w:p>
        </w:tc>
        <w:tc>
          <w:tcPr>
            <w:tcW w:w="0" w:type="auto"/>
            <w:tcBorders>
              <w:top w:val="single" w:sz="4" w:space="0" w:color="auto"/>
              <w:bottom w:val="single" w:sz="4" w:space="0" w:color="auto"/>
            </w:tcBorders>
            <w:vAlign w:val="bottom"/>
          </w:tcPr>
          <w:p w14:paraId="396B79BC" w14:textId="77777777" w:rsidR="00B10666" w:rsidRDefault="00B10666" w:rsidP="00B245A8">
            <w:pPr>
              <w:spacing w:before="80" w:after="80"/>
              <w:jc w:val="center"/>
              <w:rPr>
                <w:rFonts w:cs="Arial"/>
                <w:b/>
                <w:sz w:val="18"/>
                <w:szCs w:val="18"/>
              </w:rPr>
            </w:pPr>
            <w:r>
              <w:rPr>
                <w:rFonts w:cs="Arial"/>
                <w:b/>
                <w:sz w:val="18"/>
                <w:szCs w:val="18"/>
              </w:rPr>
              <w:t>2023-24</w:t>
            </w:r>
          </w:p>
        </w:tc>
      </w:tr>
      <w:tr w:rsidR="00B10666" w:rsidRPr="004561A6" w14:paraId="6738C65B" w14:textId="77777777" w:rsidTr="00A43430">
        <w:trPr>
          <w:gridAfter w:val="1"/>
          <w:cantSplit/>
          <w:trHeight w:val="77"/>
        </w:trPr>
        <w:tc>
          <w:tcPr>
            <w:tcW w:w="0" w:type="auto"/>
            <w:vMerge w:val="restart"/>
            <w:tcBorders>
              <w:top w:val="single" w:sz="4" w:space="0" w:color="auto"/>
              <w:left w:val="single" w:sz="4" w:space="0" w:color="auto"/>
              <w:right w:val="single" w:sz="4" w:space="0" w:color="auto"/>
            </w:tcBorders>
          </w:tcPr>
          <w:p w14:paraId="41D6DEF1" w14:textId="77777777" w:rsidR="00B10666" w:rsidRPr="004561A6" w:rsidRDefault="00B10666" w:rsidP="00B245A8">
            <w:pPr>
              <w:spacing w:before="80" w:after="80"/>
              <w:jc w:val="left"/>
              <w:rPr>
                <w:rFonts w:cs="Arial"/>
                <w:color w:val="auto"/>
                <w:sz w:val="18"/>
                <w:szCs w:val="18"/>
              </w:rPr>
            </w:pPr>
            <w:r w:rsidRPr="004561A6">
              <w:rPr>
                <w:sz w:val="18"/>
                <w:szCs w:val="18"/>
              </w:rPr>
              <w:t>What did CEW contribute to patterns and rates of primary productivity?</w:t>
            </w:r>
          </w:p>
        </w:tc>
        <w:tc>
          <w:tcPr>
            <w:tcW w:w="0" w:type="auto"/>
            <w:vMerge w:val="restart"/>
            <w:tcBorders>
              <w:top w:val="single" w:sz="4" w:space="0" w:color="auto"/>
              <w:left w:val="single" w:sz="4" w:space="0" w:color="auto"/>
              <w:right w:val="single" w:sz="4" w:space="0" w:color="auto"/>
            </w:tcBorders>
          </w:tcPr>
          <w:p w14:paraId="6B33A52E" w14:textId="77777777" w:rsidR="00B10666" w:rsidRPr="004561A6" w:rsidRDefault="00B10666" w:rsidP="00B245A8">
            <w:pPr>
              <w:spacing w:before="80" w:after="80"/>
              <w:jc w:val="left"/>
              <w:rPr>
                <w:rFonts w:cs="Arial"/>
                <w:color w:val="auto"/>
                <w:sz w:val="18"/>
                <w:szCs w:val="18"/>
              </w:rPr>
            </w:pPr>
            <w:r w:rsidRPr="004561A6">
              <w:rPr>
                <w:b/>
                <w:bCs/>
                <w:color w:val="auto"/>
                <w:sz w:val="18"/>
                <w:szCs w:val="18"/>
              </w:rPr>
              <w:t>DS Lock 6</w:t>
            </w:r>
          </w:p>
        </w:tc>
        <w:tc>
          <w:tcPr>
            <w:tcW w:w="0" w:type="auto"/>
            <w:tcBorders>
              <w:top w:val="single" w:sz="4" w:space="0" w:color="auto"/>
              <w:left w:val="single" w:sz="4" w:space="0" w:color="auto"/>
              <w:bottom w:val="single" w:sz="4" w:space="0" w:color="auto"/>
              <w:right w:val="single" w:sz="4" w:space="0" w:color="auto"/>
            </w:tcBorders>
          </w:tcPr>
          <w:p w14:paraId="3754C98D"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All eWater</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AC4F92B" w14:textId="77777777" w:rsidR="00B10666" w:rsidRPr="004561A6" w:rsidRDefault="00B10666" w:rsidP="00B245A8">
            <w:pPr>
              <w:spacing w:before="80" w:after="80"/>
              <w:jc w:val="left"/>
              <w:rPr>
                <w:rFonts w:cs="Arial"/>
                <w:color w:val="auto"/>
                <w:sz w:val="18"/>
                <w:szCs w:val="18"/>
              </w:rPr>
            </w:pPr>
            <w:r>
              <w:rPr>
                <w:rFonts w:cs="Arial"/>
                <w:color w:val="auto"/>
                <w:sz w:val="18"/>
                <w:szCs w:val="18"/>
              </w:rPr>
              <w:t>1.5</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197C363"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2</w:t>
            </w:r>
            <w:r>
              <w:rPr>
                <w:rFonts w:cs="Arial"/>
                <w:color w:val="auto"/>
                <w:sz w:val="18"/>
                <w:szCs w:val="18"/>
              </w:rPr>
              <w:t>.5</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62F5B7F"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1</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1D5E942"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2.5</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6627148" w14:textId="77777777" w:rsidR="00B10666" w:rsidRPr="004561A6" w:rsidRDefault="00B10666" w:rsidP="00B245A8">
            <w:pPr>
              <w:spacing w:before="80" w:after="80"/>
              <w:jc w:val="left"/>
              <w:rPr>
                <w:rFonts w:cs="Arial"/>
                <w:color w:val="auto"/>
                <w:sz w:val="18"/>
                <w:szCs w:val="18"/>
              </w:rPr>
            </w:pPr>
            <w:r>
              <w:rPr>
                <w:rFonts w:cs="Arial"/>
                <w:color w:val="auto"/>
                <w:sz w:val="18"/>
                <w:szCs w:val="18"/>
              </w:rPr>
              <w:t>2</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9A084A3"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1.5</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E0D44DE"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3</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E17E8D1"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0.</w:t>
            </w:r>
            <w:r>
              <w:rPr>
                <w:rFonts w:cs="Arial"/>
                <w:color w:val="auto"/>
                <w:sz w:val="18"/>
                <w:szCs w:val="18"/>
              </w:rPr>
              <w:t>5</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64B709E" w14:textId="77777777" w:rsidR="00B10666" w:rsidRPr="004561A6" w:rsidRDefault="00B10666" w:rsidP="00B245A8">
            <w:pPr>
              <w:spacing w:before="80" w:after="80"/>
              <w:jc w:val="left"/>
              <w:rPr>
                <w:rFonts w:cs="Arial"/>
                <w:color w:val="auto"/>
                <w:sz w:val="18"/>
                <w:szCs w:val="18"/>
              </w:rPr>
            </w:pPr>
            <w:r>
              <w:rPr>
                <w:rFonts w:cs="Arial"/>
                <w:color w:val="auto"/>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72C3D4F" w14:textId="77777777" w:rsidR="00B10666" w:rsidRDefault="00B10666" w:rsidP="00B245A8">
            <w:pPr>
              <w:spacing w:before="80" w:after="80"/>
              <w:jc w:val="left"/>
              <w:rPr>
                <w:rFonts w:cs="Arial"/>
                <w:color w:val="auto"/>
                <w:sz w:val="18"/>
                <w:szCs w:val="18"/>
              </w:rPr>
            </w:pPr>
            <w:r>
              <w:rPr>
                <w:rFonts w:cs="Arial"/>
                <w:color w:val="auto"/>
                <w:sz w:val="18"/>
                <w:szCs w:val="18"/>
              </w:rPr>
              <w:t>3</w:t>
            </w:r>
          </w:p>
        </w:tc>
      </w:tr>
      <w:tr w:rsidR="00B10666" w:rsidRPr="004561A6" w14:paraId="14D4C79F" w14:textId="77777777" w:rsidTr="00B245A8">
        <w:trPr>
          <w:gridAfter w:val="1"/>
          <w:cantSplit/>
          <w:trHeight w:val="317"/>
        </w:trPr>
        <w:tc>
          <w:tcPr>
            <w:tcW w:w="0" w:type="auto"/>
            <w:vMerge/>
            <w:tcBorders>
              <w:top w:val="single" w:sz="4" w:space="0" w:color="auto"/>
              <w:left w:val="single" w:sz="4" w:space="0" w:color="auto"/>
              <w:right w:val="single" w:sz="4" w:space="0" w:color="auto"/>
            </w:tcBorders>
          </w:tcPr>
          <w:p w14:paraId="081E75EA" w14:textId="77777777" w:rsidR="00B10666" w:rsidRPr="004561A6" w:rsidRDefault="00B10666" w:rsidP="00B245A8">
            <w:pPr>
              <w:spacing w:before="80" w:after="80"/>
              <w:jc w:val="left"/>
              <w:rPr>
                <w:sz w:val="18"/>
                <w:szCs w:val="18"/>
              </w:rPr>
            </w:pPr>
          </w:p>
        </w:tc>
        <w:tc>
          <w:tcPr>
            <w:tcW w:w="0" w:type="auto"/>
            <w:vMerge/>
            <w:tcBorders>
              <w:left w:val="single" w:sz="4" w:space="0" w:color="auto"/>
              <w:right w:val="single" w:sz="4" w:space="0" w:color="auto"/>
            </w:tcBorders>
          </w:tcPr>
          <w:p w14:paraId="139E5838" w14:textId="77777777" w:rsidR="00B10666" w:rsidRPr="004561A6" w:rsidRDefault="00B10666" w:rsidP="00B245A8">
            <w:pPr>
              <w:spacing w:before="80" w:after="80"/>
              <w:jc w:val="left"/>
              <w:rPr>
                <w:rFonts w:cs="Arial"/>
                <w:color w:val="auto"/>
                <w:sz w:val="18"/>
                <w:szCs w:val="18"/>
              </w:rPr>
            </w:pPr>
          </w:p>
        </w:tc>
        <w:tc>
          <w:tcPr>
            <w:tcW w:w="0" w:type="auto"/>
            <w:tcBorders>
              <w:top w:val="single" w:sz="4" w:space="0" w:color="auto"/>
              <w:left w:val="single" w:sz="4" w:space="0" w:color="auto"/>
              <w:right w:val="single" w:sz="4" w:space="0" w:color="auto"/>
            </w:tcBorders>
          </w:tcPr>
          <w:p w14:paraId="3CAB1763"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CEW</w:t>
            </w:r>
          </w:p>
        </w:tc>
        <w:tc>
          <w:tcPr>
            <w:tcW w:w="0" w:type="auto"/>
            <w:tcBorders>
              <w:top w:val="single" w:sz="4" w:space="0" w:color="auto"/>
              <w:left w:val="single" w:sz="4" w:space="0" w:color="auto"/>
              <w:right w:val="single" w:sz="4" w:space="0" w:color="auto"/>
            </w:tcBorders>
            <w:shd w:val="clear" w:color="auto" w:fill="E2EFD9" w:themeFill="accent6" w:themeFillTint="33"/>
          </w:tcPr>
          <w:p w14:paraId="0AAD0FE7"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1</w:t>
            </w:r>
          </w:p>
        </w:tc>
        <w:tc>
          <w:tcPr>
            <w:tcW w:w="0" w:type="auto"/>
            <w:tcBorders>
              <w:top w:val="single" w:sz="4" w:space="0" w:color="auto"/>
              <w:left w:val="single" w:sz="4" w:space="0" w:color="auto"/>
              <w:right w:val="single" w:sz="4" w:space="0" w:color="auto"/>
            </w:tcBorders>
            <w:shd w:val="clear" w:color="auto" w:fill="E2EFD9" w:themeFill="accent6" w:themeFillTint="33"/>
          </w:tcPr>
          <w:p w14:paraId="2C47C9B7"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2</w:t>
            </w:r>
            <w:r>
              <w:rPr>
                <w:rFonts w:cs="Arial"/>
                <w:color w:val="auto"/>
                <w:sz w:val="18"/>
                <w:szCs w:val="18"/>
              </w:rPr>
              <w:t>.5</w:t>
            </w:r>
          </w:p>
        </w:tc>
        <w:tc>
          <w:tcPr>
            <w:tcW w:w="0" w:type="auto"/>
            <w:tcBorders>
              <w:top w:val="single" w:sz="4" w:space="0" w:color="auto"/>
              <w:left w:val="single" w:sz="4" w:space="0" w:color="auto"/>
              <w:right w:val="single" w:sz="4" w:space="0" w:color="auto"/>
            </w:tcBorders>
            <w:shd w:val="clear" w:color="auto" w:fill="E2EFD9" w:themeFill="accent6" w:themeFillTint="33"/>
          </w:tcPr>
          <w:p w14:paraId="59123F2E"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0</w:t>
            </w:r>
          </w:p>
        </w:tc>
        <w:tc>
          <w:tcPr>
            <w:tcW w:w="0" w:type="auto"/>
            <w:tcBorders>
              <w:top w:val="single" w:sz="4" w:space="0" w:color="auto"/>
              <w:left w:val="single" w:sz="4" w:space="0" w:color="auto"/>
              <w:right w:val="single" w:sz="4" w:space="0" w:color="auto"/>
            </w:tcBorders>
            <w:shd w:val="clear" w:color="auto" w:fill="E2EFD9" w:themeFill="accent6" w:themeFillTint="33"/>
          </w:tcPr>
          <w:p w14:paraId="2C0EAF6A"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2</w:t>
            </w:r>
          </w:p>
        </w:tc>
        <w:tc>
          <w:tcPr>
            <w:tcW w:w="0" w:type="auto"/>
            <w:tcBorders>
              <w:top w:val="single" w:sz="4" w:space="0" w:color="auto"/>
              <w:left w:val="single" w:sz="4" w:space="0" w:color="auto"/>
              <w:right w:val="single" w:sz="4" w:space="0" w:color="auto"/>
            </w:tcBorders>
            <w:shd w:val="clear" w:color="auto" w:fill="E2EFD9" w:themeFill="accent6" w:themeFillTint="33"/>
          </w:tcPr>
          <w:p w14:paraId="4A6C37F8"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1.5</w:t>
            </w:r>
          </w:p>
        </w:tc>
        <w:tc>
          <w:tcPr>
            <w:tcW w:w="0" w:type="auto"/>
            <w:tcBorders>
              <w:top w:val="single" w:sz="4" w:space="0" w:color="auto"/>
              <w:left w:val="single" w:sz="4" w:space="0" w:color="auto"/>
              <w:right w:val="single" w:sz="4" w:space="0" w:color="auto"/>
            </w:tcBorders>
            <w:shd w:val="clear" w:color="auto" w:fill="E2EFD9" w:themeFill="accent6" w:themeFillTint="33"/>
          </w:tcPr>
          <w:p w14:paraId="34AC035B"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1</w:t>
            </w:r>
            <w:r>
              <w:rPr>
                <w:rFonts w:cs="Arial"/>
                <w:color w:val="auto"/>
                <w:sz w:val="18"/>
                <w:szCs w:val="18"/>
              </w:rPr>
              <w:t>.5</w:t>
            </w:r>
          </w:p>
        </w:tc>
        <w:tc>
          <w:tcPr>
            <w:tcW w:w="0" w:type="auto"/>
            <w:tcBorders>
              <w:top w:val="single" w:sz="4" w:space="0" w:color="auto"/>
              <w:left w:val="single" w:sz="4" w:space="0" w:color="auto"/>
              <w:right w:val="single" w:sz="4" w:space="0" w:color="auto"/>
            </w:tcBorders>
            <w:shd w:val="clear" w:color="auto" w:fill="E2EFD9" w:themeFill="accent6" w:themeFillTint="33"/>
          </w:tcPr>
          <w:p w14:paraId="460980DE"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2.5</w:t>
            </w:r>
          </w:p>
        </w:tc>
        <w:tc>
          <w:tcPr>
            <w:tcW w:w="0" w:type="auto"/>
            <w:tcBorders>
              <w:top w:val="single" w:sz="4" w:space="0" w:color="auto"/>
              <w:left w:val="single" w:sz="4" w:space="0" w:color="auto"/>
              <w:right w:val="single" w:sz="4" w:space="0" w:color="auto"/>
            </w:tcBorders>
            <w:shd w:val="clear" w:color="auto" w:fill="E2EFD9" w:themeFill="accent6" w:themeFillTint="33"/>
          </w:tcPr>
          <w:p w14:paraId="75A19113"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0.</w:t>
            </w:r>
            <w:r>
              <w:rPr>
                <w:rFonts w:cs="Arial"/>
                <w:color w:val="auto"/>
                <w:sz w:val="18"/>
                <w:szCs w:val="18"/>
              </w:rPr>
              <w:t>5</w:t>
            </w:r>
          </w:p>
        </w:tc>
        <w:tc>
          <w:tcPr>
            <w:tcW w:w="0" w:type="auto"/>
            <w:tcBorders>
              <w:top w:val="single" w:sz="4" w:space="0" w:color="auto"/>
              <w:left w:val="single" w:sz="4" w:space="0" w:color="auto"/>
              <w:right w:val="single" w:sz="4" w:space="0" w:color="auto"/>
            </w:tcBorders>
            <w:shd w:val="clear" w:color="auto" w:fill="E2EFD9" w:themeFill="accent6" w:themeFillTint="33"/>
          </w:tcPr>
          <w:p w14:paraId="52476A3B" w14:textId="77777777" w:rsidR="00B10666" w:rsidRPr="004561A6" w:rsidRDefault="00B10666" w:rsidP="00B245A8">
            <w:pPr>
              <w:spacing w:before="80" w:after="80"/>
              <w:jc w:val="left"/>
              <w:rPr>
                <w:rFonts w:cs="Arial"/>
                <w:color w:val="auto"/>
                <w:sz w:val="18"/>
                <w:szCs w:val="18"/>
              </w:rPr>
            </w:pPr>
            <w:r>
              <w:rPr>
                <w:rFonts w:cs="Arial"/>
                <w:color w:val="auto"/>
                <w:sz w:val="18"/>
                <w:szCs w:val="18"/>
              </w:rPr>
              <w:t>0</w:t>
            </w:r>
          </w:p>
        </w:tc>
        <w:tc>
          <w:tcPr>
            <w:tcW w:w="0" w:type="auto"/>
            <w:tcBorders>
              <w:top w:val="single" w:sz="4" w:space="0" w:color="auto"/>
              <w:left w:val="single" w:sz="4" w:space="0" w:color="auto"/>
              <w:right w:val="single" w:sz="4" w:space="0" w:color="auto"/>
            </w:tcBorders>
            <w:shd w:val="clear" w:color="auto" w:fill="E2EFD9" w:themeFill="accent6" w:themeFillTint="33"/>
          </w:tcPr>
          <w:p w14:paraId="18C33BAB" w14:textId="77777777" w:rsidR="00B10666" w:rsidRDefault="00B10666" w:rsidP="00B245A8">
            <w:pPr>
              <w:spacing w:before="80" w:after="80"/>
              <w:jc w:val="left"/>
              <w:rPr>
                <w:rFonts w:cs="Arial"/>
                <w:color w:val="auto"/>
                <w:sz w:val="18"/>
                <w:szCs w:val="18"/>
              </w:rPr>
            </w:pPr>
            <w:r>
              <w:rPr>
                <w:rFonts w:cs="Arial"/>
                <w:color w:val="auto"/>
                <w:sz w:val="18"/>
                <w:szCs w:val="18"/>
              </w:rPr>
              <w:t>2</w:t>
            </w:r>
          </w:p>
        </w:tc>
      </w:tr>
      <w:tr w:rsidR="00B10666" w:rsidRPr="004561A6" w14:paraId="79D63C9D" w14:textId="77777777" w:rsidTr="00A43430">
        <w:trPr>
          <w:gridAfter w:val="1"/>
          <w:cantSplit/>
          <w:trHeight w:val="304"/>
        </w:trPr>
        <w:tc>
          <w:tcPr>
            <w:tcW w:w="0" w:type="auto"/>
            <w:vMerge/>
            <w:tcBorders>
              <w:top w:val="single" w:sz="4" w:space="0" w:color="auto"/>
              <w:left w:val="single" w:sz="4" w:space="0" w:color="auto"/>
              <w:right w:val="single" w:sz="4" w:space="0" w:color="auto"/>
            </w:tcBorders>
          </w:tcPr>
          <w:p w14:paraId="41FAD097" w14:textId="77777777" w:rsidR="00B10666" w:rsidRPr="004561A6" w:rsidRDefault="00B10666" w:rsidP="00B245A8">
            <w:pPr>
              <w:spacing w:before="80" w:after="80"/>
              <w:jc w:val="left"/>
              <w:rPr>
                <w:sz w:val="18"/>
                <w:szCs w:val="18"/>
              </w:rPr>
            </w:pPr>
          </w:p>
        </w:tc>
        <w:tc>
          <w:tcPr>
            <w:tcW w:w="0" w:type="auto"/>
            <w:vMerge w:val="restart"/>
            <w:tcBorders>
              <w:top w:val="single" w:sz="4" w:space="0" w:color="auto"/>
              <w:left w:val="single" w:sz="4" w:space="0" w:color="auto"/>
              <w:right w:val="single" w:sz="4" w:space="0" w:color="auto"/>
            </w:tcBorders>
          </w:tcPr>
          <w:p w14:paraId="4E2102AD" w14:textId="77777777" w:rsidR="00B10666" w:rsidRPr="004561A6" w:rsidRDefault="00B10666" w:rsidP="00B245A8">
            <w:pPr>
              <w:spacing w:before="80" w:after="80"/>
              <w:jc w:val="left"/>
              <w:rPr>
                <w:rFonts w:cs="Arial"/>
                <w:color w:val="auto"/>
                <w:sz w:val="18"/>
                <w:szCs w:val="18"/>
              </w:rPr>
            </w:pPr>
            <w:r w:rsidRPr="004561A6">
              <w:rPr>
                <w:b/>
                <w:bCs/>
                <w:color w:val="auto"/>
                <w:sz w:val="18"/>
                <w:szCs w:val="18"/>
              </w:rPr>
              <w:t>DS Lock 4</w:t>
            </w:r>
          </w:p>
        </w:tc>
        <w:tc>
          <w:tcPr>
            <w:tcW w:w="0" w:type="auto"/>
            <w:tcBorders>
              <w:top w:val="single" w:sz="4" w:space="0" w:color="auto"/>
              <w:left w:val="single" w:sz="4" w:space="0" w:color="auto"/>
              <w:right w:val="single" w:sz="4" w:space="0" w:color="auto"/>
            </w:tcBorders>
          </w:tcPr>
          <w:p w14:paraId="63708E2C"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All eWater</w:t>
            </w:r>
          </w:p>
        </w:tc>
        <w:tc>
          <w:tcPr>
            <w:tcW w:w="0" w:type="auto"/>
            <w:tcBorders>
              <w:top w:val="single" w:sz="4" w:space="0" w:color="auto"/>
              <w:left w:val="single" w:sz="4" w:space="0" w:color="auto"/>
              <w:right w:val="single" w:sz="4" w:space="0" w:color="auto"/>
            </w:tcBorders>
            <w:shd w:val="clear" w:color="auto" w:fill="D9D9D9" w:themeFill="background1" w:themeFillShade="D9"/>
          </w:tcPr>
          <w:p w14:paraId="700B1A54" w14:textId="77777777" w:rsidR="00B10666" w:rsidRPr="004561A6" w:rsidRDefault="00B10666" w:rsidP="00B245A8">
            <w:pPr>
              <w:spacing w:before="80" w:after="80"/>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74FDFB61" w14:textId="77777777" w:rsidR="00B10666" w:rsidRPr="004561A6" w:rsidRDefault="00B10666" w:rsidP="00B245A8">
            <w:pPr>
              <w:spacing w:before="80" w:after="80"/>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4EA1A39C" w14:textId="77777777" w:rsidR="00B10666" w:rsidRPr="004561A6" w:rsidRDefault="00B10666" w:rsidP="00B245A8">
            <w:pPr>
              <w:spacing w:before="80" w:after="80"/>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2A0E7CC0" w14:textId="77777777" w:rsidR="00B10666" w:rsidRPr="004561A6" w:rsidRDefault="00B10666" w:rsidP="00B245A8">
            <w:pPr>
              <w:spacing w:before="80" w:after="80"/>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08D4ACDE" w14:textId="77777777" w:rsidR="00B10666" w:rsidRPr="004561A6" w:rsidRDefault="00B10666" w:rsidP="00B245A8">
            <w:pPr>
              <w:spacing w:before="80" w:after="80"/>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E2EFD9" w:themeFill="accent6" w:themeFillTint="33"/>
          </w:tcPr>
          <w:p w14:paraId="61F86F54"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0</w:t>
            </w:r>
          </w:p>
        </w:tc>
        <w:tc>
          <w:tcPr>
            <w:tcW w:w="0" w:type="auto"/>
            <w:tcBorders>
              <w:top w:val="single" w:sz="4" w:space="0" w:color="auto"/>
              <w:left w:val="single" w:sz="4" w:space="0" w:color="auto"/>
              <w:right w:val="single" w:sz="4" w:space="0" w:color="auto"/>
            </w:tcBorders>
            <w:shd w:val="clear" w:color="auto" w:fill="E2EFD9" w:themeFill="accent6" w:themeFillTint="33"/>
          </w:tcPr>
          <w:p w14:paraId="12D3C994"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0</w:t>
            </w:r>
          </w:p>
        </w:tc>
        <w:tc>
          <w:tcPr>
            <w:tcW w:w="0" w:type="auto"/>
            <w:tcBorders>
              <w:top w:val="single" w:sz="4" w:space="0" w:color="auto"/>
              <w:left w:val="single" w:sz="4" w:space="0" w:color="auto"/>
              <w:right w:val="single" w:sz="4" w:space="0" w:color="auto"/>
            </w:tcBorders>
            <w:shd w:val="clear" w:color="auto" w:fill="E2EFD9" w:themeFill="accent6" w:themeFillTint="33"/>
          </w:tcPr>
          <w:p w14:paraId="61E8E0FF"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-0.5</w:t>
            </w:r>
          </w:p>
        </w:tc>
        <w:tc>
          <w:tcPr>
            <w:tcW w:w="0" w:type="auto"/>
            <w:tcBorders>
              <w:top w:val="single" w:sz="4" w:space="0" w:color="auto"/>
              <w:left w:val="single" w:sz="4" w:space="0" w:color="auto"/>
              <w:right w:val="single" w:sz="4" w:space="0" w:color="auto"/>
            </w:tcBorders>
            <w:shd w:val="clear" w:color="auto" w:fill="E2EFD9" w:themeFill="accent6" w:themeFillTint="33"/>
          </w:tcPr>
          <w:p w14:paraId="3E0C7340" w14:textId="77777777" w:rsidR="00B10666" w:rsidRPr="004561A6" w:rsidRDefault="00B10666" w:rsidP="00B245A8">
            <w:pPr>
              <w:spacing w:before="80" w:after="80"/>
              <w:jc w:val="left"/>
              <w:rPr>
                <w:rFonts w:cs="Arial"/>
                <w:color w:val="auto"/>
                <w:sz w:val="18"/>
                <w:szCs w:val="18"/>
              </w:rPr>
            </w:pPr>
            <w:r>
              <w:rPr>
                <w:rFonts w:cs="Arial"/>
                <w:color w:val="auto"/>
                <w:sz w:val="18"/>
                <w:szCs w:val="18"/>
              </w:rPr>
              <w:t>0</w:t>
            </w:r>
          </w:p>
        </w:tc>
        <w:tc>
          <w:tcPr>
            <w:tcW w:w="0" w:type="auto"/>
            <w:tcBorders>
              <w:top w:val="single" w:sz="4" w:space="0" w:color="auto"/>
              <w:left w:val="single" w:sz="4" w:space="0" w:color="auto"/>
              <w:right w:val="single" w:sz="4" w:space="0" w:color="auto"/>
            </w:tcBorders>
            <w:shd w:val="clear" w:color="auto" w:fill="E2EFD9" w:themeFill="accent6" w:themeFillTint="33"/>
          </w:tcPr>
          <w:p w14:paraId="7EAE2534" w14:textId="77777777" w:rsidR="00B10666" w:rsidRDefault="00B10666" w:rsidP="00B245A8">
            <w:pPr>
              <w:spacing w:before="80" w:after="80"/>
              <w:jc w:val="left"/>
              <w:rPr>
                <w:rFonts w:cs="Arial"/>
                <w:color w:val="auto"/>
                <w:sz w:val="18"/>
                <w:szCs w:val="18"/>
              </w:rPr>
            </w:pPr>
            <w:r>
              <w:rPr>
                <w:rFonts w:cs="Arial"/>
                <w:color w:val="auto"/>
                <w:sz w:val="18"/>
                <w:szCs w:val="18"/>
              </w:rPr>
              <w:t>-1.5</w:t>
            </w:r>
          </w:p>
        </w:tc>
      </w:tr>
      <w:tr w:rsidR="00B10666" w:rsidRPr="004561A6" w14:paraId="728F71BD" w14:textId="77777777" w:rsidTr="00B245A8">
        <w:trPr>
          <w:gridAfter w:val="1"/>
          <w:cantSplit/>
          <w:trHeight w:val="421"/>
        </w:trPr>
        <w:tc>
          <w:tcPr>
            <w:tcW w:w="0" w:type="auto"/>
            <w:vMerge/>
            <w:tcBorders>
              <w:top w:val="single" w:sz="4" w:space="0" w:color="auto"/>
              <w:left w:val="single" w:sz="4" w:space="0" w:color="auto"/>
              <w:right w:val="single" w:sz="4" w:space="0" w:color="auto"/>
            </w:tcBorders>
          </w:tcPr>
          <w:p w14:paraId="2AE055A3" w14:textId="77777777" w:rsidR="00B10666" w:rsidRPr="004561A6" w:rsidRDefault="00B10666" w:rsidP="00B245A8">
            <w:pPr>
              <w:spacing w:before="80" w:after="80"/>
              <w:jc w:val="left"/>
              <w:rPr>
                <w:sz w:val="18"/>
                <w:szCs w:val="18"/>
              </w:rPr>
            </w:pPr>
          </w:p>
        </w:tc>
        <w:tc>
          <w:tcPr>
            <w:tcW w:w="0" w:type="auto"/>
            <w:vMerge/>
            <w:tcBorders>
              <w:left w:val="single" w:sz="4" w:space="0" w:color="auto"/>
              <w:right w:val="single" w:sz="4" w:space="0" w:color="auto"/>
            </w:tcBorders>
          </w:tcPr>
          <w:p w14:paraId="7B4218C4" w14:textId="77777777" w:rsidR="00B10666" w:rsidRPr="004561A6" w:rsidRDefault="00B10666" w:rsidP="00B245A8">
            <w:pPr>
              <w:spacing w:before="80" w:after="80"/>
              <w:jc w:val="left"/>
              <w:rPr>
                <w:rFonts w:cs="Arial"/>
                <w:color w:val="auto"/>
                <w:sz w:val="18"/>
                <w:szCs w:val="18"/>
              </w:rPr>
            </w:pPr>
          </w:p>
        </w:tc>
        <w:tc>
          <w:tcPr>
            <w:tcW w:w="0" w:type="auto"/>
            <w:tcBorders>
              <w:top w:val="single" w:sz="4" w:space="0" w:color="auto"/>
              <w:left w:val="single" w:sz="4" w:space="0" w:color="auto"/>
              <w:right w:val="single" w:sz="4" w:space="0" w:color="auto"/>
            </w:tcBorders>
          </w:tcPr>
          <w:p w14:paraId="31BD0D24"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CEW</w:t>
            </w:r>
          </w:p>
        </w:tc>
        <w:tc>
          <w:tcPr>
            <w:tcW w:w="0" w:type="auto"/>
            <w:tcBorders>
              <w:top w:val="single" w:sz="4" w:space="0" w:color="auto"/>
              <w:left w:val="single" w:sz="4" w:space="0" w:color="auto"/>
              <w:right w:val="single" w:sz="4" w:space="0" w:color="auto"/>
            </w:tcBorders>
            <w:shd w:val="clear" w:color="auto" w:fill="D9D9D9" w:themeFill="background1" w:themeFillShade="D9"/>
          </w:tcPr>
          <w:p w14:paraId="3CADF452" w14:textId="77777777" w:rsidR="00B10666" w:rsidRPr="004561A6" w:rsidRDefault="00B10666" w:rsidP="00B245A8">
            <w:pPr>
              <w:spacing w:before="80" w:after="80"/>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7882CA3F" w14:textId="77777777" w:rsidR="00B10666" w:rsidRPr="004561A6" w:rsidRDefault="00B10666" w:rsidP="00B245A8">
            <w:pPr>
              <w:spacing w:before="80" w:after="80"/>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4C95D8A2" w14:textId="77777777" w:rsidR="00B10666" w:rsidRPr="004561A6" w:rsidRDefault="00B10666" w:rsidP="00B245A8">
            <w:pPr>
              <w:spacing w:before="80" w:after="80"/>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2BA4A189" w14:textId="77777777" w:rsidR="00B10666" w:rsidRPr="004561A6" w:rsidRDefault="00B10666" w:rsidP="00B245A8">
            <w:pPr>
              <w:spacing w:before="80" w:after="80"/>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65D5C0B6" w14:textId="77777777" w:rsidR="00B10666" w:rsidRPr="004561A6" w:rsidRDefault="00B10666" w:rsidP="00B245A8">
            <w:pPr>
              <w:spacing w:before="80" w:after="80"/>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E2EFD9" w:themeFill="accent6" w:themeFillTint="33"/>
          </w:tcPr>
          <w:p w14:paraId="544EEBF2"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0</w:t>
            </w:r>
          </w:p>
        </w:tc>
        <w:tc>
          <w:tcPr>
            <w:tcW w:w="0" w:type="auto"/>
            <w:tcBorders>
              <w:top w:val="single" w:sz="4" w:space="0" w:color="auto"/>
              <w:left w:val="single" w:sz="4" w:space="0" w:color="auto"/>
              <w:right w:val="single" w:sz="4" w:space="0" w:color="auto"/>
            </w:tcBorders>
            <w:shd w:val="clear" w:color="auto" w:fill="E2EFD9" w:themeFill="accent6" w:themeFillTint="33"/>
          </w:tcPr>
          <w:p w14:paraId="72BE76FB"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0</w:t>
            </w:r>
          </w:p>
        </w:tc>
        <w:tc>
          <w:tcPr>
            <w:tcW w:w="0" w:type="auto"/>
            <w:tcBorders>
              <w:top w:val="single" w:sz="4" w:space="0" w:color="auto"/>
              <w:left w:val="single" w:sz="4" w:space="0" w:color="auto"/>
              <w:right w:val="single" w:sz="4" w:space="0" w:color="auto"/>
            </w:tcBorders>
            <w:shd w:val="clear" w:color="auto" w:fill="E2EFD9" w:themeFill="accent6" w:themeFillTint="33"/>
          </w:tcPr>
          <w:p w14:paraId="0FE773BF"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-0.5</w:t>
            </w:r>
          </w:p>
        </w:tc>
        <w:tc>
          <w:tcPr>
            <w:tcW w:w="0" w:type="auto"/>
            <w:tcBorders>
              <w:top w:val="single" w:sz="4" w:space="0" w:color="auto"/>
              <w:left w:val="single" w:sz="4" w:space="0" w:color="auto"/>
              <w:right w:val="single" w:sz="4" w:space="0" w:color="auto"/>
            </w:tcBorders>
            <w:shd w:val="clear" w:color="auto" w:fill="E2EFD9" w:themeFill="accent6" w:themeFillTint="33"/>
          </w:tcPr>
          <w:p w14:paraId="3D5023E7" w14:textId="77777777" w:rsidR="00B10666" w:rsidRPr="004561A6" w:rsidRDefault="00B10666" w:rsidP="00B245A8">
            <w:pPr>
              <w:spacing w:before="80" w:after="80"/>
              <w:jc w:val="left"/>
              <w:rPr>
                <w:rFonts w:cs="Arial"/>
                <w:color w:val="auto"/>
                <w:sz w:val="18"/>
                <w:szCs w:val="18"/>
              </w:rPr>
            </w:pPr>
            <w:r>
              <w:rPr>
                <w:rFonts w:cs="Arial"/>
                <w:color w:val="auto"/>
                <w:sz w:val="18"/>
                <w:szCs w:val="18"/>
              </w:rPr>
              <w:t>0</w:t>
            </w:r>
          </w:p>
        </w:tc>
        <w:tc>
          <w:tcPr>
            <w:tcW w:w="0" w:type="auto"/>
            <w:tcBorders>
              <w:top w:val="single" w:sz="4" w:space="0" w:color="auto"/>
              <w:left w:val="single" w:sz="4" w:space="0" w:color="auto"/>
              <w:right w:val="single" w:sz="4" w:space="0" w:color="auto"/>
            </w:tcBorders>
            <w:shd w:val="clear" w:color="auto" w:fill="E2EFD9" w:themeFill="accent6" w:themeFillTint="33"/>
          </w:tcPr>
          <w:p w14:paraId="467E33A1" w14:textId="77777777" w:rsidR="00B10666" w:rsidRDefault="00B10666" w:rsidP="00B245A8">
            <w:pPr>
              <w:spacing w:before="80" w:after="80"/>
              <w:jc w:val="left"/>
              <w:rPr>
                <w:rFonts w:cs="Arial"/>
                <w:color w:val="auto"/>
                <w:sz w:val="18"/>
                <w:szCs w:val="18"/>
              </w:rPr>
            </w:pPr>
            <w:r>
              <w:rPr>
                <w:rFonts w:cs="Arial"/>
                <w:color w:val="auto"/>
                <w:sz w:val="18"/>
                <w:szCs w:val="18"/>
              </w:rPr>
              <w:t>-1</w:t>
            </w:r>
          </w:p>
        </w:tc>
      </w:tr>
      <w:tr w:rsidR="00B10666" w:rsidRPr="004561A6" w14:paraId="7B02EB45" w14:textId="77777777" w:rsidTr="00B245A8">
        <w:trPr>
          <w:gridAfter w:val="1"/>
          <w:cantSplit/>
          <w:trHeight w:val="613"/>
        </w:trPr>
        <w:tc>
          <w:tcPr>
            <w:tcW w:w="0" w:type="auto"/>
            <w:vMerge/>
            <w:tcBorders>
              <w:top w:val="single" w:sz="4" w:space="0" w:color="auto"/>
              <w:left w:val="single" w:sz="4" w:space="0" w:color="auto"/>
              <w:right w:val="single" w:sz="4" w:space="0" w:color="auto"/>
            </w:tcBorders>
          </w:tcPr>
          <w:p w14:paraId="040B6017" w14:textId="77777777" w:rsidR="00B10666" w:rsidRPr="004561A6" w:rsidRDefault="00B10666" w:rsidP="00B245A8">
            <w:pPr>
              <w:spacing w:before="80" w:after="80"/>
              <w:jc w:val="left"/>
              <w:rPr>
                <w:sz w:val="18"/>
                <w:szCs w:val="18"/>
              </w:rPr>
            </w:pPr>
          </w:p>
        </w:tc>
        <w:tc>
          <w:tcPr>
            <w:tcW w:w="0" w:type="auto"/>
            <w:vMerge w:val="restart"/>
            <w:tcBorders>
              <w:top w:val="single" w:sz="4" w:space="0" w:color="auto"/>
              <w:left w:val="single" w:sz="4" w:space="0" w:color="auto"/>
              <w:right w:val="single" w:sz="4" w:space="0" w:color="auto"/>
            </w:tcBorders>
          </w:tcPr>
          <w:p w14:paraId="437212B8" w14:textId="77777777" w:rsidR="00B10666" w:rsidRPr="004561A6" w:rsidRDefault="00B10666" w:rsidP="00B245A8">
            <w:pPr>
              <w:spacing w:before="80" w:after="80"/>
              <w:jc w:val="left"/>
              <w:rPr>
                <w:rFonts w:cs="Arial"/>
                <w:color w:val="auto"/>
                <w:sz w:val="18"/>
                <w:szCs w:val="18"/>
              </w:rPr>
            </w:pPr>
            <w:r w:rsidRPr="004561A6">
              <w:rPr>
                <w:b/>
                <w:bCs/>
                <w:color w:val="auto"/>
                <w:sz w:val="18"/>
                <w:szCs w:val="18"/>
              </w:rPr>
              <w:t>DS Lock 1</w:t>
            </w:r>
          </w:p>
        </w:tc>
        <w:tc>
          <w:tcPr>
            <w:tcW w:w="0" w:type="auto"/>
            <w:tcBorders>
              <w:top w:val="single" w:sz="4" w:space="0" w:color="auto"/>
              <w:left w:val="single" w:sz="4" w:space="0" w:color="auto"/>
              <w:right w:val="single" w:sz="4" w:space="0" w:color="auto"/>
            </w:tcBorders>
          </w:tcPr>
          <w:p w14:paraId="0A44F7CF"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All eWater</w:t>
            </w:r>
          </w:p>
        </w:tc>
        <w:tc>
          <w:tcPr>
            <w:tcW w:w="0" w:type="auto"/>
            <w:tcBorders>
              <w:top w:val="single" w:sz="4" w:space="0" w:color="auto"/>
              <w:left w:val="single" w:sz="4" w:space="0" w:color="auto"/>
              <w:right w:val="single" w:sz="4" w:space="0" w:color="auto"/>
            </w:tcBorders>
            <w:shd w:val="clear" w:color="auto" w:fill="E2EFD9" w:themeFill="accent6" w:themeFillTint="33"/>
          </w:tcPr>
          <w:p w14:paraId="12E3874F" w14:textId="77777777" w:rsidR="00B10666" w:rsidRPr="004561A6" w:rsidRDefault="00B10666" w:rsidP="00B245A8">
            <w:pPr>
              <w:spacing w:before="80" w:after="80"/>
              <w:jc w:val="left"/>
              <w:rPr>
                <w:rFonts w:cs="Arial"/>
                <w:color w:val="auto"/>
                <w:sz w:val="18"/>
                <w:szCs w:val="18"/>
              </w:rPr>
            </w:pPr>
            <w:r>
              <w:rPr>
                <w:rFonts w:cs="Arial"/>
                <w:color w:val="auto"/>
                <w:sz w:val="18"/>
                <w:szCs w:val="18"/>
              </w:rPr>
              <w:t>1.5</w:t>
            </w:r>
          </w:p>
        </w:tc>
        <w:tc>
          <w:tcPr>
            <w:tcW w:w="0" w:type="auto"/>
            <w:tcBorders>
              <w:top w:val="single" w:sz="4" w:space="0" w:color="auto"/>
              <w:left w:val="single" w:sz="4" w:space="0" w:color="auto"/>
              <w:right w:val="single" w:sz="4" w:space="0" w:color="auto"/>
            </w:tcBorders>
            <w:shd w:val="clear" w:color="auto" w:fill="E2EFD9" w:themeFill="accent6" w:themeFillTint="33"/>
          </w:tcPr>
          <w:p w14:paraId="3DCAA3A3" w14:textId="77777777" w:rsidR="00B10666" w:rsidRPr="004561A6" w:rsidRDefault="00B10666" w:rsidP="00B245A8">
            <w:pPr>
              <w:spacing w:before="80" w:after="80"/>
              <w:jc w:val="left"/>
              <w:rPr>
                <w:rFonts w:cs="Arial"/>
                <w:color w:val="auto"/>
                <w:sz w:val="18"/>
                <w:szCs w:val="18"/>
              </w:rPr>
            </w:pPr>
            <w:r>
              <w:rPr>
                <w:rFonts w:cs="Arial"/>
                <w:color w:val="auto"/>
                <w:sz w:val="18"/>
                <w:szCs w:val="18"/>
              </w:rPr>
              <w:t>2.5</w:t>
            </w:r>
          </w:p>
        </w:tc>
        <w:tc>
          <w:tcPr>
            <w:tcW w:w="0" w:type="auto"/>
            <w:tcBorders>
              <w:top w:val="single" w:sz="4" w:space="0" w:color="auto"/>
              <w:left w:val="single" w:sz="4" w:space="0" w:color="auto"/>
              <w:right w:val="single" w:sz="4" w:space="0" w:color="auto"/>
            </w:tcBorders>
            <w:shd w:val="clear" w:color="auto" w:fill="E2EFD9" w:themeFill="accent6" w:themeFillTint="33"/>
          </w:tcPr>
          <w:p w14:paraId="21F47810"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1</w:t>
            </w:r>
            <w:r>
              <w:rPr>
                <w:rFonts w:cs="Arial"/>
                <w:color w:val="auto"/>
                <w:sz w:val="18"/>
                <w:szCs w:val="18"/>
              </w:rPr>
              <w:t>.5</w:t>
            </w:r>
          </w:p>
        </w:tc>
        <w:tc>
          <w:tcPr>
            <w:tcW w:w="0" w:type="auto"/>
            <w:tcBorders>
              <w:top w:val="single" w:sz="4" w:space="0" w:color="auto"/>
              <w:left w:val="single" w:sz="4" w:space="0" w:color="auto"/>
              <w:right w:val="single" w:sz="4" w:space="0" w:color="auto"/>
            </w:tcBorders>
            <w:shd w:val="clear" w:color="auto" w:fill="E2EFD9" w:themeFill="accent6" w:themeFillTint="33"/>
          </w:tcPr>
          <w:p w14:paraId="3AAEBB1B" w14:textId="77777777" w:rsidR="00B10666" w:rsidRPr="004561A6" w:rsidRDefault="00B10666" w:rsidP="00B245A8">
            <w:pPr>
              <w:spacing w:before="80" w:after="80"/>
              <w:jc w:val="left"/>
              <w:rPr>
                <w:rFonts w:cs="Arial"/>
                <w:color w:val="auto"/>
                <w:sz w:val="18"/>
                <w:szCs w:val="18"/>
              </w:rPr>
            </w:pPr>
            <w:r>
              <w:rPr>
                <w:rFonts w:cs="Arial"/>
                <w:color w:val="auto"/>
                <w:sz w:val="18"/>
                <w:szCs w:val="18"/>
              </w:rPr>
              <w:t>2</w:t>
            </w:r>
          </w:p>
        </w:tc>
        <w:tc>
          <w:tcPr>
            <w:tcW w:w="0" w:type="auto"/>
            <w:tcBorders>
              <w:top w:val="single" w:sz="4" w:space="0" w:color="auto"/>
              <w:left w:val="single" w:sz="4" w:space="0" w:color="auto"/>
              <w:right w:val="single" w:sz="4" w:space="0" w:color="auto"/>
            </w:tcBorders>
            <w:shd w:val="clear" w:color="auto" w:fill="E2EFD9" w:themeFill="accent6" w:themeFillTint="33"/>
          </w:tcPr>
          <w:p w14:paraId="5C4CC49D" w14:textId="77777777" w:rsidR="00B10666" w:rsidRPr="004561A6" w:rsidRDefault="00B10666" w:rsidP="00B245A8">
            <w:pPr>
              <w:spacing w:before="80" w:after="80"/>
              <w:jc w:val="left"/>
              <w:rPr>
                <w:rFonts w:cs="Arial"/>
                <w:color w:val="auto"/>
                <w:sz w:val="18"/>
                <w:szCs w:val="18"/>
              </w:rPr>
            </w:pPr>
            <w:r>
              <w:rPr>
                <w:rFonts w:cs="Arial"/>
                <w:color w:val="auto"/>
                <w:sz w:val="18"/>
                <w:szCs w:val="18"/>
              </w:rPr>
              <w:t>3</w:t>
            </w:r>
          </w:p>
        </w:tc>
        <w:tc>
          <w:tcPr>
            <w:tcW w:w="0" w:type="auto"/>
            <w:tcBorders>
              <w:top w:val="single" w:sz="4" w:space="0" w:color="auto"/>
              <w:left w:val="single" w:sz="4" w:space="0" w:color="auto"/>
              <w:right w:val="single" w:sz="4" w:space="0" w:color="auto"/>
            </w:tcBorders>
            <w:shd w:val="clear" w:color="auto" w:fill="E2EFD9" w:themeFill="accent6" w:themeFillTint="33"/>
          </w:tcPr>
          <w:p w14:paraId="081F91A8" w14:textId="77777777" w:rsidR="00B10666" w:rsidRPr="004561A6" w:rsidRDefault="00B10666" w:rsidP="00B245A8">
            <w:pPr>
              <w:spacing w:before="80" w:after="80"/>
              <w:jc w:val="left"/>
              <w:rPr>
                <w:rFonts w:cs="Arial"/>
                <w:color w:val="auto"/>
                <w:sz w:val="18"/>
                <w:szCs w:val="18"/>
              </w:rPr>
            </w:pPr>
            <w:r>
              <w:rPr>
                <w:rFonts w:cs="Arial"/>
                <w:color w:val="auto"/>
                <w:sz w:val="18"/>
                <w:szCs w:val="18"/>
              </w:rPr>
              <w:t>2</w:t>
            </w:r>
          </w:p>
        </w:tc>
        <w:tc>
          <w:tcPr>
            <w:tcW w:w="0" w:type="auto"/>
            <w:tcBorders>
              <w:top w:val="single" w:sz="4" w:space="0" w:color="auto"/>
              <w:left w:val="single" w:sz="4" w:space="0" w:color="auto"/>
              <w:right w:val="single" w:sz="4" w:space="0" w:color="auto"/>
            </w:tcBorders>
            <w:shd w:val="clear" w:color="auto" w:fill="E2EFD9" w:themeFill="accent6" w:themeFillTint="33"/>
          </w:tcPr>
          <w:p w14:paraId="3E238C9C" w14:textId="77777777" w:rsidR="00B10666" w:rsidRPr="004561A6" w:rsidRDefault="00B10666" w:rsidP="00B245A8">
            <w:pPr>
              <w:spacing w:before="80" w:after="80"/>
              <w:jc w:val="left"/>
              <w:rPr>
                <w:rFonts w:cs="Arial"/>
                <w:color w:val="auto"/>
                <w:sz w:val="18"/>
                <w:szCs w:val="18"/>
              </w:rPr>
            </w:pPr>
            <w:r>
              <w:rPr>
                <w:rFonts w:cs="Arial"/>
                <w:color w:val="auto"/>
                <w:sz w:val="18"/>
                <w:szCs w:val="18"/>
              </w:rPr>
              <w:t>2</w:t>
            </w:r>
          </w:p>
        </w:tc>
        <w:tc>
          <w:tcPr>
            <w:tcW w:w="0" w:type="auto"/>
            <w:tcBorders>
              <w:top w:val="single" w:sz="4" w:space="0" w:color="auto"/>
              <w:left w:val="single" w:sz="4" w:space="0" w:color="auto"/>
              <w:right w:val="single" w:sz="4" w:space="0" w:color="auto"/>
            </w:tcBorders>
            <w:shd w:val="clear" w:color="auto" w:fill="E2EFD9" w:themeFill="accent6" w:themeFillTint="33"/>
          </w:tcPr>
          <w:p w14:paraId="74D60773" w14:textId="77777777" w:rsidR="00B10666" w:rsidRPr="004561A6" w:rsidRDefault="00B10666" w:rsidP="00B245A8">
            <w:pPr>
              <w:spacing w:before="80" w:after="80"/>
              <w:jc w:val="left"/>
              <w:rPr>
                <w:rFonts w:cs="Arial"/>
                <w:color w:val="auto"/>
                <w:sz w:val="18"/>
                <w:szCs w:val="18"/>
              </w:rPr>
            </w:pPr>
            <w:r>
              <w:rPr>
                <w:rFonts w:cs="Arial"/>
                <w:color w:val="auto"/>
                <w:sz w:val="18"/>
                <w:szCs w:val="18"/>
              </w:rPr>
              <w:t>2</w:t>
            </w:r>
          </w:p>
        </w:tc>
        <w:tc>
          <w:tcPr>
            <w:tcW w:w="0" w:type="auto"/>
            <w:tcBorders>
              <w:top w:val="single" w:sz="4" w:space="0" w:color="auto"/>
              <w:left w:val="single" w:sz="4" w:space="0" w:color="auto"/>
              <w:right w:val="single" w:sz="4" w:space="0" w:color="auto"/>
            </w:tcBorders>
            <w:shd w:val="clear" w:color="auto" w:fill="E2EFD9" w:themeFill="accent6" w:themeFillTint="33"/>
          </w:tcPr>
          <w:p w14:paraId="51E8AB41" w14:textId="77777777" w:rsidR="00B10666" w:rsidRPr="004561A6" w:rsidRDefault="00B10666" w:rsidP="00B245A8">
            <w:pPr>
              <w:spacing w:before="80" w:after="80"/>
              <w:jc w:val="left"/>
              <w:rPr>
                <w:rFonts w:cs="Arial"/>
                <w:color w:val="auto"/>
                <w:sz w:val="18"/>
                <w:szCs w:val="18"/>
              </w:rPr>
            </w:pPr>
            <w:r>
              <w:rPr>
                <w:rFonts w:cs="Arial"/>
                <w:color w:val="auto"/>
                <w:sz w:val="18"/>
                <w:szCs w:val="18"/>
              </w:rPr>
              <w:t>1</w:t>
            </w:r>
          </w:p>
        </w:tc>
        <w:tc>
          <w:tcPr>
            <w:tcW w:w="0" w:type="auto"/>
            <w:tcBorders>
              <w:top w:val="single" w:sz="4" w:space="0" w:color="auto"/>
              <w:left w:val="single" w:sz="4" w:space="0" w:color="auto"/>
              <w:right w:val="single" w:sz="4" w:space="0" w:color="auto"/>
            </w:tcBorders>
            <w:shd w:val="clear" w:color="auto" w:fill="E2EFD9" w:themeFill="accent6" w:themeFillTint="33"/>
          </w:tcPr>
          <w:p w14:paraId="65FECCC7" w14:textId="77777777" w:rsidR="00B10666" w:rsidRDefault="00B10666" w:rsidP="00B245A8">
            <w:pPr>
              <w:spacing w:before="80" w:after="80"/>
              <w:jc w:val="left"/>
              <w:rPr>
                <w:rFonts w:cs="Arial"/>
                <w:color w:val="auto"/>
                <w:sz w:val="18"/>
                <w:szCs w:val="18"/>
              </w:rPr>
            </w:pPr>
            <w:r>
              <w:rPr>
                <w:rFonts w:cs="Arial"/>
                <w:color w:val="auto"/>
                <w:sz w:val="18"/>
                <w:szCs w:val="18"/>
              </w:rPr>
              <w:t>3</w:t>
            </w:r>
          </w:p>
        </w:tc>
      </w:tr>
      <w:tr w:rsidR="00B10666" w:rsidRPr="004561A6" w14:paraId="4C505D92" w14:textId="77777777" w:rsidTr="00B245A8">
        <w:trPr>
          <w:gridAfter w:val="1"/>
          <w:cantSplit/>
          <w:trHeight w:val="597"/>
        </w:trPr>
        <w:tc>
          <w:tcPr>
            <w:tcW w:w="0" w:type="auto"/>
            <w:vMerge/>
            <w:tcBorders>
              <w:top w:val="single" w:sz="4" w:space="0" w:color="auto"/>
              <w:left w:val="single" w:sz="4" w:space="0" w:color="auto"/>
              <w:right w:val="single" w:sz="4" w:space="0" w:color="auto"/>
            </w:tcBorders>
          </w:tcPr>
          <w:p w14:paraId="3A08B55F" w14:textId="77777777" w:rsidR="00B10666" w:rsidRPr="004561A6" w:rsidRDefault="00B10666" w:rsidP="00B245A8">
            <w:pPr>
              <w:spacing w:before="80" w:after="80"/>
              <w:jc w:val="left"/>
              <w:rPr>
                <w:sz w:val="18"/>
                <w:szCs w:val="18"/>
              </w:rPr>
            </w:pPr>
          </w:p>
        </w:tc>
        <w:tc>
          <w:tcPr>
            <w:tcW w:w="0" w:type="auto"/>
            <w:vMerge/>
            <w:tcBorders>
              <w:left w:val="single" w:sz="4" w:space="0" w:color="auto"/>
              <w:right w:val="single" w:sz="4" w:space="0" w:color="auto"/>
            </w:tcBorders>
          </w:tcPr>
          <w:p w14:paraId="7B22C85D" w14:textId="77777777" w:rsidR="00B10666" w:rsidRPr="004561A6" w:rsidRDefault="00B10666" w:rsidP="00B245A8">
            <w:pPr>
              <w:spacing w:before="80" w:after="80"/>
              <w:jc w:val="left"/>
              <w:rPr>
                <w:rFonts w:cs="Arial"/>
                <w:color w:val="auto"/>
                <w:sz w:val="18"/>
                <w:szCs w:val="18"/>
              </w:rPr>
            </w:pPr>
          </w:p>
        </w:tc>
        <w:tc>
          <w:tcPr>
            <w:tcW w:w="0" w:type="auto"/>
            <w:tcBorders>
              <w:top w:val="single" w:sz="4" w:space="0" w:color="auto"/>
              <w:left w:val="single" w:sz="4" w:space="0" w:color="auto"/>
              <w:right w:val="single" w:sz="4" w:space="0" w:color="auto"/>
            </w:tcBorders>
          </w:tcPr>
          <w:p w14:paraId="006D833D"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CEW</w:t>
            </w:r>
          </w:p>
        </w:tc>
        <w:tc>
          <w:tcPr>
            <w:tcW w:w="0" w:type="auto"/>
            <w:tcBorders>
              <w:top w:val="single" w:sz="4" w:space="0" w:color="auto"/>
              <w:left w:val="single" w:sz="4" w:space="0" w:color="auto"/>
              <w:right w:val="single" w:sz="4" w:space="0" w:color="auto"/>
            </w:tcBorders>
            <w:shd w:val="clear" w:color="auto" w:fill="E2EFD9" w:themeFill="accent6" w:themeFillTint="33"/>
          </w:tcPr>
          <w:p w14:paraId="04505A8F" w14:textId="77777777" w:rsidR="00B10666" w:rsidRPr="004561A6" w:rsidRDefault="00B10666" w:rsidP="00B245A8">
            <w:pPr>
              <w:spacing w:before="80" w:after="80"/>
              <w:jc w:val="left"/>
              <w:rPr>
                <w:rFonts w:cs="Arial"/>
                <w:color w:val="auto"/>
                <w:sz w:val="18"/>
                <w:szCs w:val="18"/>
              </w:rPr>
            </w:pPr>
            <w:r>
              <w:rPr>
                <w:rFonts w:cs="Arial"/>
                <w:color w:val="auto"/>
                <w:sz w:val="18"/>
                <w:szCs w:val="18"/>
              </w:rPr>
              <w:t>1.5</w:t>
            </w:r>
          </w:p>
        </w:tc>
        <w:tc>
          <w:tcPr>
            <w:tcW w:w="0" w:type="auto"/>
            <w:tcBorders>
              <w:top w:val="single" w:sz="4" w:space="0" w:color="auto"/>
              <w:left w:val="single" w:sz="4" w:space="0" w:color="auto"/>
              <w:right w:val="single" w:sz="4" w:space="0" w:color="auto"/>
            </w:tcBorders>
            <w:shd w:val="clear" w:color="auto" w:fill="E2EFD9" w:themeFill="accent6" w:themeFillTint="33"/>
          </w:tcPr>
          <w:p w14:paraId="19AED78D" w14:textId="77777777" w:rsidR="00B10666" w:rsidRPr="004561A6" w:rsidRDefault="00B10666" w:rsidP="00B245A8">
            <w:pPr>
              <w:spacing w:before="80" w:after="80"/>
              <w:jc w:val="left"/>
              <w:rPr>
                <w:rFonts w:cs="Arial"/>
                <w:color w:val="auto"/>
                <w:sz w:val="18"/>
                <w:szCs w:val="18"/>
              </w:rPr>
            </w:pPr>
            <w:r>
              <w:rPr>
                <w:rFonts w:cs="Arial"/>
                <w:color w:val="auto"/>
                <w:sz w:val="18"/>
                <w:szCs w:val="18"/>
              </w:rPr>
              <w:t>2.5</w:t>
            </w:r>
          </w:p>
        </w:tc>
        <w:tc>
          <w:tcPr>
            <w:tcW w:w="0" w:type="auto"/>
            <w:tcBorders>
              <w:top w:val="single" w:sz="4" w:space="0" w:color="auto"/>
              <w:left w:val="single" w:sz="4" w:space="0" w:color="auto"/>
              <w:right w:val="single" w:sz="4" w:space="0" w:color="auto"/>
            </w:tcBorders>
            <w:shd w:val="clear" w:color="auto" w:fill="E2EFD9" w:themeFill="accent6" w:themeFillTint="33"/>
          </w:tcPr>
          <w:p w14:paraId="638FF2A7" w14:textId="77777777" w:rsidR="00B10666" w:rsidRPr="004561A6" w:rsidRDefault="00B10666" w:rsidP="00B245A8">
            <w:pPr>
              <w:spacing w:before="80" w:after="80"/>
              <w:jc w:val="left"/>
              <w:rPr>
                <w:rFonts w:cs="Arial"/>
                <w:color w:val="auto"/>
                <w:sz w:val="18"/>
                <w:szCs w:val="18"/>
              </w:rPr>
            </w:pPr>
            <w:r>
              <w:rPr>
                <w:rFonts w:cs="Arial"/>
                <w:color w:val="auto"/>
                <w:sz w:val="18"/>
                <w:szCs w:val="18"/>
              </w:rPr>
              <w:t>1</w:t>
            </w:r>
          </w:p>
        </w:tc>
        <w:tc>
          <w:tcPr>
            <w:tcW w:w="0" w:type="auto"/>
            <w:tcBorders>
              <w:top w:val="single" w:sz="4" w:space="0" w:color="auto"/>
              <w:left w:val="single" w:sz="4" w:space="0" w:color="auto"/>
              <w:right w:val="single" w:sz="4" w:space="0" w:color="auto"/>
            </w:tcBorders>
            <w:shd w:val="clear" w:color="auto" w:fill="E2EFD9" w:themeFill="accent6" w:themeFillTint="33"/>
          </w:tcPr>
          <w:p w14:paraId="245CD49B" w14:textId="77777777" w:rsidR="00B10666" w:rsidRPr="004561A6" w:rsidRDefault="00B10666" w:rsidP="00B245A8">
            <w:pPr>
              <w:spacing w:before="80" w:after="80"/>
              <w:jc w:val="left"/>
              <w:rPr>
                <w:rFonts w:cs="Arial"/>
                <w:color w:val="auto"/>
                <w:sz w:val="18"/>
                <w:szCs w:val="18"/>
              </w:rPr>
            </w:pPr>
            <w:r>
              <w:rPr>
                <w:rFonts w:cs="Arial"/>
                <w:color w:val="auto"/>
                <w:sz w:val="18"/>
                <w:szCs w:val="18"/>
              </w:rPr>
              <w:t>1.5</w:t>
            </w:r>
          </w:p>
        </w:tc>
        <w:tc>
          <w:tcPr>
            <w:tcW w:w="0" w:type="auto"/>
            <w:tcBorders>
              <w:top w:val="single" w:sz="4" w:space="0" w:color="auto"/>
              <w:left w:val="single" w:sz="4" w:space="0" w:color="auto"/>
              <w:right w:val="single" w:sz="4" w:space="0" w:color="auto"/>
            </w:tcBorders>
            <w:shd w:val="clear" w:color="auto" w:fill="E2EFD9" w:themeFill="accent6" w:themeFillTint="33"/>
          </w:tcPr>
          <w:p w14:paraId="1855057E" w14:textId="77777777" w:rsidR="00B10666" w:rsidRPr="004561A6" w:rsidRDefault="00B10666" w:rsidP="00B245A8">
            <w:pPr>
              <w:spacing w:before="80" w:after="80"/>
              <w:jc w:val="left"/>
              <w:rPr>
                <w:rFonts w:cs="Arial"/>
                <w:color w:val="auto"/>
                <w:sz w:val="18"/>
                <w:szCs w:val="18"/>
              </w:rPr>
            </w:pPr>
            <w:r>
              <w:rPr>
                <w:rFonts w:cs="Arial"/>
                <w:color w:val="auto"/>
                <w:sz w:val="18"/>
                <w:szCs w:val="18"/>
              </w:rPr>
              <w:t>3</w:t>
            </w:r>
          </w:p>
        </w:tc>
        <w:tc>
          <w:tcPr>
            <w:tcW w:w="0" w:type="auto"/>
            <w:tcBorders>
              <w:top w:val="single" w:sz="4" w:space="0" w:color="auto"/>
              <w:left w:val="single" w:sz="4" w:space="0" w:color="auto"/>
              <w:right w:val="single" w:sz="4" w:space="0" w:color="auto"/>
            </w:tcBorders>
            <w:shd w:val="clear" w:color="auto" w:fill="E2EFD9" w:themeFill="accent6" w:themeFillTint="33"/>
          </w:tcPr>
          <w:p w14:paraId="10C07BAF"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1</w:t>
            </w:r>
            <w:r>
              <w:rPr>
                <w:rFonts w:cs="Arial"/>
                <w:color w:val="auto"/>
                <w:sz w:val="18"/>
                <w:szCs w:val="18"/>
              </w:rPr>
              <w:t>.5</w:t>
            </w:r>
          </w:p>
        </w:tc>
        <w:tc>
          <w:tcPr>
            <w:tcW w:w="0" w:type="auto"/>
            <w:tcBorders>
              <w:top w:val="single" w:sz="4" w:space="0" w:color="auto"/>
              <w:left w:val="single" w:sz="4" w:space="0" w:color="auto"/>
              <w:right w:val="single" w:sz="4" w:space="0" w:color="auto"/>
            </w:tcBorders>
            <w:shd w:val="clear" w:color="auto" w:fill="E2EFD9" w:themeFill="accent6" w:themeFillTint="33"/>
          </w:tcPr>
          <w:p w14:paraId="435591EF"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1</w:t>
            </w:r>
            <w:r>
              <w:rPr>
                <w:rFonts w:cs="Arial"/>
                <w:color w:val="auto"/>
                <w:sz w:val="18"/>
                <w:szCs w:val="18"/>
              </w:rPr>
              <w:t>.5</w:t>
            </w:r>
          </w:p>
        </w:tc>
        <w:tc>
          <w:tcPr>
            <w:tcW w:w="0" w:type="auto"/>
            <w:tcBorders>
              <w:top w:val="single" w:sz="4" w:space="0" w:color="auto"/>
              <w:left w:val="single" w:sz="4" w:space="0" w:color="auto"/>
              <w:right w:val="single" w:sz="4" w:space="0" w:color="auto"/>
            </w:tcBorders>
            <w:shd w:val="clear" w:color="auto" w:fill="E2EFD9" w:themeFill="accent6" w:themeFillTint="33"/>
          </w:tcPr>
          <w:p w14:paraId="44CC61DB" w14:textId="77777777" w:rsidR="00B10666" w:rsidRPr="004561A6" w:rsidRDefault="00B10666" w:rsidP="00B245A8">
            <w:pPr>
              <w:spacing w:before="80" w:after="80"/>
              <w:jc w:val="left"/>
              <w:rPr>
                <w:rFonts w:cs="Arial"/>
                <w:color w:val="auto"/>
                <w:sz w:val="18"/>
                <w:szCs w:val="18"/>
              </w:rPr>
            </w:pPr>
            <w:r w:rsidRPr="004561A6">
              <w:rPr>
                <w:rFonts w:cs="Arial"/>
                <w:color w:val="auto"/>
                <w:sz w:val="18"/>
                <w:szCs w:val="18"/>
              </w:rPr>
              <w:t>1</w:t>
            </w:r>
            <w:r>
              <w:rPr>
                <w:rFonts w:cs="Arial"/>
                <w:color w:val="auto"/>
                <w:sz w:val="18"/>
                <w:szCs w:val="18"/>
              </w:rPr>
              <w:t>.5</w:t>
            </w:r>
          </w:p>
        </w:tc>
        <w:tc>
          <w:tcPr>
            <w:tcW w:w="0" w:type="auto"/>
            <w:tcBorders>
              <w:top w:val="single" w:sz="4" w:space="0" w:color="auto"/>
              <w:left w:val="single" w:sz="4" w:space="0" w:color="auto"/>
              <w:right w:val="single" w:sz="4" w:space="0" w:color="auto"/>
            </w:tcBorders>
            <w:shd w:val="clear" w:color="auto" w:fill="E2EFD9" w:themeFill="accent6" w:themeFillTint="33"/>
          </w:tcPr>
          <w:p w14:paraId="6FD2D4D7" w14:textId="77777777" w:rsidR="00B10666" w:rsidRPr="004561A6" w:rsidRDefault="00B10666" w:rsidP="00B245A8">
            <w:pPr>
              <w:spacing w:before="80" w:after="80"/>
              <w:jc w:val="left"/>
              <w:rPr>
                <w:rFonts w:cs="Arial"/>
                <w:color w:val="auto"/>
                <w:sz w:val="18"/>
                <w:szCs w:val="18"/>
              </w:rPr>
            </w:pPr>
            <w:r>
              <w:rPr>
                <w:rFonts w:cs="Arial"/>
                <w:color w:val="auto"/>
                <w:sz w:val="18"/>
                <w:szCs w:val="18"/>
              </w:rPr>
              <w:t>0.5</w:t>
            </w:r>
          </w:p>
        </w:tc>
        <w:tc>
          <w:tcPr>
            <w:tcW w:w="0" w:type="auto"/>
            <w:tcBorders>
              <w:top w:val="single" w:sz="4" w:space="0" w:color="auto"/>
              <w:left w:val="single" w:sz="4" w:space="0" w:color="auto"/>
              <w:right w:val="single" w:sz="4" w:space="0" w:color="auto"/>
            </w:tcBorders>
            <w:shd w:val="clear" w:color="auto" w:fill="E2EFD9" w:themeFill="accent6" w:themeFillTint="33"/>
          </w:tcPr>
          <w:p w14:paraId="063C247C" w14:textId="77777777" w:rsidR="00B10666" w:rsidRDefault="00B10666" w:rsidP="00B245A8">
            <w:pPr>
              <w:spacing w:before="80" w:after="80"/>
              <w:jc w:val="left"/>
              <w:rPr>
                <w:rFonts w:cs="Arial"/>
                <w:color w:val="auto"/>
                <w:sz w:val="18"/>
                <w:szCs w:val="18"/>
              </w:rPr>
            </w:pPr>
            <w:r>
              <w:rPr>
                <w:rFonts w:cs="Arial"/>
                <w:color w:val="auto"/>
                <w:sz w:val="18"/>
                <w:szCs w:val="18"/>
              </w:rPr>
              <w:t>2</w:t>
            </w:r>
          </w:p>
        </w:tc>
      </w:tr>
      <w:tr w:rsidR="00B10666" w:rsidRPr="004561A6" w14:paraId="03B58944" w14:textId="77777777" w:rsidTr="00B245A8">
        <w:trPr>
          <w:gridAfter w:val="1"/>
          <w:cantSplit/>
          <w:trHeight w:val="2210"/>
        </w:trPr>
        <w:tc>
          <w:tcPr>
            <w:tcW w:w="0" w:type="auto"/>
            <w:vMerge/>
            <w:tcBorders>
              <w:left w:val="single" w:sz="4" w:space="0" w:color="auto"/>
              <w:right w:val="single" w:sz="4" w:space="0" w:color="auto"/>
            </w:tcBorders>
          </w:tcPr>
          <w:p w14:paraId="4222908B" w14:textId="77777777" w:rsidR="00B10666" w:rsidRPr="004561A6" w:rsidRDefault="00B10666" w:rsidP="00B245A8">
            <w:pPr>
              <w:spacing w:before="80" w:after="80"/>
              <w:jc w:val="left"/>
              <w:rPr>
                <w:sz w:val="18"/>
                <w:szCs w:val="18"/>
              </w:rPr>
            </w:pPr>
          </w:p>
        </w:tc>
        <w:tc>
          <w:tcPr>
            <w:tcW w:w="0" w:type="auto"/>
            <w:gridSpan w:val="12"/>
            <w:tcBorders>
              <w:left w:val="single" w:sz="4" w:space="0" w:color="auto"/>
              <w:right w:val="single" w:sz="4" w:space="0" w:color="auto"/>
            </w:tcBorders>
            <w:shd w:val="clear" w:color="auto" w:fill="E2EFD9" w:themeFill="accent6" w:themeFillTint="33"/>
          </w:tcPr>
          <w:p w14:paraId="430FEA8E" w14:textId="77777777" w:rsidR="00B10666" w:rsidRPr="00B718C4" w:rsidRDefault="00B10666" w:rsidP="00B245A8">
            <w:pPr>
              <w:pStyle w:val="TableHeading"/>
              <w:spacing w:before="80" w:after="80"/>
              <w:rPr>
                <w:b w:val="0"/>
                <w:sz w:val="18"/>
                <w:szCs w:val="18"/>
              </w:rPr>
            </w:pPr>
            <w:r>
              <w:rPr>
                <w:b w:val="0"/>
                <w:sz w:val="18"/>
                <w:szCs w:val="18"/>
              </w:rPr>
              <w:t>Long-term (2014–2024) outcome = none/negligible.</w:t>
            </w:r>
          </w:p>
          <w:p w14:paraId="54A61D0E" w14:textId="10CFE45A" w:rsidR="00B10666" w:rsidRPr="008A6E75" w:rsidRDefault="00B10666" w:rsidP="00B245A8">
            <w:pPr>
              <w:pStyle w:val="TableHeading"/>
              <w:spacing w:before="80" w:after="80"/>
              <w:rPr>
                <w:b w:val="0"/>
                <w:bCs/>
                <w:sz w:val="18"/>
                <w:szCs w:val="18"/>
              </w:rPr>
            </w:pPr>
            <w:r w:rsidRPr="00B27DAA">
              <w:rPr>
                <w:b w:val="0"/>
                <w:bCs/>
                <w:sz w:val="18"/>
                <w:szCs w:val="18"/>
              </w:rPr>
              <w:t xml:space="preserve">Increased eWater delivery generally reduced the volumetric rate of primary production but increased the cross-sectional rate. This increased the overall “carrying capacity” of the river, although the implications of changes in the ratios of these two measures are unknown. The estimated </w:t>
            </w:r>
            <w:r w:rsidRPr="00AE6293">
              <w:rPr>
                <w:i/>
                <w:iCs/>
                <w:sz w:val="18"/>
                <w:szCs w:val="18"/>
              </w:rPr>
              <w:t xml:space="preserve">average percentage change in cross-sectional GPP due to </w:t>
            </w:r>
            <w:r w:rsidR="004924D6">
              <w:rPr>
                <w:i/>
                <w:iCs/>
                <w:sz w:val="18"/>
                <w:szCs w:val="18"/>
              </w:rPr>
              <w:t>eWater/CEW</w:t>
            </w:r>
            <w:r w:rsidRPr="00B27DAA">
              <w:rPr>
                <w:b w:val="0"/>
                <w:bCs/>
                <w:sz w:val="18"/>
                <w:szCs w:val="18"/>
              </w:rPr>
              <w:t xml:space="preserve"> over a monitoring period w</w:t>
            </w:r>
            <w:r>
              <w:rPr>
                <w:b w:val="0"/>
                <w:bCs/>
                <w:sz w:val="18"/>
                <w:szCs w:val="18"/>
              </w:rPr>
              <w:t>as</w:t>
            </w:r>
            <w:r w:rsidRPr="00B27DAA">
              <w:rPr>
                <w:b w:val="0"/>
                <w:bCs/>
                <w:sz w:val="18"/>
                <w:szCs w:val="18"/>
              </w:rPr>
              <w:t xml:space="preserve"> used to assess primary productivity. In 2023-24, despite relatively large increases in cross-sections, small positive changes in cross-sectional GPP were predicted in response to eWater/CEW delivery below Locks 6 and 1, with small negative changes below Lock 4. This was the result of similar sized relative reductions in volumetric GPP due to increases in depth. A substantial contribution was considered an increase in average cross-sectional GPP of 20% or greater, moderate 11–19%, minor 5–10%, negligible &lt;5%.</w:t>
            </w:r>
          </w:p>
        </w:tc>
      </w:tr>
    </w:tbl>
    <w:p w14:paraId="665FADBF" w14:textId="77777777" w:rsidR="00B10666" w:rsidRDefault="00B10666" w:rsidP="00B10666">
      <w:pPr>
        <w:spacing w:before="0" w:after="0" w:line="240" w:lineRule="auto"/>
        <w:jc w:val="left"/>
        <w:rPr>
          <w:color w:val="auto"/>
          <w:kern w:val="0"/>
          <w:sz w:val="18"/>
          <w:szCs w:val="18"/>
          <w:lang w:val="en-US" w:bidi="en-US"/>
        </w:rPr>
      </w:pPr>
    </w:p>
    <w:p w14:paraId="7F99737E" w14:textId="77777777" w:rsidR="00B10666" w:rsidRDefault="00B10666" w:rsidP="00B10666">
      <w:pPr>
        <w:spacing w:before="0" w:after="160" w:line="259" w:lineRule="auto"/>
        <w:jc w:val="left"/>
        <w:rPr>
          <w:color w:val="auto"/>
          <w:kern w:val="0"/>
          <w:sz w:val="18"/>
          <w:szCs w:val="18"/>
          <w:lang w:val="en-US" w:bidi="en-US"/>
        </w:rPr>
      </w:pPr>
    </w:p>
    <w:p w14:paraId="3CF09352" w14:textId="77777777" w:rsidR="00B10666" w:rsidRDefault="00B10666" w:rsidP="00B10666">
      <w:pPr>
        <w:spacing w:before="0" w:after="160" w:line="259" w:lineRule="auto"/>
        <w:jc w:val="left"/>
        <w:rPr>
          <w:color w:val="auto"/>
          <w:kern w:val="0"/>
          <w:sz w:val="18"/>
          <w:szCs w:val="18"/>
          <w:lang w:val="en-US" w:bidi="en-US"/>
        </w:rPr>
      </w:pPr>
      <w:r>
        <w:rPr>
          <w:color w:val="auto"/>
          <w:kern w:val="0"/>
          <w:sz w:val="18"/>
          <w:szCs w:val="18"/>
          <w:lang w:val="en-US" w:bidi="en-US"/>
        </w:rPr>
        <w:br w:type="page"/>
      </w:r>
    </w:p>
    <w:p w14:paraId="74509604" w14:textId="77777777" w:rsidR="00B10666" w:rsidRDefault="00B10666" w:rsidP="00B10666">
      <w:pPr>
        <w:spacing w:before="0" w:after="0" w:line="240" w:lineRule="auto"/>
        <w:jc w:val="left"/>
        <w:rPr>
          <w:color w:val="auto"/>
          <w:kern w:val="0"/>
          <w:sz w:val="18"/>
          <w:szCs w:val="18"/>
          <w:lang w:val="en-US" w:bidi="en-U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2"/>
        <w:gridCol w:w="981"/>
        <w:gridCol w:w="1275"/>
        <w:gridCol w:w="971"/>
        <w:gridCol w:w="971"/>
        <w:gridCol w:w="971"/>
        <w:gridCol w:w="971"/>
        <w:gridCol w:w="971"/>
        <w:gridCol w:w="971"/>
        <w:gridCol w:w="971"/>
        <w:gridCol w:w="486"/>
        <w:gridCol w:w="486"/>
        <w:gridCol w:w="971"/>
        <w:gridCol w:w="722"/>
      </w:tblGrid>
      <w:tr w:rsidR="00B10666" w:rsidRPr="004561A6" w14:paraId="4C16174E" w14:textId="77777777" w:rsidTr="00B245A8">
        <w:trPr>
          <w:gridAfter w:val="1"/>
          <w:cantSplit/>
          <w:trHeight w:val="20"/>
          <w:tblHeader/>
        </w:trPr>
        <w:tc>
          <w:tcPr>
            <w:tcW w:w="0" w:type="auto"/>
            <w:vMerge w:val="restart"/>
            <w:tcBorders>
              <w:top w:val="single" w:sz="4" w:space="0" w:color="auto"/>
              <w:left w:val="single" w:sz="4" w:space="0" w:color="auto"/>
              <w:right w:val="single" w:sz="4" w:space="0" w:color="auto"/>
            </w:tcBorders>
          </w:tcPr>
          <w:p w14:paraId="52980080" w14:textId="77777777" w:rsidR="00B10666" w:rsidRPr="004561A6" w:rsidRDefault="00B10666" w:rsidP="00B245A8">
            <w:pPr>
              <w:jc w:val="center"/>
              <w:rPr>
                <w:rFonts w:cs="Arial"/>
                <w:b/>
                <w:sz w:val="18"/>
                <w:szCs w:val="18"/>
              </w:rPr>
            </w:pPr>
            <w:r>
              <w:rPr>
                <w:rFonts w:cs="Arial"/>
                <w:b/>
                <w:sz w:val="18"/>
                <w:szCs w:val="18"/>
              </w:rPr>
              <w:t>CEWH</w:t>
            </w:r>
            <w:r w:rsidRPr="004561A6">
              <w:rPr>
                <w:rFonts w:cs="Arial"/>
                <w:b/>
                <w:sz w:val="18"/>
                <w:szCs w:val="18"/>
              </w:rPr>
              <w:t xml:space="preserve"> evaluation questions </w:t>
            </w:r>
          </w:p>
        </w:tc>
        <w:tc>
          <w:tcPr>
            <w:tcW w:w="0" w:type="auto"/>
            <w:gridSpan w:val="12"/>
            <w:tcBorders>
              <w:top w:val="single" w:sz="4" w:space="0" w:color="auto"/>
              <w:left w:val="single" w:sz="4" w:space="0" w:color="auto"/>
              <w:right w:val="single" w:sz="4" w:space="0" w:color="auto"/>
            </w:tcBorders>
          </w:tcPr>
          <w:p w14:paraId="2C5821D1" w14:textId="77777777" w:rsidR="00B10666" w:rsidRPr="004561A6" w:rsidRDefault="00B10666" w:rsidP="00B245A8">
            <w:pPr>
              <w:jc w:val="center"/>
              <w:rPr>
                <w:rFonts w:cs="Arial"/>
                <w:b/>
                <w:sz w:val="18"/>
                <w:szCs w:val="18"/>
              </w:rPr>
            </w:pPr>
            <w:r w:rsidRPr="004561A6">
              <w:rPr>
                <w:rFonts w:cs="Arial"/>
                <w:b/>
                <w:sz w:val="18"/>
                <w:szCs w:val="18"/>
              </w:rPr>
              <w:t>Outcomes of CEW delivery</w:t>
            </w:r>
          </w:p>
        </w:tc>
      </w:tr>
      <w:tr w:rsidR="00B10666" w:rsidRPr="004561A6" w14:paraId="1035C6D0" w14:textId="77777777" w:rsidTr="008B4826">
        <w:trPr>
          <w:cantSplit/>
          <w:trHeight w:val="20"/>
          <w:tblHeader/>
        </w:trPr>
        <w:tc>
          <w:tcPr>
            <w:tcW w:w="0" w:type="auto"/>
            <w:vMerge/>
            <w:tcBorders>
              <w:left w:val="single" w:sz="4" w:space="0" w:color="auto"/>
              <w:bottom w:val="single" w:sz="4" w:space="0" w:color="auto"/>
              <w:right w:val="single" w:sz="4" w:space="0" w:color="auto"/>
            </w:tcBorders>
          </w:tcPr>
          <w:p w14:paraId="0688F703" w14:textId="77777777" w:rsidR="00B10666" w:rsidRPr="004561A6" w:rsidRDefault="00B10666" w:rsidP="00B245A8">
            <w:pPr>
              <w:jc w:val="center"/>
              <w:rPr>
                <w:rFonts w:cs="Arial"/>
                <w:b/>
                <w:sz w:val="18"/>
                <w:szCs w:val="18"/>
              </w:rPr>
            </w:pPr>
          </w:p>
        </w:tc>
        <w:tc>
          <w:tcPr>
            <w:tcW w:w="0" w:type="auto"/>
            <w:tcBorders>
              <w:left w:val="single" w:sz="4" w:space="0" w:color="auto"/>
              <w:bottom w:val="single" w:sz="4" w:space="0" w:color="auto"/>
              <w:right w:val="single" w:sz="4" w:space="0" w:color="auto"/>
            </w:tcBorders>
          </w:tcPr>
          <w:p w14:paraId="4F78E23D" w14:textId="77777777" w:rsidR="00B10666" w:rsidRPr="004561A6" w:rsidRDefault="00B10666" w:rsidP="00B245A8">
            <w:pPr>
              <w:jc w:val="center"/>
              <w:rPr>
                <w:rFonts w:cs="Arial"/>
                <w:b/>
                <w:sz w:val="18"/>
                <w:szCs w:val="18"/>
              </w:rPr>
            </w:pPr>
            <w:r w:rsidRPr="004561A6">
              <w:rPr>
                <w:rFonts w:cs="Arial"/>
                <w:b/>
                <w:sz w:val="18"/>
                <w:szCs w:val="18"/>
              </w:rPr>
              <w:t>Site</w:t>
            </w:r>
          </w:p>
        </w:tc>
        <w:tc>
          <w:tcPr>
            <w:tcW w:w="0" w:type="auto"/>
            <w:tcBorders>
              <w:left w:val="single" w:sz="4" w:space="0" w:color="auto"/>
              <w:bottom w:val="single" w:sz="4" w:space="0" w:color="auto"/>
              <w:right w:val="single" w:sz="4" w:space="0" w:color="auto"/>
            </w:tcBorders>
            <w:vAlign w:val="bottom"/>
          </w:tcPr>
          <w:p w14:paraId="6B8C282E" w14:textId="77777777" w:rsidR="00B10666" w:rsidRPr="004561A6" w:rsidRDefault="00B10666" w:rsidP="00B245A8">
            <w:pPr>
              <w:jc w:val="center"/>
              <w:rPr>
                <w:rFonts w:cs="Arial"/>
                <w:b/>
                <w:sz w:val="18"/>
                <w:szCs w:val="18"/>
              </w:rPr>
            </w:pPr>
            <w:r w:rsidRPr="004561A6">
              <w:rPr>
                <w:rFonts w:cs="Arial"/>
                <w:b/>
                <w:sz w:val="18"/>
                <w:szCs w:val="18"/>
              </w:rPr>
              <w:t>eWater type</w:t>
            </w:r>
          </w:p>
        </w:tc>
        <w:tc>
          <w:tcPr>
            <w:tcW w:w="0" w:type="auto"/>
            <w:tcBorders>
              <w:top w:val="single" w:sz="4" w:space="0" w:color="auto"/>
              <w:left w:val="single" w:sz="4" w:space="0" w:color="auto"/>
              <w:bottom w:val="single" w:sz="4" w:space="0" w:color="auto"/>
            </w:tcBorders>
            <w:vAlign w:val="bottom"/>
          </w:tcPr>
          <w:p w14:paraId="7AEE6DBC" w14:textId="77777777" w:rsidR="00B10666" w:rsidRPr="004561A6" w:rsidRDefault="00B10666" w:rsidP="00B245A8">
            <w:pPr>
              <w:jc w:val="center"/>
              <w:rPr>
                <w:rFonts w:cs="Arial"/>
                <w:b/>
                <w:sz w:val="18"/>
                <w:szCs w:val="18"/>
              </w:rPr>
            </w:pPr>
            <w:r w:rsidRPr="004561A6">
              <w:rPr>
                <w:rFonts w:cs="Arial"/>
                <w:b/>
                <w:sz w:val="18"/>
                <w:szCs w:val="18"/>
              </w:rPr>
              <w:t>2014-15</w:t>
            </w:r>
          </w:p>
        </w:tc>
        <w:tc>
          <w:tcPr>
            <w:tcW w:w="0" w:type="auto"/>
            <w:tcBorders>
              <w:top w:val="single" w:sz="4" w:space="0" w:color="auto"/>
              <w:bottom w:val="single" w:sz="4" w:space="0" w:color="auto"/>
            </w:tcBorders>
            <w:vAlign w:val="bottom"/>
          </w:tcPr>
          <w:p w14:paraId="27F4BD69" w14:textId="77777777" w:rsidR="00B10666" w:rsidRPr="004561A6" w:rsidRDefault="00B10666" w:rsidP="00B245A8">
            <w:pPr>
              <w:jc w:val="center"/>
              <w:rPr>
                <w:rFonts w:cs="Arial"/>
                <w:b/>
                <w:sz w:val="18"/>
                <w:szCs w:val="18"/>
              </w:rPr>
            </w:pPr>
            <w:r w:rsidRPr="004561A6">
              <w:rPr>
                <w:rFonts w:cs="Arial"/>
                <w:b/>
                <w:sz w:val="18"/>
                <w:szCs w:val="18"/>
              </w:rPr>
              <w:t>2015-16</w:t>
            </w:r>
          </w:p>
        </w:tc>
        <w:tc>
          <w:tcPr>
            <w:tcW w:w="0" w:type="auto"/>
            <w:tcBorders>
              <w:top w:val="single" w:sz="4" w:space="0" w:color="auto"/>
              <w:bottom w:val="single" w:sz="4" w:space="0" w:color="auto"/>
            </w:tcBorders>
            <w:vAlign w:val="bottom"/>
          </w:tcPr>
          <w:p w14:paraId="73131F36" w14:textId="77777777" w:rsidR="00B10666" w:rsidRPr="004561A6" w:rsidRDefault="00B10666" w:rsidP="00B245A8">
            <w:pPr>
              <w:jc w:val="center"/>
              <w:rPr>
                <w:rFonts w:cs="Arial"/>
                <w:b/>
                <w:sz w:val="18"/>
                <w:szCs w:val="18"/>
              </w:rPr>
            </w:pPr>
            <w:r w:rsidRPr="004561A6">
              <w:rPr>
                <w:rFonts w:cs="Arial"/>
                <w:b/>
                <w:sz w:val="18"/>
                <w:szCs w:val="18"/>
              </w:rPr>
              <w:t>2016-17</w:t>
            </w:r>
          </w:p>
        </w:tc>
        <w:tc>
          <w:tcPr>
            <w:tcW w:w="0" w:type="auto"/>
            <w:tcBorders>
              <w:top w:val="single" w:sz="4" w:space="0" w:color="auto"/>
              <w:bottom w:val="single" w:sz="4" w:space="0" w:color="auto"/>
            </w:tcBorders>
            <w:vAlign w:val="bottom"/>
          </w:tcPr>
          <w:p w14:paraId="3FA1520E" w14:textId="77777777" w:rsidR="00B10666" w:rsidRPr="004561A6" w:rsidRDefault="00B10666" w:rsidP="00B245A8">
            <w:pPr>
              <w:jc w:val="center"/>
              <w:rPr>
                <w:rFonts w:cs="Arial"/>
                <w:b/>
                <w:sz w:val="18"/>
                <w:szCs w:val="18"/>
              </w:rPr>
            </w:pPr>
            <w:r w:rsidRPr="004561A6">
              <w:rPr>
                <w:rFonts w:cs="Arial"/>
                <w:b/>
                <w:sz w:val="18"/>
                <w:szCs w:val="18"/>
              </w:rPr>
              <w:t>2017-18</w:t>
            </w:r>
          </w:p>
        </w:tc>
        <w:tc>
          <w:tcPr>
            <w:tcW w:w="0" w:type="auto"/>
            <w:tcBorders>
              <w:top w:val="single" w:sz="4" w:space="0" w:color="auto"/>
              <w:bottom w:val="single" w:sz="4" w:space="0" w:color="auto"/>
            </w:tcBorders>
            <w:vAlign w:val="bottom"/>
          </w:tcPr>
          <w:p w14:paraId="2AD5AB3E" w14:textId="77777777" w:rsidR="00B10666" w:rsidRPr="004561A6" w:rsidRDefault="00B10666" w:rsidP="00B245A8">
            <w:pPr>
              <w:jc w:val="center"/>
              <w:rPr>
                <w:rFonts w:cs="Arial"/>
                <w:b/>
                <w:sz w:val="18"/>
                <w:szCs w:val="18"/>
              </w:rPr>
            </w:pPr>
            <w:r w:rsidRPr="004561A6">
              <w:rPr>
                <w:rFonts w:cs="Arial"/>
                <w:b/>
                <w:sz w:val="18"/>
                <w:szCs w:val="18"/>
              </w:rPr>
              <w:t>2018-19</w:t>
            </w:r>
          </w:p>
        </w:tc>
        <w:tc>
          <w:tcPr>
            <w:tcW w:w="0" w:type="auto"/>
            <w:tcBorders>
              <w:top w:val="single" w:sz="4" w:space="0" w:color="auto"/>
              <w:bottom w:val="single" w:sz="4" w:space="0" w:color="auto"/>
            </w:tcBorders>
            <w:vAlign w:val="bottom"/>
          </w:tcPr>
          <w:p w14:paraId="6217404A" w14:textId="77777777" w:rsidR="00B10666" w:rsidRPr="004561A6" w:rsidRDefault="00B10666" w:rsidP="00B245A8">
            <w:pPr>
              <w:jc w:val="center"/>
              <w:rPr>
                <w:rFonts w:cs="Arial"/>
                <w:b/>
                <w:sz w:val="18"/>
                <w:szCs w:val="18"/>
              </w:rPr>
            </w:pPr>
            <w:r w:rsidRPr="004561A6">
              <w:rPr>
                <w:rFonts w:cs="Arial"/>
                <w:b/>
                <w:sz w:val="18"/>
                <w:szCs w:val="18"/>
              </w:rPr>
              <w:t>2019-20</w:t>
            </w:r>
          </w:p>
        </w:tc>
        <w:tc>
          <w:tcPr>
            <w:tcW w:w="0" w:type="auto"/>
            <w:tcBorders>
              <w:top w:val="single" w:sz="4" w:space="0" w:color="auto"/>
              <w:bottom w:val="single" w:sz="4" w:space="0" w:color="auto"/>
            </w:tcBorders>
            <w:vAlign w:val="bottom"/>
          </w:tcPr>
          <w:p w14:paraId="310A3DC3" w14:textId="77777777" w:rsidR="00B10666" w:rsidRPr="004561A6" w:rsidRDefault="00B10666" w:rsidP="00B245A8">
            <w:pPr>
              <w:jc w:val="center"/>
              <w:rPr>
                <w:rFonts w:cs="Arial"/>
                <w:b/>
                <w:sz w:val="18"/>
                <w:szCs w:val="18"/>
              </w:rPr>
            </w:pPr>
            <w:r w:rsidRPr="004561A6">
              <w:rPr>
                <w:rFonts w:cs="Arial"/>
                <w:b/>
                <w:sz w:val="18"/>
                <w:szCs w:val="18"/>
              </w:rPr>
              <w:t>2020-21</w:t>
            </w:r>
          </w:p>
        </w:tc>
        <w:tc>
          <w:tcPr>
            <w:tcW w:w="0" w:type="auto"/>
            <w:gridSpan w:val="2"/>
            <w:tcBorders>
              <w:top w:val="single" w:sz="4" w:space="0" w:color="auto"/>
              <w:bottom w:val="single" w:sz="4" w:space="0" w:color="auto"/>
            </w:tcBorders>
            <w:vAlign w:val="bottom"/>
          </w:tcPr>
          <w:p w14:paraId="70F02460" w14:textId="77777777" w:rsidR="00B10666" w:rsidRPr="004561A6" w:rsidRDefault="00B10666" w:rsidP="00B245A8">
            <w:pPr>
              <w:jc w:val="center"/>
              <w:rPr>
                <w:rFonts w:cs="Arial"/>
                <w:b/>
                <w:sz w:val="18"/>
                <w:szCs w:val="18"/>
              </w:rPr>
            </w:pPr>
            <w:r w:rsidRPr="004561A6">
              <w:rPr>
                <w:rFonts w:cs="Arial"/>
                <w:b/>
                <w:sz w:val="18"/>
                <w:szCs w:val="18"/>
              </w:rPr>
              <w:t>2021-22</w:t>
            </w:r>
          </w:p>
        </w:tc>
        <w:tc>
          <w:tcPr>
            <w:tcW w:w="0" w:type="auto"/>
            <w:tcBorders>
              <w:top w:val="single" w:sz="4" w:space="0" w:color="auto"/>
              <w:bottom w:val="single" w:sz="4" w:space="0" w:color="auto"/>
            </w:tcBorders>
            <w:vAlign w:val="bottom"/>
          </w:tcPr>
          <w:p w14:paraId="47B05C1A" w14:textId="77777777" w:rsidR="00B10666" w:rsidRPr="004561A6" w:rsidRDefault="00B10666" w:rsidP="00B245A8">
            <w:pPr>
              <w:jc w:val="center"/>
              <w:rPr>
                <w:rFonts w:cs="Arial"/>
                <w:b/>
                <w:sz w:val="18"/>
                <w:szCs w:val="18"/>
              </w:rPr>
            </w:pPr>
            <w:r>
              <w:rPr>
                <w:rFonts w:cs="Arial"/>
                <w:b/>
                <w:sz w:val="18"/>
                <w:szCs w:val="18"/>
              </w:rPr>
              <w:t>2022-23</w:t>
            </w:r>
          </w:p>
        </w:tc>
        <w:tc>
          <w:tcPr>
            <w:tcW w:w="0" w:type="auto"/>
            <w:tcBorders>
              <w:top w:val="single" w:sz="4" w:space="0" w:color="auto"/>
              <w:bottom w:val="single" w:sz="4" w:space="0" w:color="auto"/>
            </w:tcBorders>
            <w:vAlign w:val="bottom"/>
          </w:tcPr>
          <w:p w14:paraId="53CA3A92" w14:textId="77777777" w:rsidR="00B10666" w:rsidRDefault="00B10666" w:rsidP="00B245A8">
            <w:pPr>
              <w:jc w:val="center"/>
              <w:rPr>
                <w:rFonts w:cs="Arial"/>
                <w:b/>
                <w:sz w:val="18"/>
                <w:szCs w:val="18"/>
              </w:rPr>
            </w:pPr>
            <w:r>
              <w:rPr>
                <w:rFonts w:cs="Arial"/>
                <w:b/>
                <w:sz w:val="18"/>
                <w:szCs w:val="18"/>
              </w:rPr>
              <w:t>2023-24</w:t>
            </w:r>
          </w:p>
        </w:tc>
      </w:tr>
      <w:tr w:rsidR="00B10666" w:rsidRPr="004561A6" w14:paraId="2498849F" w14:textId="77777777" w:rsidTr="00B245A8">
        <w:trPr>
          <w:gridAfter w:val="1"/>
          <w:cantSplit/>
          <w:trHeight w:val="20"/>
        </w:trPr>
        <w:tc>
          <w:tcPr>
            <w:tcW w:w="0" w:type="auto"/>
            <w:vMerge w:val="restart"/>
            <w:tcBorders>
              <w:top w:val="single" w:sz="4" w:space="0" w:color="auto"/>
              <w:left w:val="single" w:sz="4" w:space="0" w:color="auto"/>
              <w:right w:val="single" w:sz="4" w:space="0" w:color="auto"/>
            </w:tcBorders>
          </w:tcPr>
          <w:p w14:paraId="7A18CFE2" w14:textId="77777777" w:rsidR="00B10666" w:rsidRPr="004561A6" w:rsidRDefault="00B10666" w:rsidP="00B245A8">
            <w:pPr>
              <w:jc w:val="left"/>
              <w:rPr>
                <w:rFonts w:cs="Arial"/>
                <w:color w:val="auto"/>
                <w:sz w:val="18"/>
                <w:szCs w:val="18"/>
              </w:rPr>
            </w:pPr>
            <w:r w:rsidRPr="004561A6">
              <w:rPr>
                <w:sz w:val="18"/>
                <w:szCs w:val="18"/>
              </w:rPr>
              <w:t>What did CEW contribute to patterns and rates of decomposition?</w:t>
            </w:r>
          </w:p>
        </w:tc>
        <w:tc>
          <w:tcPr>
            <w:tcW w:w="0" w:type="auto"/>
            <w:vMerge w:val="restart"/>
            <w:tcBorders>
              <w:top w:val="single" w:sz="4" w:space="0" w:color="auto"/>
              <w:left w:val="single" w:sz="4" w:space="0" w:color="auto"/>
              <w:right w:val="single" w:sz="4" w:space="0" w:color="auto"/>
            </w:tcBorders>
          </w:tcPr>
          <w:p w14:paraId="24EC0564" w14:textId="77777777" w:rsidR="00B10666" w:rsidRPr="004561A6" w:rsidRDefault="00B10666" w:rsidP="00B245A8">
            <w:pPr>
              <w:jc w:val="left"/>
              <w:rPr>
                <w:rFonts w:cs="Arial"/>
                <w:color w:val="auto"/>
                <w:sz w:val="18"/>
                <w:szCs w:val="18"/>
              </w:rPr>
            </w:pPr>
            <w:r w:rsidRPr="004561A6">
              <w:rPr>
                <w:b/>
                <w:bCs/>
                <w:color w:val="auto"/>
                <w:sz w:val="18"/>
                <w:szCs w:val="18"/>
              </w:rPr>
              <w:t>DS Lock 6</w:t>
            </w:r>
          </w:p>
        </w:tc>
        <w:tc>
          <w:tcPr>
            <w:tcW w:w="0" w:type="auto"/>
            <w:tcBorders>
              <w:top w:val="single" w:sz="4" w:space="0" w:color="auto"/>
              <w:left w:val="single" w:sz="4" w:space="0" w:color="auto"/>
              <w:bottom w:val="single" w:sz="4" w:space="0" w:color="auto"/>
              <w:right w:val="single" w:sz="4" w:space="0" w:color="auto"/>
            </w:tcBorders>
          </w:tcPr>
          <w:p w14:paraId="0D97A393" w14:textId="77777777" w:rsidR="00B10666" w:rsidRPr="004561A6" w:rsidRDefault="00B10666" w:rsidP="00B245A8">
            <w:pPr>
              <w:jc w:val="left"/>
              <w:rPr>
                <w:rFonts w:cs="Arial"/>
                <w:color w:val="auto"/>
                <w:sz w:val="18"/>
                <w:szCs w:val="18"/>
              </w:rPr>
            </w:pPr>
            <w:r w:rsidRPr="004561A6">
              <w:rPr>
                <w:rFonts w:cs="Arial"/>
                <w:color w:val="auto"/>
                <w:sz w:val="18"/>
                <w:szCs w:val="18"/>
              </w:rPr>
              <w:t>All eWater</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D6AF481" w14:textId="77777777" w:rsidR="00B10666" w:rsidRPr="004561A6" w:rsidRDefault="00B10666" w:rsidP="00B245A8">
            <w:pPr>
              <w:jc w:val="left"/>
              <w:rPr>
                <w:rFonts w:cs="Arial"/>
                <w:color w:val="auto"/>
                <w:sz w:val="18"/>
                <w:szCs w:val="18"/>
              </w:rPr>
            </w:pPr>
            <w:r w:rsidRPr="004561A6">
              <w:rPr>
                <w:rFonts w:cs="Arial"/>
                <w:color w:val="auto"/>
                <w:sz w:val="18"/>
                <w:szCs w:val="18"/>
              </w:rPr>
              <w:t>5</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B32B1E2" w14:textId="77777777" w:rsidR="00B10666" w:rsidRPr="004561A6" w:rsidRDefault="00B10666" w:rsidP="00B245A8">
            <w:pPr>
              <w:jc w:val="left"/>
              <w:rPr>
                <w:rFonts w:cs="Arial"/>
                <w:color w:val="auto"/>
                <w:sz w:val="18"/>
                <w:szCs w:val="18"/>
              </w:rPr>
            </w:pPr>
            <w:r>
              <w:rPr>
                <w:rFonts w:cs="Arial"/>
                <w:color w:val="auto"/>
                <w:sz w:val="18"/>
                <w:szCs w:val="18"/>
              </w:rPr>
              <w:t>9</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2DF0DB5" w14:textId="77777777" w:rsidR="00B10666" w:rsidRPr="004561A6" w:rsidRDefault="00B10666" w:rsidP="00B245A8">
            <w:pPr>
              <w:jc w:val="left"/>
              <w:rPr>
                <w:rFonts w:cs="Arial"/>
                <w:color w:val="auto"/>
                <w:sz w:val="18"/>
                <w:szCs w:val="18"/>
              </w:rPr>
            </w:pPr>
            <w:r>
              <w:rPr>
                <w:rFonts w:cs="Arial"/>
                <w:color w:val="auto"/>
                <w:sz w:val="18"/>
                <w:szCs w:val="18"/>
              </w:rPr>
              <w:t>5</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21DB418" w14:textId="77777777" w:rsidR="00B10666" w:rsidRPr="004561A6" w:rsidRDefault="00B10666" w:rsidP="00B245A8">
            <w:pPr>
              <w:jc w:val="left"/>
              <w:rPr>
                <w:rFonts w:cs="Arial"/>
                <w:color w:val="auto"/>
                <w:sz w:val="18"/>
                <w:szCs w:val="18"/>
              </w:rPr>
            </w:pPr>
            <w:r w:rsidRPr="004561A6">
              <w:rPr>
                <w:rFonts w:cs="Arial"/>
                <w:color w:val="auto"/>
                <w:sz w:val="18"/>
                <w:szCs w:val="18"/>
              </w:rPr>
              <w:t>10</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892C04E" w14:textId="77777777" w:rsidR="00B10666" w:rsidRPr="004561A6" w:rsidRDefault="00B10666" w:rsidP="00B245A8">
            <w:pPr>
              <w:jc w:val="left"/>
              <w:rPr>
                <w:rFonts w:cs="Arial"/>
                <w:color w:val="auto"/>
                <w:sz w:val="18"/>
                <w:szCs w:val="18"/>
              </w:rPr>
            </w:pPr>
            <w:r>
              <w:rPr>
                <w:rFonts w:cs="Arial"/>
                <w:color w:val="auto"/>
                <w:sz w:val="18"/>
                <w:szCs w:val="18"/>
              </w:rPr>
              <w:t>6</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0E84409" w14:textId="77777777" w:rsidR="00B10666" w:rsidRPr="004561A6" w:rsidRDefault="00B10666" w:rsidP="00B245A8">
            <w:pPr>
              <w:jc w:val="left"/>
              <w:rPr>
                <w:rFonts w:cs="Arial"/>
                <w:color w:val="auto"/>
                <w:sz w:val="18"/>
                <w:szCs w:val="18"/>
              </w:rPr>
            </w:pPr>
            <w:r>
              <w:rPr>
                <w:rFonts w:cs="Arial"/>
                <w:color w:val="auto"/>
                <w:sz w:val="18"/>
                <w:szCs w:val="18"/>
              </w:rPr>
              <w:t>6</w:t>
            </w:r>
          </w:p>
        </w:tc>
        <w:tc>
          <w:tcPr>
            <w:tcW w:w="0" w:type="auto"/>
            <w:tcBorders>
              <w:top w:val="single" w:sz="4" w:space="0" w:color="auto"/>
              <w:left w:val="single" w:sz="4" w:space="0" w:color="auto"/>
              <w:bottom w:val="single" w:sz="4" w:space="0" w:color="auto"/>
              <w:right w:val="single" w:sz="4" w:space="0" w:color="auto"/>
            </w:tcBorders>
            <w:shd w:val="clear" w:color="auto" w:fill="70AD47" w:themeFill="accent6"/>
          </w:tcPr>
          <w:p w14:paraId="2986D3A1" w14:textId="77777777" w:rsidR="00B10666" w:rsidRPr="004561A6" w:rsidRDefault="00B10666" w:rsidP="00B245A8">
            <w:pPr>
              <w:jc w:val="left"/>
              <w:rPr>
                <w:rFonts w:cs="Arial"/>
                <w:color w:val="auto"/>
                <w:sz w:val="18"/>
                <w:szCs w:val="18"/>
              </w:rPr>
            </w:pPr>
            <w:r w:rsidRPr="004561A6">
              <w:rPr>
                <w:rFonts w:cs="Arial"/>
                <w:color w:val="auto"/>
                <w:sz w:val="18"/>
                <w:szCs w:val="18"/>
              </w:rPr>
              <w:t>1</w:t>
            </w:r>
            <w:r>
              <w:rPr>
                <w:rFonts w:cs="Arial"/>
                <w:color w:val="auto"/>
                <w:sz w:val="18"/>
                <w:szCs w:val="18"/>
              </w:rPr>
              <w:t>3</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4719078" w14:textId="77777777" w:rsidR="00B10666" w:rsidRPr="004561A6" w:rsidRDefault="00B10666" w:rsidP="00B245A8">
            <w:pPr>
              <w:jc w:val="left"/>
              <w:rPr>
                <w:rFonts w:cs="Arial"/>
                <w:color w:val="auto"/>
                <w:sz w:val="18"/>
                <w:szCs w:val="18"/>
              </w:rPr>
            </w:pPr>
            <w:r w:rsidRPr="004561A6">
              <w:rPr>
                <w:rFonts w:cs="Arial"/>
                <w:color w:val="auto"/>
                <w:sz w:val="18"/>
                <w:szCs w:val="18"/>
              </w:rPr>
              <w:t>6</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3C0224A" w14:textId="77777777" w:rsidR="00B10666" w:rsidRPr="004561A6" w:rsidRDefault="00B10666" w:rsidP="00B245A8">
            <w:pPr>
              <w:jc w:val="left"/>
              <w:rPr>
                <w:rFonts w:cs="Arial"/>
                <w:color w:val="auto"/>
                <w:sz w:val="18"/>
                <w:szCs w:val="18"/>
              </w:rPr>
            </w:pPr>
            <w:r>
              <w:rPr>
                <w:rFonts w:cs="Arial"/>
                <w:color w:val="auto"/>
                <w:sz w:val="18"/>
                <w:szCs w:val="18"/>
              </w:rPr>
              <w:t>1</w:t>
            </w:r>
          </w:p>
        </w:tc>
        <w:tc>
          <w:tcPr>
            <w:tcW w:w="0" w:type="auto"/>
            <w:tcBorders>
              <w:top w:val="single" w:sz="4" w:space="0" w:color="auto"/>
              <w:left w:val="single" w:sz="4" w:space="0" w:color="auto"/>
              <w:bottom w:val="single" w:sz="4" w:space="0" w:color="auto"/>
              <w:right w:val="single" w:sz="4" w:space="0" w:color="auto"/>
            </w:tcBorders>
            <w:shd w:val="clear" w:color="auto" w:fill="70AD47" w:themeFill="accent6"/>
          </w:tcPr>
          <w:p w14:paraId="7CF02A6D" w14:textId="77777777" w:rsidR="00B10666" w:rsidRDefault="00B10666" w:rsidP="00B245A8">
            <w:pPr>
              <w:jc w:val="left"/>
              <w:rPr>
                <w:rFonts w:cs="Arial"/>
                <w:color w:val="auto"/>
                <w:sz w:val="18"/>
                <w:szCs w:val="18"/>
              </w:rPr>
            </w:pPr>
            <w:r>
              <w:rPr>
                <w:rFonts w:cs="Arial"/>
                <w:color w:val="auto"/>
                <w:sz w:val="18"/>
                <w:szCs w:val="18"/>
              </w:rPr>
              <w:t>15</w:t>
            </w:r>
          </w:p>
        </w:tc>
      </w:tr>
      <w:tr w:rsidR="00B10666" w:rsidRPr="004561A6" w14:paraId="470FC226" w14:textId="77777777" w:rsidTr="00B245A8">
        <w:trPr>
          <w:gridAfter w:val="1"/>
          <w:cantSplit/>
          <w:trHeight w:val="512"/>
        </w:trPr>
        <w:tc>
          <w:tcPr>
            <w:tcW w:w="0" w:type="auto"/>
            <w:vMerge/>
            <w:tcBorders>
              <w:left w:val="single" w:sz="4" w:space="0" w:color="auto"/>
              <w:right w:val="single" w:sz="4" w:space="0" w:color="auto"/>
            </w:tcBorders>
          </w:tcPr>
          <w:p w14:paraId="0A248655" w14:textId="77777777" w:rsidR="00B10666" w:rsidRPr="004561A6" w:rsidRDefault="00B10666" w:rsidP="00B245A8">
            <w:pPr>
              <w:jc w:val="left"/>
              <w:rPr>
                <w:sz w:val="18"/>
                <w:szCs w:val="18"/>
              </w:rPr>
            </w:pPr>
          </w:p>
        </w:tc>
        <w:tc>
          <w:tcPr>
            <w:tcW w:w="0" w:type="auto"/>
            <w:vMerge/>
            <w:tcBorders>
              <w:left w:val="single" w:sz="4" w:space="0" w:color="auto"/>
              <w:right w:val="single" w:sz="4" w:space="0" w:color="auto"/>
            </w:tcBorders>
          </w:tcPr>
          <w:p w14:paraId="364211B1" w14:textId="77777777" w:rsidR="00B10666" w:rsidRPr="004561A6" w:rsidRDefault="00B10666" w:rsidP="00B245A8">
            <w:pPr>
              <w:jc w:val="left"/>
              <w:rPr>
                <w:rFonts w:cs="Arial"/>
                <w:color w:val="auto"/>
                <w:sz w:val="18"/>
                <w:szCs w:val="18"/>
              </w:rPr>
            </w:pPr>
          </w:p>
        </w:tc>
        <w:tc>
          <w:tcPr>
            <w:tcW w:w="0" w:type="auto"/>
            <w:tcBorders>
              <w:top w:val="single" w:sz="4" w:space="0" w:color="auto"/>
              <w:left w:val="single" w:sz="4" w:space="0" w:color="auto"/>
              <w:right w:val="single" w:sz="4" w:space="0" w:color="auto"/>
            </w:tcBorders>
          </w:tcPr>
          <w:p w14:paraId="1FAD9097" w14:textId="77777777" w:rsidR="00B10666" w:rsidRPr="004561A6" w:rsidRDefault="00B10666" w:rsidP="00B245A8">
            <w:pPr>
              <w:jc w:val="left"/>
              <w:rPr>
                <w:rFonts w:cs="Arial"/>
                <w:color w:val="auto"/>
                <w:sz w:val="18"/>
                <w:szCs w:val="18"/>
              </w:rPr>
            </w:pPr>
            <w:r w:rsidRPr="004561A6">
              <w:rPr>
                <w:rFonts w:cs="Arial"/>
                <w:color w:val="auto"/>
                <w:sz w:val="18"/>
                <w:szCs w:val="18"/>
              </w:rPr>
              <w:t>CEW</w:t>
            </w:r>
          </w:p>
        </w:tc>
        <w:tc>
          <w:tcPr>
            <w:tcW w:w="0" w:type="auto"/>
            <w:tcBorders>
              <w:top w:val="single" w:sz="4" w:space="0" w:color="auto"/>
              <w:left w:val="single" w:sz="4" w:space="0" w:color="auto"/>
              <w:right w:val="single" w:sz="4" w:space="0" w:color="auto"/>
            </w:tcBorders>
            <w:shd w:val="clear" w:color="auto" w:fill="A8D08D" w:themeFill="accent6" w:themeFillTint="99"/>
          </w:tcPr>
          <w:p w14:paraId="6090A9CD" w14:textId="77777777" w:rsidR="00B10666" w:rsidRPr="004561A6" w:rsidRDefault="00B10666" w:rsidP="00B245A8">
            <w:pPr>
              <w:jc w:val="left"/>
              <w:rPr>
                <w:rFonts w:cs="Arial"/>
                <w:color w:val="auto"/>
                <w:sz w:val="18"/>
                <w:szCs w:val="18"/>
              </w:rPr>
            </w:pPr>
            <w:r>
              <w:rPr>
                <w:rFonts w:cs="Arial"/>
                <w:color w:val="auto"/>
                <w:sz w:val="18"/>
                <w:szCs w:val="18"/>
              </w:rPr>
              <w:t>5</w:t>
            </w:r>
          </w:p>
        </w:tc>
        <w:tc>
          <w:tcPr>
            <w:tcW w:w="0" w:type="auto"/>
            <w:tcBorders>
              <w:top w:val="single" w:sz="4" w:space="0" w:color="auto"/>
              <w:left w:val="single" w:sz="4" w:space="0" w:color="auto"/>
              <w:right w:val="single" w:sz="4" w:space="0" w:color="auto"/>
            </w:tcBorders>
            <w:shd w:val="clear" w:color="auto" w:fill="A8D08D" w:themeFill="accent6" w:themeFillTint="99"/>
          </w:tcPr>
          <w:p w14:paraId="28CEF91D" w14:textId="77777777" w:rsidR="00B10666" w:rsidRPr="004561A6" w:rsidRDefault="00B10666" w:rsidP="00B245A8">
            <w:pPr>
              <w:jc w:val="left"/>
              <w:rPr>
                <w:rFonts w:cs="Arial"/>
                <w:color w:val="auto"/>
                <w:sz w:val="18"/>
                <w:szCs w:val="18"/>
              </w:rPr>
            </w:pPr>
            <w:r>
              <w:rPr>
                <w:rFonts w:cs="Arial"/>
                <w:color w:val="auto"/>
                <w:sz w:val="18"/>
                <w:szCs w:val="18"/>
              </w:rPr>
              <w:t>9</w:t>
            </w:r>
          </w:p>
        </w:tc>
        <w:tc>
          <w:tcPr>
            <w:tcW w:w="0" w:type="auto"/>
            <w:tcBorders>
              <w:top w:val="single" w:sz="4" w:space="0" w:color="auto"/>
              <w:left w:val="single" w:sz="4" w:space="0" w:color="auto"/>
              <w:right w:val="single" w:sz="4" w:space="0" w:color="auto"/>
            </w:tcBorders>
            <w:shd w:val="clear" w:color="auto" w:fill="E2EFD9" w:themeFill="accent6" w:themeFillTint="33"/>
          </w:tcPr>
          <w:p w14:paraId="273786A2" w14:textId="77777777" w:rsidR="00B10666" w:rsidRPr="004561A6" w:rsidRDefault="00B10666" w:rsidP="00B245A8">
            <w:pPr>
              <w:jc w:val="left"/>
              <w:rPr>
                <w:rFonts w:cs="Arial"/>
                <w:color w:val="auto"/>
                <w:sz w:val="18"/>
                <w:szCs w:val="18"/>
              </w:rPr>
            </w:pPr>
            <w:r>
              <w:rPr>
                <w:rFonts w:cs="Arial"/>
                <w:color w:val="auto"/>
                <w:sz w:val="18"/>
                <w:szCs w:val="18"/>
              </w:rPr>
              <w:t>3</w:t>
            </w:r>
          </w:p>
        </w:tc>
        <w:tc>
          <w:tcPr>
            <w:tcW w:w="0" w:type="auto"/>
            <w:tcBorders>
              <w:top w:val="single" w:sz="4" w:space="0" w:color="auto"/>
              <w:left w:val="single" w:sz="4" w:space="0" w:color="auto"/>
              <w:right w:val="single" w:sz="4" w:space="0" w:color="auto"/>
            </w:tcBorders>
            <w:shd w:val="clear" w:color="auto" w:fill="A8D08D" w:themeFill="accent6" w:themeFillTint="99"/>
          </w:tcPr>
          <w:p w14:paraId="1834B811" w14:textId="77777777" w:rsidR="00B10666" w:rsidRPr="004561A6" w:rsidRDefault="00B10666" w:rsidP="00B245A8">
            <w:pPr>
              <w:jc w:val="left"/>
              <w:rPr>
                <w:rFonts w:cs="Arial"/>
                <w:color w:val="auto"/>
                <w:sz w:val="18"/>
                <w:szCs w:val="18"/>
              </w:rPr>
            </w:pPr>
            <w:r>
              <w:rPr>
                <w:rFonts w:cs="Arial"/>
                <w:color w:val="auto"/>
                <w:sz w:val="18"/>
                <w:szCs w:val="18"/>
              </w:rPr>
              <w:t>8</w:t>
            </w:r>
          </w:p>
        </w:tc>
        <w:tc>
          <w:tcPr>
            <w:tcW w:w="0" w:type="auto"/>
            <w:tcBorders>
              <w:top w:val="single" w:sz="4" w:space="0" w:color="auto"/>
              <w:left w:val="single" w:sz="4" w:space="0" w:color="auto"/>
              <w:right w:val="single" w:sz="4" w:space="0" w:color="auto"/>
            </w:tcBorders>
            <w:shd w:val="clear" w:color="auto" w:fill="A8D08D" w:themeFill="accent6" w:themeFillTint="99"/>
          </w:tcPr>
          <w:p w14:paraId="39861508" w14:textId="77777777" w:rsidR="00B10666" w:rsidRPr="004561A6" w:rsidRDefault="00B10666" w:rsidP="00B245A8">
            <w:pPr>
              <w:jc w:val="left"/>
              <w:rPr>
                <w:rFonts w:cs="Arial"/>
                <w:color w:val="auto"/>
                <w:sz w:val="18"/>
                <w:szCs w:val="18"/>
              </w:rPr>
            </w:pPr>
            <w:r>
              <w:rPr>
                <w:rFonts w:cs="Arial"/>
                <w:color w:val="auto"/>
                <w:sz w:val="18"/>
                <w:szCs w:val="18"/>
              </w:rPr>
              <w:t>6</w:t>
            </w:r>
          </w:p>
        </w:tc>
        <w:tc>
          <w:tcPr>
            <w:tcW w:w="0" w:type="auto"/>
            <w:tcBorders>
              <w:top w:val="single" w:sz="4" w:space="0" w:color="auto"/>
              <w:left w:val="single" w:sz="4" w:space="0" w:color="auto"/>
              <w:right w:val="single" w:sz="4" w:space="0" w:color="auto"/>
            </w:tcBorders>
            <w:shd w:val="clear" w:color="auto" w:fill="A8D08D" w:themeFill="accent6" w:themeFillTint="99"/>
          </w:tcPr>
          <w:p w14:paraId="67E197DD" w14:textId="77777777" w:rsidR="00B10666" w:rsidRPr="004561A6" w:rsidRDefault="00B10666" w:rsidP="00B245A8">
            <w:pPr>
              <w:jc w:val="left"/>
              <w:rPr>
                <w:rFonts w:cs="Arial"/>
                <w:color w:val="auto"/>
                <w:sz w:val="18"/>
                <w:szCs w:val="18"/>
              </w:rPr>
            </w:pPr>
            <w:r>
              <w:rPr>
                <w:rFonts w:cs="Arial"/>
                <w:color w:val="auto"/>
                <w:sz w:val="18"/>
                <w:szCs w:val="18"/>
              </w:rPr>
              <w:t>5</w:t>
            </w:r>
          </w:p>
        </w:tc>
        <w:tc>
          <w:tcPr>
            <w:tcW w:w="0" w:type="auto"/>
            <w:tcBorders>
              <w:top w:val="single" w:sz="4" w:space="0" w:color="auto"/>
              <w:left w:val="single" w:sz="4" w:space="0" w:color="auto"/>
              <w:right w:val="single" w:sz="4" w:space="0" w:color="auto"/>
            </w:tcBorders>
            <w:shd w:val="clear" w:color="auto" w:fill="70AD47" w:themeFill="accent6"/>
          </w:tcPr>
          <w:p w14:paraId="548BEFD2" w14:textId="77777777" w:rsidR="00B10666" w:rsidRPr="004561A6" w:rsidRDefault="00B10666" w:rsidP="00B245A8">
            <w:pPr>
              <w:jc w:val="left"/>
              <w:rPr>
                <w:rFonts w:cs="Arial"/>
                <w:color w:val="auto"/>
                <w:sz w:val="18"/>
                <w:szCs w:val="18"/>
              </w:rPr>
            </w:pPr>
            <w:r w:rsidRPr="004561A6">
              <w:rPr>
                <w:rFonts w:cs="Arial"/>
                <w:color w:val="auto"/>
                <w:sz w:val="18"/>
                <w:szCs w:val="18"/>
              </w:rPr>
              <w:t>1</w:t>
            </w:r>
            <w:r>
              <w:rPr>
                <w:rFonts w:cs="Arial"/>
                <w:color w:val="auto"/>
                <w:sz w:val="18"/>
                <w:szCs w:val="18"/>
              </w:rPr>
              <w:t>1</w:t>
            </w:r>
          </w:p>
        </w:tc>
        <w:tc>
          <w:tcPr>
            <w:tcW w:w="0" w:type="auto"/>
            <w:tcBorders>
              <w:top w:val="single" w:sz="4" w:space="0" w:color="auto"/>
              <w:left w:val="single" w:sz="4" w:space="0" w:color="auto"/>
              <w:right w:val="single" w:sz="4" w:space="0" w:color="auto"/>
            </w:tcBorders>
            <w:shd w:val="clear" w:color="auto" w:fill="E2EFD9" w:themeFill="accent6" w:themeFillTint="33"/>
          </w:tcPr>
          <w:p w14:paraId="177C32C5" w14:textId="77777777" w:rsidR="00B10666" w:rsidRPr="004561A6" w:rsidRDefault="00B10666" w:rsidP="00B245A8">
            <w:pPr>
              <w:jc w:val="left"/>
              <w:rPr>
                <w:rFonts w:cs="Arial"/>
                <w:color w:val="auto"/>
                <w:sz w:val="18"/>
                <w:szCs w:val="18"/>
              </w:rPr>
            </w:pPr>
            <w:r w:rsidRPr="004561A6">
              <w:rPr>
                <w:rFonts w:cs="Arial"/>
                <w:color w:val="auto"/>
                <w:sz w:val="18"/>
                <w:szCs w:val="18"/>
              </w:rPr>
              <w:t>4</w:t>
            </w:r>
          </w:p>
        </w:tc>
        <w:tc>
          <w:tcPr>
            <w:tcW w:w="0" w:type="auto"/>
            <w:tcBorders>
              <w:top w:val="single" w:sz="4" w:space="0" w:color="auto"/>
              <w:left w:val="single" w:sz="4" w:space="0" w:color="auto"/>
              <w:right w:val="single" w:sz="4" w:space="0" w:color="auto"/>
            </w:tcBorders>
            <w:shd w:val="clear" w:color="auto" w:fill="E2EFD9" w:themeFill="accent6" w:themeFillTint="33"/>
          </w:tcPr>
          <w:p w14:paraId="12B45D20" w14:textId="77777777" w:rsidR="00B10666" w:rsidRPr="004561A6" w:rsidRDefault="00B10666" w:rsidP="00B245A8">
            <w:pPr>
              <w:jc w:val="left"/>
              <w:rPr>
                <w:rFonts w:cs="Arial"/>
                <w:color w:val="auto"/>
                <w:sz w:val="18"/>
                <w:szCs w:val="18"/>
              </w:rPr>
            </w:pPr>
            <w:r>
              <w:rPr>
                <w:rFonts w:cs="Arial"/>
                <w:color w:val="auto"/>
                <w:sz w:val="18"/>
                <w:szCs w:val="18"/>
              </w:rPr>
              <w:t>1</w:t>
            </w:r>
          </w:p>
        </w:tc>
        <w:tc>
          <w:tcPr>
            <w:tcW w:w="0" w:type="auto"/>
            <w:tcBorders>
              <w:top w:val="single" w:sz="4" w:space="0" w:color="auto"/>
              <w:left w:val="single" w:sz="4" w:space="0" w:color="auto"/>
              <w:right w:val="single" w:sz="4" w:space="0" w:color="auto"/>
            </w:tcBorders>
            <w:shd w:val="clear" w:color="auto" w:fill="A8D08D" w:themeFill="accent6" w:themeFillTint="99"/>
          </w:tcPr>
          <w:p w14:paraId="2C6558E3" w14:textId="77777777" w:rsidR="00B10666" w:rsidRDefault="00B10666" w:rsidP="00B245A8">
            <w:pPr>
              <w:jc w:val="left"/>
              <w:rPr>
                <w:rFonts w:cs="Arial"/>
                <w:color w:val="auto"/>
                <w:sz w:val="18"/>
                <w:szCs w:val="18"/>
              </w:rPr>
            </w:pPr>
            <w:r>
              <w:rPr>
                <w:rFonts w:cs="Arial"/>
                <w:color w:val="auto"/>
                <w:sz w:val="18"/>
                <w:szCs w:val="18"/>
              </w:rPr>
              <w:t>10</w:t>
            </w:r>
          </w:p>
        </w:tc>
      </w:tr>
      <w:tr w:rsidR="00B10666" w:rsidRPr="004561A6" w14:paraId="7DC47788" w14:textId="77777777" w:rsidTr="00A43430">
        <w:trPr>
          <w:gridAfter w:val="1"/>
          <w:cantSplit/>
          <w:trHeight w:val="383"/>
        </w:trPr>
        <w:tc>
          <w:tcPr>
            <w:tcW w:w="0" w:type="auto"/>
            <w:vMerge/>
            <w:tcBorders>
              <w:left w:val="single" w:sz="4" w:space="0" w:color="auto"/>
              <w:right w:val="single" w:sz="4" w:space="0" w:color="auto"/>
            </w:tcBorders>
          </w:tcPr>
          <w:p w14:paraId="429802CC" w14:textId="77777777" w:rsidR="00B10666" w:rsidRPr="004561A6" w:rsidRDefault="00B10666" w:rsidP="00B245A8">
            <w:pPr>
              <w:jc w:val="left"/>
              <w:rPr>
                <w:sz w:val="18"/>
                <w:szCs w:val="18"/>
              </w:rPr>
            </w:pPr>
          </w:p>
        </w:tc>
        <w:tc>
          <w:tcPr>
            <w:tcW w:w="0" w:type="auto"/>
            <w:vMerge w:val="restart"/>
            <w:tcBorders>
              <w:left w:val="single" w:sz="4" w:space="0" w:color="auto"/>
              <w:right w:val="single" w:sz="4" w:space="0" w:color="auto"/>
            </w:tcBorders>
          </w:tcPr>
          <w:p w14:paraId="5CB02187" w14:textId="77777777" w:rsidR="00B10666" w:rsidRPr="004561A6" w:rsidRDefault="00B10666" w:rsidP="00B245A8">
            <w:pPr>
              <w:jc w:val="left"/>
              <w:rPr>
                <w:rFonts w:cs="Arial"/>
                <w:color w:val="auto"/>
                <w:sz w:val="18"/>
                <w:szCs w:val="18"/>
              </w:rPr>
            </w:pPr>
            <w:r w:rsidRPr="004561A6">
              <w:rPr>
                <w:b/>
                <w:bCs/>
                <w:color w:val="auto"/>
                <w:sz w:val="18"/>
                <w:szCs w:val="18"/>
              </w:rPr>
              <w:t>DS Lock 4</w:t>
            </w:r>
          </w:p>
        </w:tc>
        <w:tc>
          <w:tcPr>
            <w:tcW w:w="0" w:type="auto"/>
            <w:tcBorders>
              <w:top w:val="single" w:sz="4" w:space="0" w:color="auto"/>
              <w:left w:val="single" w:sz="4" w:space="0" w:color="auto"/>
              <w:right w:val="single" w:sz="4" w:space="0" w:color="auto"/>
            </w:tcBorders>
          </w:tcPr>
          <w:p w14:paraId="6C031494" w14:textId="77777777" w:rsidR="00B10666" w:rsidRPr="004561A6" w:rsidRDefault="00B10666" w:rsidP="00B245A8">
            <w:pPr>
              <w:jc w:val="left"/>
              <w:rPr>
                <w:rFonts w:cs="Arial"/>
                <w:color w:val="auto"/>
                <w:sz w:val="18"/>
                <w:szCs w:val="18"/>
              </w:rPr>
            </w:pPr>
            <w:r w:rsidRPr="004561A6">
              <w:rPr>
                <w:rFonts w:cs="Arial"/>
                <w:color w:val="auto"/>
                <w:sz w:val="18"/>
                <w:szCs w:val="18"/>
              </w:rPr>
              <w:t>All eWater</w:t>
            </w:r>
          </w:p>
        </w:tc>
        <w:tc>
          <w:tcPr>
            <w:tcW w:w="0" w:type="auto"/>
            <w:tcBorders>
              <w:top w:val="single" w:sz="4" w:space="0" w:color="auto"/>
              <w:left w:val="single" w:sz="4" w:space="0" w:color="auto"/>
              <w:right w:val="single" w:sz="4" w:space="0" w:color="auto"/>
            </w:tcBorders>
            <w:shd w:val="clear" w:color="auto" w:fill="D9D9D9" w:themeFill="background1" w:themeFillShade="D9"/>
          </w:tcPr>
          <w:p w14:paraId="4D39581E" w14:textId="77777777" w:rsidR="00B10666" w:rsidRPr="004561A6" w:rsidRDefault="00B10666" w:rsidP="00B245A8">
            <w:pPr>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2BF65589" w14:textId="77777777" w:rsidR="00B10666" w:rsidRPr="004561A6" w:rsidRDefault="00B10666" w:rsidP="00B245A8">
            <w:pPr>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243C2C0F" w14:textId="77777777" w:rsidR="00B10666" w:rsidRPr="004561A6" w:rsidRDefault="00B10666" w:rsidP="00B245A8">
            <w:pPr>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3372F346" w14:textId="77777777" w:rsidR="00B10666" w:rsidRPr="004561A6" w:rsidRDefault="00B10666" w:rsidP="00B245A8">
            <w:pPr>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5BEB8444" w14:textId="77777777" w:rsidR="00B10666" w:rsidRPr="004561A6" w:rsidRDefault="00B10666" w:rsidP="00B245A8">
            <w:pPr>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A8D08D" w:themeFill="accent6" w:themeFillTint="99"/>
          </w:tcPr>
          <w:p w14:paraId="753E1B9D" w14:textId="77777777" w:rsidR="00B10666" w:rsidRPr="004561A6" w:rsidRDefault="00B10666" w:rsidP="00B245A8">
            <w:pPr>
              <w:jc w:val="left"/>
              <w:rPr>
                <w:rFonts w:cs="Arial"/>
                <w:color w:val="auto"/>
                <w:sz w:val="18"/>
                <w:szCs w:val="18"/>
              </w:rPr>
            </w:pPr>
            <w:r w:rsidRPr="004561A6">
              <w:rPr>
                <w:rFonts w:cs="Arial"/>
                <w:color w:val="auto"/>
                <w:sz w:val="18"/>
                <w:szCs w:val="18"/>
              </w:rPr>
              <w:t>5</w:t>
            </w:r>
          </w:p>
        </w:tc>
        <w:tc>
          <w:tcPr>
            <w:tcW w:w="0" w:type="auto"/>
            <w:tcBorders>
              <w:top w:val="single" w:sz="4" w:space="0" w:color="auto"/>
              <w:left w:val="single" w:sz="4" w:space="0" w:color="auto"/>
              <w:right w:val="single" w:sz="4" w:space="0" w:color="auto"/>
            </w:tcBorders>
            <w:shd w:val="clear" w:color="auto" w:fill="70AD47" w:themeFill="accent6"/>
          </w:tcPr>
          <w:p w14:paraId="6AB639FD" w14:textId="77777777" w:rsidR="00B10666" w:rsidRPr="004561A6" w:rsidRDefault="00B10666" w:rsidP="00B245A8">
            <w:pPr>
              <w:jc w:val="left"/>
              <w:rPr>
                <w:rFonts w:cs="Arial"/>
                <w:color w:val="auto"/>
                <w:sz w:val="18"/>
                <w:szCs w:val="18"/>
              </w:rPr>
            </w:pPr>
            <w:r w:rsidRPr="004561A6">
              <w:rPr>
                <w:rFonts w:cs="Arial"/>
                <w:color w:val="auto"/>
                <w:sz w:val="18"/>
                <w:szCs w:val="18"/>
              </w:rPr>
              <w:t>12</w:t>
            </w:r>
          </w:p>
        </w:tc>
        <w:tc>
          <w:tcPr>
            <w:tcW w:w="0" w:type="auto"/>
            <w:tcBorders>
              <w:top w:val="single" w:sz="4" w:space="0" w:color="auto"/>
              <w:left w:val="single" w:sz="4" w:space="0" w:color="auto"/>
              <w:right w:val="single" w:sz="4" w:space="0" w:color="auto"/>
            </w:tcBorders>
            <w:shd w:val="clear" w:color="auto" w:fill="A8D08D" w:themeFill="accent6" w:themeFillTint="99"/>
          </w:tcPr>
          <w:p w14:paraId="6BDB84BC" w14:textId="77777777" w:rsidR="00B10666" w:rsidRPr="004561A6" w:rsidRDefault="00B10666" w:rsidP="00B245A8">
            <w:pPr>
              <w:jc w:val="left"/>
              <w:rPr>
                <w:rFonts w:cs="Arial"/>
                <w:color w:val="auto"/>
                <w:sz w:val="18"/>
                <w:szCs w:val="18"/>
              </w:rPr>
            </w:pPr>
            <w:r w:rsidRPr="004561A6">
              <w:rPr>
                <w:rFonts w:cs="Arial"/>
                <w:color w:val="auto"/>
                <w:sz w:val="18"/>
                <w:szCs w:val="18"/>
              </w:rPr>
              <w:t>6</w:t>
            </w:r>
          </w:p>
        </w:tc>
        <w:tc>
          <w:tcPr>
            <w:tcW w:w="0" w:type="auto"/>
            <w:tcBorders>
              <w:top w:val="single" w:sz="4" w:space="0" w:color="auto"/>
              <w:left w:val="single" w:sz="4" w:space="0" w:color="auto"/>
              <w:right w:val="single" w:sz="4" w:space="0" w:color="auto"/>
            </w:tcBorders>
            <w:shd w:val="clear" w:color="auto" w:fill="E2EFD9" w:themeFill="accent6" w:themeFillTint="33"/>
          </w:tcPr>
          <w:p w14:paraId="5F801ABA" w14:textId="77777777" w:rsidR="00B10666" w:rsidRPr="004561A6" w:rsidRDefault="00B10666" w:rsidP="00B245A8">
            <w:pPr>
              <w:jc w:val="left"/>
              <w:rPr>
                <w:rFonts w:cs="Arial"/>
                <w:color w:val="auto"/>
                <w:sz w:val="18"/>
                <w:szCs w:val="18"/>
              </w:rPr>
            </w:pPr>
            <w:r>
              <w:rPr>
                <w:rFonts w:cs="Arial"/>
                <w:color w:val="auto"/>
                <w:sz w:val="18"/>
                <w:szCs w:val="18"/>
              </w:rPr>
              <w:t>1</w:t>
            </w:r>
          </w:p>
        </w:tc>
        <w:tc>
          <w:tcPr>
            <w:tcW w:w="0" w:type="auto"/>
            <w:tcBorders>
              <w:top w:val="single" w:sz="4" w:space="0" w:color="auto"/>
              <w:left w:val="single" w:sz="4" w:space="0" w:color="auto"/>
              <w:right w:val="single" w:sz="4" w:space="0" w:color="auto"/>
            </w:tcBorders>
            <w:shd w:val="clear" w:color="auto" w:fill="70AD47" w:themeFill="accent6"/>
          </w:tcPr>
          <w:p w14:paraId="508E4A47" w14:textId="77777777" w:rsidR="00B10666" w:rsidRDefault="00B10666" w:rsidP="00B245A8">
            <w:pPr>
              <w:jc w:val="left"/>
              <w:rPr>
                <w:rFonts w:cs="Arial"/>
                <w:color w:val="auto"/>
                <w:sz w:val="18"/>
                <w:szCs w:val="18"/>
              </w:rPr>
            </w:pPr>
            <w:r>
              <w:rPr>
                <w:rFonts w:cs="Arial"/>
                <w:color w:val="auto"/>
                <w:sz w:val="18"/>
                <w:szCs w:val="18"/>
              </w:rPr>
              <w:t>12</w:t>
            </w:r>
          </w:p>
        </w:tc>
      </w:tr>
      <w:tr w:rsidR="00B10666" w:rsidRPr="004561A6" w14:paraId="4C1C60D0" w14:textId="77777777" w:rsidTr="00B245A8">
        <w:trPr>
          <w:gridAfter w:val="1"/>
          <w:cantSplit/>
          <w:trHeight w:val="507"/>
        </w:trPr>
        <w:tc>
          <w:tcPr>
            <w:tcW w:w="0" w:type="auto"/>
            <w:vMerge/>
            <w:tcBorders>
              <w:left w:val="single" w:sz="4" w:space="0" w:color="auto"/>
              <w:right w:val="single" w:sz="4" w:space="0" w:color="auto"/>
            </w:tcBorders>
          </w:tcPr>
          <w:p w14:paraId="752A9244" w14:textId="77777777" w:rsidR="00B10666" w:rsidRPr="004561A6" w:rsidRDefault="00B10666" w:rsidP="00B245A8">
            <w:pPr>
              <w:jc w:val="left"/>
              <w:rPr>
                <w:sz w:val="18"/>
                <w:szCs w:val="18"/>
              </w:rPr>
            </w:pPr>
          </w:p>
        </w:tc>
        <w:tc>
          <w:tcPr>
            <w:tcW w:w="0" w:type="auto"/>
            <w:vMerge/>
            <w:tcBorders>
              <w:left w:val="single" w:sz="4" w:space="0" w:color="auto"/>
              <w:right w:val="single" w:sz="4" w:space="0" w:color="auto"/>
            </w:tcBorders>
          </w:tcPr>
          <w:p w14:paraId="7D3A3043" w14:textId="77777777" w:rsidR="00B10666" w:rsidRPr="004561A6" w:rsidRDefault="00B10666" w:rsidP="00B245A8">
            <w:pPr>
              <w:jc w:val="left"/>
              <w:rPr>
                <w:rFonts w:cs="Arial"/>
                <w:color w:val="auto"/>
                <w:sz w:val="18"/>
                <w:szCs w:val="18"/>
              </w:rPr>
            </w:pPr>
          </w:p>
        </w:tc>
        <w:tc>
          <w:tcPr>
            <w:tcW w:w="0" w:type="auto"/>
            <w:tcBorders>
              <w:top w:val="single" w:sz="4" w:space="0" w:color="auto"/>
              <w:left w:val="single" w:sz="4" w:space="0" w:color="auto"/>
              <w:right w:val="single" w:sz="4" w:space="0" w:color="auto"/>
            </w:tcBorders>
          </w:tcPr>
          <w:p w14:paraId="3C5A7A65" w14:textId="77777777" w:rsidR="00B10666" w:rsidRPr="004561A6" w:rsidRDefault="00B10666" w:rsidP="00B245A8">
            <w:pPr>
              <w:jc w:val="left"/>
              <w:rPr>
                <w:rFonts w:cs="Arial"/>
                <w:color w:val="auto"/>
                <w:sz w:val="18"/>
                <w:szCs w:val="18"/>
              </w:rPr>
            </w:pPr>
            <w:r w:rsidRPr="004561A6">
              <w:rPr>
                <w:rFonts w:cs="Arial"/>
                <w:color w:val="auto"/>
                <w:sz w:val="18"/>
                <w:szCs w:val="18"/>
              </w:rPr>
              <w:t>CEW</w:t>
            </w:r>
          </w:p>
        </w:tc>
        <w:tc>
          <w:tcPr>
            <w:tcW w:w="0" w:type="auto"/>
            <w:tcBorders>
              <w:top w:val="single" w:sz="4" w:space="0" w:color="auto"/>
              <w:left w:val="single" w:sz="4" w:space="0" w:color="auto"/>
              <w:right w:val="single" w:sz="4" w:space="0" w:color="auto"/>
            </w:tcBorders>
            <w:shd w:val="clear" w:color="auto" w:fill="D9D9D9" w:themeFill="background1" w:themeFillShade="D9"/>
          </w:tcPr>
          <w:p w14:paraId="76163880" w14:textId="77777777" w:rsidR="00B10666" w:rsidRPr="004561A6" w:rsidRDefault="00B10666" w:rsidP="00B245A8">
            <w:pPr>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4D826F19" w14:textId="77777777" w:rsidR="00B10666" w:rsidRPr="004561A6" w:rsidRDefault="00B10666" w:rsidP="00B245A8">
            <w:pPr>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1FED01CD" w14:textId="77777777" w:rsidR="00B10666" w:rsidRPr="004561A6" w:rsidRDefault="00B10666" w:rsidP="00B245A8">
            <w:pPr>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626AE8A4" w14:textId="77777777" w:rsidR="00B10666" w:rsidRPr="004561A6" w:rsidRDefault="00B10666" w:rsidP="00B245A8">
            <w:pPr>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D9D9D9" w:themeFill="background1" w:themeFillShade="D9"/>
          </w:tcPr>
          <w:p w14:paraId="3A6BCD3F" w14:textId="77777777" w:rsidR="00B10666" w:rsidRPr="004561A6" w:rsidRDefault="00B10666" w:rsidP="00B245A8">
            <w:pPr>
              <w:jc w:val="left"/>
              <w:rPr>
                <w:rFonts w:cs="Arial"/>
                <w:color w:val="auto"/>
                <w:sz w:val="18"/>
                <w:szCs w:val="18"/>
              </w:rPr>
            </w:pPr>
          </w:p>
        </w:tc>
        <w:tc>
          <w:tcPr>
            <w:tcW w:w="0" w:type="auto"/>
            <w:tcBorders>
              <w:top w:val="single" w:sz="4" w:space="0" w:color="auto"/>
              <w:left w:val="single" w:sz="4" w:space="0" w:color="auto"/>
              <w:right w:val="single" w:sz="4" w:space="0" w:color="auto"/>
            </w:tcBorders>
            <w:shd w:val="clear" w:color="auto" w:fill="A8D08D" w:themeFill="accent6" w:themeFillTint="99"/>
          </w:tcPr>
          <w:p w14:paraId="54ADB26B" w14:textId="77777777" w:rsidR="00B10666" w:rsidRPr="004561A6" w:rsidRDefault="00B10666" w:rsidP="00B245A8">
            <w:pPr>
              <w:jc w:val="left"/>
              <w:rPr>
                <w:rFonts w:cs="Arial"/>
                <w:color w:val="auto"/>
                <w:sz w:val="18"/>
                <w:szCs w:val="18"/>
              </w:rPr>
            </w:pPr>
            <w:r w:rsidRPr="004561A6">
              <w:rPr>
                <w:rFonts w:cs="Arial"/>
                <w:color w:val="auto"/>
                <w:sz w:val="18"/>
                <w:szCs w:val="18"/>
              </w:rPr>
              <w:t>5</w:t>
            </w:r>
          </w:p>
        </w:tc>
        <w:tc>
          <w:tcPr>
            <w:tcW w:w="0" w:type="auto"/>
            <w:tcBorders>
              <w:top w:val="single" w:sz="4" w:space="0" w:color="auto"/>
              <w:left w:val="single" w:sz="4" w:space="0" w:color="auto"/>
              <w:right w:val="single" w:sz="4" w:space="0" w:color="auto"/>
            </w:tcBorders>
            <w:shd w:val="clear" w:color="auto" w:fill="A8D08D" w:themeFill="accent6" w:themeFillTint="99"/>
          </w:tcPr>
          <w:p w14:paraId="26A2861E" w14:textId="77777777" w:rsidR="00B10666" w:rsidRPr="004561A6" w:rsidRDefault="00B10666" w:rsidP="00B245A8">
            <w:pPr>
              <w:jc w:val="left"/>
              <w:rPr>
                <w:rFonts w:cs="Arial"/>
                <w:color w:val="auto"/>
                <w:sz w:val="18"/>
                <w:szCs w:val="18"/>
              </w:rPr>
            </w:pPr>
            <w:r w:rsidRPr="004561A6">
              <w:rPr>
                <w:rFonts w:cs="Arial"/>
                <w:color w:val="auto"/>
                <w:sz w:val="18"/>
                <w:szCs w:val="18"/>
              </w:rPr>
              <w:t>9</w:t>
            </w:r>
          </w:p>
        </w:tc>
        <w:tc>
          <w:tcPr>
            <w:tcW w:w="0" w:type="auto"/>
            <w:tcBorders>
              <w:top w:val="single" w:sz="4" w:space="0" w:color="auto"/>
              <w:left w:val="single" w:sz="4" w:space="0" w:color="auto"/>
              <w:right w:val="single" w:sz="4" w:space="0" w:color="auto"/>
            </w:tcBorders>
            <w:shd w:val="clear" w:color="auto" w:fill="E2EFD9" w:themeFill="accent6" w:themeFillTint="33"/>
          </w:tcPr>
          <w:p w14:paraId="43FFFF2B" w14:textId="77777777" w:rsidR="00B10666" w:rsidRPr="004561A6" w:rsidRDefault="00B10666" w:rsidP="00B245A8">
            <w:pPr>
              <w:jc w:val="left"/>
              <w:rPr>
                <w:rFonts w:cs="Arial"/>
                <w:color w:val="auto"/>
                <w:sz w:val="18"/>
                <w:szCs w:val="18"/>
              </w:rPr>
            </w:pPr>
            <w:r w:rsidRPr="004561A6">
              <w:rPr>
                <w:rFonts w:cs="Arial"/>
                <w:color w:val="auto"/>
                <w:sz w:val="18"/>
                <w:szCs w:val="18"/>
              </w:rPr>
              <w:t>4</w:t>
            </w:r>
          </w:p>
        </w:tc>
        <w:tc>
          <w:tcPr>
            <w:tcW w:w="0" w:type="auto"/>
            <w:tcBorders>
              <w:top w:val="single" w:sz="4" w:space="0" w:color="auto"/>
              <w:left w:val="single" w:sz="4" w:space="0" w:color="auto"/>
              <w:right w:val="single" w:sz="4" w:space="0" w:color="auto"/>
            </w:tcBorders>
            <w:shd w:val="clear" w:color="auto" w:fill="E2EFD9" w:themeFill="accent6" w:themeFillTint="33"/>
          </w:tcPr>
          <w:p w14:paraId="4EECFF65" w14:textId="77777777" w:rsidR="00B10666" w:rsidRPr="004561A6" w:rsidRDefault="00B10666" w:rsidP="00B245A8">
            <w:pPr>
              <w:jc w:val="left"/>
              <w:rPr>
                <w:rFonts w:cs="Arial"/>
                <w:color w:val="auto"/>
                <w:sz w:val="18"/>
                <w:szCs w:val="18"/>
              </w:rPr>
            </w:pPr>
            <w:r>
              <w:rPr>
                <w:rFonts w:cs="Arial"/>
                <w:color w:val="auto"/>
                <w:sz w:val="18"/>
                <w:szCs w:val="18"/>
              </w:rPr>
              <w:t>1</w:t>
            </w:r>
          </w:p>
        </w:tc>
        <w:tc>
          <w:tcPr>
            <w:tcW w:w="0" w:type="auto"/>
            <w:tcBorders>
              <w:top w:val="single" w:sz="4" w:space="0" w:color="auto"/>
              <w:left w:val="single" w:sz="4" w:space="0" w:color="auto"/>
              <w:right w:val="single" w:sz="4" w:space="0" w:color="auto"/>
            </w:tcBorders>
            <w:shd w:val="clear" w:color="auto" w:fill="70AD47" w:themeFill="accent6"/>
          </w:tcPr>
          <w:p w14:paraId="750E994F" w14:textId="77777777" w:rsidR="00B10666" w:rsidRDefault="00B10666" w:rsidP="00B245A8">
            <w:pPr>
              <w:jc w:val="left"/>
              <w:rPr>
                <w:rFonts w:cs="Arial"/>
                <w:color w:val="auto"/>
                <w:sz w:val="18"/>
                <w:szCs w:val="18"/>
              </w:rPr>
            </w:pPr>
            <w:r>
              <w:rPr>
                <w:rFonts w:cs="Arial"/>
                <w:color w:val="auto"/>
                <w:sz w:val="18"/>
                <w:szCs w:val="18"/>
              </w:rPr>
              <w:t>11</w:t>
            </w:r>
          </w:p>
        </w:tc>
      </w:tr>
      <w:tr w:rsidR="00B10666" w:rsidRPr="004561A6" w14:paraId="189F2A29" w14:textId="77777777" w:rsidTr="00A43430">
        <w:trPr>
          <w:gridAfter w:val="1"/>
          <w:cantSplit/>
          <w:trHeight w:val="496"/>
        </w:trPr>
        <w:tc>
          <w:tcPr>
            <w:tcW w:w="0" w:type="auto"/>
            <w:vMerge/>
            <w:tcBorders>
              <w:left w:val="single" w:sz="4" w:space="0" w:color="auto"/>
              <w:right w:val="single" w:sz="4" w:space="0" w:color="auto"/>
            </w:tcBorders>
          </w:tcPr>
          <w:p w14:paraId="77BAE1CD" w14:textId="77777777" w:rsidR="00B10666" w:rsidRPr="004561A6" w:rsidRDefault="00B10666" w:rsidP="00B245A8">
            <w:pPr>
              <w:jc w:val="left"/>
              <w:rPr>
                <w:sz w:val="18"/>
                <w:szCs w:val="18"/>
              </w:rPr>
            </w:pPr>
          </w:p>
        </w:tc>
        <w:tc>
          <w:tcPr>
            <w:tcW w:w="0" w:type="auto"/>
            <w:vMerge w:val="restart"/>
            <w:tcBorders>
              <w:left w:val="single" w:sz="4" w:space="0" w:color="auto"/>
              <w:right w:val="single" w:sz="4" w:space="0" w:color="auto"/>
            </w:tcBorders>
          </w:tcPr>
          <w:p w14:paraId="5775784C" w14:textId="77777777" w:rsidR="00B10666" w:rsidRPr="004561A6" w:rsidRDefault="00B10666" w:rsidP="00B245A8">
            <w:pPr>
              <w:jc w:val="left"/>
              <w:rPr>
                <w:rFonts w:cs="Arial"/>
                <w:color w:val="auto"/>
                <w:sz w:val="18"/>
                <w:szCs w:val="18"/>
              </w:rPr>
            </w:pPr>
            <w:r w:rsidRPr="004561A6">
              <w:rPr>
                <w:b/>
                <w:bCs/>
                <w:color w:val="auto"/>
                <w:sz w:val="18"/>
                <w:szCs w:val="18"/>
              </w:rPr>
              <w:t>DS Lock 1</w:t>
            </w:r>
          </w:p>
        </w:tc>
        <w:tc>
          <w:tcPr>
            <w:tcW w:w="0" w:type="auto"/>
            <w:tcBorders>
              <w:top w:val="single" w:sz="4" w:space="0" w:color="auto"/>
              <w:left w:val="single" w:sz="4" w:space="0" w:color="auto"/>
              <w:right w:val="single" w:sz="4" w:space="0" w:color="auto"/>
            </w:tcBorders>
          </w:tcPr>
          <w:p w14:paraId="5094DB24" w14:textId="77777777" w:rsidR="00B10666" w:rsidRPr="004561A6" w:rsidRDefault="00B10666" w:rsidP="00B245A8">
            <w:pPr>
              <w:jc w:val="left"/>
              <w:rPr>
                <w:rFonts w:cs="Arial"/>
                <w:color w:val="auto"/>
                <w:sz w:val="18"/>
                <w:szCs w:val="18"/>
              </w:rPr>
            </w:pPr>
            <w:r w:rsidRPr="004561A6">
              <w:rPr>
                <w:rFonts w:cs="Arial"/>
                <w:color w:val="auto"/>
                <w:sz w:val="18"/>
                <w:szCs w:val="18"/>
              </w:rPr>
              <w:t>All eWater</w:t>
            </w:r>
          </w:p>
        </w:tc>
        <w:tc>
          <w:tcPr>
            <w:tcW w:w="0" w:type="auto"/>
            <w:tcBorders>
              <w:top w:val="single" w:sz="4" w:space="0" w:color="auto"/>
              <w:left w:val="single" w:sz="4" w:space="0" w:color="auto"/>
              <w:right w:val="single" w:sz="4" w:space="0" w:color="auto"/>
            </w:tcBorders>
            <w:shd w:val="clear" w:color="auto" w:fill="A8D08D" w:themeFill="accent6" w:themeFillTint="99"/>
          </w:tcPr>
          <w:p w14:paraId="79A7E49E" w14:textId="77777777" w:rsidR="00B10666" w:rsidRPr="004561A6" w:rsidRDefault="00B10666" w:rsidP="00B245A8">
            <w:pPr>
              <w:jc w:val="left"/>
              <w:rPr>
                <w:rFonts w:cs="Arial"/>
                <w:color w:val="auto"/>
                <w:sz w:val="18"/>
                <w:szCs w:val="18"/>
              </w:rPr>
            </w:pPr>
            <w:r>
              <w:rPr>
                <w:rFonts w:cs="Arial"/>
                <w:color w:val="auto"/>
                <w:sz w:val="18"/>
                <w:szCs w:val="18"/>
              </w:rPr>
              <w:t>5</w:t>
            </w:r>
          </w:p>
        </w:tc>
        <w:tc>
          <w:tcPr>
            <w:tcW w:w="0" w:type="auto"/>
            <w:tcBorders>
              <w:top w:val="single" w:sz="4" w:space="0" w:color="auto"/>
              <w:left w:val="single" w:sz="4" w:space="0" w:color="auto"/>
              <w:right w:val="single" w:sz="4" w:space="0" w:color="auto"/>
            </w:tcBorders>
            <w:shd w:val="clear" w:color="auto" w:fill="A8D08D" w:themeFill="accent6" w:themeFillTint="99"/>
          </w:tcPr>
          <w:p w14:paraId="38FA7ADC" w14:textId="77777777" w:rsidR="00B10666" w:rsidRPr="004561A6" w:rsidRDefault="00B10666" w:rsidP="00B245A8">
            <w:pPr>
              <w:jc w:val="left"/>
              <w:rPr>
                <w:rFonts w:cs="Arial"/>
                <w:color w:val="auto"/>
                <w:sz w:val="18"/>
                <w:szCs w:val="18"/>
              </w:rPr>
            </w:pPr>
            <w:r>
              <w:rPr>
                <w:rFonts w:cs="Arial"/>
                <w:color w:val="auto"/>
                <w:sz w:val="18"/>
                <w:szCs w:val="18"/>
              </w:rPr>
              <w:t>8</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C480E54" w14:textId="77777777" w:rsidR="00B10666" w:rsidRPr="004561A6" w:rsidRDefault="00B10666" w:rsidP="00B245A8">
            <w:pPr>
              <w:jc w:val="left"/>
              <w:rPr>
                <w:rFonts w:cs="Arial"/>
                <w:color w:val="auto"/>
                <w:sz w:val="18"/>
                <w:szCs w:val="18"/>
              </w:rPr>
            </w:pPr>
            <w:r>
              <w:rPr>
                <w:rFonts w:cs="Arial"/>
                <w:color w:val="auto"/>
                <w:sz w:val="18"/>
                <w:szCs w:val="18"/>
              </w:rPr>
              <w:t>5</w:t>
            </w:r>
          </w:p>
        </w:tc>
        <w:tc>
          <w:tcPr>
            <w:tcW w:w="0" w:type="auto"/>
            <w:tcBorders>
              <w:top w:val="single" w:sz="4" w:space="0" w:color="auto"/>
              <w:left w:val="single" w:sz="4" w:space="0" w:color="auto"/>
              <w:right w:val="single" w:sz="4" w:space="0" w:color="auto"/>
            </w:tcBorders>
            <w:shd w:val="clear" w:color="auto" w:fill="A8D08D" w:themeFill="accent6" w:themeFillTint="99"/>
          </w:tcPr>
          <w:p w14:paraId="735AA67F" w14:textId="77777777" w:rsidR="00B10666" w:rsidRPr="004561A6" w:rsidRDefault="00B10666" w:rsidP="00B245A8">
            <w:pPr>
              <w:jc w:val="left"/>
              <w:rPr>
                <w:rFonts w:cs="Arial"/>
                <w:color w:val="auto"/>
                <w:sz w:val="18"/>
                <w:szCs w:val="18"/>
              </w:rPr>
            </w:pPr>
            <w:r>
              <w:rPr>
                <w:rFonts w:cs="Arial"/>
                <w:color w:val="auto"/>
                <w:sz w:val="18"/>
                <w:szCs w:val="18"/>
              </w:rPr>
              <w:t>6</w:t>
            </w:r>
          </w:p>
        </w:tc>
        <w:tc>
          <w:tcPr>
            <w:tcW w:w="0" w:type="auto"/>
            <w:tcBorders>
              <w:top w:val="single" w:sz="4" w:space="0" w:color="auto"/>
              <w:left w:val="single" w:sz="4" w:space="0" w:color="auto"/>
              <w:right w:val="single" w:sz="4" w:space="0" w:color="auto"/>
            </w:tcBorders>
            <w:shd w:val="clear" w:color="auto" w:fill="A8D08D" w:themeFill="accent6" w:themeFillTint="99"/>
          </w:tcPr>
          <w:p w14:paraId="77B24B3F" w14:textId="77777777" w:rsidR="00B10666" w:rsidRPr="004561A6" w:rsidRDefault="00B10666" w:rsidP="00B245A8">
            <w:pPr>
              <w:jc w:val="left"/>
              <w:rPr>
                <w:rFonts w:cs="Arial"/>
                <w:color w:val="auto"/>
                <w:sz w:val="18"/>
                <w:szCs w:val="18"/>
              </w:rPr>
            </w:pPr>
            <w:r>
              <w:rPr>
                <w:rFonts w:cs="Arial"/>
                <w:color w:val="auto"/>
                <w:sz w:val="18"/>
                <w:szCs w:val="18"/>
              </w:rPr>
              <w:t>10</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DFDAC7F" w14:textId="77777777" w:rsidR="00B10666" w:rsidRPr="004561A6" w:rsidRDefault="00B10666" w:rsidP="00B245A8">
            <w:pPr>
              <w:jc w:val="left"/>
              <w:rPr>
                <w:rFonts w:cs="Arial"/>
                <w:color w:val="auto"/>
                <w:sz w:val="18"/>
                <w:szCs w:val="18"/>
              </w:rPr>
            </w:pPr>
            <w:r w:rsidRPr="004561A6">
              <w:rPr>
                <w:rFonts w:cs="Arial"/>
                <w:color w:val="auto"/>
                <w:sz w:val="18"/>
                <w:szCs w:val="18"/>
              </w:rPr>
              <w:t>7</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7CF3A4F" w14:textId="77777777" w:rsidR="00B10666" w:rsidRPr="004561A6" w:rsidRDefault="00B10666" w:rsidP="00B245A8">
            <w:pPr>
              <w:jc w:val="left"/>
              <w:rPr>
                <w:rFonts w:cs="Arial"/>
                <w:color w:val="auto"/>
                <w:sz w:val="18"/>
                <w:szCs w:val="18"/>
              </w:rPr>
            </w:pPr>
            <w:r>
              <w:rPr>
                <w:rFonts w:cs="Arial"/>
                <w:color w:val="auto"/>
                <w:sz w:val="18"/>
                <w:szCs w:val="18"/>
              </w:rPr>
              <w:t>6</w:t>
            </w:r>
          </w:p>
        </w:tc>
        <w:tc>
          <w:tcPr>
            <w:tcW w:w="0" w:type="auto"/>
            <w:tcBorders>
              <w:top w:val="single" w:sz="4" w:space="0" w:color="auto"/>
              <w:left w:val="single" w:sz="4" w:space="0" w:color="auto"/>
              <w:right w:val="single" w:sz="4" w:space="0" w:color="auto"/>
            </w:tcBorders>
            <w:shd w:val="clear" w:color="auto" w:fill="A8D08D" w:themeFill="accent6" w:themeFillTint="99"/>
          </w:tcPr>
          <w:p w14:paraId="43FCCF0D" w14:textId="77777777" w:rsidR="00B10666" w:rsidRPr="004561A6" w:rsidRDefault="00B10666" w:rsidP="00B245A8">
            <w:pPr>
              <w:jc w:val="left"/>
              <w:rPr>
                <w:rFonts w:cs="Arial"/>
                <w:color w:val="auto"/>
                <w:sz w:val="18"/>
                <w:szCs w:val="18"/>
              </w:rPr>
            </w:pPr>
            <w:r>
              <w:rPr>
                <w:rFonts w:cs="Arial"/>
                <w:color w:val="auto"/>
                <w:sz w:val="18"/>
                <w:szCs w:val="18"/>
              </w:rPr>
              <w:t>6</w:t>
            </w:r>
          </w:p>
        </w:tc>
        <w:tc>
          <w:tcPr>
            <w:tcW w:w="0" w:type="auto"/>
            <w:tcBorders>
              <w:top w:val="single" w:sz="4" w:space="0" w:color="auto"/>
              <w:left w:val="single" w:sz="4" w:space="0" w:color="auto"/>
              <w:right w:val="single" w:sz="4" w:space="0" w:color="auto"/>
            </w:tcBorders>
            <w:shd w:val="clear" w:color="auto" w:fill="E2EFD9" w:themeFill="accent6" w:themeFillTint="33"/>
          </w:tcPr>
          <w:p w14:paraId="54A00435" w14:textId="77777777" w:rsidR="00B10666" w:rsidRPr="004561A6" w:rsidRDefault="00B10666" w:rsidP="00B245A8">
            <w:pPr>
              <w:jc w:val="left"/>
              <w:rPr>
                <w:rFonts w:cs="Arial"/>
                <w:color w:val="auto"/>
                <w:sz w:val="18"/>
                <w:szCs w:val="18"/>
              </w:rPr>
            </w:pPr>
            <w:r>
              <w:rPr>
                <w:rFonts w:cs="Arial"/>
                <w:color w:val="auto"/>
                <w:sz w:val="18"/>
                <w:szCs w:val="18"/>
              </w:rPr>
              <w:t>3</w:t>
            </w:r>
          </w:p>
        </w:tc>
        <w:tc>
          <w:tcPr>
            <w:tcW w:w="0" w:type="auto"/>
            <w:tcBorders>
              <w:top w:val="single" w:sz="4" w:space="0" w:color="auto"/>
              <w:left w:val="single" w:sz="4" w:space="0" w:color="auto"/>
              <w:right w:val="single" w:sz="4" w:space="0" w:color="auto"/>
            </w:tcBorders>
            <w:shd w:val="clear" w:color="auto" w:fill="70AD47" w:themeFill="accent6"/>
          </w:tcPr>
          <w:p w14:paraId="19CE40F8" w14:textId="77777777" w:rsidR="00B10666" w:rsidRDefault="00B10666" w:rsidP="00B245A8">
            <w:pPr>
              <w:jc w:val="left"/>
              <w:rPr>
                <w:rFonts w:cs="Arial"/>
                <w:color w:val="auto"/>
                <w:sz w:val="18"/>
                <w:szCs w:val="18"/>
              </w:rPr>
            </w:pPr>
            <w:r>
              <w:rPr>
                <w:rFonts w:cs="Arial"/>
                <w:color w:val="auto"/>
                <w:sz w:val="18"/>
                <w:szCs w:val="18"/>
              </w:rPr>
              <w:t>12</w:t>
            </w:r>
          </w:p>
        </w:tc>
      </w:tr>
      <w:tr w:rsidR="00B10666" w:rsidRPr="004561A6" w14:paraId="426EDD83" w14:textId="77777777" w:rsidTr="00A43430">
        <w:trPr>
          <w:gridAfter w:val="1"/>
          <w:cantSplit/>
          <w:trHeight w:val="290"/>
        </w:trPr>
        <w:tc>
          <w:tcPr>
            <w:tcW w:w="0" w:type="auto"/>
            <w:vMerge/>
            <w:tcBorders>
              <w:left w:val="single" w:sz="4" w:space="0" w:color="auto"/>
              <w:right w:val="single" w:sz="4" w:space="0" w:color="auto"/>
            </w:tcBorders>
          </w:tcPr>
          <w:p w14:paraId="2D2125FC" w14:textId="77777777" w:rsidR="00B10666" w:rsidRPr="004561A6" w:rsidRDefault="00B10666" w:rsidP="00B245A8">
            <w:pPr>
              <w:jc w:val="left"/>
              <w:rPr>
                <w:sz w:val="18"/>
                <w:szCs w:val="18"/>
              </w:rPr>
            </w:pPr>
          </w:p>
        </w:tc>
        <w:tc>
          <w:tcPr>
            <w:tcW w:w="0" w:type="auto"/>
            <w:vMerge/>
            <w:tcBorders>
              <w:left w:val="single" w:sz="4" w:space="0" w:color="auto"/>
              <w:bottom w:val="single" w:sz="4" w:space="0" w:color="auto"/>
              <w:right w:val="single" w:sz="4" w:space="0" w:color="auto"/>
            </w:tcBorders>
          </w:tcPr>
          <w:p w14:paraId="6BBB0C23" w14:textId="77777777" w:rsidR="00B10666" w:rsidRPr="004561A6" w:rsidRDefault="00B10666" w:rsidP="00B245A8">
            <w:pPr>
              <w:jc w:val="left"/>
              <w:rPr>
                <w:rFonts w:cs="Arial"/>
                <w:color w:val="auto"/>
                <w:sz w:val="18"/>
                <w:szCs w:val="18"/>
              </w:rPr>
            </w:pPr>
          </w:p>
        </w:tc>
        <w:tc>
          <w:tcPr>
            <w:tcW w:w="0" w:type="auto"/>
            <w:tcBorders>
              <w:top w:val="single" w:sz="4" w:space="0" w:color="auto"/>
              <w:left w:val="single" w:sz="4" w:space="0" w:color="auto"/>
              <w:bottom w:val="single" w:sz="4" w:space="0" w:color="auto"/>
              <w:right w:val="single" w:sz="4" w:space="0" w:color="auto"/>
            </w:tcBorders>
          </w:tcPr>
          <w:p w14:paraId="01CD8185" w14:textId="77777777" w:rsidR="00B10666" w:rsidRPr="004561A6" w:rsidRDefault="00B10666" w:rsidP="00B245A8">
            <w:pPr>
              <w:jc w:val="left"/>
              <w:rPr>
                <w:rFonts w:cs="Arial"/>
                <w:color w:val="auto"/>
                <w:sz w:val="18"/>
                <w:szCs w:val="18"/>
              </w:rPr>
            </w:pPr>
            <w:r w:rsidRPr="004561A6">
              <w:rPr>
                <w:rFonts w:cs="Arial"/>
                <w:color w:val="auto"/>
                <w:sz w:val="18"/>
                <w:szCs w:val="18"/>
              </w:rPr>
              <w:t>CEW</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3EE86E2" w14:textId="77777777" w:rsidR="00B10666" w:rsidRPr="004561A6" w:rsidRDefault="00B10666" w:rsidP="00B245A8">
            <w:pPr>
              <w:jc w:val="left"/>
              <w:rPr>
                <w:rFonts w:cs="Arial"/>
                <w:color w:val="auto"/>
                <w:sz w:val="18"/>
                <w:szCs w:val="18"/>
              </w:rPr>
            </w:pPr>
            <w:r>
              <w:rPr>
                <w:rFonts w:cs="Arial"/>
                <w:color w:val="auto"/>
                <w:sz w:val="18"/>
                <w:szCs w:val="18"/>
              </w:rPr>
              <w:t>5</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0B97574" w14:textId="77777777" w:rsidR="00B10666" w:rsidRPr="004561A6" w:rsidRDefault="00B10666" w:rsidP="00B245A8">
            <w:pPr>
              <w:jc w:val="left"/>
              <w:rPr>
                <w:rFonts w:cs="Arial"/>
                <w:color w:val="auto"/>
                <w:sz w:val="18"/>
                <w:szCs w:val="18"/>
              </w:rPr>
            </w:pPr>
            <w:r>
              <w:rPr>
                <w:rFonts w:cs="Arial"/>
                <w:color w:val="auto"/>
                <w:sz w:val="18"/>
                <w:szCs w:val="18"/>
              </w:rPr>
              <w:t>8</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5DBBC74" w14:textId="77777777" w:rsidR="00B10666" w:rsidRPr="004561A6" w:rsidRDefault="00B10666" w:rsidP="00B245A8">
            <w:pPr>
              <w:jc w:val="left"/>
              <w:rPr>
                <w:rFonts w:cs="Arial"/>
                <w:color w:val="auto"/>
                <w:sz w:val="18"/>
                <w:szCs w:val="18"/>
              </w:rPr>
            </w:pPr>
            <w:r>
              <w:rPr>
                <w:rFonts w:cs="Arial"/>
                <w:color w:val="auto"/>
                <w:sz w:val="18"/>
                <w:szCs w:val="18"/>
              </w:rPr>
              <w:t>4</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9D99BC2" w14:textId="77777777" w:rsidR="00B10666" w:rsidRPr="004561A6" w:rsidRDefault="00B10666" w:rsidP="00B245A8">
            <w:pPr>
              <w:jc w:val="left"/>
              <w:rPr>
                <w:rFonts w:cs="Arial"/>
                <w:color w:val="auto"/>
                <w:sz w:val="18"/>
                <w:szCs w:val="18"/>
              </w:rPr>
            </w:pPr>
            <w:r>
              <w:rPr>
                <w:rFonts w:cs="Arial"/>
                <w:color w:val="auto"/>
                <w:sz w:val="18"/>
                <w:szCs w:val="18"/>
              </w:rPr>
              <w:t>5</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C3957B6" w14:textId="77777777" w:rsidR="00B10666" w:rsidRPr="004561A6" w:rsidRDefault="00B10666" w:rsidP="00B245A8">
            <w:pPr>
              <w:jc w:val="left"/>
              <w:rPr>
                <w:rFonts w:cs="Arial"/>
                <w:color w:val="auto"/>
                <w:sz w:val="18"/>
                <w:szCs w:val="18"/>
              </w:rPr>
            </w:pPr>
            <w:r>
              <w:rPr>
                <w:rFonts w:cs="Arial"/>
                <w:color w:val="auto"/>
                <w:sz w:val="18"/>
                <w:szCs w:val="18"/>
              </w:rPr>
              <w:t>9</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EE6D316" w14:textId="77777777" w:rsidR="00B10666" w:rsidRPr="004561A6" w:rsidRDefault="00B10666" w:rsidP="00B245A8">
            <w:pPr>
              <w:jc w:val="left"/>
              <w:rPr>
                <w:rFonts w:cs="Arial"/>
                <w:color w:val="auto"/>
                <w:sz w:val="18"/>
                <w:szCs w:val="18"/>
              </w:rPr>
            </w:pPr>
            <w:r w:rsidRPr="004561A6">
              <w:rPr>
                <w:rFonts w:cs="Arial"/>
                <w:color w:val="auto"/>
                <w:sz w:val="18"/>
                <w:szCs w:val="18"/>
              </w:rPr>
              <w:t>4</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83CB109" w14:textId="77777777" w:rsidR="00B10666" w:rsidRPr="004561A6" w:rsidRDefault="00B10666" w:rsidP="00B245A8">
            <w:pPr>
              <w:jc w:val="left"/>
              <w:rPr>
                <w:rFonts w:cs="Arial"/>
                <w:color w:val="auto"/>
                <w:sz w:val="18"/>
                <w:szCs w:val="18"/>
              </w:rPr>
            </w:pPr>
            <w:r>
              <w:rPr>
                <w:rFonts w:cs="Arial"/>
                <w:color w:val="auto"/>
                <w:sz w:val="18"/>
                <w:szCs w:val="18"/>
              </w:rPr>
              <w:t>4</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B606907" w14:textId="77777777" w:rsidR="00B10666" w:rsidRPr="004561A6" w:rsidRDefault="00B10666" w:rsidP="00B245A8">
            <w:pPr>
              <w:jc w:val="left"/>
              <w:rPr>
                <w:rFonts w:cs="Arial"/>
                <w:color w:val="auto"/>
                <w:sz w:val="18"/>
                <w:szCs w:val="18"/>
              </w:rPr>
            </w:pPr>
            <w:r>
              <w:rPr>
                <w:rFonts w:cs="Arial"/>
                <w:color w:val="auto"/>
                <w:sz w:val="18"/>
                <w:szCs w:val="18"/>
              </w:rPr>
              <w:t>5</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CAA2BAC" w14:textId="77777777" w:rsidR="00B10666" w:rsidRPr="004561A6" w:rsidRDefault="00B10666" w:rsidP="00B245A8">
            <w:pPr>
              <w:jc w:val="left"/>
              <w:rPr>
                <w:rFonts w:cs="Arial"/>
                <w:color w:val="auto"/>
                <w:sz w:val="18"/>
                <w:szCs w:val="18"/>
              </w:rPr>
            </w:pPr>
            <w:r>
              <w:rPr>
                <w:rFonts w:cs="Arial"/>
                <w:color w:val="auto"/>
                <w:sz w:val="18"/>
                <w:szCs w:val="18"/>
              </w:rPr>
              <w:t>3</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75A68AF" w14:textId="77777777" w:rsidR="00B10666" w:rsidRDefault="00B10666" w:rsidP="00B245A8">
            <w:pPr>
              <w:jc w:val="left"/>
              <w:rPr>
                <w:rFonts w:cs="Arial"/>
                <w:color w:val="auto"/>
                <w:sz w:val="18"/>
                <w:szCs w:val="18"/>
              </w:rPr>
            </w:pPr>
            <w:r>
              <w:rPr>
                <w:rFonts w:cs="Arial"/>
                <w:color w:val="auto"/>
                <w:sz w:val="18"/>
                <w:szCs w:val="18"/>
              </w:rPr>
              <w:t>9</w:t>
            </w:r>
          </w:p>
        </w:tc>
      </w:tr>
      <w:tr w:rsidR="00B10666" w:rsidRPr="004561A6" w14:paraId="42F4A492" w14:textId="77777777" w:rsidTr="00B245A8">
        <w:trPr>
          <w:gridAfter w:val="1"/>
          <w:cantSplit/>
          <w:trHeight w:val="2064"/>
        </w:trPr>
        <w:tc>
          <w:tcPr>
            <w:tcW w:w="0" w:type="auto"/>
            <w:vMerge/>
            <w:tcBorders>
              <w:left w:val="single" w:sz="4" w:space="0" w:color="auto"/>
              <w:bottom w:val="single" w:sz="4" w:space="0" w:color="auto"/>
              <w:right w:val="single" w:sz="4" w:space="0" w:color="auto"/>
            </w:tcBorders>
          </w:tcPr>
          <w:p w14:paraId="3234BF8F" w14:textId="77777777" w:rsidR="00B10666" w:rsidRPr="004561A6" w:rsidRDefault="00B10666" w:rsidP="00B245A8">
            <w:pPr>
              <w:jc w:val="left"/>
              <w:rPr>
                <w:sz w:val="18"/>
                <w:szCs w:val="18"/>
              </w:rPr>
            </w:pPr>
          </w:p>
        </w:tc>
        <w:tc>
          <w:tcPr>
            <w:tcW w:w="0" w:type="auto"/>
            <w:gridSpan w:val="12"/>
            <w:tcBorders>
              <w:left w:val="single" w:sz="4" w:space="0" w:color="auto"/>
              <w:right w:val="single" w:sz="4" w:space="0" w:color="auto"/>
            </w:tcBorders>
            <w:shd w:val="clear" w:color="auto" w:fill="A8D08D" w:themeFill="accent6" w:themeFillTint="99"/>
          </w:tcPr>
          <w:p w14:paraId="2CA5AA0A" w14:textId="77777777" w:rsidR="00B10666" w:rsidRPr="00B718C4" w:rsidRDefault="00B10666" w:rsidP="00B245A8">
            <w:pPr>
              <w:pStyle w:val="TableHeading"/>
              <w:spacing w:before="80" w:after="80"/>
              <w:rPr>
                <w:b w:val="0"/>
                <w:sz w:val="18"/>
                <w:szCs w:val="18"/>
              </w:rPr>
            </w:pPr>
            <w:r>
              <w:rPr>
                <w:b w:val="0"/>
                <w:sz w:val="18"/>
                <w:szCs w:val="18"/>
              </w:rPr>
              <w:t>Long-term (2014–2024) outcome = Minor</w:t>
            </w:r>
          </w:p>
          <w:p w14:paraId="6A791A58" w14:textId="1278011A" w:rsidR="00B10666" w:rsidRPr="008A6E75" w:rsidRDefault="00B10666" w:rsidP="00B245A8">
            <w:pPr>
              <w:pStyle w:val="TableHeading"/>
              <w:spacing w:before="80" w:after="80"/>
              <w:rPr>
                <w:b w:val="0"/>
                <w:bCs/>
                <w:sz w:val="18"/>
                <w:szCs w:val="18"/>
              </w:rPr>
            </w:pPr>
            <w:r w:rsidRPr="00B27DAA">
              <w:rPr>
                <w:b w:val="0"/>
                <w:bCs/>
                <w:sz w:val="18"/>
                <w:szCs w:val="18"/>
              </w:rPr>
              <w:t>Bacterial respiration (BCR), a measure of decomposition, was directly related to DOC concentrations. As it was assumed that daily DOC concentrations were the same with and without eWater</w:t>
            </w:r>
            <w:r>
              <w:rPr>
                <w:b w:val="0"/>
                <w:bCs/>
                <w:sz w:val="18"/>
                <w:szCs w:val="18"/>
              </w:rPr>
              <w:t>,</w:t>
            </w:r>
            <w:r w:rsidRPr="00B27DAA">
              <w:rPr>
                <w:b w:val="0"/>
                <w:bCs/>
                <w:sz w:val="18"/>
                <w:szCs w:val="18"/>
              </w:rPr>
              <w:t xml:space="preserve"> volumetric BCR was unaffected by flow. Evaluation was based on the </w:t>
            </w:r>
            <w:r w:rsidRPr="00AE6293">
              <w:rPr>
                <w:i/>
                <w:iCs/>
                <w:sz w:val="18"/>
                <w:szCs w:val="18"/>
              </w:rPr>
              <w:t>average percentage change in river cross-sectional BCR due to eWater/CEW</w:t>
            </w:r>
            <w:r w:rsidRPr="00B27DAA">
              <w:rPr>
                <w:b w:val="0"/>
                <w:bCs/>
                <w:sz w:val="18"/>
                <w:szCs w:val="18"/>
              </w:rPr>
              <w:t xml:space="preserve"> and determined from the average change in cross-sectional area. From 2014</w:t>
            </w:r>
            <w:r w:rsidRPr="00B27DAA">
              <w:rPr>
                <w:rFonts w:ascii="Calibri" w:hAnsi="Calibri" w:cs="Calibri"/>
                <w:b w:val="0"/>
                <w:bCs/>
                <w:sz w:val="18"/>
                <w:szCs w:val="18"/>
              </w:rPr>
              <w:t xml:space="preserve"> to </w:t>
            </w:r>
            <w:r w:rsidRPr="00B27DAA">
              <w:rPr>
                <w:rFonts w:cs="Calibri"/>
                <w:b w:val="0"/>
                <w:bCs/>
                <w:sz w:val="18"/>
                <w:szCs w:val="18"/>
              </w:rPr>
              <w:t>202</w:t>
            </w:r>
            <w:r w:rsidRPr="00B27DAA">
              <w:rPr>
                <w:b w:val="0"/>
                <w:bCs/>
                <w:sz w:val="18"/>
                <w:szCs w:val="18"/>
              </w:rPr>
              <w:t>2</w:t>
            </w:r>
            <w:r>
              <w:rPr>
                <w:b w:val="0"/>
                <w:bCs/>
                <w:sz w:val="18"/>
                <w:szCs w:val="18"/>
              </w:rPr>
              <w:t>,</w:t>
            </w:r>
            <w:r w:rsidRPr="00B27DAA">
              <w:rPr>
                <w:b w:val="0"/>
                <w:bCs/>
                <w:sz w:val="18"/>
                <w:szCs w:val="18"/>
              </w:rPr>
              <w:t xml:space="preserve"> increases were generally small due to the largely constant water level maintained by the weirs and by the short flow pulses. The exception was 2020-21 when moderate environmental flows were prolonged. In 2022-23, the high flood flows reduced the relative influence of eWater</w:t>
            </w:r>
            <w:r>
              <w:rPr>
                <w:b w:val="0"/>
                <w:bCs/>
                <w:sz w:val="18"/>
                <w:szCs w:val="18"/>
              </w:rPr>
              <w:t>/CEW</w:t>
            </w:r>
            <w:r w:rsidRPr="00B27DAA">
              <w:rPr>
                <w:b w:val="0"/>
                <w:bCs/>
                <w:sz w:val="18"/>
                <w:szCs w:val="18"/>
              </w:rPr>
              <w:t xml:space="preserve"> on cross-sectional changes resulting in negligible responses. In 2023-24, sustained high water levels due to e</w:t>
            </w:r>
            <w:r>
              <w:rPr>
                <w:b w:val="0"/>
                <w:bCs/>
                <w:sz w:val="18"/>
                <w:szCs w:val="18"/>
              </w:rPr>
              <w:t>W</w:t>
            </w:r>
            <w:r w:rsidRPr="00B27DAA">
              <w:rPr>
                <w:b w:val="0"/>
                <w:bCs/>
                <w:sz w:val="18"/>
                <w:szCs w:val="18"/>
              </w:rPr>
              <w:t>ater/CEW resulted in moderate increases. A substantial contribution was considered an increase in cross-sectional BCR of 20% or greater, moderate 11–19%, minor 5–10%, negligible &lt;5%.</w:t>
            </w:r>
          </w:p>
        </w:tc>
      </w:tr>
    </w:tbl>
    <w:p w14:paraId="3E5A3F85" w14:textId="77777777" w:rsidR="00B10666" w:rsidRPr="004561A6" w:rsidRDefault="00B10666" w:rsidP="00B10666">
      <w:pPr>
        <w:spacing w:before="0" w:after="0" w:line="240" w:lineRule="auto"/>
        <w:jc w:val="left"/>
        <w:rPr>
          <w:color w:val="auto"/>
          <w:kern w:val="0"/>
          <w:sz w:val="18"/>
          <w:szCs w:val="18"/>
          <w:lang w:val="en-US" w:bidi="en-US"/>
        </w:rPr>
      </w:pPr>
      <w:r w:rsidRPr="004561A6">
        <w:rPr>
          <w:color w:val="auto"/>
          <w:kern w:val="0"/>
          <w:sz w:val="18"/>
          <w:szCs w:val="18"/>
          <w:lang w:val="en-US" w:bidi="en-US"/>
        </w:rPr>
        <w:t>Contribution (to what extent CEW contributed towards the outcome, with the significance of the outcome considered):</w:t>
      </w:r>
    </w:p>
    <w:p w14:paraId="274399EC" w14:textId="77777777" w:rsidR="00B10666" w:rsidRPr="004561A6" w:rsidRDefault="00B10666" w:rsidP="00B10666">
      <w:pPr>
        <w:spacing w:before="0" w:after="0" w:line="240" w:lineRule="auto"/>
        <w:jc w:val="left"/>
        <w:rPr>
          <w:color w:val="auto"/>
          <w:kern w:val="0"/>
          <w:sz w:val="18"/>
          <w:szCs w:val="18"/>
          <w:lang w:val="en-US" w:bidi="en-US"/>
        </w:rPr>
      </w:pPr>
    </w:p>
    <w:tbl>
      <w:tblPr>
        <w:tblW w:w="6961" w:type="dxa"/>
        <w:tblLook w:val="04A0" w:firstRow="1" w:lastRow="0" w:firstColumn="1" w:lastColumn="0" w:noHBand="0" w:noVBand="1"/>
      </w:tblPr>
      <w:tblGrid>
        <w:gridCol w:w="222"/>
        <w:gridCol w:w="1066"/>
        <w:gridCol w:w="222"/>
        <w:gridCol w:w="1704"/>
        <w:gridCol w:w="222"/>
        <w:gridCol w:w="727"/>
        <w:gridCol w:w="222"/>
        <w:gridCol w:w="1144"/>
        <w:gridCol w:w="222"/>
        <w:gridCol w:w="1210"/>
      </w:tblGrid>
      <w:tr w:rsidR="00B10666" w:rsidRPr="004561A6" w14:paraId="51A50D3F" w14:textId="77777777" w:rsidTr="00B245A8">
        <w:tc>
          <w:tcPr>
            <w:tcW w:w="222" w:type="dxa"/>
            <w:shd w:val="clear" w:color="auto" w:fill="D9D9D9" w:themeFill="background1" w:themeFillShade="D9"/>
          </w:tcPr>
          <w:p w14:paraId="6774CCF2" w14:textId="77777777" w:rsidR="00B10666" w:rsidRPr="004561A6" w:rsidRDefault="00B10666" w:rsidP="00B245A8">
            <w:pPr>
              <w:contextualSpacing/>
              <w:rPr>
                <w:sz w:val="18"/>
                <w:szCs w:val="18"/>
              </w:rPr>
            </w:pPr>
          </w:p>
        </w:tc>
        <w:tc>
          <w:tcPr>
            <w:tcW w:w="1066" w:type="dxa"/>
            <w:vAlign w:val="center"/>
          </w:tcPr>
          <w:p w14:paraId="06E7546E" w14:textId="77777777" w:rsidR="00B10666" w:rsidRPr="004561A6" w:rsidRDefault="00B10666" w:rsidP="00B245A8">
            <w:pPr>
              <w:contextualSpacing/>
              <w:rPr>
                <w:sz w:val="18"/>
                <w:szCs w:val="18"/>
              </w:rPr>
            </w:pPr>
            <w:r w:rsidRPr="004561A6">
              <w:rPr>
                <w:sz w:val="18"/>
                <w:szCs w:val="18"/>
              </w:rPr>
              <w:t>Unknown</w:t>
            </w:r>
          </w:p>
        </w:tc>
        <w:tc>
          <w:tcPr>
            <w:tcW w:w="222" w:type="dxa"/>
            <w:shd w:val="clear" w:color="auto" w:fill="E2EFD9" w:themeFill="accent6" w:themeFillTint="33"/>
            <w:vAlign w:val="center"/>
          </w:tcPr>
          <w:p w14:paraId="739EC4BE" w14:textId="77777777" w:rsidR="00B10666" w:rsidRPr="004561A6" w:rsidRDefault="00B10666" w:rsidP="00B245A8">
            <w:pPr>
              <w:contextualSpacing/>
              <w:rPr>
                <w:sz w:val="18"/>
                <w:szCs w:val="18"/>
              </w:rPr>
            </w:pPr>
          </w:p>
        </w:tc>
        <w:tc>
          <w:tcPr>
            <w:tcW w:w="1704" w:type="dxa"/>
            <w:vAlign w:val="center"/>
          </w:tcPr>
          <w:p w14:paraId="2CEEA37D" w14:textId="77777777" w:rsidR="00B10666" w:rsidRPr="004561A6" w:rsidRDefault="00B10666" w:rsidP="00B245A8">
            <w:pPr>
              <w:contextualSpacing/>
              <w:rPr>
                <w:sz w:val="18"/>
                <w:szCs w:val="18"/>
              </w:rPr>
            </w:pPr>
            <w:r w:rsidRPr="004561A6">
              <w:rPr>
                <w:sz w:val="18"/>
                <w:szCs w:val="18"/>
              </w:rPr>
              <w:t>None/negligible</w:t>
            </w:r>
          </w:p>
        </w:tc>
        <w:tc>
          <w:tcPr>
            <w:tcW w:w="222" w:type="dxa"/>
            <w:shd w:val="clear" w:color="auto" w:fill="A8D08D" w:themeFill="accent6" w:themeFillTint="99"/>
            <w:vAlign w:val="center"/>
          </w:tcPr>
          <w:p w14:paraId="5A02ACA1" w14:textId="77777777" w:rsidR="00B10666" w:rsidRPr="004561A6" w:rsidRDefault="00B10666" w:rsidP="00B245A8">
            <w:pPr>
              <w:contextualSpacing/>
              <w:rPr>
                <w:sz w:val="18"/>
                <w:szCs w:val="18"/>
              </w:rPr>
            </w:pPr>
          </w:p>
        </w:tc>
        <w:tc>
          <w:tcPr>
            <w:tcW w:w="727" w:type="dxa"/>
            <w:vAlign w:val="center"/>
          </w:tcPr>
          <w:p w14:paraId="33A57B80" w14:textId="77777777" w:rsidR="00B10666" w:rsidRPr="004561A6" w:rsidRDefault="00B10666" w:rsidP="00B245A8">
            <w:pPr>
              <w:contextualSpacing/>
              <w:rPr>
                <w:sz w:val="18"/>
                <w:szCs w:val="18"/>
              </w:rPr>
            </w:pPr>
            <w:r w:rsidRPr="004561A6">
              <w:rPr>
                <w:sz w:val="18"/>
                <w:szCs w:val="18"/>
              </w:rPr>
              <w:t>Minor</w:t>
            </w:r>
          </w:p>
        </w:tc>
        <w:tc>
          <w:tcPr>
            <w:tcW w:w="222" w:type="dxa"/>
            <w:shd w:val="clear" w:color="auto" w:fill="70AD47" w:themeFill="accent6"/>
            <w:vAlign w:val="center"/>
          </w:tcPr>
          <w:p w14:paraId="6E7F9D43" w14:textId="77777777" w:rsidR="00B10666" w:rsidRPr="004561A6" w:rsidRDefault="00B10666" w:rsidP="00B245A8">
            <w:pPr>
              <w:contextualSpacing/>
              <w:rPr>
                <w:sz w:val="18"/>
                <w:szCs w:val="18"/>
              </w:rPr>
            </w:pPr>
          </w:p>
        </w:tc>
        <w:tc>
          <w:tcPr>
            <w:tcW w:w="1144" w:type="dxa"/>
            <w:vAlign w:val="center"/>
          </w:tcPr>
          <w:p w14:paraId="30C10349" w14:textId="77777777" w:rsidR="00B10666" w:rsidRPr="004561A6" w:rsidRDefault="00B10666" w:rsidP="00B245A8">
            <w:pPr>
              <w:contextualSpacing/>
              <w:rPr>
                <w:sz w:val="18"/>
                <w:szCs w:val="18"/>
              </w:rPr>
            </w:pPr>
            <w:r w:rsidRPr="004561A6">
              <w:rPr>
                <w:sz w:val="18"/>
                <w:szCs w:val="18"/>
              </w:rPr>
              <w:t>Moderate</w:t>
            </w:r>
          </w:p>
        </w:tc>
        <w:tc>
          <w:tcPr>
            <w:tcW w:w="222" w:type="dxa"/>
            <w:shd w:val="clear" w:color="auto" w:fill="5B9BD5" w:themeFill="accent1"/>
          </w:tcPr>
          <w:p w14:paraId="77A7C961" w14:textId="77777777" w:rsidR="00B10666" w:rsidRPr="004561A6" w:rsidRDefault="00B10666" w:rsidP="00B245A8">
            <w:pPr>
              <w:contextualSpacing/>
              <w:rPr>
                <w:sz w:val="18"/>
                <w:szCs w:val="18"/>
              </w:rPr>
            </w:pPr>
          </w:p>
        </w:tc>
        <w:tc>
          <w:tcPr>
            <w:tcW w:w="1210" w:type="dxa"/>
            <w:vAlign w:val="center"/>
          </w:tcPr>
          <w:p w14:paraId="7AE5817A" w14:textId="77777777" w:rsidR="00B10666" w:rsidRPr="004561A6" w:rsidRDefault="00B10666" w:rsidP="00B245A8">
            <w:pPr>
              <w:contextualSpacing/>
              <w:jc w:val="left"/>
              <w:rPr>
                <w:sz w:val="18"/>
                <w:szCs w:val="18"/>
              </w:rPr>
            </w:pPr>
            <w:r w:rsidRPr="004561A6">
              <w:rPr>
                <w:sz w:val="18"/>
                <w:szCs w:val="18"/>
              </w:rPr>
              <w:t>Substantial</w:t>
            </w:r>
          </w:p>
        </w:tc>
      </w:tr>
    </w:tbl>
    <w:p w14:paraId="43FA0154" w14:textId="77777777" w:rsidR="00B10666" w:rsidRDefault="00B10666" w:rsidP="00B10666">
      <w:pPr>
        <w:tabs>
          <w:tab w:val="left" w:pos="8133"/>
        </w:tabs>
        <w:sectPr w:rsidR="00B10666" w:rsidSect="00B10666">
          <w:pgSz w:w="16840" w:h="11900" w:orient="landscape"/>
          <w:pgMar w:top="1440" w:right="1440" w:bottom="1440" w:left="1440" w:header="709" w:footer="709" w:gutter="0"/>
          <w:cols w:space="720"/>
        </w:sectPr>
      </w:pPr>
    </w:p>
    <w:p w14:paraId="6911CC61" w14:textId="77777777" w:rsidR="00B10666" w:rsidRDefault="00B10666" w:rsidP="00B10666">
      <w:pPr>
        <w:pStyle w:val="Heading3"/>
      </w:pPr>
      <w:bookmarkStart w:id="214" w:name="_Hlk125469093"/>
      <w:r>
        <w:lastRenderedPageBreak/>
        <w:t>Discussion</w:t>
      </w:r>
    </w:p>
    <w:bookmarkEnd w:id="214"/>
    <w:p w14:paraId="6ADA8F69" w14:textId="77777777" w:rsidR="00B10666" w:rsidRDefault="00B10666" w:rsidP="00B10666">
      <w:pPr>
        <w:rPr>
          <w:lang w:val="en-US"/>
        </w:rPr>
      </w:pPr>
      <w:r>
        <w:rPr>
          <w:lang w:val="en-US"/>
        </w:rPr>
        <w:t>The primary objectives were to investigate the influences of environmental flows (especially Commonwealth environmental water delivery) on river metabolism and basal food supplies, and to assess the benefits for the river ecosystem. To accomplish this, the major drivers of metabolism were linked to river discharge through hydraulic characteristics including water velocity, average depth and cross-sectional area. This enabled the specific effects of increased flows due to environmental water to be identified from their partial contribution to total flow.</w:t>
      </w:r>
      <w:r w:rsidRPr="00AB23AE">
        <w:t xml:space="preserve"> </w:t>
      </w:r>
      <w:r>
        <w:t>The analyses of hydrological influences on metabolism assumed that modelled flows without environmental water had the same water quality.</w:t>
      </w:r>
    </w:p>
    <w:p w14:paraId="5DBC97BE" w14:textId="77777777" w:rsidR="00B10666" w:rsidRDefault="00B10666" w:rsidP="00B10666">
      <w:pPr>
        <w:rPr>
          <w:lang w:val="en-US"/>
        </w:rPr>
      </w:pPr>
      <w:r>
        <w:rPr>
          <w:lang w:val="en-US"/>
        </w:rPr>
        <w:t>Daily rates of gross primary production (GPP) followed the seasonal changes in incident irradiance, initially increasing before plateauing later in the summer. However, the extent of change was not determined by incident irradiance, which was similar between years, but the light encountered by phytoplankton within the water column. The mean irradiance of the water column was inversely related to water depth and the vertical light attenuation which depended on turbidity (NTU) and dissolved organic carbon (DOC). The mean irradiance largely accounted for different seasonal responses in GPP over the ten years of monitoring, highlighting the importance of differences in water depth and optical water quality.</w:t>
      </w:r>
    </w:p>
    <w:p w14:paraId="271643BE" w14:textId="3F0FB175" w:rsidR="00B10666" w:rsidRDefault="00B10666" w:rsidP="00B10666">
      <w:pPr>
        <w:rPr>
          <w:lang w:val="en-US"/>
        </w:rPr>
      </w:pPr>
      <w:r>
        <w:rPr>
          <w:lang w:val="en-US"/>
        </w:rPr>
        <w:t>Estimated gas exchange coefficients were used to investigate the reliability of the modelled data to represent river conditions. This was based on their known reliance on water velocity</w:t>
      </w:r>
      <w:r w:rsidRPr="0031460C">
        <w:t xml:space="preserve"> </w:t>
      </w:r>
      <w:r>
        <w:t xml:space="preserve">(Ulseth </w:t>
      </w:r>
      <w:r w:rsidRPr="007B7535">
        <w:rPr>
          <w:i/>
          <w:iCs/>
        </w:rPr>
        <w:t>et al.</w:t>
      </w:r>
      <w:r>
        <w:t xml:space="preserve"> 2019), and they </w:t>
      </w:r>
      <w:r>
        <w:rPr>
          <w:lang w:val="en-US"/>
        </w:rPr>
        <w:t xml:space="preserve">were correlated at water velocities between 0.18 and 0.5 m/s. </w:t>
      </w:r>
      <w:r w:rsidRPr="00AA66AF">
        <w:rPr>
          <w:lang w:val="en-US"/>
        </w:rPr>
        <w:t xml:space="preserve">Below the lower velocity boundary </w:t>
      </w:r>
      <w:r>
        <w:rPr>
          <w:lang w:val="en-US"/>
        </w:rPr>
        <w:t>(di</w:t>
      </w:r>
      <w:r w:rsidRPr="00AA66AF">
        <w:rPr>
          <w:lang w:val="en-US"/>
        </w:rPr>
        <w:t xml:space="preserve">scharge </w:t>
      </w:r>
      <w:r w:rsidR="00F058A8">
        <w:rPr>
          <w:lang w:val="en-US"/>
        </w:rPr>
        <w:t>~</w:t>
      </w:r>
      <w:r w:rsidRPr="00AA66AF">
        <w:rPr>
          <w:lang w:val="en-US"/>
        </w:rPr>
        <w:t>5</w:t>
      </w:r>
      <w:r>
        <w:rPr>
          <w:lang w:val="en-US"/>
        </w:rPr>
        <w:t>,</w:t>
      </w:r>
      <w:r w:rsidRPr="00AA66AF">
        <w:rPr>
          <w:lang w:val="en-US"/>
        </w:rPr>
        <w:t>000 to 7</w:t>
      </w:r>
      <w:r>
        <w:rPr>
          <w:lang w:val="en-US"/>
        </w:rPr>
        <w:t>,</w:t>
      </w:r>
      <w:r w:rsidRPr="00AA66AF">
        <w:rPr>
          <w:lang w:val="en-US"/>
        </w:rPr>
        <w:t>000 ML/d</w:t>
      </w:r>
      <w:r>
        <w:rPr>
          <w:lang w:val="en-US"/>
        </w:rPr>
        <w:t>),</w:t>
      </w:r>
      <w:r w:rsidRPr="00AA66AF">
        <w:rPr>
          <w:lang w:val="en-US"/>
        </w:rPr>
        <w:t xml:space="preserve"> reduced turbulent mixing and enhanced thermal stratification</w:t>
      </w:r>
      <w:r>
        <w:rPr>
          <w:lang w:val="en-US"/>
        </w:rPr>
        <w:t xml:space="preserve"> associated with </w:t>
      </w:r>
      <w:r w:rsidRPr="00AA66AF">
        <w:rPr>
          <w:lang w:val="en-US"/>
        </w:rPr>
        <w:t xml:space="preserve">declining flow </w:t>
      </w:r>
      <w:r>
        <w:rPr>
          <w:lang w:val="en-US"/>
        </w:rPr>
        <w:t>increases the risks of cyanobacterial blooms and hypoxic conditions</w:t>
      </w:r>
      <w:r w:rsidRPr="00AA66AF">
        <w:rPr>
          <w:lang w:val="en-US"/>
        </w:rPr>
        <w:t xml:space="preserve"> (Bormans </w:t>
      </w:r>
      <w:r w:rsidRPr="00BA5164">
        <w:rPr>
          <w:i/>
          <w:iCs/>
          <w:lang w:val="en-US"/>
        </w:rPr>
        <w:t>et al.</w:t>
      </w:r>
      <w:r w:rsidRPr="00AA66AF">
        <w:rPr>
          <w:lang w:val="en-US"/>
        </w:rPr>
        <w:t xml:space="preserve"> 1998)</w:t>
      </w:r>
      <w:r>
        <w:rPr>
          <w:lang w:val="en-US"/>
        </w:rPr>
        <w:t>. These</w:t>
      </w:r>
      <w:r w:rsidRPr="00AA66AF">
        <w:rPr>
          <w:lang w:val="en-US"/>
        </w:rPr>
        <w:t xml:space="preserve"> characteristics reduce</w:t>
      </w:r>
      <w:r>
        <w:rPr>
          <w:lang w:val="en-US"/>
        </w:rPr>
        <w:t>d</w:t>
      </w:r>
      <w:r w:rsidRPr="00AA66AF">
        <w:rPr>
          <w:lang w:val="en-US"/>
        </w:rPr>
        <w:t xml:space="preserve"> </w:t>
      </w:r>
      <w:r>
        <w:rPr>
          <w:lang w:val="en-US"/>
        </w:rPr>
        <w:t xml:space="preserve">the </w:t>
      </w:r>
      <w:r w:rsidRPr="00AA66AF">
        <w:rPr>
          <w:lang w:val="en-US"/>
        </w:rPr>
        <w:t xml:space="preserve">reliability and representativeness of </w:t>
      </w:r>
      <w:r>
        <w:rPr>
          <w:lang w:val="en-US"/>
        </w:rPr>
        <w:t xml:space="preserve">the </w:t>
      </w:r>
      <w:r w:rsidRPr="00AA66AF">
        <w:rPr>
          <w:lang w:val="en-US"/>
        </w:rPr>
        <w:t xml:space="preserve">single station metabolism </w:t>
      </w:r>
      <w:r>
        <w:rPr>
          <w:lang w:val="en-US"/>
        </w:rPr>
        <w:t>measurements reflected in the unrealistic gas exchange estimates. Environmental flows that increased velocities above the lower boundary assisted in reducing these occurrences and increased surface oxygen exchange to buffer against dissolved oxygen (DO) declines.</w:t>
      </w:r>
    </w:p>
    <w:p w14:paraId="2333BF51" w14:textId="23362E0D" w:rsidR="006E5AFC" w:rsidRDefault="006E5AFC" w:rsidP="006E5AFC">
      <w:pPr>
        <w:rPr>
          <w:lang w:val="en-US"/>
        </w:rPr>
      </w:pPr>
      <w:r>
        <w:rPr>
          <w:lang w:val="en-US"/>
        </w:rPr>
        <w:t>Reductions</w:t>
      </w:r>
      <w:r w:rsidRPr="00AA66AF">
        <w:rPr>
          <w:lang w:val="en-US"/>
        </w:rPr>
        <w:t xml:space="preserve"> in gas exchange coefficients </w:t>
      </w:r>
      <w:r>
        <w:rPr>
          <w:lang w:val="en-US"/>
        </w:rPr>
        <w:t>beyond t</w:t>
      </w:r>
      <w:r w:rsidRPr="00AA66AF">
        <w:rPr>
          <w:lang w:val="en-US"/>
        </w:rPr>
        <w:t xml:space="preserve">he upper flow velocity boundary </w:t>
      </w:r>
      <w:r>
        <w:rPr>
          <w:lang w:val="en-US"/>
        </w:rPr>
        <w:t>(discharge ~</w:t>
      </w:r>
      <w:r w:rsidRPr="00AA66AF">
        <w:rPr>
          <w:lang w:val="en-US"/>
        </w:rPr>
        <w:t>15,000</w:t>
      </w:r>
      <w:r>
        <w:rPr>
          <w:lang w:val="en-US"/>
        </w:rPr>
        <w:t>–</w:t>
      </w:r>
      <w:r w:rsidRPr="00AA66AF">
        <w:rPr>
          <w:lang w:val="en-US"/>
        </w:rPr>
        <w:t>20,000 ML/d</w:t>
      </w:r>
      <w:r>
        <w:rPr>
          <w:lang w:val="en-US"/>
        </w:rPr>
        <w:t>) were</w:t>
      </w:r>
      <w:r w:rsidRPr="00AA66AF">
        <w:rPr>
          <w:lang w:val="en-US"/>
        </w:rPr>
        <w:t xml:space="preserve"> attributed to increasing interaction</w:t>
      </w:r>
      <w:r>
        <w:rPr>
          <w:lang w:val="en-US"/>
        </w:rPr>
        <w:t>s</w:t>
      </w:r>
      <w:r w:rsidRPr="00AA66AF">
        <w:rPr>
          <w:lang w:val="en-US"/>
        </w:rPr>
        <w:t xml:space="preserve"> </w:t>
      </w:r>
      <w:r>
        <w:rPr>
          <w:lang w:val="en-US"/>
        </w:rPr>
        <w:t>with</w:t>
      </w:r>
      <w:r w:rsidRPr="00AA66AF">
        <w:rPr>
          <w:lang w:val="en-US"/>
        </w:rPr>
        <w:t xml:space="preserve"> low-lying floodplain</w:t>
      </w:r>
      <w:r>
        <w:rPr>
          <w:lang w:val="en-US"/>
        </w:rPr>
        <w:t xml:space="preserve">s. The increases in </w:t>
      </w:r>
      <w:r w:rsidRPr="00AA66AF">
        <w:rPr>
          <w:lang w:val="en-US"/>
        </w:rPr>
        <w:t xml:space="preserve">channel complexity </w:t>
      </w:r>
      <w:r>
        <w:rPr>
          <w:lang w:val="en-US"/>
        </w:rPr>
        <w:t>and flow segmentation</w:t>
      </w:r>
      <w:r w:rsidRPr="00AA66AF">
        <w:rPr>
          <w:lang w:val="en-US"/>
        </w:rPr>
        <w:t xml:space="preserve"> diminished the representativeness of single-station metabolism measurements</w:t>
      </w:r>
      <w:r>
        <w:rPr>
          <w:lang w:val="en-US"/>
        </w:rPr>
        <w:t xml:space="preserve"> suggesting caution in their interpretation.</w:t>
      </w:r>
    </w:p>
    <w:p w14:paraId="374E8078" w14:textId="1E0C7700" w:rsidR="00B10666" w:rsidRDefault="00B10666" w:rsidP="00B10666">
      <w:r>
        <w:rPr>
          <w:lang w:val="en-US"/>
        </w:rPr>
        <w:t>Despite these concerns, t</w:t>
      </w:r>
      <w:r>
        <w:t>he chlorophyll-specific gross primary production (GPP(b)) was linearly correlated with the daily mean irradiance (</w:t>
      </w:r>
      <w:r w:rsidRPr="00BA5164">
        <w:rPr>
          <w:i/>
          <w:iCs/>
        </w:rPr>
        <w:t>Im</w:t>
      </w:r>
      <w:r>
        <w:t xml:space="preserve">) of the water column, with only a few measurements from below Lock 1 deviating significantly. These samples were from periods with water velocities below the 0.18 m/s lower boundary, and this was the basis for their removal. The unexpected consistency of the GPP(b) measurements, even outside the gas exchange velocity boundaries, was attributed to the metabolism model using changes in incident irradiance as a template for GPP. However, due to possible stratification at low velocities or reduced connectivity at high velocities, measurements outside the velocity bounds may not be representative of the whole river </w:t>
      </w:r>
      <w:r w:rsidR="008354C8">
        <w:t>but rather</w:t>
      </w:r>
      <w:r>
        <w:t xml:space="preserve"> reflect the responses at the monitoring sites.</w:t>
      </w:r>
    </w:p>
    <w:p w14:paraId="59A34420" w14:textId="68F46AC6" w:rsidR="00B10666" w:rsidRDefault="00B10666" w:rsidP="00B10666">
      <w:r>
        <w:lastRenderedPageBreak/>
        <w:t xml:space="preserve">The inverse dependency of </w:t>
      </w:r>
      <w:r w:rsidRPr="00BA5164">
        <w:rPr>
          <w:i/>
          <w:iCs/>
        </w:rPr>
        <w:t xml:space="preserve">Im </w:t>
      </w:r>
      <w:r>
        <w:t>on the average water depth meant that the influence of additional environmental flows on reductions in GPP(b) and GPP could be estimated from the associated depth changes. Daily reductions in volumetric GPP due to Commonwealth environmental water varied from near zero up to 26%, the lat</w:t>
      </w:r>
      <w:r w:rsidR="008354C8">
        <w:t>t</w:t>
      </w:r>
      <w:r>
        <w:t>er a large proportion of the production, although such high rates typically lasted only a few days. The length of impact was assessed from the number of days with a 10% or more reduction in GPP and ranged from 0 up to 75 days. Prolonged reductions were expected to result in reduced basal resource supply, but even the longest period of 75 days below Lock 4 in 2023-24 reduced the total seasonal integrated carbon production of 125 gC/m</w:t>
      </w:r>
      <w:r w:rsidRPr="00DF707F">
        <w:rPr>
          <w:vertAlign w:val="superscript"/>
        </w:rPr>
        <w:t>3</w:t>
      </w:r>
      <w:r>
        <w:t>/season by only 12 gC/m</w:t>
      </w:r>
      <w:r w:rsidRPr="00DF707F">
        <w:rPr>
          <w:vertAlign w:val="superscript"/>
        </w:rPr>
        <w:t>3</w:t>
      </w:r>
      <w:r>
        <w:t>/season. These results indicated that daily flow changes could significantly impact daily production for specific periods and be expected to influence food web structure. However, seasonally-integrated changes were small because environmental flows were a small fraction of the total flow. Seasonal changes may not reflect the impacts of environmental flows as they dilute their expected short-term effects.</w:t>
      </w:r>
    </w:p>
    <w:p w14:paraId="677952DE" w14:textId="77777777" w:rsidR="00B10666" w:rsidRDefault="00B10666" w:rsidP="00B10666">
      <w:r>
        <w:t>A measure of the total river production was calculated as the product of GPP and the cross-sectional area of the flow. Additions of environmental water decreased volumetric rates of GPP due to depth increases but simultaneously increased</w:t>
      </w:r>
      <w:r w:rsidRPr="00C94238">
        <w:t xml:space="preserve"> </w:t>
      </w:r>
      <w:r>
        <w:t xml:space="preserve">cross-sectional area. GPP per metre of river (cross-sectional GPP) depended on the relative changes in depth and cross-section, a function of channel morphometry. Flows and water levels were controlled by the weirs in the LMR, and these curtailed the extent of depth and cross-section changes expected in a free-flowing channel, particularly under reduced flow conditions. </w:t>
      </w:r>
    </w:p>
    <w:p w14:paraId="346D0749" w14:textId="715A8E63" w:rsidR="00B10666" w:rsidRDefault="00B10666" w:rsidP="00B10666">
      <w:r>
        <w:t>Commonwealth environmental water increased cross-sections by up to 30%, but changes in cross-sectional GPP were small</w:t>
      </w:r>
      <w:r w:rsidRPr="00E341D9">
        <w:t xml:space="preserve"> </w:t>
      </w:r>
      <w:r>
        <w:t>due to associated reductions in volumetric GPP and ranged from decreases by 3% up to increases by 6%. These changes in food resource distributions resulting from reductions in volumetric supplies but with sustained total supplies were expected to influence food web composition by reducing concentrations of weakly motile, food density dependent grazers, while supporting more motile cruising grazers, but confirmation of this awaits further analyses of the zooplankton community composition data. Seasonal integrals indicated that environmental flows caused only minor changes to total river production, again reflecting its small flow contribution to seasonal flows. In contrast, differences</w:t>
      </w:r>
      <w:r w:rsidRPr="008002D7">
        <w:t xml:space="preserve"> </w:t>
      </w:r>
      <w:r>
        <w:t xml:space="preserve">in total discharge and water quality between sites and seasons markedly altered integrated total river production, with estimates ranging from 20 up to 60 kgC/m, a three-fold difference. This highlighted the potential for managing flows and water quality to influence river production. </w:t>
      </w:r>
    </w:p>
    <w:p w14:paraId="55BD3FEE" w14:textId="06B8E35E" w:rsidR="00B10666" w:rsidRDefault="00B10666" w:rsidP="00B10666">
      <w:pPr>
        <w:rPr>
          <w:lang w:val="en-US"/>
        </w:rPr>
      </w:pPr>
      <w:r>
        <w:rPr>
          <w:lang w:val="en-US"/>
        </w:rPr>
        <w:t>GPP and DOC were combined in a regression model that estimated their contributions to ecosystem respiration (ER), with GPP representing the respiratory substrate for autotrophs, predominantly phytoplankton, and DOC the respiratory substrate for heterotrophs, predominantly bacteria. The specific respiration estimates underpinned calculations of the autotrophic net production (PNP) and heterotrophic net production (BNP), both of which were</w:t>
      </w:r>
      <w:r w:rsidRPr="0058711E">
        <w:rPr>
          <w:lang w:val="en-US"/>
        </w:rPr>
        <w:t xml:space="preserve"> important source</w:t>
      </w:r>
      <w:r>
        <w:rPr>
          <w:lang w:val="en-US"/>
        </w:rPr>
        <w:t>s</w:t>
      </w:r>
      <w:r w:rsidRPr="0058711E">
        <w:rPr>
          <w:lang w:val="en-US"/>
        </w:rPr>
        <w:t xml:space="preserve"> of </w:t>
      </w:r>
      <w:r>
        <w:rPr>
          <w:lang w:val="en-US"/>
        </w:rPr>
        <w:t xml:space="preserve">basal </w:t>
      </w:r>
      <w:r w:rsidRPr="0058711E">
        <w:rPr>
          <w:lang w:val="en-US"/>
        </w:rPr>
        <w:t>organic carbon</w:t>
      </w:r>
      <w:r>
        <w:rPr>
          <w:lang w:val="en-US"/>
        </w:rPr>
        <w:t xml:space="preserve"> supplies providing combined net production rates of up to 0.6 gC/m</w:t>
      </w:r>
      <w:r w:rsidRPr="000D760F">
        <w:rPr>
          <w:vertAlign w:val="superscript"/>
          <w:lang w:val="en-US"/>
        </w:rPr>
        <w:t>3</w:t>
      </w:r>
      <w:r>
        <w:rPr>
          <w:lang w:val="en-US"/>
        </w:rPr>
        <w:t xml:space="preserve">/day. During low flow years (&lt;15,000 </w:t>
      </w:r>
      <w:r w:rsidR="00167193">
        <w:rPr>
          <w:lang w:val="en-US"/>
        </w:rPr>
        <w:t>ML/d</w:t>
      </w:r>
      <w:r>
        <w:rPr>
          <w:lang w:val="en-US"/>
        </w:rPr>
        <w:t>), PNP typically contributed 60 to 80% of the combined net production while in higher flow periods BNP contributions increased, and in 2021-22 BNP predominated contri</w:t>
      </w:r>
      <w:r w:rsidR="00F058A8">
        <w:rPr>
          <w:lang w:val="en-US"/>
        </w:rPr>
        <w:t>b</w:t>
      </w:r>
      <w:r>
        <w:rPr>
          <w:lang w:val="en-US"/>
        </w:rPr>
        <w:t xml:space="preserve">uting 60 to 80%. During 2023-24 when flow reduced from a high of 51,000 ML/d down to </w:t>
      </w:r>
      <w:r w:rsidR="00F058A8">
        <w:rPr>
          <w:lang w:val="en-US"/>
        </w:rPr>
        <w:t>~</w:t>
      </w:r>
      <w:r>
        <w:rPr>
          <w:lang w:val="en-US"/>
        </w:rPr>
        <w:t xml:space="preserve">6,000 ML/d, overlapping flows observed in previous monitoring seasons, the contribution of BNP </w:t>
      </w:r>
      <w:r>
        <w:rPr>
          <w:lang w:val="en-US"/>
        </w:rPr>
        <w:lastRenderedPageBreak/>
        <w:t>reduced from 70 to 15% as DOC concentrations reduced and PNP increased with light. These are crucial connections for developing flow regime patterns aimed at supplying basal food resources to the river food web.</w:t>
      </w:r>
    </w:p>
    <w:p w14:paraId="0C5D0C23" w14:textId="337A2BFC" w:rsidR="006E5AFC" w:rsidRDefault="006E5AFC" w:rsidP="006E5AFC">
      <w:r>
        <w:rPr>
          <w:lang w:val="en-US"/>
        </w:rPr>
        <w:t xml:space="preserve">External supplies of DOC were </w:t>
      </w:r>
      <w:r w:rsidRPr="0058711E">
        <w:t xml:space="preserve">critical </w:t>
      </w:r>
      <w:r>
        <w:t xml:space="preserve">in enhancing heterotrophic production (Ye </w:t>
      </w:r>
      <w:r w:rsidRPr="00A90089">
        <w:rPr>
          <w:i/>
          <w:iCs/>
        </w:rPr>
        <w:t>et al.</w:t>
      </w:r>
      <w:r>
        <w:t xml:space="preserve"> 2018)</w:t>
      </w:r>
      <w:r w:rsidRPr="0058711E">
        <w:t>.</w:t>
      </w:r>
      <w:r>
        <w:t xml:space="preserve"> When flows increased to between 18,000 and 35,000 ML/d, a step change increase</w:t>
      </w:r>
      <w:r w:rsidRPr="00A34308">
        <w:t xml:space="preserve"> </w:t>
      </w:r>
      <w:r>
        <w:t>was observed of between 45 and 80% in DOC, TP and TN due to interaction with low level floodplains. The increased DOC supply enhanced bacterial net production at a time when volumetric GPP declined due to the increased water depth, but overall there was an increase in the combined net production. During the seasons between 2021 and 2024, Commonwealth environmental water contributed to maintaining flows above 18,000</w:t>
      </w:r>
      <w:r w:rsidR="00A21A7E">
        <w:t> </w:t>
      </w:r>
      <w:r w:rsidR="00167193">
        <w:t>ML/d</w:t>
      </w:r>
      <w:r>
        <w:t xml:space="preserve"> late in each season, sustaining increased concentrations of DOC, and supporting increased rates of BNP and CNP.</w:t>
      </w:r>
      <w:r w:rsidRPr="00710BDB">
        <w:t xml:space="preserve"> </w:t>
      </w:r>
      <w:r>
        <w:t>For example, during March to June 2023, flows without environmental water would have fallen to 16,000 ML/d, but the delivery of environmental water kept river flows above 20,000 ML/d and extended the period of higher nutrient concentrations by ~45 days from mid-March to late April. Alignment of environmental water contributions with this flow-sensitive threshold benefited river net production and is a target that should be considered when flow and environmental  conditions are suitable. The largest benefits</w:t>
      </w:r>
      <w:r w:rsidRPr="00842530">
        <w:t xml:space="preserve"> </w:t>
      </w:r>
      <w:r>
        <w:t>for river channel productivity are likely to be achieved through targeting such flow sensitive responses.</w:t>
      </w:r>
    </w:p>
    <w:p w14:paraId="68A762DE" w14:textId="7F49F856" w:rsidR="006E5AFC" w:rsidRDefault="006E5AFC" w:rsidP="006E5AFC">
      <w:r>
        <w:t>The associated respiration driven by the step increases in DOC, at times supported by environmental flows, resulted in small reductions in DO, but not to unacceptable levels. However, larger increases associated with higher flows (e.g. greater than 30,000 ML/d) deleteriously depleted DO concentrations as DOC increased from 10 to 25 mgC/L. A DOC concentration of 15 mgC/L supported the DO concentration of 5 mgO</w:t>
      </w:r>
      <w:r w:rsidRPr="001354D9">
        <w:rPr>
          <w:vertAlign w:val="subscript"/>
        </w:rPr>
        <w:t>2</w:t>
      </w:r>
      <w:r>
        <w:t>/L that is considered a critical level for aquatic biota. During floods, DO concentrations were reduced to near zero levels due to the large deliveries of organic material and DO depletion in floodplain waters.</w:t>
      </w:r>
    </w:p>
    <w:p w14:paraId="3564482C" w14:textId="6863D702" w:rsidR="006E5AFC" w:rsidRDefault="006E5AFC" w:rsidP="006E5AFC">
      <w:r w:rsidRPr="006143D2">
        <w:t>An important consideration for environmental water delivery was to maintain</w:t>
      </w:r>
      <w:r>
        <w:t xml:space="preserve"> the supply of basal food resources and sustain the structure and functioning of the river food web. The main drivers of the production and delivery of food resources were identified, but it was not practicable to assess the effects of changes in the distribution, form and quantity of the basal food resources</w:t>
      </w:r>
      <w:r w:rsidRPr="002E454D">
        <w:t xml:space="preserve"> </w:t>
      </w:r>
      <w:r>
        <w:t xml:space="preserve">on food web composition, although taxonomic and molecular DNA barcoding data were collected for this purpose (Bice </w:t>
      </w:r>
      <w:r w:rsidRPr="00BA5164">
        <w:rPr>
          <w:i/>
          <w:iCs/>
        </w:rPr>
        <w:t>et al.</w:t>
      </w:r>
      <w:r>
        <w:t xml:space="preserve"> 2023). These analyses are challenging but are slowly being advanced to provide the knowledge of food web interactions required to inform flow management to support the river biota. </w:t>
      </w:r>
    </w:p>
    <w:p w14:paraId="63318298" w14:textId="77777777" w:rsidR="006E5AFC" w:rsidRDefault="006E5AFC" w:rsidP="006E5AFC">
      <w:pPr>
        <w:pStyle w:val="Heading3"/>
      </w:pPr>
      <w:r>
        <w:t>Management implications</w:t>
      </w:r>
    </w:p>
    <w:p w14:paraId="0848720F" w14:textId="77777777" w:rsidR="00B10666" w:rsidRDefault="00B10666" w:rsidP="00B10666">
      <w:pPr>
        <w:rPr>
          <w:szCs w:val="22"/>
        </w:rPr>
      </w:pPr>
      <w:r>
        <w:rPr>
          <w:szCs w:val="22"/>
        </w:rPr>
        <w:t xml:space="preserve">The selected evaluation metrics </w:t>
      </w:r>
      <w:r>
        <w:rPr>
          <w:lang w:val="en-US"/>
        </w:rPr>
        <w:t>attributed potential benefits of Commonwealth environmental water to changes in gas exchange rates, and total river primary production and decomposition. These do not capture the full scope of reported findings</w:t>
      </w:r>
      <w:r>
        <w:rPr>
          <w:szCs w:val="22"/>
        </w:rPr>
        <w:t>, as developing reliable metrics typically requires extensive datasets to establish critical boundaries. The ten years of monitoring is not a long observation period in a hydrologically variable system where flow models require many decades of data to approach consistency. Metabolism and water quality responded to hydrology and so have a similar variability requiring prolonged data accumulation to underpin management application, but key findings are listed here as a basis for further development.</w:t>
      </w:r>
    </w:p>
    <w:p w14:paraId="5E4C61F2" w14:textId="77777777" w:rsidR="00B10666" w:rsidRDefault="00B10666" w:rsidP="00B10666">
      <w:pPr>
        <w:rPr>
          <w:szCs w:val="22"/>
        </w:rPr>
      </w:pPr>
      <w:r>
        <w:rPr>
          <w:szCs w:val="22"/>
        </w:rPr>
        <w:lastRenderedPageBreak/>
        <w:t xml:space="preserve">Environmental flows were often relatively small (≤13,800 ML/d) with short periods of influence, so their impacts were greatest in the short-term but diluted over longer periods. This was evident in the metabolism data where short-term reductions in GPP due to environmental flows were substantial but had only minor effects on seasonally-integrated rates. The extent to which short-term changes reverberate through the food web are not known, but seasonal changes that swamp the effects of short-term responses may not be the best indicators of the influences of environmental flows. </w:t>
      </w:r>
    </w:p>
    <w:p w14:paraId="3356591B" w14:textId="77777777" w:rsidR="00B10666" w:rsidRDefault="00B10666" w:rsidP="00B10666">
      <w:pPr>
        <w:rPr>
          <w:szCs w:val="22"/>
        </w:rPr>
      </w:pPr>
      <w:r>
        <w:rPr>
          <w:szCs w:val="22"/>
        </w:rPr>
        <w:t xml:space="preserve">Although GPP was reduced by increased flows, the total cross-sectional river production was not greatly altered as increases in cross-section area countered the reductions in GPP due to depth increases. The short-term changes in GPP reduced the volumetric supply of production which was expected to impact food web resources and community composition, but the impact of changing balances between food resource concentration and the total food resource on grazer communities are not well understood. </w:t>
      </w:r>
    </w:p>
    <w:p w14:paraId="12A532A2" w14:textId="77777777" w:rsidR="00B10666" w:rsidRDefault="00B10666" w:rsidP="00B10666">
      <w:pPr>
        <w:rPr>
          <w:szCs w:val="22"/>
        </w:rPr>
      </w:pPr>
      <w:r>
        <w:rPr>
          <w:szCs w:val="22"/>
        </w:rPr>
        <w:t>Gas exchange coefficients were a linear function of water velocity between 0.18 and 0.5 m/s but inconsistent outside these boundaries. The lower boundary accords with discharge rates in the LMR below which the potential for reduced mixing, increased thermal stratification and development of cyanobacterial blooms increases. To minimise the potential for such occurrences, average velocities should be maintained above this level. Increased water velocities increase gas exchange and help buffer against DO depletion that may occur when respiration rates are enhanced by supplies of organic materials from internal or external sources. Velocities should be managed to maintain DO concentrations at suitable levels. The processes of GPP, ER and gas exchange,</w:t>
      </w:r>
      <w:r w:rsidRPr="002F6FEF">
        <w:rPr>
          <w:szCs w:val="22"/>
        </w:rPr>
        <w:t xml:space="preserve"> </w:t>
      </w:r>
      <w:r>
        <w:rPr>
          <w:szCs w:val="22"/>
        </w:rPr>
        <w:t>that determine the DO balance, were linked to measurable environmental characteristics and should assist in improving river models predicting DO concentration changes.</w:t>
      </w:r>
    </w:p>
    <w:p w14:paraId="669431D0" w14:textId="77777777" w:rsidR="00B10666" w:rsidRDefault="00B10666" w:rsidP="00B10666">
      <w:pPr>
        <w:rPr>
          <w:lang w:val="en-US"/>
        </w:rPr>
      </w:pPr>
      <w:r>
        <w:rPr>
          <w:lang w:val="en-US"/>
        </w:rPr>
        <w:t>Primary production (GPP) is strongly influenced by the mean irradiance of the water column (</w:t>
      </w:r>
      <w:r w:rsidRPr="00A21A7E">
        <w:rPr>
          <w:i/>
          <w:iCs/>
          <w:lang w:val="en-US"/>
        </w:rPr>
        <w:t>Im</w:t>
      </w:r>
      <w:r>
        <w:rPr>
          <w:lang w:val="en-US"/>
        </w:rPr>
        <w:t>) which depends directly on the incident irradiance, and inversely on the average water depth (</w:t>
      </w:r>
      <w:r w:rsidRPr="00A21A7E">
        <w:rPr>
          <w:i/>
          <w:iCs/>
          <w:lang w:val="en-US"/>
        </w:rPr>
        <w:t>z</w:t>
      </w:r>
      <w:r w:rsidRPr="00A21A7E">
        <w:rPr>
          <w:i/>
          <w:iCs/>
          <w:vertAlign w:val="subscript"/>
          <w:lang w:val="en-US"/>
        </w:rPr>
        <w:t>ave</w:t>
      </w:r>
      <w:r>
        <w:rPr>
          <w:lang w:val="en-US"/>
        </w:rPr>
        <w:t>) and the vertical attenuation of light (</w:t>
      </w:r>
      <w:r w:rsidRPr="00A21A7E">
        <w:rPr>
          <w:i/>
          <w:iCs/>
          <w:lang w:val="en-US"/>
        </w:rPr>
        <w:t>k</w:t>
      </w:r>
      <w:r w:rsidRPr="00A21A7E">
        <w:rPr>
          <w:i/>
          <w:iCs/>
          <w:vertAlign w:val="subscript"/>
          <w:lang w:val="en-US"/>
        </w:rPr>
        <w:t>d</w:t>
      </w:r>
      <w:r>
        <w:rPr>
          <w:lang w:val="en-US"/>
        </w:rPr>
        <w:t xml:space="preserve">), with light attenuation largely influenced by </w:t>
      </w:r>
      <w:r>
        <w:rPr>
          <w:szCs w:val="22"/>
        </w:rPr>
        <w:t>turbidity (NTU) and DOC. Management actions can influence water depth through control of flows (i.e. water delivery, weir pool manipulation), and modify the levels of turbidity and DOC through selection of water supply sources, and through water quality improvement initiatives. Environmental flows offer opportunities to improve water quality through selection of water supply sources. If food webs are to be sustained at levels suitable to support iconic species, then primary production needs to be maintained at appropriate levels. Analyses of historical water quality and depth data using the relationships developed in this study should assist in identifying suitable targets.</w:t>
      </w:r>
    </w:p>
    <w:p w14:paraId="5E47E4E8" w14:textId="77777777" w:rsidR="00B10666" w:rsidRDefault="00B10666" w:rsidP="00B10666">
      <w:pPr>
        <w:rPr>
          <w:lang w:val="en-US"/>
        </w:rPr>
      </w:pPr>
      <w:r>
        <w:rPr>
          <w:lang w:val="en-US"/>
        </w:rPr>
        <w:t>Bacterial net production from heterotrophic utilisation of DOC was identified as an important basal food resource that at times exceeded the supply from GPP. When both were suitably supported by environmental conditions, then the combined net production was enhanced. Increases in external supplies of DOC were instrumental in supporting BNP and were linked to flow increases that enhanced floodplain connections. Sustaining external supplies of DOC to support suitable levels of BNP should be a river management target.</w:t>
      </w:r>
    </w:p>
    <w:p w14:paraId="07258B26" w14:textId="24AF3C4F" w:rsidR="00B10666" w:rsidRDefault="00B10666" w:rsidP="00B10666">
      <w:r>
        <w:rPr>
          <w:lang w:val="en-US"/>
        </w:rPr>
        <w:t>The study has shown that an important step increase in supply of DOC in the LMR occurred</w:t>
      </w:r>
      <w:r>
        <w:t xml:space="preserve"> when flows increased to between 18,000 and 35,000 ML/d. In three seasons between 2021 </w:t>
      </w:r>
      <w:r>
        <w:lastRenderedPageBreak/>
        <w:t xml:space="preserve">and 2024, Commonwealth environmental water played a critical role in ensuring the sustained delivery of DOC by maintaining falling flows above the 18,000 </w:t>
      </w:r>
      <w:r w:rsidR="00167193">
        <w:t>ML/d</w:t>
      </w:r>
      <w:r>
        <w:t xml:space="preserve"> level and enhancing BNP. The identification of flow-sensitive ecological responses that can be targeted by environmental water delivery when conditions are suitable is an effective way to maximise their benefits. </w:t>
      </w:r>
    </w:p>
    <w:p w14:paraId="4657F5BD" w14:textId="77777777" w:rsidR="00B10666" w:rsidRDefault="00B10666" w:rsidP="00B10666">
      <w:r>
        <w:t>Care is required in identifying management targets, and the DOC supply is a good example. Increased flows to between 18,000 and 35,000 ML/d enhanced the DOC concentration and BNP. It resulted in increased respiration rates but only small reductions in DO and did not severely reduce light penetration to impact GPP. These were positive outcomes. Larger increases in DOC associated with flood flows were less beneficial to the river channel as GPP was reduced to low levels due to poor light transmission, and DO concentrations fell precipitously as DOC concentrations increased from 10 to 25 mgC/L. A DOC concentration of 15 mgC/L maintained a DO concentration of 5 mgO</w:t>
      </w:r>
      <w:r w:rsidRPr="001354D9">
        <w:rPr>
          <w:vertAlign w:val="subscript"/>
        </w:rPr>
        <w:t>2</w:t>
      </w:r>
      <w:r>
        <w:t>/L, considered a critical level for aquatic biota.</w:t>
      </w:r>
    </w:p>
    <w:p w14:paraId="0C2E51EF" w14:textId="593C50A0" w:rsidR="00B10666" w:rsidRPr="0040128C" w:rsidRDefault="00B10666" w:rsidP="00B10666">
      <w:r>
        <w:t>Beneficial effects of environmental flows on metabolism and basal food resources were identified, including hydrological and water quality attributes amenable to management. The application of the relationships developed in this study should help with considerations of water source supply and flow planning, not only for environmental water, but for managed flows in general.</w:t>
      </w:r>
    </w:p>
    <w:p w14:paraId="6809F040" w14:textId="77777777" w:rsidR="00B10666" w:rsidRDefault="00B10666" w:rsidP="00B10666">
      <w:pPr>
        <w:pStyle w:val="Heading3"/>
      </w:pPr>
      <w:bookmarkStart w:id="215" w:name="_Hlk66267195"/>
      <w:bookmarkStart w:id="216" w:name="_Hlk69300522"/>
      <w:r>
        <w:t>Conclusion</w:t>
      </w:r>
    </w:p>
    <w:bookmarkEnd w:id="215"/>
    <w:p w14:paraId="6052AA74" w14:textId="77777777" w:rsidR="00B10666" w:rsidRDefault="00B10666" w:rsidP="00B10666">
      <w:r w:rsidRPr="0058711E">
        <w:t xml:space="preserve">The </w:t>
      </w:r>
      <w:r>
        <w:t>study has assessed the influence of changing river flows on</w:t>
      </w:r>
      <w:r w:rsidRPr="0058711E">
        <w:t xml:space="preserve"> </w:t>
      </w:r>
      <w:r>
        <w:t xml:space="preserve">autotrophic and heterotrophic metabolism and evaluated the role of environmental flows in modifying these responses. The linkages described could help better manage hydrological conditions and improve the production and supply of basal food resources to the food web through the improved understanding of the: </w:t>
      </w:r>
    </w:p>
    <w:p w14:paraId="5E6210DC" w14:textId="77777777" w:rsidR="00B10666" w:rsidRDefault="00B10666" w:rsidP="00B10666">
      <w:pPr>
        <w:pStyle w:val="ListParagraph"/>
        <w:numPr>
          <w:ilvl w:val="0"/>
          <w:numId w:val="17"/>
        </w:numPr>
      </w:pPr>
      <w:r>
        <w:t>effects on GPP and ER of interactions between flow and channel morphometry;</w:t>
      </w:r>
    </w:p>
    <w:p w14:paraId="732DB743" w14:textId="77777777" w:rsidR="00B10666" w:rsidRDefault="00B10666" w:rsidP="00B10666">
      <w:pPr>
        <w:pStyle w:val="ListParagraph"/>
        <w:numPr>
          <w:ilvl w:val="0"/>
          <w:numId w:val="17"/>
        </w:numPr>
      </w:pPr>
      <w:r>
        <w:t xml:space="preserve">reliance of phytoplankton GPP and ER on the mean light intensity; </w:t>
      </w:r>
    </w:p>
    <w:p w14:paraId="3BDC8265" w14:textId="77777777" w:rsidR="00B10666" w:rsidRDefault="00B10666" w:rsidP="00B10666">
      <w:pPr>
        <w:pStyle w:val="ListParagraph"/>
        <w:numPr>
          <w:ilvl w:val="0"/>
          <w:numId w:val="17"/>
        </w:numPr>
      </w:pPr>
      <w:r>
        <w:t xml:space="preserve">dependence of the mean light intensity on water depth, turbidity and DOC; </w:t>
      </w:r>
    </w:p>
    <w:p w14:paraId="15833CAD" w14:textId="77777777" w:rsidR="00B10666" w:rsidRDefault="00B10666" w:rsidP="00B10666">
      <w:pPr>
        <w:pStyle w:val="ListParagraph"/>
        <w:numPr>
          <w:ilvl w:val="0"/>
          <w:numId w:val="17"/>
        </w:numPr>
      </w:pPr>
      <w:r>
        <w:t>reliance of bacterial respiration and production on DOC concentrations;</w:t>
      </w:r>
    </w:p>
    <w:p w14:paraId="66BB8679" w14:textId="77777777" w:rsidR="00B10666" w:rsidRDefault="00B10666" w:rsidP="00B10666">
      <w:pPr>
        <w:pStyle w:val="ListParagraph"/>
        <w:numPr>
          <w:ilvl w:val="0"/>
          <w:numId w:val="17"/>
        </w:numPr>
      </w:pPr>
      <w:r>
        <w:t xml:space="preserve">influence of flows on DOC and nutrient concentrations; </w:t>
      </w:r>
    </w:p>
    <w:p w14:paraId="4322B0B1" w14:textId="77777777" w:rsidR="00B10666" w:rsidRDefault="00B10666" w:rsidP="00B10666">
      <w:pPr>
        <w:pStyle w:val="ListParagraph"/>
        <w:numPr>
          <w:ilvl w:val="0"/>
          <w:numId w:val="17"/>
        </w:numPr>
      </w:pPr>
      <w:r>
        <w:t>effects of DOC concentrations on DO depletion</w:t>
      </w:r>
      <w:r w:rsidRPr="00DE5336">
        <w:t xml:space="preserve"> </w:t>
      </w:r>
      <w:r>
        <w:t>and manageable DOC concentrations;</w:t>
      </w:r>
    </w:p>
    <w:p w14:paraId="24E13CE3" w14:textId="513DD0FC" w:rsidR="00B10666" w:rsidRDefault="00B10666" w:rsidP="00B10666">
      <w:pPr>
        <w:pStyle w:val="ListParagraph"/>
        <w:numPr>
          <w:ilvl w:val="0"/>
          <w:numId w:val="17"/>
        </w:numPr>
      </w:pPr>
      <w:r>
        <w:t xml:space="preserve">effect of water velocity on surface oxygen exchange; </w:t>
      </w:r>
      <w:r w:rsidR="008354C8">
        <w:t>and</w:t>
      </w:r>
    </w:p>
    <w:p w14:paraId="6FE987FC" w14:textId="05F58CF1" w:rsidR="00B10666" w:rsidRDefault="00B10666" w:rsidP="00B10666">
      <w:pPr>
        <w:pStyle w:val="ListParagraph"/>
        <w:numPr>
          <w:ilvl w:val="0"/>
          <w:numId w:val="17"/>
        </w:numPr>
      </w:pPr>
      <w:r>
        <w:t>contributions of phytoplankton and bacteria to net production.</w:t>
      </w:r>
    </w:p>
    <w:p w14:paraId="51D10043" w14:textId="6D12BF3D" w:rsidR="00CB491D" w:rsidRPr="00907981" w:rsidRDefault="00B10666" w:rsidP="00B10666">
      <w:bookmarkStart w:id="217" w:name="_Hlk69289979"/>
      <w:r>
        <w:t xml:space="preserve">Understanding </w:t>
      </w:r>
      <w:bookmarkEnd w:id="216"/>
      <w:bookmarkEnd w:id="217"/>
      <w:r>
        <w:t>these interactions is necessary for predicting the changes in metabolism and net production resulting from the delivery of environmental flows of given volume and water quality. Over the last decade in the LMR, at daily to weekly scales, Commonwealth environmental water had substantial impacts on rates of metabolism, whereas at the seasonal scale, influences were generally small. Further knowledge regarding the impacts of metabolic responses on river food web composition and functionality is required to support a more complete critical evaluation in the future.</w:t>
      </w:r>
      <w:r w:rsidR="00CB491D">
        <w:t xml:space="preserve"> </w:t>
      </w:r>
      <w:r w:rsidR="00CB491D">
        <w:br w:type="page"/>
      </w:r>
    </w:p>
    <w:p w14:paraId="5A03F14A" w14:textId="56E7531F" w:rsidR="00CB491D" w:rsidRPr="009F590A" w:rsidRDefault="00CB491D" w:rsidP="00CB491D">
      <w:pPr>
        <w:pStyle w:val="Heading2"/>
      </w:pPr>
      <w:bookmarkStart w:id="218" w:name="_Toc441838734"/>
      <w:bookmarkStart w:id="219" w:name="_Toc3558338"/>
      <w:bookmarkStart w:id="220" w:name="_Ref35855504"/>
      <w:bookmarkStart w:id="221" w:name="_Ref127183862"/>
      <w:bookmarkStart w:id="222" w:name="_Ref127871951"/>
      <w:bookmarkStart w:id="223" w:name="_Ref127874546"/>
      <w:bookmarkStart w:id="224" w:name="_Toc200467860"/>
      <w:r w:rsidRPr="009F590A">
        <w:lastRenderedPageBreak/>
        <w:t>Matter Transport</w:t>
      </w:r>
      <w:bookmarkEnd w:id="218"/>
      <w:bookmarkEnd w:id="219"/>
      <w:bookmarkEnd w:id="220"/>
      <w:r w:rsidRPr="009F590A">
        <w:t xml:space="preserve"> and Coorong Habitat</w:t>
      </w:r>
      <w:bookmarkEnd w:id="221"/>
      <w:bookmarkEnd w:id="222"/>
      <w:bookmarkEnd w:id="223"/>
      <w:bookmarkEnd w:id="224"/>
    </w:p>
    <w:p w14:paraId="644C93C0" w14:textId="77777777" w:rsidR="00CB491D" w:rsidRPr="00813412" w:rsidRDefault="00CB491D" w:rsidP="00CB491D">
      <w:pPr>
        <w:pStyle w:val="Heading2"/>
        <w:numPr>
          <w:ilvl w:val="0"/>
          <w:numId w:val="0"/>
        </w:numPr>
      </w:pPr>
      <w:r w:rsidRPr="009F590A">
        <w:t xml:space="preserve">   </w:t>
      </w:r>
      <w:bookmarkStart w:id="225" w:name="_Toc200467861"/>
      <w:r w:rsidRPr="009F590A">
        <w:t>2.3.1   Matter Transport</w:t>
      </w:r>
      <w:bookmarkEnd w:id="225"/>
    </w:p>
    <w:p w14:paraId="202DA2AE" w14:textId="77777777" w:rsidR="005659DC" w:rsidRDefault="005659DC" w:rsidP="005659DC">
      <w:pPr>
        <w:pStyle w:val="Heading3"/>
      </w:pPr>
      <w:r>
        <w:t>Background</w:t>
      </w:r>
    </w:p>
    <w:p w14:paraId="11C6B0F3" w14:textId="77777777" w:rsidR="005659DC" w:rsidRDefault="005659DC" w:rsidP="005659DC">
      <w:pPr>
        <w:rPr>
          <w:rFonts w:eastAsia="Arial Unicode MS"/>
          <w:lang w:eastAsia="en-AU"/>
        </w:rPr>
      </w:pPr>
      <w:r w:rsidRPr="00CE2630">
        <w:rPr>
          <w:rFonts w:eastAsia="Arial Unicode MS"/>
          <w:lang w:eastAsia="en-AU"/>
        </w:rPr>
        <w:t>Freshwater flows to estuaries shape habitat, transport nutrients to drive productivity, and generate a salinity gradient that impacts water quality and provides spawning cues for fish</w:t>
      </w:r>
      <w:r>
        <w:rPr>
          <w:rFonts w:eastAsia="Arial Unicode MS"/>
          <w:lang w:eastAsia="en-AU"/>
        </w:rPr>
        <w:t xml:space="preserve"> (Brookes </w:t>
      </w:r>
      <w:r w:rsidRPr="0015556E">
        <w:rPr>
          <w:rFonts w:eastAsia="Arial Unicode MS"/>
          <w:i/>
          <w:iCs/>
          <w:lang w:eastAsia="en-AU"/>
        </w:rPr>
        <w:t>et al.</w:t>
      </w:r>
      <w:r>
        <w:rPr>
          <w:rFonts w:eastAsia="Arial Unicode MS"/>
          <w:lang w:eastAsia="en-AU"/>
        </w:rPr>
        <w:t xml:space="preserve"> 2022). Reduced flow may increase the intrusion of salt into the river system from the ocean whilst simultaneously decreasing the export of salt from inland reaches (Chilton </w:t>
      </w:r>
      <w:r w:rsidRPr="0015556E">
        <w:rPr>
          <w:rFonts w:eastAsia="Arial Unicode MS"/>
          <w:i/>
          <w:iCs/>
          <w:lang w:eastAsia="en-AU"/>
        </w:rPr>
        <w:t>et al.</w:t>
      </w:r>
      <w:r>
        <w:rPr>
          <w:rFonts w:eastAsia="Arial Unicode MS"/>
          <w:lang w:eastAsia="en-AU"/>
        </w:rPr>
        <w:t xml:space="preserve"> 2021). </w:t>
      </w:r>
      <w:r>
        <w:t>As there is continual deposition of salt onto the landscape (predominately from rainfall and irrigation induced actions), it can accumulate if not transported by flow and exported from the system</w:t>
      </w:r>
      <w:r>
        <w:rPr>
          <w:rFonts w:eastAsia="Arial Unicode MS"/>
          <w:lang w:eastAsia="en-AU"/>
        </w:rPr>
        <w:t>. Additionally, a change in the flow regime will alter the mobilisation of nutrients from the floodplain and change the subsequent primary productivity within the river. Environmental flows can be used to reinstate some of the natural processes or to increase the magnitude of the processes that control the availability and transport of dissolved and particulate matter. Salinity, dissolved and particulate organic nutrients, and chlorophyll-</w:t>
      </w:r>
      <w:r>
        <w:rPr>
          <w:rFonts w:eastAsia="Arial Unicode MS"/>
          <w:i/>
          <w:lang w:eastAsia="en-AU"/>
        </w:rPr>
        <w:t>a</w:t>
      </w:r>
      <w:r>
        <w:rPr>
          <w:rFonts w:eastAsia="Arial Unicode MS"/>
          <w:lang w:eastAsia="en-AU"/>
        </w:rPr>
        <w:t xml:space="preserve"> are often measured or modelled to understand the influence of flows on the concentrations and transport of matter.</w:t>
      </w:r>
    </w:p>
    <w:p w14:paraId="0E7F158D" w14:textId="6AE17363" w:rsidR="005659DC" w:rsidRDefault="005659DC" w:rsidP="005659DC">
      <w:pPr>
        <w:rPr>
          <w:rFonts w:eastAsia="Arial Unicode MS"/>
          <w:lang w:eastAsia="en-AU"/>
        </w:rPr>
      </w:pPr>
      <w:r>
        <w:rPr>
          <w:rFonts w:eastAsia="Arial Unicode MS"/>
          <w:lang w:eastAsia="en-AU"/>
        </w:rPr>
        <w:t xml:space="preserve">In general, restoring river flow to an estuary is an important tool for salinity management by limiting seawater intrusion into the estuary (Chilton </w:t>
      </w:r>
      <w:r w:rsidRPr="0015556E">
        <w:rPr>
          <w:rFonts w:eastAsia="Arial Unicode MS"/>
          <w:i/>
          <w:iCs/>
          <w:lang w:eastAsia="en-AU"/>
        </w:rPr>
        <w:t>et al</w:t>
      </w:r>
      <w:r w:rsidRPr="002E1C90">
        <w:rPr>
          <w:rFonts w:eastAsia="Arial Unicode MS"/>
          <w:i/>
          <w:iCs/>
          <w:lang w:eastAsia="en-AU"/>
        </w:rPr>
        <w:t>.</w:t>
      </w:r>
      <w:r>
        <w:rPr>
          <w:rFonts w:eastAsia="Arial Unicode MS"/>
          <w:lang w:eastAsia="en-AU"/>
        </w:rPr>
        <w:t xml:space="preserve"> 2021). In the case of the Murray River, it is further complicated as seawater entering the Murray Mouth is highly dependent on how river water is released from the barrages, and these dynamics impact salinity in the connected Coorong. The Coorong is a 120 km long shallow reverse estuary that runs parallel to the coast and is separated from the Southern Ocean by the Younghusband and Sir Richard Peninsulas (</w:t>
      </w:r>
      <w:r>
        <w:rPr>
          <w:rFonts w:eastAsia="Arial Unicode MS"/>
          <w:lang w:eastAsia="en-AU"/>
        </w:rPr>
        <w:fldChar w:fldCharType="begin"/>
      </w:r>
      <w:r>
        <w:rPr>
          <w:rFonts w:eastAsia="Arial Unicode MS"/>
          <w:lang w:eastAsia="en-AU"/>
        </w:rPr>
        <w:instrText xml:space="preserve"> REF _Ref469926522 \h </w:instrText>
      </w:r>
      <w:r>
        <w:rPr>
          <w:rFonts w:eastAsia="Arial Unicode MS"/>
          <w:lang w:eastAsia="en-AU"/>
        </w:rPr>
      </w:r>
      <w:r>
        <w:rPr>
          <w:rFonts w:eastAsia="Arial Unicode MS"/>
          <w:lang w:eastAsia="en-AU"/>
        </w:rPr>
        <w:fldChar w:fldCharType="separate"/>
      </w:r>
      <w:r w:rsidR="00102828">
        <w:t xml:space="preserve">Figure </w:t>
      </w:r>
      <w:r w:rsidR="00102828">
        <w:rPr>
          <w:noProof/>
        </w:rPr>
        <w:t>1</w:t>
      </w:r>
      <w:r>
        <w:rPr>
          <w:rFonts w:eastAsia="Arial Unicode MS"/>
          <w:lang w:eastAsia="en-AU"/>
        </w:rPr>
        <w:fldChar w:fldCharType="end"/>
      </w:r>
      <w:r>
        <w:rPr>
          <w:rFonts w:eastAsia="Arial Unicode MS"/>
          <w:lang w:eastAsia="en-AU"/>
        </w:rPr>
        <w:t xml:space="preserve">). As water evaporates from the North and South lagoons, it is replaced with water coming from the ocean and rivers. When river water exits the barrages, it reduces seawater intrusion and maintains fresher conditions around the Murray Mouth which enables fresher water to replenish water evaporated in the Coorong. When there is more seawater intrusion into the Murray Mouth, considerable </w:t>
      </w:r>
      <w:r w:rsidRPr="00DC308B">
        <w:rPr>
          <w:rFonts w:eastAsia="Arial Unicode MS"/>
          <w:lang w:eastAsia="en-AU"/>
        </w:rPr>
        <w:t xml:space="preserve">amounts of </w:t>
      </w:r>
      <w:r>
        <w:rPr>
          <w:rFonts w:eastAsia="Arial Unicode MS"/>
          <w:lang w:eastAsia="en-AU"/>
        </w:rPr>
        <w:t xml:space="preserve">salt are transported into the Coorong as this seawater flows south-east to replenish water evaporated from the lagoons. The salinity of the Coorong is a key determinant of habitat suitability for macrophytes, invertebrates and fish. At times the higher salinity water can essentially get trapped in the South Lagoon when water levels decline over summer unless there are flood conditions and reasonably high water levels persisting over summer. </w:t>
      </w:r>
    </w:p>
    <w:p w14:paraId="3C6A6956" w14:textId="77777777" w:rsidR="005659DC" w:rsidRDefault="005659DC" w:rsidP="005659DC">
      <w:r>
        <w:t>Nutrients drive system productivity and so understanding how they are transported between the various components of riverine ecosystems can offer insights into river and estuarine productivity (assessed as chlorophyll-</w:t>
      </w:r>
      <w:r w:rsidRPr="008F68C8">
        <w:rPr>
          <w:i/>
          <w:iCs/>
        </w:rPr>
        <w:t>a</w:t>
      </w:r>
      <w:r>
        <w:t xml:space="preserve"> concentration). Dissolved inorganic nutrients are essential resources for the growth and survival of biota and are readily assimilated </w:t>
      </w:r>
      <w:r>
        <w:rPr>
          <w:noProof/>
        </w:rPr>
        <w:t>(Poff</w:t>
      </w:r>
      <w:r>
        <w:rPr>
          <w:i/>
          <w:noProof/>
        </w:rPr>
        <w:t xml:space="preserve"> </w:t>
      </w:r>
      <w:r w:rsidRPr="0015556E">
        <w:rPr>
          <w:i/>
          <w:noProof/>
        </w:rPr>
        <w:t>et al</w:t>
      </w:r>
      <w:r w:rsidRPr="002E1C90">
        <w:rPr>
          <w:i/>
          <w:noProof/>
        </w:rPr>
        <w:t>.</w:t>
      </w:r>
      <w:r>
        <w:rPr>
          <w:noProof/>
        </w:rPr>
        <w:t xml:space="preserve"> 1997)</w:t>
      </w:r>
      <w:r>
        <w:t xml:space="preserve">. In healthy ecosystems, mobilisation of nutrients can enhance productivity and support ecosystems, however, in poorly flushed or over-enriched systems, the addition of nutrients leads to eutrophication and numerous undesirable consequences. The amount of river water coming through the barrages has been shown </w:t>
      </w:r>
      <w:r>
        <w:lastRenderedPageBreak/>
        <w:t xml:space="preserve">to be a major factor affecting the nutrient retention in the Coorong, particularly in the North Lagoon (Huang </w:t>
      </w:r>
      <w:r w:rsidRPr="0015556E">
        <w:rPr>
          <w:i/>
          <w:iCs/>
        </w:rPr>
        <w:t>et al.</w:t>
      </w:r>
      <w:r>
        <w:t xml:space="preserve"> 2024). </w:t>
      </w:r>
    </w:p>
    <w:p w14:paraId="5957DB09" w14:textId="6C4C9182" w:rsidR="005659DC" w:rsidRDefault="005659DC" w:rsidP="005659DC">
      <w:r>
        <w:rPr>
          <w:lang w:val="en-US"/>
        </w:rPr>
        <w:t xml:space="preserve">To assess the </w:t>
      </w:r>
      <w:r>
        <w:t xml:space="preserve">contribution of environmental water delivery </w:t>
      </w:r>
      <w:r>
        <w:rPr>
          <w:lang w:val="en-US"/>
        </w:rPr>
        <w:t>to matter transport in the Coorong from 1 July 2019 to 30 June 2024, a hydrodynamic-biogeochemical model was applied for the Coorong.</w:t>
      </w:r>
      <w:r w:rsidRPr="00C203C2">
        <w:rPr>
          <w:lang w:val="en-US"/>
        </w:rPr>
        <w:t xml:space="preserve"> </w:t>
      </w:r>
      <w:r>
        <w:rPr>
          <w:lang w:val="en-US"/>
        </w:rPr>
        <w:t>This study period included a relatively dry period (1 July 2019 to 30 June 2021) and a particularly wet period (1 July 2022 to 30 June 2024) with a flooding event occurring in the summer of 2023. The environmental water delivery was a major component to the total barrage flow during dry period (July 2019–June 2021). During this period, water flow through the barrages to the Coorong was relatively smaller (</w:t>
      </w:r>
      <w:r w:rsidRPr="006C1732">
        <w:rPr>
          <w:lang w:val="en-US"/>
        </w:rPr>
        <w:t>572–1,335</w:t>
      </w:r>
      <w:r>
        <w:rPr>
          <w:lang w:val="en-US"/>
        </w:rPr>
        <w:t xml:space="preserve"> GL/year), of which </w:t>
      </w:r>
      <w:r w:rsidRPr="00BE0ADB">
        <w:rPr>
          <w:lang w:val="en-US"/>
        </w:rPr>
        <w:t>Commonwealth</w:t>
      </w:r>
      <w:r>
        <w:rPr>
          <w:lang w:val="en-US"/>
        </w:rPr>
        <w:t xml:space="preserve"> environmental water contributed a much higher portion to the total barrage flows (65.4%–100%, </w:t>
      </w:r>
      <w:r>
        <w:rPr>
          <w:lang w:val="en-US"/>
        </w:rPr>
        <w:fldChar w:fldCharType="begin"/>
      </w:r>
      <w:r>
        <w:rPr>
          <w:lang w:val="en-US"/>
        </w:rPr>
        <w:instrText xml:space="preserve"> REF _Ref96529656 \h </w:instrText>
      </w:r>
      <w:r>
        <w:rPr>
          <w:lang w:val="en-US"/>
        </w:rPr>
      </w:r>
      <w:r>
        <w:rPr>
          <w:lang w:val="en-US"/>
        </w:rPr>
        <w:fldChar w:fldCharType="separate"/>
      </w:r>
      <w:r w:rsidR="00102828">
        <w:t xml:space="preserve">Figure </w:t>
      </w:r>
      <w:r w:rsidR="00102828">
        <w:rPr>
          <w:noProof/>
        </w:rPr>
        <w:t>31</w:t>
      </w:r>
      <w:r>
        <w:rPr>
          <w:lang w:val="en-US"/>
        </w:rPr>
        <w:fldChar w:fldCharType="end"/>
      </w:r>
      <w:r>
        <w:rPr>
          <w:lang w:val="en-US"/>
        </w:rPr>
        <w:t xml:space="preserve">). In comparison, the water flow over the barrages during wet period (July 2021–June 2024) reached </w:t>
      </w:r>
      <w:r w:rsidRPr="006C1732">
        <w:rPr>
          <w:lang w:val="en-US"/>
        </w:rPr>
        <w:t>5,974–16,593</w:t>
      </w:r>
      <w:r>
        <w:rPr>
          <w:lang w:val="en-US"/>
        </w:rPr>
        <w:t xml:space="preserve"> GL/year, during which </w:t>
      </w:r>
      <w:r w:rsidRPr="00BE0ADB">
        <w:rPr>
          <w:lang w:val="en-US"/>
        </w:rPr>
        <w:t>Commonwealth</w:t>
      </w:r>
      <w:r>
        <w:rPr>
          <w:lang w:val="en-US"/>
        </w:rPr>
        <w:t xml:space="preserve"> environmental water represented a small portion to the total barrage </w:t>
      </w:r>
      <w:r w:rsidRPr="006C1732">
        <w:rPr>
          <w:lang w:val="en-US"/>
        </w:rPr>
        <w:t>flows (3.7%–19.2</w:t>
      </w:r>
      <w:r>
        <w:rPr>
          <w:lang w:val="en-US"/>
        </w:rPr>
        <w:t xml:space="preserve">%, </w:t>
      </w:r>
      <w:r>
        <w:rPr>
          <w:lang w:val="en-US"/>
        </w:rPr>
        <w:fldChar w:fldCharType="begin"/>
      </w:r>
      <w:r>
        <w:rPr>
          <w:lang w:val="en-US"/>
        </w:rPr>
        <w:instrText xml:space="preserve"> REF _Ref96529656 \h </w:instrText>
      </w:r>
      <w:r>
        <w:rPr>
          <w:lang w:val="en-US"/>
        </w:rPr>
      </w:r>
      <w:r>
        <w:rPr>
          <w:lang w:val="en-US"/>
        </w:rPr>
        <w:fldChar w:fldCharType="separate"/>
      </w:r>
      <w:r w:rsidR="00102828">
        <w:t xml:space="preserve">Figure </w:t>
      </w:r>
      <w:r w:rsidR="00102828">
        <w:rPr>
          <w:noProof/>
        </w:rPr>
        <w:t>31</w:t>
      </w:r>
      <w:r>
        <w:rPr>
          <w:lang w:val="en-US"/>
        </w:rPr>
        <w:fldChar w:fldCharType="end"/>
      </w:r>
      <w:r>
        <w:rPr>
          <w:lang w:val="en-US"/>
        </w:rPr>
        <w:t>). Therefore, the impact of environmental water delivery on the hydrologic and water quality responses within the Coorong during 2019–2024 has been assessed with a view to compar</w:t>
      </w:r>
      <w:r w:rsidR="00C1636F">
        <w:rPr>
          <w:lang w:val="en-US"/>
        </w:rPr>
        <w:t>e</w:t>
      </w:r>
      <w:r>
        <w:rPr>
          <w:lang w:val="en-US"/>
        </w:rPr>
        <w:t xml:space="preserve"> the relative benefits between the dry and wet periods</w:t>
      </w:r>
      <w:r>
        <w:t xml:space="preserve">. </w:t>
      </w:r>
      <w:r>
        <w:rPr>
          <w:lang w:val="en-US"/>
        </w:rPr>
        <w:t xml:space="preserve">The model has been </w:t>
      </w:r>
      <w:r>
        <w:t>validated with water quality data, and is used to understand salt, nutrient and phytoplankton movement.</w:t>
      </w:r>
    </w:p>
    <w:p w14:paraId="1A7ADD76" w14:textId="77777777" w:rsidR="005659DC" w:rsidRDefault="005659DC" w:rsidP="005659DC">
      <w:pPr>
        <w:rPr>
          <w:i/>
          <w:u w:val="single"/>
        </w:rPr>
      </w:pPr>
      <w:r>
        <w:rPr>
          <w:i/>
          <w:u w:val="single"/>
        </w:rPr>
        <w:t>Major hypotheses</w:t>
      </w:r>
    </w:p>
    <w:p w14:paraId="768EAEA3" w14:textId="77777777" w:rsidR="005659DC" w:rsidRDefault="005659DC" w:rsidP="005659DC">
      <w:r>
        <w:t>Commonwealth environmental water will:</w:t>
      </w:r>
    </w:p>
    <w:p w14:paraId="5ACE9AF3" w14:textId="540D3D8A" w:rsidR="005659DC" w:rsidRPr="00797151" w:rsidRDefault="005659DC" w:rsidP="005659DC">
      <w:pPr>
        <w:numPr>
          <w:ilvl w:val="0"/>
          <w:numId w:val="5"/>
        </w:numPr>
        <w:jc w:val="left"/>
        <w:rPr>
          <w:rFonts w:ascii="Frutiger LT Std 45 Light" w:hAnsi="Frutiger LT Std 45 Light" w:cs="Frutiger LT Std 45 Light"/>
          <w:color w:val="auto"/>
          <w:spacing w:val="5"/>
          <w:szCs w:val="22"/>
        </w:rPr>
      </w:pPr>
      <w:r>
        <w:t>Increase the mobilisation of salt, nutrients, and organic matter (</w:t>
      </w:r>
      <w:r w:rsidRPr="00797151">
        <w:rPr>
          <w:color w:val="auto"/>
          <w:szCs w:val="22"/>
        </w:rPr>
        <w:t>including phytoplankton biomass</w:t>
      </w:r>
      <w:r>
        <w:t>) from the Basin and increase the transport of this material through the barrages and through the Murray Mouth</w:t>
      </w:r>
      <w:r w:rsidRPr="00797151">
        <w:rPr>
          <w:color w:val="auto"/>
          <w:szCs w:val="22"/>
        </w:rPr>
        <w:t>; and</w:t>
      </w:r>
    </w:p>
    <w:p w14:paraId="431B404F" w14:textId="77777777" w:rsidR="005659DC" w:rsidRDefault="005659DC" w:rsidP="005659DC">
      <w:pPr>
        <w:numPr>
          <w:ilvl w:val="0"/>
          <w:numId w:val="5"/>
        </w:numPr>
        <w:jc w:val="left"/>
      </w:pPr>
      <w:r>
        <w:t>Decrease the rate of salt and nutrient accumulation in the North and South lagoons of the Coorong.</w:t>
      </w:r>
    </w:p>
    <w:p w14:paraId="077EDCFC" w14:textId="02492479" w:rsidR="005659DC" w:rsidRDefault="005659DC" w:rsidP="005659DC">
      <w:r w:rsidRPr="005B5B30">
        <w:t xml:space="preserve">Through the </w:t>
      </w:r>
      <w:r>
        <w:t xml:space="preserve">modelling undertaken in the LTIM Project (Ye </w:t>
      </w:r>
      <w:r w:rsidRPr="0015556E">
        <w:rPr>
          <w:i/>
          <w:iCs/>
        </w:rPr>
        <w:t>et al.</w:t>
      </w:r>
      <w:r>
        <w:t xml:space="preserve"> 2020a), it was well established that environmental flows dilute the concentration of nutrients and salinity in the reach between Lock 1 and the barrages, including within Lake Alexandrina and Lake Albert. Furthermore, these flows increased the load (load equals volume x concentration) of nutrients and salt that was exported from the reach. Given the particular sensitivity of the Coorong, this analysis has focused on developing an understanding of the contribution of the environmental water to the salt and nutrient export from the Basin to the Coorong through the barrages, the export from the Coorong to the Southern Ocean through the Murray Mouth, and also the transport of material between the North and South lagoons. The mean and median salinity and nutrient concentrations predicted from the modelling scenarios with and without the environmental water are also presented. This addresses the hypotheses above acknowledging the contribution of environmental flow to the transport of salt and nutrients. The impact of environmental water on the suitable habitat for fish and </w:t>
      </w:r>
      <w:r>
        <w:rPr>
          <w:i/>
        </w:rPr>
        <w:t>Ruppia tuberosa</w:t>
      </w:r>
      <w:r>
        <w:t xml:space="preserve"> was also assessed based on the predicted changes in salinity, water depth and light conditions, which is outlined in</w:t>
      </w:r>
      <w:r w:rsidRPr="007E4920">
        <w:t xml:space="preserve"> </w:t>
      </w:r>
      <w:r>
        <w:t>S</w:t>
      </w:r>
      <w:r w:rsidRPr="007E4920">
        <w:t>ection ‘</w:t>
      </w:r>
      <w:r w:rsidRPr="007E4920">
        <w:fldChar w:fldCharType="begin"/>
      </w:r>
      <w:r w:rsidRPr="007E4920">
        <w:instrText xml:space="preserve"> REF _Ref127183862 \r \h  \* MERGEFORMAT </w:instrText>
      </w:r>
      <w:r w:rsidRPr="007E4920">
        <w:fldChar w:fldCharType="separate"/>
      </w:r>
      <w:r w:rsidR="00102828">
        <w:t>2.3</w:t>
      </w:r>
      <w:r w:rsidRPr="007E4920">
        <w:fldChar w:fldCharType="end"/>
      </w:r>
      <w:r w:rsidRPr="007E4920">
        <w:t>.2 Coorong Habitat’.</w:t>
      </w:r>
    </w:p>
    <w:p w14:paraId="28F0718F" w14:textId="77777777" w:rsidR="005659DC" w:rsidRPr="008A4754" w:rsidRDefault="005659DC" w:rsidP="005659DC"/>
    <w:p w14:paraId="0483F961" w14:textId="77777777" w:rsidR="005659DC" w:rsidRDefault="005659DC" w:rsidP="005659DC">
      <w:pPr>
        <w:pStyle w:val="Heading3"/>
      </w:pPr>
      <w:r>
        <w:lastRenderedPageBreak/>
        <w:t>Methods</w:t>
      </w:r>
    </w:p>
    <w:p w14:paraId="5602A20E" w14:textId="77777777" w:rsidR="005659DC" w:rsidRPr="0068464D" w:rsidRDefault="005659DC" w:rsidP="005659DC">
      <w:pPr>
        <w:rPr>
          <w:bCs/>
          <w:i/>
          <w:u w:val="single"/>
        </w:rPr>
      </w:pPr>
      <w:r>
        <w:rPr>
          <w:bCs/>
          <w:i/>
          <w:u w:val="single"/>
        </w:rPr>
        <w:t xml:space="preserve">Environmental water </w:t>
      </w:r>
      <w:r w:rsidRPr="0068464D">
        <w:rPr>
          <w:bCs/>
          <w:i/>
          <w:u w:val="single"/>
        </w:rPr>
        <w:t>modelling assessment scenarios</w:t>
      </w:r>
    </w:p>
    <w:p w14:paraId="3E0FC62F" w14:textId="135F2D76" w:rsidR="005659DC" w:rsidRDefault="005659DC" w:rsidP="005659DC">
      <w:r>
        <w:t xml:space="preserve">A total of five simulations were considered in this modelling study to investigate the impacts of </w:t>
      </w:r>
      <w:r w:rsidRPr="00E86DA6">
        <w:t xml:space="preserve">Commonwealth </w:t>
      </w:r>
      <w:r>
        <w:t>e</w:t>
      </w:r>
      <w:r w:rsidRPr="00E86DA6">
        <w:t xml:space="preserve">nvironmental </w:t>
      </w:r>
      <w:r>
        <w:t>w</w:t>
      </w:r>
      <w:r w:rsidRPr="00E86DA6">
        <w:t>ater</w:t>
      </w:r>
      <w:r>
        <w:t xml:space="preserve"> and all environmental water on the </w:t>
      </w:r>
      <w:r w:rsidR="000C54E5">
        <w:t xml:space="preserve">salt transport, </w:t>
      </w:r>
      <w:r>
        <w:t xml:space="preserve">salinity and water quality of the Coorong. The first model run </w:t>
      </w:r>
      <w:r w:rsidR="00C1636F">
        <w:t>was</w:t>
      </w:r>
      <w:r>
        <w:t xml:space="preserve"> an ‘All Water’ base-case simulation which represented the ‘actual condition’ in the Coorong with the barrage flows as observed from July 2017 to June 2024. Four ‘counter-factual’ scenarios were then simulated to assess </w:t>
      </w:r>
      <w:r w:rsidR="000C54E5">
        <w:t>the cases with Commonwea</w:t>
      </w:r>
      <w:r w:rsidR="000554BA">
        <w:t>l</w:t>
      </w:r>
      <w:r w:rsidR="000C54E5">
        <w:t xml:space="preserve">th environmental water or all environmental water </w:t>
      </w:r>
      <w:r>
        <w:t>removed from the observed barrage flows</w:t>
      </w:r>
      <w:r w:rsidR="000C54E5" w:rsidRPr="000C54E5">
        <w:t xml:space="preserve"> </w:t>
      </w:r>
      <w:r w:rsidR="000C54E5">
        <w:t>in one year or over seven years (Table 6)</w:t>
      </w:r>
      <w:r w:rsidR="000554BA">
        <w:t>, with an</w:t>
      </w:r>
      <w:r w:rsidR="000C54E5">
        <w:t xml:space="preserve"> additional scenario </w:t>
      </w:r>
      <w:r w:rsidR="000554BA">
        <w:t xml:space="preserve">of ‘two years’ </w:t>
      </w:r>
      <w:r w:rsidR="005D2493">
        <w:t>without Commonwealth environmental water</w:t>
      </w:r>
      <w:r w:rsidR="000A3D71">
        <w:t xml:space="preserve"> for the period from July 2022 to June 2024</w:t>
      </w:r>
      <w:r w:rsidR="005D2493">
        <w:t xml:space="preserve"> </w:t>
      </w:r>
      <w:r w:rsidR="000C54E5">
        <w:t xml:space="preserve">run specifically for </w:t>
      </w:r>
      <w:r w:rsidR="000554BA" w:rsidRPr="005D2493">
        <w:rPr>
          <w:i/>
          <w:iCs/>
        </w:rPr>
        <w:t>Ruppia tuberosa</w:t>
      </w:r>
      <w:r w:rsidR="000554BA">
        <w:t xml:space="preserve"> habitat assessment</w:t>
      </w:r>
      <w:r w:rsidR="000C54E5">
        <w:t xml:space="preserve"> (</w:t>
      </w:r>
      <w:r w:rsidR="000554BA">
        <w:t>Section 2.3.2</w:t>
      </w:r>
      <w:r w:rsidR="000C54E5">
        <w:t>)</w:t>
      </w:r>
      <w:r>
        <w:t xml:space="preserve">. </w:t>
      </w:r>
      <w:r w:rsidR="00437AEC">
        <w:t>The ‘seven years’ scenario was simulated t</w:t>
      </w:r>
      <w:r w:rsidR="00437AEC" w:rsidRPr="00437AEC">
        <w:t>o distinguish between the cumulative effect of multiple years of environmental water (July 2017–June 2024) relative to water</w:t>
      </w:r>
      <w:r w:rsidR="00437AEC">
        <w:t xml:space="preserve"> delivery</w:t>
      </w:r>
      <w:r w:rsidR="00437AEC" w:rsidRPr="00437AEC">
        <w:t xml:space="preserve"> just </w:t>
      </w:r>
      <w:r w:rsidR="00437AEC">
        <w:t>for an individual water</w:t>
      </w:r>
      <w:r w:rsidR="00437AEC" w:rsidRPr="00437AEC">
        <w:t xml:space="preserve"> year</w:t>
      </w:r>
      <w:r w:rsidR="00437AEC">
        <w:t xml:space="preserve"> (‘one year’ scenario, </w:t>
      </w:r>
      <w:r w:rsidR="00437AEC" w:rsidRPr="00437AEC">
        <w:t xml:space="preserve">July–June </w:t>
      </w:r>
      <w:r w:rsidR="00437AEC">
        <w:t>each year</w:t>
      </w:r>
      <w:r w:rsidR="00437AEC" w:rsidRPr="00437AEC">
        <w:t>)</w:t>
      </w:r>
      <w:r w:rsidR="00437AEC">
        <w:t>.</w:t>
      </w:r>
      <w:r w:rsidR="00437AEC" w:rsidRPr="00437AEC">
        <w:t xml:space="preserve"> </w:t>
      </w:r>
      <w:r>
        <w:t xml:space="preserve">The start time of July 2017 was chosen based on the consideration that the high flow in year 2016–17 helped to ‘reset’ the conditions within the Coorong, and to include the period in 2017–18 and 2018–19 when environmental water was the major component of the barrage flow. </w:t>
      </w:r>
    </w:p>
    <w:p w14:paraId="7B9931CB" w14:textId="77777777" w:rsidR="005659DC" w:rsidRPr="007E4920" w:rsidRDefault="005659DC" w:rsidP="005659DC"/>
    <w:p w14:paraId="3F18320E" w14:textId="3EA0F8A7" w:rsidR="005659DC" w:rsidRDefault="005659DC" w:rsidP="00605FB2">
      <w:pPr>
        <w:pStyle w:val="Captions"/>
      </w:pPr>
      <w:bookmarkStart w:id="226" w:name="_Ref125016145"/>
      <w:bookmarkStart w:id="227" w:name="_Toc152860305"/>
      <w:bookmarkStart w:id="228" w:name="_Toc200464530"/>
      <w:r>
        <w:t xml:space="preserve">Table </w:t>
      </w:r>
      <w:r>
        <w:fldChar w:fldCharType="begin"/>
      </w:r>
      <w:r>
        <w:instrText xml:space="preserve"> SEQ Table \* ARABIC </w:instrText>
      </w:r>
      <w:r>
        <w:fldChar w:fldCharType="separate"/>
      </w:r>
      <w:r w:rsidR="00102828">
        <w:rPr>
          <w:noProof/>
        </w:rPr>
        <w:t>6</w:t>
      </w:r>
      <w:r>
        <w:rPr>
          <w:noProof/>
        </w:rPr>
        <w:fldChar w:fldCharType="end"/>
      </w:r>
      <w:bookmarkEnd w:id="226"/>
      <w:r>
        <w:t>. Summary of modelling scenarios for investigating the environmental water (eWater) effects. CEW = Commonwealth environmental water.</w:t>
      </w:r>
      <w:bookmarkEnd w:id="227"/>
      <w:bookmarkEnd w:id="228"/>
    </w:p>
    <w:tbl>
      <w:tblPr>
        <w:tblStyle w:val="GridTable5Dark-Accent1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summarising modelling scenarios for investigating the environmental water effects."/>
      </w:tblPr>
      <w:tblGrid>
        <w:gridCol w:w="1980"/>
        <w:gridCol w:w="992"/>
        <w:gridCol w:w="6237"/>
      </w:tblGrid>
      <w:tr w:rsidR="005659DC" w:rsidRPr="00D06122" w14:paraId="63637C56" w14:textId="77777777" w:rsidTr="005353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none" w:sz="0" w:space="0" w:color="auto"/>
              <w:left w:val="none" w:sz="0" w:space="0" w:color="auto"/>
              <w:right w:val="none" w:sz="0" w:space="0" w:color="auto"/>
            </w:tcBorders>
            <w:shd w:val="clear" w:color="auto" w:fill="auto"/>
          </w:tcPr>
          <w:p w14:paraId="1E451FED" w14:textId="77777777" w:rsidR="005659DC" w:rsidRPr="00D06122" w:rsidRDefault="005659DC" w:rsidP="00CE710E">
            <w:pPr>
              <w:rPr>
                <w:sz w:val="18"/>
                <w:szCs w:val="18"/>
              </w:rPr>
            </w:pPr>
            <w:r w:rsidRPr="00D06122">
              <w:rPr>
                <w:sz w:val="18"/>
                <w:szCs w:val="18"/>
              </w:rPr>
              <w:t>Scenario</w:t>
            </w:r>
          </w:p>
        </w:tc>
        <w:tc>
          <w:tcPr>
            <w:tcW w:w="992" w:type="dxa"/>
            <w:tcBorders>
              <w:top w:val="none" w:sz="0" w:space="0" w:color="auto"/>
              <w:left w:val="none" w:sz="0" w:space="0" w:color="auto"/>
              <w:right w:val="none" w:sz="0" w:space="0" w:color="auto"/>
            </w:tcBorders>
            <w:shd w:val="clear" w:color="auto" w:fill="auto"/>
          </w:tcPr>
          <w:p w14:paraId="5CE67C98" w14:textId="77777777" w:rsidR="005659DC" w:rsidRPr="00D06122" w:rsidRDefault="005659DC" w:rsidP="00CE710E">
            <w:pPr>
              <w:cnfStyle w:val="100000000000" w:firstRow="1" w:lastRow="0" w:firstColumn="0" w:lastColumn="0" w:oddVBand="0" w:evenVBand="0" w:oddHBand="0" w:evenHBand="0" w:firstRowFirstColumn="0" w:firstRowLastColumn="0" w:lastRowFirstColumn="0" w:lastRowLastColumn="0"/>
              <w:rPr>
                <w:sz w:val="18"/>
                <w:szCs w:val="18"/>
              </w:rPr>
            </w:pPr>
            <w:r w:rsidRPr="00D06122">
              <w:rPr>
                <w:sz w:val="18"/>
                <w:szCs w:val="18"/>
              </w:rPr>
              <w:t>Scenario ID</w:t>
            </w:r>
          </w:p>
        </w:tc>
        <w:tc>
          <w:tcPr>
            <w:tcW w:w="6237" w:type="dxa"/>
            <w:tcBorders>
              <w:top w:val="none" w:sz="0" w:space="0" w:color="auto"/>
              <w:left w:val="none" w:sz="0" w:space="0" w:color="auto"/>
              <w:right w:val="none" w:sz="0" w:space="0" w:color="auto"/>
            </w:tcBorders>
            <w:shd w:val="clear" w:color="auto" w:fill="auto"/>
          </w:tcPr>
          <w:p w14:paraId="1146C796" w14:textId="77777777" w:rsidR="005659DC" w:rsidRPr="00D06122" w:rsidRDefault="005659DC" w:rsidP="00CE710E">
            <w:pPr>
              <w:cnfStyle w:val="100000000000" w:firstRow="1" w:lastRow="0" w:firstColumn="0" w:lastColumn="0" w:oddVBand="0" w:evenVBand="0" w:oddHBand="0" w:evenHBand="0" w:firstRowFirstColumn="0" w:firstRowLastColumn="0" w:lastRowFirstColumn="0" w:lastRowLastColumn="0"/>
              <w:rPr>
                <w:sz w:val="18"/>
                <w:szCs w:val="18"/>
              </w:rPr>
            </w:pPr>
            <w:r w:rsidRPr="00D06122">
              <w:rPr>
                <w:sz w:val="18"/>
                <w:szCs w:val="18"/>
              </w:rPr>
              <w:t>Description</w:t>
            </w:r>
          </w:p>
        </w:tc>
      </w:tr>
      <w:tr w:rsidR="005659DC" w:rsidRPr="00D06122" w14:paraId="4F817483" w14:textId="77777777" w:rsidTr="00535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shd w:val="clear" w:color="auto" w:fill="auto"/>
          </w:tcPr>
          <w:p w14:paraId="7AA5EDF1" w14:textId="60D14B9D" w:rsidR="005659DC" w:rsidRPr="00D06122" w:rsidRDefault="005659DC" w:rsidP="00CE710E">
            <w:pPr>
              <w:rPr>
                <w:sz w:val="18"/>
                <w:szCs w:val="18"/>
              </w:rPr>
            </w:pPr>
            <w:r>
              <w:rPr>
                <w:sz w:val="18"/>
                <w:szCs w:val="18"/>
              </w:rPr>
              <w:t>All Water</w:t>
            </w:r>
          </w:p>
        </w:tc>
        <w:tc>
          <w:tcPr>
            <w:tcW w:w="992" w:type="dxa"/>
            <w:shd w:val="clear" w:color="auto" w:fill="auto"/>
          </w:tcPr>
          <w:p w14:paraId="4AA63CAC" w14:textId="77777777" w:rsidR="005659DC" w:rsidRPr="00D06122" w:rsidRDefault="005659DC" w:rsidP="00CE710E">
            <w:pPr>
              <w:cnfStyle w:val="000000100000" w:firstRow="0" w:lastRow="0" w:firstColumn="0" w:lastColumn="0" w:oddVBand="0" w:evenVBand="0" w:oddHBand="1" w:evenHBand="0" w:firstRowFirstColumn="0" w:firstRowLastColumn="0" w:lastRowFirstColumn="0" w:lastRowLastColumn="0"/>
              <w:rPr>
                <w:sz w:val="18"/>
                <w:szCs w:val="18"/>
              </w:rPr>
            </w:pPr>
            <w:r w:rsidRPr="00D06122">
              <w:rPr>
                <w:sz w:val="18"/>
                <w:szCs w:val="18"/>
              </w:rPr>
              <w:t>Base</w:t>
            </w:r>
            <w:r>
              <w:rPr>
                <w:sz w:val="18"/>
                <w:szCs w:val="18"/>
              </w:rPr>
              <w:t>-</w:t>
            </w:r>
            <w:r w:rsidRPr="00D06122">
              <w:rPr>
                <w:sz w:val="18"/>
                <w:szCs w:val="18"/>
              </w:rPr>
              <w:t>case</w:t>
            </w:r>
          </w:p>
        </w:tc>
        <w:tc>
          <w:tcPr>
            <w:tcW w:w="6237" w:type="dxa"/>
            <w:shd w:val="clear" w:color="auto" w:fill="auto"/>
          </w:tcPr>
          <w:p w14:paraId="667271B7" w14:textId="7C286ECA" w:rsidR="005659DC" w:rsidRPr="00D06122" w:rsidRDefault="005659DC" w:rsidP="00CE710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w:t>
            </w:r>
            <w:r w:rsidRPr="00D06122">
              <w:rPr>
                <w:sz w:val="18"/>
                <w:szCs w:val="18"/>
              </w:rPr>
              <w:t xml:space="preserve">his </w:t>
            </w:r>
            <w:r>
              <w:rPr>
                <w:sz w:val="18"/>
                <w:szCs w:val="18"/>
              </w:rPr>
              <w:t>simulation</w:t>
            </w:r>
            <w:r w:rsidRPr="00D06122">
              <w:rPr>
                <w:sz w:val="18"/>
                <w:szCs w:val="18"/>
              </w:rPr>
              <w:t xml:space="preserve"> represents observed conditions and was run with the compiled barrage flows from 1 July 2017 to 30 June 202</w:t>
            </w:r>
            <w:r>
              <w:rPr>
                <w:sz w:val="18"/>
                <w:szCs w:val="18"/>
              </w:rPr>
              <w:t>4</w:t>
            </w:r>
            <w:r w:rsidR="00437AEC">
              <w:rPr>
                <w:sz w:val="18"/>
                <w:szCs w:val="18"/>
              </w:rPr>
              <w:t>.</w:t>
            </w:r>
          </w:p>
        </w:tc>
      </w:tr>
      <w:tr w:rsidR="005659DC" w:rsidRPr="00D06122" w14:paraId="2DF81779" w14:textId="77777777" w:rsidTr="005353C8">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shd w:val="clear" w:color="auto" w:fill="auto"/>
          </w:tcPr>
          <w:p w14:paraId="3095E49E" w14:textId="359419FB" w:rsidR="009247F0" w:rsidRDefault="005659DC" w:rsidP="00CE710E">
            <w:pPr>
              <w:rPr>
                <w:b w:val="0"/>
                <w:bCs w:val="0"/>
                <w:sz w:val="18"/>
                <w:szCs w:val="18"/>
              </w:rPr>
            </w:pPr>
            <w:r w:rsidRPr="00D06122">
              <w:rPr>
                <w:sz w:val="18"/>
                <w:szCs w:val="18"/>
              </w:rPr>
              <w:t xml:space="preserve">No CEW </w:t>
            </w:r>
            <w:r w:rsidR="009247F0">
              <w:rPr>
                <w:sz w:val="18"/>
                <w:szCs w:val="18"/>
              </w:rPr>
              <w:t>1 year</w:t>
            </w:r>
          </w:p>
          <w:p w14:paraId="54E9BFD2" w14:textId="0BF854CF" w:rsidR="005659DC" w:rsidRPr="00D06122" w:rsidRDefault="005659DC" w:rsidP="00CE710E">
            <w:pPr>
              <w:rPr>
                <w:sz w:val="18"/>
                <w:szCs w:val="18"/>
              </w:rPr>
            </w:pPr>
          </w:p>
        </w:tc>
        <w:tc>
          <w:tcPr>
            <w:tcW w:w="992" w:type="dxa"/>
            <w:shd w:val="clear" w:color="auto" w:fill="auto"/>
          </w:tcPr>
          <w:p w14:paraId="2670B607" w14:textId="0DA0D68D" w:rsidR="005659DC" w:rsidRPr="00D06122" w:rsidRDefault="005659DC" w:rsidP="00CE710E">
            <w:pPr>
              <w:cnfStyle w:val="000000000000" w:firstRow="0" w:lastRow="0" w:firstColumn="0" w:lastColumn="0" w:oddVBand="0" w:evenVBand="0" w:oddHBand="0" w:evenHBand="0" w:firstRowFirstColumn="0" w:firstRowLastColumn="0" w:lastRowFirstColumn="0" w:lastRowLastColumn="0"/>
              <w:rPr>
                <w:sz w:val="18"/>
                <w:szCs w:val="18"/>
              </w:rPr>
            </w:pPr>
            <w:r w:rsidRPr="00D06122">
              <w:rPr>
                <w:sz w:val="18"/>
                <w:szCs w:val="18"/>
              </w:rPr>
              <w:t>NC1</w:t>
            </w:r>
            <w:r>
              <w:rPr>
                <w:sz w:val="18"/>
                <w:szCs w:val="18"/>
              </w:rPr>
              <w:t xml:space="preserve"> </w:t>
            </w:r>
          </w:p>
        </w:tc>
        <w:tc>
          <w:tcPr>
            <w:tcW w:w="6237" w:type="dxa"/>
            <w:shd w:val="clear" w:color="auto" w:fill="auto"/>
          </w:tcPr>
          <w:p w14:paraId="4D04031C" w14:textId="19D18B5C" w:rsidR="005659DC" w:rsidRPr="00D06122" w:rsidRDefault="005659DC" w:rsidP="00CE710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These</w:t>
            </w:r>
            <w:r w:rsidRPr="00D06122">
              <w:rPr>
                <w:sz w:val="18"/>
                <w:szCs w:val="18"/>
              </w:rPr>
              <w:t xml:space="preserve"> scenario</w:t>
            </w:r>
            <w:r>
              <w:rPr>
                <w:sz w:val="18"/>
                <w:szCs w:val="18"/>
              </w:rPr>
              <w:t>s</w:t>
            </w:r>
            <w:r w:rsidRPr="00D06122">
              <w:rPr>
                <w:sz w:val="18"/>
                <w:szCs w:val="18"/>
              </w:rPr>
              <w:t xml:space="preserve"> w</w:t>
            </w:r>
            <w:r>
              <w:rPr>
                <w:sz w:val="18"/>
                <w:szCs w:val="18"/>
              </w:rPr>
              <w:t>ere</w:t>
            </w:r>
            <w:r w:rsidRPr="00D06122">
              <w:rPr>
                <w:sz w:val="18"/>
                <w:szCs w:val="18"/>
              </w:rPr>
              <w:t xml:space="preserve"> run with assumption that there was no CEW through the barrages in </w:t>
            </w:r>
            <w:r w:rsidR="005D2493">
              <w:rPr>
                <w:sz w:val="18"/>
                <w:szCs w:val="18"/>
              </w:rPr>
              <w:t xml:space="preserve">one individual </w:t>
            </w:r>
            <w:r w:rsidR="00221C89">
              <w:rPr>
                <w:sz w:val="18"/>
                <w:szCs w:val="18"/>
              </w:rPr>
              <w:t>water year (Jul</w:t>
            </w:r>
            <w:r w:rsidR="005D2493">
              <w:rPr>
                <w:sz w:val="18"/>
                <w:szCs w:val="18"/>
              </w:rPr>
              <w:t>y</w:t>
            </w:r>
            <w:r w:rsidR="00221C89">
              <w:rPr>
                <w:sz w:val="18"/>
                <w:szCs w:val="18"/>
              </w:rPr>
              <w:t>–June</w:t>
            </w:r>
            <w:r w:rsidR="005D2493">
              <w:rPr>
                <w:sz w:val="18"/>
                <w:szCs w:val="18"/>
              </w:rPr>
              <w:t xml:space="preserve"> each year</w:t>
            </w:r>
            <w:r w:rsidR="00221C89">
              <w:rPr>
                <w:sz w:val="18"/>
                <w:szCs w:val="18"/>
              </w:rPr>
              <w:t xml:space="preserve">). This is </w:t>
            </w:r>
            <w:r>
              <w:rPr>
                <w:sz w:val="18"/>
                <w:szCs w:val="18"/>
              </w:rPr>
              <w:t xml:space="preserve">undertaken </w:t>
            </w:r>
            <w:r w:rsidRPr="00D06122">
              <w:rPr>
                <w:sz w:val="18"/>
                <w:szCs w:val="18"/>
              </w:rPr>
              <w:t xml:space="preserve">to </w:t>
            </w:r>
            <w:r>
              <w:rPr>
                <w:sz w:val="18"/>
                <w:szCs w:val="18"/>
              </w:rPr>
              <w:t>isolate</w:t>
            </w:r>
            <w:r w:rsidRPr="00D06122">
              <w:rPr>
                <w:sz w:val="18"/>
                <w:szCs w:val="18"/>
              </w:rPr>
              <w:t xml:space="preserve"> the effect of </w:t>
            </w:r>
            <w:r w:rsidR="005D2493">
              <w:rPr>
                <w:sz w:val="18"/>
                <w:szCs w:val="18"/>
              </w:rPr>
              <w:t xml:space="preserve">any single year’s </w:t>
            </w:r>
            <w:r w:rsidRPr="00D06122">
              <w:rPr>
                <w:sz w:val="18"/>
                <w:szCs w:val="18"/>
              </w:rPr>
              <w:t>CEW</w:t>
            </w:r>
            <w:r>
              <w:rPr>
                <w:sz w:val="18"/>
                <w:szCs w:val="18"/>
              </w:rPr>
              <w:t xml:space="preserve"> effect, relative to the cumulative effect</w:t>
            </w:r>
            <w:r w:rsidR="002C2C40">
              <w:rPr>
                <w:sz w:val="18"/>
                <w:szCs w:val="18"/>
              </w:rPr>
              <w:t xml:space="preserve"> of previous years water</w:t>
            </w:r>
            <w:r w:rsidRPr="00D06122">
              <w:rPr>
                <w:sz w:val="18"/>
                <w:szCs w:val="18"/>
              </w:rPr>
              <w:t>;</w:t>
            </w:r>
          </w:p>
        </w:tc>
      </w:tr>
      <w:tr w:rsidR="00A055A7" w:rsidRPr="00D06122" w14:paraId="14DEB588" w14:textId="77777777" w:rsidTr="00535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shd w:val="clear" w:color="auto" w:fill="auto"/>
          </w:tcPr>
          <w:p w14:paraId="2B20962A" w14:textId="4CF99A5A" w:rsidR="000A3D71" w:rsidRDefault="00A055A7" w:rsidP="00CE2265">
            <w:pPr>
              <w:rPr>
                <w:b w:val="0"/>
                <w:bCs w:val="0"/>
                <w:sz w:val="18"/>
                <w:szCs w:val="18"/>
              </w:rPr>
            </w:pPr>
            <w:r w:rsidRPr="00D06122">
              <w:rPr>
                <w:sz w:val="18"/>
                <w:szCs w:val="18"/>
              </w:rPr>
              <w:t xml:space="preserve">No CEW </w:t>
            </w:r>
            <w:r w:rsidR="000A3D71">
              <w:rPr>
                <w:sz w:val="18"/>
                <w:szCs w:val="18"/>
              </w:rPr>
              <w:t>2 years</w:t>
            </w:r>
          </w:p>
          <w:p w14:paraId="2706734A" w14:textId="3FDC69BF" w:rsidR="00A055A7" w:rsidRDefault="000A3D71" w:rsidP="00CE2265">
            <w:pPr>
              <w:rPr>
                <w:b w:val="0"/>
                <w:bCs w:val="0"/>
                <w:sz w:val="18"/>
                <w:szCs w:val="18"/>
              </w:rPr>
            </w:pPr>
            <w:r>
              <w:rPr>
                <w:sz w:val="18"/>
                <w:szCs w:val="18"/>
              </w:rPr>
              <w:t xml:space="preserve">i.e. </w:t>
            </w:r>
            <w:r w:rsidR="00A055A7">
              <w:rPr>
                <w:sz w:val="18"/>
                <w:szCs w:val="18"/>
              </w:rPr>
              <w:t xml:space="preserve">for the past two water </w:t>
            </w:r>
            <w:r w:rsidR="00A055A7" w:rsidRPr="00D06122">
              <w:rPr>
                <w:sz w:val="18"/>
                <w:szCs w:val="18"/>
              </w:rPr>
              <w:t>year</w:t>
            </w:r>
            <w:r w:rsidR="00A055A7">
              <w:rPr>
                <w:sz w:val="18"/>
                <w:szCs w:val="18"/>
              </w:rPr>
              <w:t xml:space="preserve">s </w:t>
            </w:r>
          </w:p>
          <w:p w14:paraId="5F7C1ADD" w14:textId="54AAF0FB" w:rsidR="000A3D71" w:rsidRPr="00D06122" w:rsidRDefault="000A3D71" w:rsidP="00CE2265">
            <w:pPr>
              <w:rPr>
                <w:sz w:val="18"/>
                <w:szCs w:val="18"/>
              </w:rPr>
            </w:pPr>
            <w:r w:rsidRPr="00D06122">
              <w:rPr>
                <w:sz w:val="18"/>
                <w:szCs w:val="18"/>
              </w:rPr>
              <w:t>(07/</w:t>
            </w:r>
            <w:r>
              <w:rPr>
                <w:sz w:val="18"/>
                <w:szCs w:val="18"/>
              </w:rPr>
              <w:t>22</w:t>
            </w:r>
            <w:r w:rsidRPr="00D06122">
              <w:rPr>
                <w:sz w:val="18"/>
                <w:szCs w:val="18"/>
              </w:rPr>
              <w:t>–0</w:t>
            </w:r>
            <w:r>
              <w:rPr>
                <w:sz w:val="18"/>
                <w:szCs w:val="18"/>
              </w:rPr>
              <w:t>6</w:t>
            </w:r>
            <w:r w:rsidRPr="00D06122">
              <w:rPr>
                <w:sz w:val="18"/>
                <w:szCs w:val="18"/>
              </w:rPr>
              <w:t>/2</w:t>
            </w:r>
            <w:r>
              <w:rPr>
                <w:sz w:val="18"/>
                <w:szCs w:val="18"/>
              </w:rPr>
              <w:t>4</w:t>
            </w:r>
            <w:r w:rsidRPr="00D06122">
              <w:rPr>
                <w:sz w:val="18"/>
                <w:szCs w:val="18"/>
              </w:rPr>
              <w:t>)</w:t>
            </w:r>
          </w:p>
        </w:tc>
        <w:tc>
          <w:tcPr>
            <w:tcW w:w="992" w:type="dxa"/>
            <w:shd w:val="clear" w:color="auto" w:fill="auto"/>
          </w:tcPr>
          <w:p w14:paraId="371F6913" w14:textId="6ACF8F23" w:rsidR="00A055A7" w:rsidRPr="00D06122" w:rsidRDefault="00A055A7" w:rsidP="00CE2265">
            <w:pPr>
              <w:cnfStyle w:val="000000100000" w:firstRow="0" w:lastRow="0" w:firstColumn="0" w:lastColumn="0" w:oddVBand="0" w:evenVBand="0" w:oddHBand="1" w:evenHBand="0" w:firstRowFirstColumn="0" w:firstRowLastColumn="0" w:lastRowFirstColumn="0" w:lastRowLastColumn="0"/>
              <w:rPr>
                <w:sz w:val="18"/>
                <w:szCs w:val="18"/>
              </w:rPr>
            </w:pPr>
            <w:r w:rsidRPr="00D06122">
              <w:rPr>
                <w:sz w:val="18"/>
                <w:szCs w:val="18"/>
              </w:rPr>
              <w:t>NC</w:t>
            </w:r>
            <w:r>
              <w:rPr>
                <w:sz w:val="18"/>
                <w:szCs w:val="18"/>
              </w:rPr>
              <w:t>2</w:t>
            </w:r>
          </w:p>
        </w:tc>
        <w:tc>
          <w:tcPr>
            <w:tcW w:w="6237" w:type="dxa"/>
            <w:shd w:val="clear" w:color="auto" w:fill="auto"/>
          </w:tcPr>
          <w:p w14:paraId="4B0EE11B" w14:textId="502B9CB6" w:rsidR="00A055A7" w:rsidRDefault="009A51A6" w:rsidP="00CE2265">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This</w:t>
            </w:r>
            <w:r w:rsidR="00A055A7" w:rsidRPr="00D06122">
              <w:rPr>
                <w:sz w:val="18"/>
                <w:szCs w:val="18"/>
              </w:rPr>
              <w:t xml:space="preserve"> scenario </w:t>
            </w:r>
            <w:r w:rsidR="005D2493">
              <w:rPr>
                <w:sz w:val="18"/>
                <w:szCs w:val="18"/>
              </w:rPr>
              <w:t>was s</w:t>
            </w:r>
            <w:r w:rsidR="000A3D71">
              <w:rPr>
                <w:sz w:val="18"/>
                <w:szCs w:val="18"/>
              </w:rPr>
              <w:t xml:space="preserve"> </w:t>
            </w:r>
            <w:r>
              <w:rPr>
                <w:sz w:val="18"/>
                <w:szCs w:val="18"/>
              </w:rPr>
              <w:t xml:space="preserve">made </w:t>
            </w:r>
            <w:r w:rsidR="00782629">
              <w:rPr>
                <w:sz w:val="18"/>
                <w:szCs w:val="18"/>
              </w:rPr>
              <w:t>s</w:t>
            </w:r>
            <w:r w:rsidR="000A3D71">
              <w:rPr>
                <w:sz w:val="18"/>
                <w:szCs w:val="18"/>
              </w:rPr>
              <w:t xml:space="preserve">pecifically for Ruppia habitat assessment, </w:t>
            </w:r>
            <w:r>
              <w:rPr>
                <w:sz w:val="18"/>
                <w:szCs w:val="18"/>
              </w:rPr>
              <w:t xml:space="preserve">with the </w:t>
            </w:r>
            <w:r w:rsidR="00A055A7" w:rsidRPr="00D06122">
              <w:rPr>
                <w:sz w:val="18"/>
                <w:szCs w:val="18"/>
              </w:rPr>
              <w:t xml:space="preserve">assumption that there was no CEW through the barrages in the </w:t>
            </w:r>
            <w:r w:rsidR="00A055A7">
              <w:rPr>
                <w:sz w:val="18"/>
                <w:szCs w:val="18"/>
              </w:rPr>
              <w:t xml:space="preserve">last </w:t>
            </w:r>
            <w:r w:rsidR="00D87FB1">
              <w:rPr>
                <w:sz w:val="18"/>
                <w:szCs w:val="18"/>
              </w:rPr>
              <w:t xml:space="preserve">two </w:t>
            </w:r>
            <w:r w:rsidR="00A055A7">
              <w:rPr>
                <w:sz w:val="18"/>
                <w:szCs w:val="18"/>
              </w:rPr>
              <w:t>water year</w:t>
            </w:r>
            <w:r w:rsidR="00D87FB1">
              <w:rPr>
                <w:sz w:val="18"/>
                <w:szCs w:val="18"/>
              </w:rPr>
              <w:t>s</w:t>
            </w:r>
            <w:r w:rsidR="00A055A7">
              <w:rPr>
                <w:sz w:val="18"/>
                <w:szCs w:val="18"/>
              </w:rPr>
              <w:t xml:space="preserve"> (Jul</w:t>
            </w:r>
            <w:r w:rsidR="000A3D71">
              <w:rPr>
                <w:sz w:val="18"/>
                <w:szCs w:val="18"/>
              </w:rPr>
              <w:t>y</w:t>
            </w:r>
            <w:r w:rsidR="00A055A7">
              <w:rPr>
                <w:sz w:val="18"/>
                <w:szCs w:val="18"/>
              </w:rPr>
              <w:t xml:space="preserve"> 202</w:t>
            </w:r>
            <w:r w:rsidR="00D87FB1">
              <w:rPr>
                <w:sz w:val="18"/>
                <w:szCs w:val="18"/>
              </w:rPr>
              <w:t>2</w:t>
            </w:r>
            <w:r w:rsidR="00A055A7">
              <w:rPr>
                <w:sz w:val="18"/>
                <w:szCs w:val="18"/>
              </w:rPr>
              <w:t>–</w:t>
            </w:r>
            <w:r w:rsidR="00EB559D">
              <w:rPr>
                <w:sz w:val="18"/>
                <w:szCs w:val="18"/>
              </w:rPr>
              <w:t>J</w:t>
            </w:r>
            <w:r w:rsidR="00A055A7">
              <w:rPr>
                <w:sz w:val="18"/>
                <w:szCs w:val="18"/>
              </w:rPr>
              <w:t xml:space="preserve">une 2024). This </w:t>
            </w:r>
            <w:r w:rsidR="000A3D71">
              <w:rPr>
                <w:sz w:val="18"/>
                <w:szCs w:val="18"/>
              </w:rPr>
              <w:t>was</w:t>
            </w:r>
            <w:r w:rsidR="00A055A7">
              <w:rPr>
                <w:sz w:val="18"/>
                <w:szCs w:val="18"/>
              </w:rPr>
              <w:t xml:space="preserve"> undertaken </w:t>
            </w:r>
            <w:r w:rsidR="00A055A7" w:rsidRPr="00D06122">
              <w:rPr>
                <w:sz w:val="18"/>
                <w:szCs w:val="18"/>
              </w:rPr>
              <w:t xml:space="preserve">to </w:t>
            </w:r>
            <w:r w:rsidR="00A055A7">
              <w:rPr>
                <w:sz w:val="18"/>
                <w:szCs w:val="18"/>
              </w:rPr>
              <w:t>isolate</w:t>
            </w:r>
            <w:r w:rsidR="00A055A7" w:rsidRPr="00D06122">
              <w:rPr>
                <w:sz w:val="18"/>
                <w:szCs w:val="18"/>
              </w:rPr>
              <w:t xml:space="preserve"> the effect of </w:t>
            </w:r>
            <w:r w:rsidR="00D87FB1">
              <w:rPr>
                <w:sz w:val="18"/>
                <w:szCs w:val="18"/>
              </w:rPr>
              <w:t>recent</w:t>
            </w:r>
            <w:r w:rsidR="00A055A7">
              <w:rPr>
                <w:sz w:val="18"/>
                <w:szCs w:val="18"/>
              </w:rPr>
              <w:t xml:space="preserve"> </w:t>
            </w:r>
            <w:r w:rsidR="00A055A7" w:rsidRPr="00D06122">
              <w:rPr>
                <w:sz w:val="18"/>
                <w:szCs w:val="18"/>
              </w:rPr>
              <w:t>CEW</w:t>
            </w:r>
            <w:r w:rsidR="00A055A7">
              <w:rPr>
                <w:sz w:val="18"/>
                <w:szCs w:val="18"/>
              </w:rPr>
              <w:t xml:space="preserve"> </w:t>
            </w:r>
            <w:r w:rsidR="00846CFF">
              <w:rPr>
                <w:sz w:val="18"/>
                <w:szCs w:val="18"/>
              </w:rPr>
              <w:t>delivery</w:t>
            </w:r>
            <w:r w:rsidR="00A055A7" w:rsidRPr="00D06122">
              <w:rPr>
                <w:sz w:val="18"/>
                <w:szCs w:val="18"/>
              </w:rPr>
              <w:t xml:space="preserve"> on </w:t>
            </w:r>
            <w:r w:rsidR="00D87FB1" w:rsidRPr="00846CFF">
              <w:rPr>
                <w:i/>
                <w:iCs/>
                <w:sz w:val="18"/>
                <w:szCs w:val="18"/>
              </w:rPr>
              <w:t>Ruppia</w:t>
            </w:r>
            <w:r w:rsidR="00D87FB1">
              <w:rPr>
                <w:sz w:val="18"/>
                <w:szCs w:val="18"/>
              </w:rPr>
              <w:t xml:space="preserve"> habitat in the Coorong, which </w:t>
            </w:r>
            <w:r w:rsidR="005D2493">
              <w:rPr>
                <w:sz w:val="18"/>
                <w:szCs w:val="18"/>
              </w:rPr>
              <w:t xml:space="preserve">was </w:t>
            </w:r>
            <w:r w:rsidR="00D87FB1">
              <w:rPr>
                <w:sz w:val="18"/>
                <w:szCs w:val="18"/>
              </w:rPr>
              <w:t>assessed over a calend</w:t>
            </w:r>
            <w:r w:rsidR="00846CFF">
              <w:rPr>
                <w:sz w:val="18"/>
                <w:szCs w:val="18"/>
              </w:rPr>
              <w:t>a</w:t>
            </w:r>
            <w:r w:rsidR="00D87FB1">
              <w:rPr>
                <w:sz w:val="18"/>
                <w:szCs w:val="18"/>
              </w:rPr>
              <w:t>r year</w:t>
            </w:r>
            <w:r>
              <w:rPr>
                <w:sz w:val="18"/>
                <w:szCs w:val="18"/>
              </w:rPr>
              <w:t xml:space="preserve"> (Jan</w:t>
            </w:r>
            <w:r w:rsidR="000A3D71">
              <w:rPr>
                <w:sz w:val="18"/>
                <w:szCs w:val="18"/>
              </w:rPr>
              <w:t>uary</w:t>
            </w:r>
            <w:r>
              <w:rPr>
                <w:sz w:val="18"/>
                <w:szCs w:val="18"/>
              </w:rPr>
              <w:t xml:space="preserve"> to Dec</w:t>
            </w:r>
            <w:r w:rsidR="000A3D71">
              <w:rPr>
                <w:sz w:val="18"/>
                <w:szCs w:val="18"/>
              </w:rPr>
              <w:t>ember</w:t>
            </w:r>
            <w:r>
              <w:rPr>
                <w:sz w:val="18"/>
                <w:szCs w:val="18"/>
              </w:rPr>
              <w:t xml:space="preserve"> 2023)</w:t>
            </w:r>
            <w:r w:rsidR="00D87FB1">
              <w:rPr>
                <w:sz w:val="18"/>
                <w:szCs w:val="18"/>
              </w:rPr>
              <w:t xml:space="preserve"> rather than water year</w:t>
            </w:r>
            <w:r w:rsidR="000A3D71">
              <w:rPr>
                <w:sz w:val="18"/>
                <w:szCs w:val="18"/>
              </w:rPr>
              <w:t>.</w:t>
            </w:r>
            <w:r w:rsidR="008928C8">
              <w:rPr>
                <w:sz w:val="18"/>
                <w:szCs w:val="18"/>
              </w:rPr>
              <w:t xml:space="preserve"> </w:t>
            </w:r>
          </w:p>
        </w:tc>
      </w:tr>
      <w:tr w:rsidR="00CE2265" w:rsidRPr="00D06122" w14:paraId="275612EF" w14:textId="77777777" w:rsidTr="005353C8">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shd w:val="clear" w:color="auto" w:fill="auto"/>
          </w:tcPr>
          <w:p w14:paraId="21A94FAE" w14:textId="2FC0F143" w:rsidR="00CE2265" w:rsidRPr="00D06122" w:rsidRDefault="00CE2265" w:rsidP="00CE2265">
            <w:pPr>
              <w:rPr>
                <w:sz w:val="18"/>
                <w:szCs w:val="18"/>
              </w:rPr>
            </w:pPr>
            <w:r w:rsidRPr="00D06122">
              <w:rPr>
                <w:sz w:val="18"/>
                <w:szCs w:val="18"/>
              </w:rPr>
              <w:t xml:space="preserve">No CEW </w:t>
            </w:r>
            <w:r>
              <w:rPr>
                <w:sz w:val="18"/>
                <w:szCs w:val="18"/>
              </w:rPr>
              <w:t xml:space="preserve">7 </w:t>
            </w:r>
            <w:r w:rsidRPr="00D06122">
              <w:rPr>
                <w:sz w:val="18"/>
                <w:szCs w:val="18"/>
              </w:rPr>
              <w:t>years</w:t>
            </w:r>
          </w:p>
          <w:p w14:paraId="77628E10" w14:textId="3CA1B548" w:rsidR="00CE2265" w:rsidRPr="00D06122" w:rsidRDefault="00CE2265" w:rsidP="00CE2265">
            <w:pPr>
              <w:rPr>
                <w:sz w:val="18"/>
                <w:szCs w:val="18"/>
              </w:rPr>
            </w:pPr>
            <w:r w:rsidRPr="00D06122">
              <w:rPr>
                <w:sz w:val="18"/>
                <w:szCs w:val="18"/>
              </w:rPr>
              <w:t>(07/</w:t>
            </w:r>
            <w:r>
              <w:rPr>
                <w:sz w:val="18"/>
                <w:szCs w:val="18"/>
              </w:rPr>
              <w:t>17</w:t>
            </w:r>
            <w:r w:rsidRPr="00D06122">
              <w:rPr>
                <w:sz w:val="18"/>
                <w:szCs w:val="18"/>
              </w:rPr>
              <w:t>–0</w:t>
            </w:r>
            <w:r>
              <w:rPr>
                <w:sz w:val="18"/>
                <w:szCs w:val="18"/>
              </w:rPr>
              <w:t>6</w:t>
            </w:r>
            <w:r w:rsidRPr="00D06122">
              <w:rPr>
                <w:sz w:val="18"/>
                <w:szCs w:val="18"/>
              </w:rPr>
              <w:t>/2</w:t>
            </w:r>
            <w:r>
              <w:rPr>
                <w:sz w:val="18"/>
                <w:szCs w:val="18"/>
              </w:rPr>
              <w:t>4</w:t>
            </w:r>
            <w:r w:rsidRPr="00D06122">
              <w:rPr>
                <w:sz w:val="18"/>
                <w:szCs w:val="18"/>
              </w:rPr>
              <w:t>)</w:t>
            </w:r>
          </w:p>
        </w:tc>
        <w:tc>
          <w:tcPr>
            <w:tcW w:w="992" w:type="dxa"/>
            <w:shd w:val="clear" w:color="auto" w:fill="auto"/>
          </w:tcPr>
          <w:p w14:paraId="1AF1036F" w14:textId="77777777" w:rsidR="00CE2265" w:rsidRPr="00D06122" w:rsidRDefault="00CE2265" w:rsidP="00CE2265">
            <w:pPr>
              <w:cnfStyle w:val="000000000000" w:firstRow="0" w:lastRow="0" w:firstColumn="0" w:lastColumn="0" w:oddVBand="0" w:evenVBand="0" w:oddHBand="0" w:evenHBand="0" w:firstRowFirstColumn="0" w:firstRowLastColumn="0" w:lastRowFirstColumn="0" w:lastRowLastColumn="0"/>
              <w:rPr>
                <w:sz w:val="18"/>
                <w:szCs w:val="18"/>
              </w:rPr>
            </w:pPr>
            <w:r w:rsidRPr="00D06122">
              <w:rPr>
                <w:sz w:val="18"/>
                <w:szCs w:val="18"/>
              </w:rPr>
              <w:t>NC</w:t>
            </w:r>
            <w:r>
              <w:rPr>
                <w:sz w:val="18"/>
                <w:szCs w:val="18"/>
              </w:rPr>
              <w:t>7</w:t>
            </w:r>
          </w:p>
        </w:tc>
        <w:tc>
          <w:tcPr>
            <w:tcW w:w="6237" w:type="dxa"/>
            <w:shd w:val="clear" w:color="auto" w:fill="auto"/>
          </w:tcPr>
          <w:p w14:paraId="2B1D8A79" w14:textId="410684DD" w:rsidR="00CE2265" w:rsidRPr="00D06122" w:rsidRDefault="00CE2265" w:rsidP="00CE226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D06122">
              <w:rPr>
                <w:sz w:val="18"/>
                <w:szCs w:val="18"/>
              </w:rPr>
              <w:t>his scenario was run with assumption that there was no CEW through the barrages from 1 July 20</w:t>
            </w:r>
            <w:r>
              <w:rPr>
                <w:sz w:val="18"/>
                <w:szCs w:val="18"/>
              </w:rPr>
              <w:t>17</w:t>
            </w:r>
            <w:r w:rsidRPr="00D06122">
              <w:rPr>
                <w:sz w:val="18"/>
                <w:szCs w:val="18"/>
              </w:rPr>
              <w:t xml:space="preserve"> to 30 June 202</w:t>
            </w:r>
            <w:r>
              <w:rPr>
                <w:sz w:val="18"/>
                <w:szCs w:val="18"/>
              </w:rPr>
              <w:t>4</w:t>
            </w:r>
            <w:r w:rsidRPr="00D06122">
              <w:rPr>
                <w:sz w:val="18"/>
                <w:szCs w:val="18"/>
              </w:rPr>
              <w:t xml:space="preserve">, aiming to investigate the cumulative effect of CEW </w:t>
            </w:r>
            <w:r>
              <w:rPr>
                <w:sz w:val="18"/>
                <w:szCs w:val="18"/>
              </w:rPr>
              <w:t>for the last seven years</w:t>
            </w:r>
            <w:r w:rsidR="000A3D71">
              <w:rPr>
                <w:sz w:val="18"/>
                <w:szCs w:val="18"/>
              </w:rPr>
              <w:t>.</w:t>
            </w:r>
          </w:p>
        </w:tc>
      </w:tr>
      <w:tr w:rsidR="00CE2265" w:rsidRPr="00D06122" w14:paraId="10B3756F" w14:textId="77777777" w:rsidTr="005C5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shd w:val="clear" w:color="auto" w:fill="auto"/>
          </w:tcPr>
          <w:p w14:paraId="2C211F89" w14:textId="6CC80E43" w:rsidR="00CE2265" w:rsidRPr="00D06122" w:rsidRDefault="00CE2265" w:rsidP="00CE2265">
            <w:pPr>
              <w:rPr>
                <w:sz w:val="18"/>
                <w:szCs w:val="18"/>
              </w:rPr>
            </w:pPr>
            <w:r w:rsidRPr="00D06122">
              <w:rPr>
                <w:sz w:val="18"/>
                <w:szCs w:val="18"/>
              </w:rPr>
              <w:t xml:space="preserve">No </w:t>
            </w:r>
            <w:r>
              <w:rPr>
                <w:sz w:val="18"/>
                <w:szCs w:val="18"/>
              </w:rPr>
              <w:t>e</w:t>
            </w:r>
            <w:r w:rsidRPr="00D06122">
              <w:rPr>
                <w:sz w:val="18"/>
                <w:szCs w:val="18"/>
              </w:rPr>
              <w:t>Water 1 year</w:t>
            </w:r>
          </w:p>
          <w:p w14:paraId="0DC393E7" w14:textId="0565A74F" w:rsidR="00CE2265" w:rsidRPr="00D06122" w:rsidRDefault="00CE2265" w:rsidP="00CE2265">
            <w:pPr>
              <w:rPr>
                <w:sz w:val="18"/>
                <w:szCs w:val="18"/>
              </w:rPr>
            </w:pPr>
            <w:r w:rsidRPr="00D06122">
              <w:rPr>
                <w:sz w:val="18"/>
                <w:szCs w:val="18"/>
              </w:rPr>
              <w:t>(07/2</w:t>
            </w:r>
            <w:r>
              <w:rPr>
                <w:sz w:val="18"/>
                <w:szCs w:val="18"/>
              </w:rPr>
              <w:t>3</w:t>
            </w:r>
            <w:r w:rsidRPr="00D06122">
              <w:rPr>
                <w:sz w:val="18"/>
                <w:szCs w:val="18"/>
              </w:rPr>
              <w:t>–0</w:t>
            </w:r>
            <w:r>
              <w:rPr>
                <w:sz w:val="18"/>
                <w:szCs w:val="18"/>
              </w:rPr>
              <w:t>6</w:t>
            </w:r>
            <w:r w:rsidRPr="00D06122">
              <w:rPr>
                <w:sz w:val="18"/>
                <w:szCs w:val="18"/>
              </w:rPr>
              <w:t>/2</w:t>
            </w:r>
            <w:r>
              <w:rPr>
                <w:sz w:val="18"/>
                <w:szCs w:val="18"/>
              </w:rPr>
              <w:t>4</w:t>
            </w:r>
            <w:r w:rsidRPr="00D06122">
              <w:rPr>
                <w:sz w:val="18"/>
                <w:szCs w:val="18"/>
              </w:rPr>
              <w:t>)</w:t>
            </w:r>
          </w:p>
        </w:tc>
        <w:tc>
          <w:tcPr>
            <w:tcW w:w="992" w:type="dxa"/>
            <w:shd w:val="clear" w:color="auto" w:fill="auto"/>
          </w:tcPr>
          <w:p w14:paraId="230DC32F" w14:textId="77777777" w:rsidR="00CE2265" w:rsidRPr="00D06122" w:rsidRDefault="00CE2265" w:rsidP="00CE2265">
            <w:pPr>
              <w:cnfStyle w:val="000000100000" w:firstRow="0" w:lastRow="0" w:firstColumn="0" w:lastColumn="0" w:oddVBand="0" w:evenVBand="0" w:oddHBand="1" w:evenHBand="0" w:firstRowFirstColumn="0" w:firstRowLastColumn="0" w:lastRowFirstColumn="0" w:lastRowLastColumn="0"/>
              <w:rPr>
                <w:sz w:val="18"/>
                <w:szCs w:val="18"/>
              </w:rPr>
            </w:pPr>
            <w:r w:rsidRPr="00D06122">
              <w:rPr>
                <w:sz w:val="18"/>
                <w:szCs w:val="18"/>
              </w:rPr>
              <w:t>NE1</w:t>
            </w:r>
          </w:p>
        </w:tc>
        <w:tc>
          <w:tcPr>
            <w:tcW w:w="6237" w:type="dxa"/>
            <w:shd w:val="clear" w:color="auto" w:fill="auto"/>
          </w:tcPr>
          <w:p w14:paraId="6205B9BD" w14:textId="27D02631" w:rsidR="00CE2265" w:rsidRPr="00D06122" w:rsidRDefault="00CE2265" w:rsidP="00CE2265">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w:t>
            </w:r>
            <w:r w:rsidRPr="00D06122">
              <w:rPr>
                <w:sz w:val="18"/>
                <w:szCs w:val="18"/>
              </w:rPr>
              <w:t xml:space="preserve">his scenario was run with assumption that there was no </w:t>
            </w:r>
            <w:r>
              <w:rPr>
                <w:sz w:val="18"/>
                <w:szCs w:val="18"/>
              </w:rPr>
              <w:t xml:space="preserve">eWater </w:t>
            </w:r>
            <w:r w:rsidRPr="00D06122">
              <w:rPr>
                <w:sz w:val="18"/>
                <w:szCs w:val="18"/>
              </w:rPr>
              <w:t xml:space="preserve">through the barrages in the last </w:t>
            </w:r>
            <w:r>
              <w:rPr>
                <w:sz w:val="18"/>
                <w:szCs w:val="18"/>
              </w:rPr>
              <w:t>water</w:t>
            </w:r>
            <w:r w:rsidRPr="00D06122">
              <w:rPr>
                <w:sz w:val="18"/>
                <w:szCs w:val="18"/>
              </w:rPr>
              <w:t xml:space="preserve"> year from 1 July 202</w:t>
            </w:r>
            <w:r>
              <w:rPr>
                <w:sz w:val="18"/>
                <w:szCs w:val="18"/>
              </w:rPr>
              <w:t>3</w:t>
            </w:r>
            <w:r w:rsidRPr="00D06122">
              <w:rPr>
                <w:sz w:val="18"/>
                <w:szCs w:val="18"/>
              </w:rPr>
              <w:t xml:space="preserve"> to 30 June 202</w:t>
            </w:r>
            <w:r>
              <w:rPr>
                <w:sz w:val="18"/>
                <w:szCs w:val="18"/>
              </w:rPr>
              <w:t>4</w:t>
            </w:r>
            <w:r w:rsidRPr="00D06122">
              <w:rPr>
                <w:sz w:val="18"/>
                <w:szCs w:val="18"/>
              </w:rPr>
              <w:t xml:space="preserve">, aiming to </w:t>
            </w:r>
            <w:r>
              <w:rPr>
                <w:sz w:val="18"/>
                <w:szCs w:val="18"/>
              </w:rPr>
              <w:t>isolate</w:t>
            </w:r>
            <w:r w:rsidRPr="00D06122">
              <w:rPr>
                <w:sz w:val="18"/>
                <w:szCs w:val="18"/>
              </w:rPr>
              <w:t xml:space="preserve"> the effect of </w:t>
            </w:r>
            <w:r>
              <w:rPr>
                <w:sz w:val="18"/>
                <w:szCs w:val="18"/>
              </w:rPr>
              <w:t>the combined</w:t>
            </w:r>
            <w:r w:rsidRPr="00D06122">
              <w:rPr>
                <w:sz w:val="18"/>
                <w:szCs w:val="18"/>
              </w:rPr>
              <w:t xml:space="preserve"> </w:t>
            </w:r>
            <w:r>
              <w:rPr>
                <w:sz w:val="18"/>
                <w:szCs w:val="18"/>
              </w:rPr>
              <w:t xml:space="preserve">eWater delivery </w:t>
            </w:r>
            <w:r w:rsidRPr="00D06122">
              <w:rPr>
                <w:sz w:val="18"/>
                <w:szCs w:val="18"/>
              </w:rPr>
              <w:t>in the last year only</w:t>
            </w:r>
            <w:r w:rsidR="000A3D71">
              <w:rPr>
                <w:sz w:val="18"/>
                <w:szCs w:val="18"/>
              </w:rPr>
              <w:t>.</w:t>
            </w:r>
          </w:p>
        </w:tc>
      </w:tr>
      <w:tr w:rsidR="00CE2265" w:rsidRPr="00D06122" w14:paraId="0E48BD9F" w14:textId="77777777" w:rsidTr="0069228A">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bottom w:val="none" w:sz="0" w:space="0" w:color="auto"/>
            </w:tcBorders>
            <w:shd w:val="clear" w:color="auto" w:fill="auto"/>
          </w:tcPr>
          <w:p w14:paraId="4FACDAC5" w14:textId="6E4C473E" w:rsidR="00CE2265" w:rsidRPr="00D06122" w:rsidRDefault="00CE2265" w:rsidP="00CE2265">
            <w:pPr>
              <w:rPr>
                <w:sz w:val="18"/>
                <w:szCs w:val="18"/>
              </w:rPr>
            </w:pPr>
            <w:r w:rsidRPr="00D06122">
              <w:rPr>
                <w:sz w:val="18"/>
                <w:szCs w:val="18"/>
              </w:rPr>
              <w:lastRenderedPageBreak/>
              <w:t xml:space="preserve">No </w:t>
            </w:r>
            <w:r>
              <w:rPr>
                <w:sz w:val="18"/>
                <w:szCs w:val="18"/>
              </w:rPr>
              <w:t>e</w:t>
            </w:r>
            <w:r w:rsidRPr="00D06122">
              <w:rPr>
                <w:sz w:val="18"/>
                <w:szCs w:val="18"/>
              </w:rPr>
              <w:t xml:space="preserve">Water </w:t>
            </w:r>
            <w:r>
              <w:rPr>
                <w:sz w:val="18"/>
                <w:szCs w:val="18"/>
              </w:rPr>
              <w:t>7</w:t>
            </w:r>
            <w:r w:rsidRPr="00D06122">
              <w:rPr>
                <w:sz w:val="18"/>
                <w:szCs w:val="18"/>
              </w:rPr>
              <w:t xml:space="preserve"> years</w:t>
            </w:r>
          </w:p>
          <w:p w14:paraId="3551A14B" w14:textId="3620CC13" w:rsidR="00CE2265" w:rsidRPr="00D06122" w:rsidRDefault="00CE2265" w:rsidP="00CE2265">
            <w:pPr>
              <w:rPr>
                <w:sz w:val="18"/>
                <w:szCs w:val="18"/>
              </w:rPr>
            </w:pPr>
            <w:r w:rsidRPr="00D06122">
              <w:rPr>
                <w:sz w:val="18"/>
                <w:szCs w:val="18"/>
              </w:rPr>
              <w:t>(07/</w:t>
            </w:r>
            <w:r>
              <w:rPr>
                <w:sz w:val="18"/>
                <w:szCs w:val="18"/>
              </w:rPr>
              <w:t>17</w:t>
            </w:r>
            <w:r w:rsidRPr="00D06122">
              <w:rPr>
                <w:sz w:val="18"/>
                <w:szCs w:val="18"/>
              </w:rPr>
              <w:t>–0</w:t>
            </w:r>
            <w:r>
              <w:rPr>
                <w:sz w:val="18"/>
                <w:szCs w:val="18"/>
              </w:rPr>
              <w:t>6</w:t>
            </w:r>
            <w:r w:rsidRPr="00D06122">
              <w:rPr>
                <w:sz w:val="18"/>
                <w:szCs w:val="18"/>
              </w:rPr>
              <w:t>/2</w:t>
            </w:r>
            <w:r>
              <w:rPr>
                <w:sz w:val="18"/>
                <w:szCs w:val="18"/>
              </w:rPr>
              <w:t>4</w:t>
            </w:r>
            <w:r w:rsidRPr="00D06122">
              <w:rPr>
                <w:sz w:val="18"/>
                <w:szCs w:val="18"/>
              </w:rPr>
              <w:t>)</w:t>
            </w:r>
          </w:p>
        </w:tc>
        <w:tc>
          <w:tcPr>
            <w:tcW w:w="992" w:type="dxa"/>
            <w:shd w:val="clear" w:color="auto" w:fill="auto"/>
          </w:tcPr>
          <w:p w14:paraId="17A5790A" w14:textId="77777777" w:rsidR="00CE2265" w:rsidRPr="00D06122" w:rsidRDefault="00CE2265" w:rsidP="00CE2265">
            <w:pPr>
              <w:cnfStyle w:val="000000000000" w:firstRow="0" w:lastRow="0" w:firstColumn="0" w:lastColumn="0" w:oddVBand="0" w:evenVBand="0" w:oddHBand="0" w:evenHBand="0" w:firstRowFirstColumn="0" w:firstRowLastColumn="0" w:lastRowFirstColumn="0" w:lastRowLastColumn="0"/>
              <w:rPr>
                <w:sz w:val="18"/>
                <w:szCs w:val="18"/>
              </w:rPr>
            </w:pPr>
            <w:r w:rsidRPr="00D06122">
              <w:rPr>
                <w:sz w:val="18"/>
                <w:szCs w:val="18"/>
              </w:rPr>
              <w:t>NE</w:t>
            </w:r>
            <w:r>
              <w:rPr>
                <w:sz w:val="18"/>
                <w:szCs w:val="18"/>
              </w:rPr>
              <w:t>7</w:t>
            </w:r>
          </w:p>
        </w:tc>
        <w:tc>
          <w:tcPr>
            <w:tcW w:w="6237" w:type="dxa"/>
            <w:shd w:val="clear" w:color="auto" w:fill="auto"/>
          </w:tcPr>
          <w:p w14:paraId="4221305A" w14:textId="10226045" w:rsidR="00CE2265" w:rsidRPr="00D06122" w:rsidRDefault="00CE2265" w:rsidP="00CE226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D06122">
              <w:rPr>
                <w:sz w:val="18"/>
                <w:szCs w:val="18"/>
              </w:rPr>
              <w:t xml:space="preserve">his scenario was run with assumption that there was no </w:t>
            </w:r>
            <w:r>
              <w:rPr>
                <w:sz w:val="18"/>
                <w:szCs w:val="18"/>
              </w:rPr>
              <w:t xml:space="preserve">eWater </w:t>
            </w:r>
            <w:r w:rsidRPr="00D06122">
              <w:rPr>
                <w:sz w:val="18"/>
                <w:szCs w:val="18"/>
              </w:rPr>
              <w:t>through the barrages from 1 July 20</w:t>
            </w:r>
            <w:r>
              <w:rPr>
                <w:sz w:val="18"/>
                <w:szCs w:val="18"/>
              </w:rPr>
              <w:t>17</w:t>
            </w:r>
            <w:r w:rsidRPr="00D06122">
              <w:rPr>
                <w:sz w:val="18"/>
                <w:szCs w:val="18"/>
              </w:rPr>
              <w:t xml:space="preserve"> to 30 June 202</w:t>
            </w:r>
            <w:r>
              <w:rPr>
                <w:sz w:val="18"/>
                <w:szCs w:val="18"/>
              </w:rPr>
              <w:t>4</w:t>
            </w:r>
            <w:r w:rsidRPr="00D06122">
              <w:rPr>
                <w:sz w:val="18"/>
                <w:szCs w:val="18"/>
              </w:rPr>
              <w:t xml:space="preserve">, aiming to investigate the cumulative effect of all </w:t>
            </w:r>
            <w:r>
              <w:rPr>
                <w:sz w:val="18"/>
                <w:szCs w:val="18"/>
              </w:rPr>
              <w:t>eWater for the last seven years</w:t>
            </w:r>
            <w:r w:rsidR="000A3D71">
              <w:rPr>
                <w:sz w:val="18"/>
                <w:szCs w:val="18"/>
              </w:rPr>
              <w:t>.</w:t>
            </w:r>
          </w:p>
        </w:tc>
      </w:tr>
    </w:tbl>
    <w:p w14:paraId="52075A73" w14:textId="77777777" w:rsidR="005659DC" w:rsidRDefault="005659DC" w:rsidP="005659DC">
      <w:r>
        <w:t>This report section presents the outcomes from the modelling assessment, with deliveries of:</w:t>
      </w:r>
    </w:p>
    <w:p w14:paraId="7F25DC25" w14:textId="77777777" w:rsidR="005659DC" w:rsidRDefault="005659DC" w:rsidP="005659DC">
      <w:pPr>
        <w:pStyle w:val="ListParagraph"/>
        <w:numPr>
          <w:ilvl w:val="0"/>
          <w:numId w:val="19"/>
        </w:numPr>
        <w:spacing w:before="0" w:after="160" w:line="259" w:lineRule="auto"/>
        <w:ind w:left="567" w:hanging="425"/>
        <w:jc w:val="left"/>
      </w:pPr>
      <w:r>
        <w:t>Barrage flow analysis in the ‘</w:t>
      </w:r>
      <w:r w:rsidRPr="0069228A">
        <w:rPr>
          <w:b/>
          <w:bCs/>
        </w:rPr>
        <w:t>All Water</w:t>
      </w:r>
      <w:r>
        <w:t>’, ‘</w:t>
      </w:r>
      <w:r w:rsidRPr="0069228A">
        <w:rPr>
          <w:b/>
          <w:bCs/>
        </w:rPr>
        <w:t>No CEW</w:t>
      </w:r>
      <w:r>
        <w:t>’ and ‘</w:t>
      </w:r>
      <w:r w:rsidRPr="0069228A">
        <w:rPr>
          <w:b/>
          <w:bCs/>
        </w:rPr>
        <w:t>No eWater</w:t>
      </w:r>
      <w:r>
        <w:t>’ scenarios;</w:t>
      </w:r>
    </w:p>
    <w:p w14:paraId="6A7B66A2" w14:textId="6F1FE13A" w:rsidR="005659DC" w:rsidRDefault="005659DC" w:rsidP="005659DC">
      <w:pPr>
        <w:pStyle w:val="ListParagraph"/>
        <w:numPr>
          <w:ilvl w:val="0"/>
          <w:numId w:val="19"/>
        </w:numPr>
        <w:spacing w:before="0" w:after="160" w:line="259" w:lineRule="auto"/>
        <w:ind w:left="567" w:hanging="425"/>
        <w:jc w:val="left"/>
      </w:pPr>
      <w:r>
        <w:t>Time series and transect comparisons of salinity and nutrient concentrations between the scenarios;</w:t>
      </w:r>
    </w:p>
    <w:p w14:paraId="1B1D43F9" w14:textId="77777777" w:rsidR="005659DC" w:rsidRDefault="005659DC" w:rsidP="005659DC">
      <w:pPr>
        <w:pStyle w:val="ListParagraph"/>
        <w:numPr>
          <w:ilvl w:val="0"/>
          <w:numId w:val="19"/>
        </w:numPr>
        <w:spacing w:before="0" w:after="160" w:line="259" w:lineRule="auto"/>
        <w:ind w:left="567" w:hanging="425"/>
        <w:jc w:val="left"/>
      </w:pPr>
      <w:r>
        <w:t xml:space="preserve">Detailed salt and nutrient flux analysis through the barrages, Murray Mouth, Pelican Point transect (southward to North Lagoon), and Parnka Point transect (southward to South Lagoon) in all </w:t>
      </w:r>
      <w:bookmarkStart w:id="229" w:name="_Hlk131157573"/>
      <w:r>
        <w:t>scenarios; and</w:t>
      </w:r>
    </w:p>
    <w:p w14:paraId="4CC5693E" w14:textId="77777777" w:rsidR="005659DC" w:rsidRDefault="005659DC" w:rsidP="005659DC">
      <w:pPr>
        <w:pStyle w:val="ListParagraph"/>
        <w:numPr>
          <w:ilvl w:val="0"/>
          <w:numId w:val="19"/>
        </w:numPr>
        <w:spacing w:before="0" w:after="160" w:line="259" w:lineRule="auto"/>
        <w:ind w:left="567" w:hanging="425"/>
        <w:jc w:val="left"/>
      </w:pPr>
      <w:r>
        <w:t>Mean and median salt and nutrient concentrations at the Murray Mouth, middle of North Lagoon (Long Point), and middle of South Lagoon (Woods Well) in all scenarios.</w:t>
      </w:r>
    </w:p>
    <w:bookmarkEnd w:id="229"/>
    <w:p w14:paraId="4C635BCB" w14:textId="77777777" w:rsidR="005659DC" w:rsidRPr="004D6643" w:rsidRDefault="005659DC" w:rsidP="005659DC">
      <w:pPr>
        <w:spacing w:before="0" w:after="160" w:line="259" w:lineRule="auto"/>
        <w:jc w:val="left"/>
        <w:rPr>
          <w:bCs/>
          <w:i/>
          <w:u w:val="single"/>
        </w:rPr>
      </w:pPr>
      <w:r w:rsidRPr="00A873FC">
        <w:rPr>
          <w:rFonts w:eastAsia="Arial Unicode MS"/>
          <w:bCs/>
          <w:i/>
          <w:u w:val="single"/>
          <w:lang w:eastAsia="en-AU"/>
        </w:rPr>
        <w:t>Hydrodynamic-biogeochemical models</w:t>
      </w:r>
      <w:bookmarkStart w:id="230" w:name="_Hlk64576496"/>
    </w:p>
    <w:p w14:paraId="1AC566A5" w14:textId="2204B921" w:rsidR="005659DC" w:rsidRDefault="005659DC" w:rsidP="005659DC">
      <w:r w:rsidRPr="005C2B4E">
        <w:t xml:space="preserve">The </w:t>
      </w:r>
      <w:r>
        <w:t xml:space="preserve">high-resolution </w:t>
      </w:r>
      <w:r w:rsidRPr="005C2B4E">
        <w:t>Coorong Dynamic</w:t>
      </w:r>
      <w:r>
        <w:t>s</w:t>
      </w:r>
      <w:r w:rsidRPr="005C2B4E">
        <w:t xml:space="preserve"> Model (CDM)</w:t>
      </w:r>
      <w:r>
        <w:t xml:space="preserve"> </w:t>
      </w:r>
      <w:r w:rsidRPr="005C2B4E">
        <w:t>was</w:t>
      </w:r>
      <w:r w:rsidRPr="006C1732">
        <w:rPr>
          <w:lang w:val="en-US"/>
        </w:rPr>
        <w:t xml:space="preserve"> used to assess the effects of environmental water delivery on salt and nutrient transport.</w:t>
      </w:r>
      <w:r>
        <w:rPr>
          <w:lang w:val="en-US"/>
        </w:rPr>
        <w:t xml:space="preserve"> The CDM</w:t>
      </w:r>
      <w:r w:rsidRPr="006C1732">
        <w:rPr>
          <w:lang w:val="en-US"/>
        </w:rPr>
        <w:t xml:space="preserve"> </w:t>
      </w:r>
      <w:r>
        <w:t>has</w:t>
      </w:r>
      <w:r w:rsidRPr="005C2B4E">
        <w:t xml:space="preserve"> been used in the </w:t>
      </w:r>
      <w:r>
        <w:t xml:space="preserve">environmental water </w:t>
      </w:r>
      <w:r w:rsidRPr="005C2B4E">
        <w:t>assessment</w:t>
      </w:r>
      <w:r>
        <w:t>s</w:t>
      </w:r>
      <w:r w:rsidRPr="005C2B4E">
        <w:t xml:space="preserve"> </w:t>
      </w:r>
      <w:r>
        <w:t xml:space="preserve">for 2020-21 to 2022-23 </w:t>
      </w:r>
      <w:r w:rsidRPr="005C2B4E">
        <w:t>(</w:t>
      </w:r>
      <w:r w:rsidRPr="006C1732">
        <w:rPr>
          <w:lang w:val="en-US"/>
        </w:rPr>
        <w:t xml:space="preserve">Ye </w:t>
      </w:r>
      <w:r w:rsidRPr="0015556E">
        <w:rPr>
          <w:i/>
          <w:lang w:val="en-US"/>
        </w:rPr>
        <w:t>et al.</w:t>
      </w:r>
      <w:r w:rsidRPr="006C1732">
        <w:rPr>
          <w:lang w:val="en-US"/>
        </w:rPr>
        <w:t xml:space="preserve"> 2022</w:t>
      </w:r>
      <w:r>
        <w:rPr>
          <w:lang w:val="en-US"/>
        </w:rPr>
        <w:t>,</w:t>
      </w:r>
      <w:r w:rsidRPr="006C1732">
        <w:rPr>
          <w:lang w:val="en-US"/>
        </w:rPr>
        <w:t xml:space="preserve"> 2023</w:t>
      </w:r>
      <w:r>
        <w:rPr>
          <w:lang w:val="en-US"/>
        </w:rPr>
        <w:t>,</w:t>
      </w:r>
      <w:r w:rsidRPr="006C1732">
        <w:rPr>
          <w:lang w:val="en-US"/>
        </w:rPr>
        <w:t xml:space="preserve"> 2024</w:t>
      </w:r>
      <w:r w:rsidRPr="005C2B4E">
        <w:t>)</w:t>
      </w:r>
      <w:r>
        <w:t xml:space="preserve"> </w:t>
      </w:r>
      <w:r w:rsidRPr="005C2B4E">
        <w:t>and undergone developments during the H</w:t>
      </w:r>
      <w:r>
        <w:t xml:space="preserve">ealthy </w:t>
      </w:r>
      <w:r w:rsidRPr="005C2B4E">
        <w:t>C</w:t>
      </w:r>
      <w:r>
        <w:t xml:space="preserve">oorong, </w:t>
      </w:r>
      <w:r w:rsidRPr="005C2B4E">
        <w:t>H</w:t>
      </w:r>
      <w:r>
        <w:t xml:space="preserve">ealthy </w:t>
      </w:r>
      <w:r w:rsidRPr="005C2B4E">
        <w:t>B</w:t>
      </w:r>
      <w:r>
        <w:t>asin</w:t>
      </w:r>
      <w:r w:rsidRPr="005C2B4E">
        <w:t xml:space="preserve"> </w:t>
      </w:r>
      <w:r>
        <w:t>(HCHB) Program (</w:t>
      </w:r>
      <w:bookmarkStart w:id="231" w:name="_Hlk127886573"/>
      <w:r w:rsidRPr="00F11C4B">
        <w:t xml:space="preserve">Hipsey </w:t>
      </w:r>
      <w:r w:rsidRPr="0015556E">
        <w:rPr>
          <w:i/>
          <w:iCs/>
        </w:rPr>
        <w:t>et al.</w:t>
      </w:r>
      <w:r w:rsidRPr="00F11C4B">
        <w:t xml:space="preserve"> 2022</w:t>
      </w:r>
      <w:bookmarkEnd w:id="231"/>
      <w:r>
        <w:t xml:space="preserve">; Huang </w:t>
      </w:r>
      <w:r w:rsidRPr="0015556E">
        <w:rPr>
          <w:i/>
          <w:iCs/>
        </w:rPr>
        <w:t>et al.</w:t>
      </w:r>
      <w:r>
        <w:t xml:space="preserve"> 2024;</w:t>
      </w:r>
      <w:r w:rsidRPr="009B4FE3">
        <w:t xml:space="preserve"> </w:t>
      </w:r>
      <w:r>
        <w:t xml:space="preserve">Ye </w:t>
      </w:r>
      <w:r w:rsidRPr="004463DE">
        <w:rPr>
          <w:i/>
          <w:iCs/>
        </w:rPr>
        <w:t>et al.</w:t>
      </w:r>
      <w:r>
        <w:t xml:space="preserve"> 2024). </w:t>
      </w:r>
      <w:r w:rsidRPr="006C1732">
        <w:rPr>
          <w:lang w:val="en-US"/>
        </w:rPr>
        <w:t xml:space="preserve">The modelling platform consists of a hydrodynamic model, TUFLOW-FV, developed by BMT Global Pty Ltd., which is coupled with </w:t>
      </w:r>
      <w:r>
        <w:rPr>
          <w:lang w:val="en-US"/>
        </w:rPr>
        <w:t>the</w:t>
      </w:r>
      <w:r w:rsidRPr="006C1732">
        <w:rPr>
          <w:lang w:val="en-US"/>
        </w:rPr>
        <w:t xml:space="preserve"> biogeochemical model, AED, developed by the University of Western Australia. </w:t>
      </w:r>
      <w:r w:rsidRPr="005C2B4E">
        <w:t>Details of the CDM development</w:t>
      </w:r>
      <w:r>
        <w:t xml:space="preserve"> (model version: Generation 2) including </w:t>
      </w:r>
      <w:r w:rsidRPr="005C2B4E">
        <w:t>model sensitivity analysis and model performance</w:t>
      </w:r>
      <w:r>
        <w:t xml:space="preserve"> assessment,</w:t>
      </w:r>
      <w:r w:rsidRPr="005C2B4E">
        <w:t xml:space="preserve"> </w:t>
      </w:r>
      <w:r>
        <w:t>is</w:t>
      </w:r>
      <w:r w:rsidRPr="005C2B4E">
        <w:t xml:space="preserve"> summarised in the online </w:t>
      </w:r>
      <w:hyperlink r:id="rId92" w:history="1">
        <w:r w:rsidRPr="005C2B4E">
          <w:rPr>
            <w:rStyle w:val="Hyperlink"/>
          </w:rPr>
          <w:t>CDM manual</w:t>
        </w:r>
      </w:hyperlink>
      <w:r>
        <w:t xml:space="preserve"> (</w:t>
      </w:r>
      <w:hyperlink r:id="rId93" w:history="1">
        <w:r w:rsidRPr="006659D0">
          <w:rPr>
            <w:rStyle w:val="Hyperlink"/>
          </w:rPr>
          <w:t>http://aquaticecodynamics.github.io/cdm/index.html</w:t>
        </w:r>
      </w:hyperlink>
      <w:r>
        <w:t xml:space="preserve">). Further improvements to the model mesh, bathymetry, and boundary conditions as more annual data became available in recent years was described in the last environmental water assessment report (Ye </w:t>
      </w:r>
      <w:r w:rsidRPr="0015556E">
        <w:rPr>
          <w:i/>
          <w:iCs/>
        </w:rPr>
        <w:t xml:space="preserve">et al. </w:t>
      </w:r>
      <w:r>
        <w:t xml:space="preserve">2024). </w:t>
      </w:r>
    </w:p>
    <w:p w14:paraId="21FF9100" w14:textId="20323ACD" w:rsidR="005659DC" w:rsidRDefault="005659DC" w:rsidP="005659DC">
      <w:r>
        <w:t xml:space="preserve">For the current modelling investigation, the boundary conditions driving the model include barrage flows (from the five barrages), Salt Creek inflows, weather conditions, and ocean tidal forcing. These were set the same as to the modelling work reported in the 2022-23 report (Ye </w:t>
      </w:r>
      <w:r w:rsidRPr="0C7CB8F6">
        <w:rPr>
          <w:i/>
          <w:iCs/>
        </w:rPr>
        <w:t>et al.</w:t>
      </w:r>
      <w:r>
        <w:t xml:space="preserve"> 2024) but extended to cover the period from July 2017 to June 2024. For the period from July 2023 to June 2024, the barrage flows, including environmental water through the barrages, were updated from </w:t>
      </w:r>
      <w:r w:rsidR="4BECE967">
        <w:t>MDBA data and scaled using</w:t>
      </w:r>
      <w:r>
        <w:t xml:space="preserve"> the DEW barrage calculator</w:t>
      </w:r>
      <w:r w:rsidR="00F02621">
        <w:t xml:space="preserve"> </w:t>
      </w:r>
      <w:r w:rsidR="573A4D13">
        <w:t>to distribute flow between the barrages</w:t>
      </w:r>
      <w:r>
        <w:t xml:space="preserve">. Tidal forcing at Victor Harbor and water quality at the barrages and within the Coorong were updated from DEW monitoring, and weather conditions were updated from the NRM/AWS (Natural Resource Management Automatic Weather Station) weather network. Note that there was down-time of the Victor Harbor tide gauge instrument during July 2023 to early January 2024, and so we filled the gap in this period using the Bureau of Meteorology predicted tide data for the same period at the same site. </w:t>
      </w:r>
    </w:p>
    <w:p w14:paraId="646A644C" w14:textId="6B7741CD" w:rsidR="005659DC" w:rsidRPr="008A4754" w:rsidRDefault="005659DC" w:rsidP="005659DC">
      <w:r>
        <w:t xml:space="preserve">The model performance in reproducing the key water quality parameters within the Coorong from July 2017 to June 2024 were assessed with a set of model skill metrics, including calculation of regression coefficients (R), mean absolute errors (MAE), and bias, </w:t>
      </w:r>
      <w:r>
        <w:lastRenderedPageBreak/>
        <w:t xml:space="preserve">and the results are provided in the supplementary information for indicators (see Table C1 for the CDM performance summary in Appendix </w:t>
      </w:r>
      <w:r w:rsidRPr="00024809">
        <w:t>C</w:t>
      </w:r>
      <w:r>
        <w:t>, Figure C3 for plots comparing model results with observations). Overall, the CDM reproduced the physics (water level, salinity and temperature) in the North and South lagoons over the seven-year modelling period to a high degree of accuracy, with a regression coefficient of &gt;0.9 and relatively low MAE (mean absolute error) for most of the assessed hydrologic variables of all sites. However, the model tends to overpredict the salinity in the North Lagoon and underpredict the salinity in the South Lagoon in the period of late 2023, coincident with the time when the tide gauge at Victor Harbor was not operational. The model also captured the variations of dissolved oxygen and the key nutrient pools such as TN, TP and TOC. Reasonable predictions were obtained for turbidity, total chlorophyll-</w:t>
      </w:r>
      <w:r w:rsidRPr="000E3CC1">
        <w:rPr>
          <w:i/>
          <w:iCs/>
        </w:rPr>
        <w:t>a</w:t>
      </w:r>
      <w:r>
        <w:t xml:space="preserve"> and other nutrient pools. The model performance on the water quality components is consistent in dry and wet years, suggesting that it is suitable for assessing management scenarios associated with environmental water delivery under a wide range of hydrologic conditions.</w:t>
      </w:r>
    </w:p>
    <w:p w14:paraId="60969365" w14:textId="77777777" w:rsidR="005659DC" w:rsidRDefault="005659DC" w:rsidP="005659DC">
      <w:pPr>
        <w:rPr>
          <w:i/>
          <w:u w:val="single"/>
        </w:rPr>
      </w:pPr>
      <w:bookmarkStart w:id="232" w:name="_Hlk132809375"/>
      <w:r>
        <w:rPr>
          <w:i/>
          <w:u w:val="single"/>
        </w:rPr>
        <w:t>Barrage flow analysis</w:t>
      </w:r>
    </w:p>
    <w:p w14:paraId="0BA17717" w14:textId="06E3EA58" w:rsidR="005659DC" w:rsidRDefault="005659DC" w:rsidP="005659DC">
      <w:r w:rsidRPr="00CF44C9">
        <w:t xml:space="preserve">The </w:t>
      </w:r>
      <w:r>
        <w:t>a</w:t>
      </w:r>
      <w:r w:rsidRPr="00CF44C9">
        <w:t xml:space="preserve">nalysis of the flow </w:t>
      </w:r>
      <w:r>
        <w:t>through</w:t>
      </w:r>
      <w:r w:rsidRPr="00CF44C9">
        <w:t xml:space="preserve"> the barrages </w:t>
      </w:r>
      <w:r>
        <w:t xml:space="preserve">and the </w:t>
      </w:r>
      <w:r w:rsidRPr="00CF44C9">
        <w:t xml:space="preserve">contribution of </w:t>
      </w:r>
      <w:r>
        <w:t xml:space="preserve">environmental water </w:t>
      </w:r>
      <w:r w:rsidRPr="00CF44C9">
        <w:t>to the total barra</w:t>
      </w:r>
      <w:r>
        <w:t xml:space="preserve">ge flow are shown in </w:t>
      </w:r>
      <w:r>
        <w:fldChar w:fldCharType="begin"/>
      </w:r>
      <w:r>
        <w:instrText xml:space="preserve"> REF _Ref96529617 \h </w:instrText>
      </w:r>
      <w:r>
        <w:fldChar w:fldCharType="separate"/>
      </w:r>
      <w:r w:rsidR="00102828">
        <w:t xml:space="preserve">Figure </w:t>
      </w:r>
      <w:r w:rsidR="00102828">
        <w:rPr>
          <w:noProof/>
        </w:rPr>
        <w:t>30</w:t>
      </w:r>
      <w:r>
        <w:fldChar w:fldCharType="end"/>
      </w:r>
      <w:r>
        <w:t xml:space="preserve"> and </w:t>
      </w:r>
      <w:r>
        <w:fldChar w:fldCharType="begin"/>
      </w:r>
      <w:r>
        <w:instrText xml:space="preserve"> REF _Ref96529656 \h </w:instrText>
      </w:r>
      <w:r>
        <w:fldChar w:fldCharType="separate"/>
      </w:r>
      <w:r w:rsidR="00102828">
        <w:t xml:space="preserve">Figure </w:t>
      </w:r>
      <w:r w:rsidR="00102828">
        <w:rPr>
          <w:noProof/>
        </w:rPr>
        <w:t>31</w:t>
      </w:r>
      <w:r>
        <w:fldChar w:fldCharType="end"/>
      </w:r>
      <w:r w:rsidRPr="00CF44C9">
        <w:t xml:space="preserve">, </w:t>
      </w:r>
      <w:r>
        <w:t>where it is evident</w:t>
      </w:r>
      <w:r w:rsidRPr="00CF44C9">
        <w:t xml:space="preserve"> </w:t>
      </w:r>
      <w:r>
        <w:t xml:space="preserve">that environmental water </w:t>
      </w:r>
      <w:r w:rsidRPr="00CF44C9">
        <w:t>dominated the barrage</w:t>
      </w:r>
      <w:r>
        <w:t xml:space="preserve"> flow</w:t>
      </w:r>
      <w:r w:rsidRPr="00CF44C9">
        <w:t xml:space="preserve">s over the period from </w:t>
      </w:r>
      <w:r>
        <w:t>1 July 2017</w:t>
      </w:r>
      <w:r w:rsidRPr="00CF44C9">
        <w:t xml:space="preserve"> to</w:t>
      </w:r>
      <w:r>
        <w:t xml:space="preserve"> 30 June </w:t>
      </w:r>
      <w:r w:rsidRPr="00CF44C9">
        <w:t>2021</w:t>
      </w:r>
      <w:r>
        <w:t xml:space="preserve"> when the total barrage flows were relatively low (dry years). In contrast, the environmental water made a relatively small contribution to the total barrage flow when there were</w:t>
      </w:r>
      <w:r w:rsidRPr="00CF44C9">
        <w:t xml:space="preserve"> </w:t>
      </w:r>
      <w:r>
        <w:t>large</w:t>
      </w:r>
      <w:r w:rsidRPr="00CF44C9">
        <w:t xml:space="preserve"> natural </w:t>
      </w:r>
      <w:r>
        <w:t xml:space="preserve">(unregulated flow) </w:t>
      </w:r>
      <w:r w:rsidRPr="00CF44C9">
        <w:t xml:space="preserve">flow </w:t>
      </w:r>
      <w:r>
        <w:t xml:space="preserve">events </w:t>
      </w:r>
      <w:r w:rsidRPr="00CF44C9">
        <w:t xml:space="preserve">in </w:t>
      </w:r>
      <w:r>
        <w:t>2016–17 and 2021–</w:t>
      </w:r>
      <w:r w:rsidR="001A71DD">
        <w:t>20</w:t>
      </w:r>
      <w:r>
        <w:t>24</w:t>
      </w:r>
      <w:r w:rsidRPr="00CF44C9">
        <w:t xml:space="preserve">. </w:t>
      </w:r>
      <w:r>
        <w:t>T</w:t>
      </w:r>
      <w:r w:rsidRPr="00CF44C9">
        <w:t>he daily</w:t>
      </w:r>
      <w:r>
        <w:t xml:space="preserve"> environmental</w:t>
      </w:r>
      <w:r w:rsidRPr="00CF44C9">
        <w:t xml:space="preserve"> </w:t>
      </w:r>
      <w:r>
        <w:t xml:space="preserve">flow volumes through each individual barrage are shown in </w:t>
      </w:r>
      <w:r>
        <w:fldChar w:fldCharType="begin"/>
      </w:r>
      <w:r>
        <w:instrText xml:space="preserve"> REF _Ref96529618 \h </w:instrText>
      </w:r>
      <w:r>
        <w:fldChar w:fldCharType="separate"/>
      </w:r>
      <w:r w:rsidR="00102828">
        <w:t xml:space="preserve">Figure </w:t>
      </w:r>
      <w:r w:rsidR="00102828">
        <w:rPr>
          <w:noProof/>
        </w:rPr>
        <w:t>32</w:t>
      </w:r>
      <w:r>
        <w:fldChar w:fldCharType="end"/>
      </w:r>
      <w:r>
        <w:t>, which</w:t>
      </w:r>
      <w:r w:rsidRPr="00CF44C9">
        <w:t xml:space="preserve"> indicate the dominance of flows through Goolwa and Tauwitchere </w:t>
      </w:r>
      <w:r w:rsidR="001A71DD">
        <w:t xml:space="preserve">barrages </w:t>
      </w:r>
      <w:r w:rsidRPr="00CF44C9">
        <w:t>over the period of interest, with some minor pulse</w:t>
      </w:r>
      <w:r>
        <w:t>s through Mundoo</w:t>
      </w:r>
      <w:r w:rsidR="001A71DD">
        <w:t xml:space="preserve"> Barrage</w:t>
      </w:r>
      <w:r w:rsidRPr="00CF44C9">
        <w:t xml:space="preserve">. </w:t>
      </w:r>
    </w:p>
    <w:bookmarkEnd w:id="232"/>
    <w:p w14:paraId="4C626853" w14:textId="77777777" w:rsidR="005659DC" w:rsidRDefault="005659DC" w:rsidP="005659DC">
      <w:pPr>
        <w:spacing w:after="0"/>
      </w:pPr>
    </w:p>
    <w:p w14:paraId="7649101D" w14:textId="77777777" w:rsidR="005659DC" w:rsidRDefault="005659DC" w:rsidP="005659DC">
      <w:pPr>
        <w:spacing w:after="0"/>
      </w:pPr>
      <w:r>
        <w:rPr>
          <w:noProof/>
        </w:rPr>
        <w:drawing>
          <wp:inline distT="0" distB="0" distL="0" distR="0" wp14:anchorId="223893F7" wp14:editId="6F91295E">
            <wp:extent cx="5727700" cy="2867025"/>
            <wp:effectExtent l="0" t="0" r="6350" b="9525"/>
            <wp:docPr id="526471647" name="Picture 2" descr="Graph showing a summary of flow through the barrages from July 2015 to June 2024, highlighting water 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471647" name="Picture 2" descr="Graph showing a summary of flow through the barrages from July 2015 to June 2024, highlighting water sources."/>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27700" cy="2867025"/>
                    </a:xfrm>
                    <a:prstGeom prst="rect">
                      <a:avLst/>
                    </a:prstGeom>
                    <a:noFill/>
                    <a:ln>
                      <a:noFill/>
                    </a:ln>
                  </pic:spPr>
                </pic:pic>
              </a:graphicData>
            </a:graphic>
          </wp:inline>
        </w:drawing>
      </w:r>
    </w:p>
    <w:p w14:paraId="6BFC322D" w14:textId="77777777" w:rsidR="005659DC" w:rsidRPr="00A402D9" w:rsidRDefault="005659DC" w:rsidP="005659DC">
      <w:pPr>
        <w:spacing w:before="0"/>
        <w:jc w:val="center"/>
        <w:rPr>
          <w:rFonts w:ascii="Arial" w:hAnsi="Arial" w:cs="Arial"/>
          <w:sz w:val="18"/>
          <w:szCs w:val="16"/>
        </w:rPr>
      </w:pPr>
      <w:r w:rsidRPr="00A402D9">
        <w:rPr>
          <w:rFonts w:ascii="Arial" w:hAnsi="Arial" w:cs="Arial"/>
          <w:sz w:val="18"/>
          <w:szCs w:val="16"/>
        </w:rPr>
        <w:t>Date</w:t>
      </w:r>
    </w:p>
    <w:p w14:paraId="451DDC1D" w14:textId="37F112A3" w:rsidR="005659DC" w:rsidRDefault="005659DC" w:rsidP="00605FB2">
      <w:pPr>
        <w:pStyle w:val="Captions"/>
      </w:pPr>
      <w:bookmarkStart w:id="233" w:name="_Ref96529617"/>
      <w:bookmarkStart w:id="234" w:name="_Toc103170076"/>
      <w:bookmarkStart w:id="235" w:name="_Toc152860257"/>
      <w:bookmarkStart w:id="236" w:name="_Toc200464481"/>
      <w:r>
        <w:t xml:space="preserve">Figure </w:t>
      </w:r>
      <w:r>
        <w:fldChar w:fldCharType="begin"/>
      </w:r>
      <w:r>
        <w:instrText xml:space="preserve"> SEQ Figure \* ARABIC </w:instrText>
      </w:r>
      <w:r>
        <w:fldChar w:fldCharType="separate"/>
      </w:r>
      <w:r w:rsidR="00102828">
        <w:rPr>
          <w:noProof/>
        </w:rPr>
        <w:t>30</w:t>
      </w:r>
      <w:r>
        <w:rPr>
          <w:noProof/>
        </w:rPr>
        <w:fldChar w:fldCharType="end"/>
      </w:r>
      <w:bookmarkEnd w:id="233"/>
      <w:r w:rsidRPr="00CF44C9">
        <w:t xml:space="preserve">. Summary of flow </w:t>
      </w:r>
      <w:r>
        <w:t>discharge through</w:t>
      </w:r>
      <w:r w:rsidRPr="00CF44C9">
        <w:t xml:space="preserve"> the barrages, from </w:t>
      </w:r>
      <w:r>
        <w:t xml:space="preserve">July </w:t>
      </w:r>
      <w:r w:rsidRPr="00CF44C9">
        <w:t xml:space="preserve">2015 until </w:t>
      </w:r>
      <w:r>
        <w:t xml:space="preserve">June </w:t>
      </w:r>
      <w:r w:rsidRPr="00CF44C9">
        <w:t>202</w:t>
      </w:r>
      <w:r>
        <w:t>4</w:t>
      </w:r>
      <w:r w:rsidRPr="00CF44C9">
        <w:t>, spanning the large 2016</w:t>
      </w:r>
      <w:r>
        <w:t>-17 and 2021-22–2023-24</w:t>
      </w:r>
      <w:r w:rsidRPr="00CF44C9">
        <w:t xml:space="preserve"> flow event</w:t>
      </w:r>
      <w:r>
        <w:t xml:space="preserve">s, </w:t>
      </w:r>
      <w:r w:rsidRPr="00CF44C9">
        <w:t>categorised based on water source.</w:t>
      </w:r>
      <w:bookmarkEnd w:id="234"/>
      <w:r>
        <w:t xml:space="preserve"> </w:t>
      </w:r>
      <w:bookmarkStart w:id="237" w:name="_Hlk125494588"/>
      <w:r>
        <w:t xml:space="preserve">CEW = Commonwealth environmental water, </w:t>
      </w:r>
      <w:bookmarkStart w:id="238" w:name="_Hlk160405490"/>
      <w:r>
        <w:t>other eWater = other environmental water.</w:t>
      </w:r>
      <w:bookmarkEnd w:id="235"/>
      <w:bookmarkEnd w:id="236"/>
      <w:bookmarkEnd w:id="237"/>
      <w:bookmarkEnd w:id="238"/>
    </w:p>
    <w:p w14:paraId="25921071" w14:textId="77777777" w:rsidR="005659DC" w:rsidRDefault="005659DC" w:rsidP="005659DC"/>
    <w:p w14:paraId="6F8D7299" w14:textId="77777777" w:rsidR="005659DC" w:rsidRDefault="005659DC" w:rsidP="005659DC"/>
    <w:p w14:paraId="5D708DD6" w14:textId="77777777" w:rsidR="005659DC" w:rsidRDefault="005659DC" w:rsidP="005659DC">
      <w:pPr>
        <w:spacing w:after="0"/>
      </w:pPr>
      <w:r>
        <w:rPr>
          <w:noProof/>
        </w:rPr>
        <w:drawing>
          <wp:inline distT="0" distB="0" distL="0" distR="0" wp14:anchorId="2EECF5A8" wp14:editId="53990745">
            <wp:extent cx="5727700" cy="2867025"/>
            <wp:effectExtent l="0" t="0" r="6350" b="9525"/>
            <wp:docPr id="1050505961" name="Picture 1" descr="Column graph showing the yearly composition of barrage flows from July 2017 to June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05961" name="Picture 1" descr="Column graph showing the yearly composition of barrage flows from July 2017 to June 202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27700" cy="2867025"/>
                    </a:xfrm>
                    <a:prstGeom prst="rect">
                      <a:avLst/>
                    </a:prstGeom>
                    <a:noFill/>
                    <a:ln>
                      <a:noFill/>
                    </a:ln>
                  </pic:spPr>
                </pic:pic>
              </a:graphicData>
            </a:graphic>
          </wp:inline>
        </w:drawing>
      </w:r>
    </w:p>
    <w:p w14:paraId="41FE204F" w14:textId="77777777" w:rsidR="005659DC" w:rsidRPr="00B07560" w:rsidRDefault="005659DC" w:rsidP="005659DC">
      <w:pPr>
        <w:spacing w:before="0"/>
        <w:jc w:val="center"/>
        <w:rPr>
          <w:rFonts w:ascii="Arial" w:hAnsi="Arial" w:cs="Arial"/>
          <w:sz w:val="20"/>
          <w:szCs w:val="18"/>
        </w:rPr>
      </w:pPr>
      <w:r w:rsidRPr="00B07560">
        <w:rPr>
          <w:rFonts w:ascii="Arial" w:hAnsi="Arial" w:cs="Arial"/>
          <w:sz w:val="20"/>
          <w:szCs w:val="18"/>
        </w:rPr>
        <w:t>Year</w:t>
      </w:r>
    </w:p>
    <w:p w14:paraId="4D2A612C" w14:textId="094AB732" w:rsidR="005659DC" w:rsidRDefault="005659DC" w:rsidP="00605FB2">
      <w:pPr>
        <w:pStyle w:val="Captions"/>
      </w:pPr>
      <w:bookmarkStart w:id="239" w:name="_Ref96529656"/>
      <w:bookmarkStart w:id="240" w:name="_Toc103170078"/>
      <w:bookmarkStart w:id="241" w:name="_Toc152860258"/>
      <w:bookmarkStart w:id="242" w:name="_Toc200464482"/>
      <w:r>
        <w:t xml:space="preserve">Figure </w:t>
      </w:r>
      <w:r>
        <w:fldChar w:fldCharType="begin"/>
      </w:r>
      <w:r>
        <w:instrText xml:space="preserve"> SEQ Figure \* ARABIC </w:instrText>
      </w:r>
      <w:r>
        <w:fldChar w:fldCharType="separate"/>
      </w:r>
      <w:r w:rsidR="00102828">
        <w:rPr>
          <w:noProof/>
        </w:rPr>
        <w:t>31</w:t>
      </w:r>
      <w:r>
        <w:rPr>
          <w:noProof/>
        </w:rPr>
        <w:fldChar w:fldCharType="end"/>
      </w:r>
      <w:bookmarkEnd w:id="239"/>
      <w:r w:rsidRPr="00CF44C9">
        <w:t xml:space="preserve">. </w:t>
      </w:r>
      <w:r>
        <w:t xml:space="preserve">Yearly composition of </w:t>
      </w:r>
      <w:r w:rsidRPr="00CF44C9">
        <w:t xml:space="preserve">barrage flow, spanning the modelling period from </w:t>
      </w:r>
      <w:r>
        <w:t xml:space="preserve">July </w:t>
      </w:r>
      <w:r w:rsidRPr="00CF44C9">
        <w:t xml:space="preserve">2017 to </w:t>
      </w:r>
      <w:r>
        <w:t xml:space="preserve">June </w:t>
      </w:r>
      <w:r w:rsidRPr="00CF44C9">
        <w:t>202</w:t>
      </w:r>
      <w:r>
        <w:t>4</w:t>
      </w:r>
      <w:r w:rsidRPr="00CF44C9">
        <w:t>.</w:t>
      </w:r>
      <w:bookmarkEnd w:id="240"/>
      <w:r>
        <w:t xml:space="preserve"> The numbers over the bars indicate the percentage of Commonwealth environmental water (CEW) to the total barrage flow in each year.</w:t>
      </w:r>
      <w:bookmarkEnd w:id="241"/>
      <w:r>
        <w:t xml:space="preserve"> Other </w:t>
      </w:r>
      <w:r w:rsidRPr="00A74B94">
        <w:t>eWater = other environmental water.</w:t>
      </w:r>
      <w:bookmarkEnd w:id="242"/>
    </w:p>
    <w:p w14:paraId="6DDEB318" w14:textId="77777777" w:rsidR="005659DC" w:rsidRDefault="005659DC" w:rsidP="005659DC">
      <w:pPr>
        <w:spacing w:after="0"/>
      </w:pPr>
      <w:r>
        <w:rPr>
          <w:noProof/>
        </w:rPr>
        <w:drawing>
          <wp:inline distT="0" distB="0" distL="0" distR="0" wp14:anchorId="30B8C8B8" wp14:editId="3BF90ED7">
            <wp:extent cx="5727700" cy="2867025"/>
            <wp:effectExtent l="0" t="0" r="6350" b="9525"/>
            <wp:docPr id="826650109" name="Picture 3" descr="Summary of flow through each barrage, spanning the modelling period from July 2017 to June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650109" name="Picture 3" descr="Summary of flow through each barrage, spanning the modelling period from July 2017 to June 202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27700" cy="2867025"/>
                    </a:xfrm>
                    <a:prstGeom prst="rect">
                      <a:avLst/>
                    </a:prstGeom>
                    <a:noFill/>
                    <a:ln>
                      <a:noFill/>
                    </a:ln>
                  </pic:spPr>
                </pic:pic>
              </a:graphicData>
            </a:graphic>
          </wp:inline>
        </w:drawing>
      </w:r>
    </w:p>
    <w:p w14:paraId="13897EF5" w14:textId="77777777" w:rsidR="005659DC" w:rsidRPr="009A35F7" w:rsidRDefault="005659DC" w:rsidP="005659DC">
      <w:pPr>
        <w:spacing w:before="0"/>
        <w:jc w:val="center"/>
        <w:rPr>
          <w:rFonts w:ascii="Arial" w:hAnsi="Arial" w:cs="Arial"/>
          <w:sz w:val="20"/>
          <w:szCs w:val="18"/>
        </w:rPr>
      </w:pPr>
      <w:r w:rsidRPr="00B07560">
        <w:rPr>
          <w:rFonts w:ascii="Arial" w:hAnsi="Arial" w:cs="Arial"/>
          <w:sz w:val="20"/>
          <w:szCs w:val="18"/>
        </w:rPr>
        <w:t>Year</w:t>
      </w:r>
    </w:p>
    <w:p w14:paraId="1CD82B63" w14:textId="16232494" w:rsidR="005659DC" w:rsidRDefault="005659DC" w:rsidP="00605FB2">
      <w:pPr>
        <w:pStyle w:val="Captions"/>
      </w:pPr>
      <w:bookmarkStart w:id="243" w:name="_Ref96529618"/>
      <w:bookmarkStart w:id="244" w:name="_Toc103170079"/>
      <w:bookmarkStart w:id="245" w:name="_Toc152860259"/>
      <w:bookmarkStart w:id="246" w:name="_Toc200464483"/>
      <w:r>
        <w:t xml:space="preserve">Figure </w:t>
      </w:r>
      <w:r>
        <w:fldChar w:fldCharType="begin"/>
      </w:r>
      <w:r>
        <w:instrText xml:space="preserve"> SEQ Figure \* ARABIC </w:instrText>
      </w:r>
      <w:r>
        <w:fldChar w:fldCharType="separate"/>
      </w:r>
      <w:r w:rsidR="00102828">
        <w:rPr>
          <w:noProof/>
        </w:rPr>
        <w:t>32</w:t>
      </w:r>
      <w:r>
        <w:rPr>
          <w:noProof/>
        </w:rPr>
        <w:fldChar w:fldCharType="end"/>
      </w:r>
      <w:bookmarkEnd w:id="243"/>
      <w:r w:rsidRPr="00CF44C9">
        <w:t xml:space="preserve">. Summary of flow </w:t>
      </w:r>
      <w:r>
        <w:t xml:space="preserve">through </w:t>
      </w:r>
      <w:r w:rsidRPr="00CF44C9">
        <w:t xml:space="preserve">each barrage, spanning the modelling period from </w:t>
      </w:r>
      <w:r>
        <w:t xml:space="preserve">July </w:t>
      </w:r>
      <w:r w:rsidRPr="00CF44C9">
        <w:t>2017 to</w:t>
      </w:r>
      <w:r>
        <w:t xml:space="preserve"> June </w:t>
      </w:r>
      <w:r w:rsidRPr="00CF44C9">
        <w:t>202</w:t>
      </w:r>
      <w:r>
        <w:t>4</w:t>
      </w:r>
      <w:r w:rsidRPr="00CF44C9">
        <w:t>.</w:t>
      </w:r>
      <w:bookmarkEnd w:id="230"/>
      <w:bookmarkEnd w:id="244"/>
      <w:bookmarkEnd w:id="245"/>
      <w:bookmarkEnd w:id="246"/>
    </w:p>
    <w:p w14:paraId="2C053927" w14:textId="77777777" w:rsidR="005659DC" w:rsidRDefault="005659DC" w:rsidP="005659DC">
      <w:pPr>
        <w:spacing w:before="0" w:after="160" w:line="259" w:lineRule="auto"/>
        <w:jc w:val="left"/>
        <w:rPr>
          <w:lang w:val="en-US"/>
        </w:rPr>
      </w:pPr>
    </w:p>
    <w:p w14:paraId="554D02B8" w14:textId="77777777" w:rsidR="00C416FA" w:rsidRDefault="00C416FA">
      <w:pPr>
        <w:spacing w:before="0" w:after="160" w:line="259" w:lineRule="auto"/>
        <w:jc w:val="left"/>
        <w:rPr>
          <w:rFonts w:eastAsiaTheme="majorEastAsia" w:cstheme="majorBidi"/>
          <w:b/>
          <w:i/>
          <w:color w:val="44546A" w:themeColor="text2"/>
          <w:sz w:val="24"/>
          <w:szCs w:val="24"/>
        </w:rPr>
      </w:pPr>
      <w:r>
        <w:br w:type="page"/>
      </w:r>
    </w:p>
    <w:p w14:paraId="2194E291" w14:textId="2A645BFF" w:rsidR="00C416FA" w:rsidRDefault="005659DC" w:rsidP="00C416FA">
      <w:pPr>
        <w:pStyle w:val="Heading3"/>
        <w:rPr>
          <w:lang w:eastAsia="en-AU"/>
        </w:rPr>
      </w:pPr>
      <w:r w:rsidRPr="00565AEA">
        <w:lastRenderedPageBreak/>
        <w:t>Results</w:t>
      </w:r>
    </w:p>
    <w:p w14:paraId="2561F837" w14:textId="77777777" w:rsidR="005659DC" w:rsidRPr="007A5F1E" w:rsidRDefault="005659DC" w:rsidP="005659DC">
      <w:pPr>
        <w:rPr>
          <w:i/>
          <w:u w:val="single"/>
        </w:rPr>
      </w:pPr>
      <w:r w:rsidRPr="007A5F1E">
        <w:rPr>
          <w:i/>
          <w:u w:val="single"/>
        </w:rPr>
        <w:t>Salinity dynamics in the Coorong</w:t>
      </w:r>
    </w:p>
    <w:p w14:paraId="53823C3D" w14:textId="50E3C0E8" w:rsidR="00A7106D" w:rsidRDefault="1B363B18" w:rsidP="00A7106D">
      <w:r>
        <w:t xml:space="preserve">Changes in flow conditions affect the salinity at the </w:t>
      </w:r>
      <w:r w:rsidR="5A955C38">
        <w:t>Murray Mouth region</w:t>
      </w:r>
      <w:r w:rsidR="00754901">
        <w:t xml:space="preserve"> </w:t>
      </w:r>
      <w:r w:rsidR="30C02ED2">
        <w:t xml:space="preserve">and so </w:t>
      </w:r>
      <w:r w:rsidR="00E438C2">
        <w:t xml:space="preserve">influence </w:t>
      </w:r>
      <w:r>
        <w:t xml:space="preserve">the salinity of the water </w:t>
      </w:r>
      <w:r w:rsidR="62029A48">
        <w:t xml:space="preserve">that </w:t>
      </w:r>
      <w:r>
        <w:t xml:space="preserve">flows south to replace </w:t>
      </w:r>
      <w:r w:rsidR="09386C71">
        <w:t xml:space="preserve">evaporative </w:t>
      </w:r>
      <w:r>
        <w:t>water lo</w:t>
      </w:r>
      <w:r w:rsidR="3375732A">
        <w:t>sses</w:t>
      </w:r>
      <w:r>
        <w:t xml:space="preserve"> across the length of the Cooron</w:t>
      </w:r>
      <w:r w:rsidR="31B7724C">
        <w:t xml:space="preserve">g. </w:t>
      </w:r>
      <w:r w:rsidR="413C6A3A">
        <w:t xml:space="preserve"> Consequently</w:t>
      </w:r>
      <w:r w:rsidR="22BF8BBC">
        <w:t>,</w:t>
      </w:r>
      <w:r w:rsidR="413C6A3A">
        <w:t xml:space="preserve"> </w:t>
      </w:r>
      <w:r w:rsidR="00A7106D">
        <w:t>salinity in the North  lagoon in all ‘No CEW’ and ‘No eWater’ scenarios</w:t>
      </w:r>
      <w:r w:rsidR="703A281F">
        <w:t xml:space="preserve"> was higher than the base case</w:t>
      </w:r>
      <w:r w:rsidR="529B313D">
        <w:t xml:space="preserve"> </w:t>
      </w:r>
      <w:r w:rsidR="703A281F">
        <w:t>(Figure 33</w:t>
      </w:r>
      <w:r w:rsidR="7E75B2AA">
        <w:t>a</w:t>
      </w:r>
      <w:r w:rsidR="0007132C">
        <w:t>)</w:t>
      </w:r>
      <w:r w:rsidR="3D8FD90C">
        <w:t>.</w:t>
      </w:r>
      <w:r w:rsidR="00A7106D">
        <w:t xml:space="preserve"> </w:t>
      </w:r>
      <w:r w:rsidR="4A4D8E23">
        <w:t xml:space="preserve">The value of </w:t>
      </w:r>
      <w:r w:rsidR="00A7106D">
        <w:t xml:space="preserve"> Commonwealth environmental water </w:t>
      </w:r>
      <w:r w:rsidR="04CA1C6C">
        <w:t>and other environmental flows for</w:t>
      </w:r>
      <w:r w:rsidR="46F0FEA4">
        <w:t xml:space="preserve"> is even more evident in the simulations of salinity in the </w:t>
      </w:r>
      <w:r w:rsidR="00A7106D">
        <w:t xml:space="preserve"> South Lagoon  (</w:t>
      </w:r>
      <w:r w:rsidR="00A7106D">
        <w:fldChar w:fldCharType="begin"/>
      </w:r>
      <w:r w:rsidR="00A7106D">
        <w:instrText xml:space="preserve"> REF _Ref125014166 \h </w:instrText>
      </w:r>
      <w:r w:rsidR="00A7106D">
        <w:fldChar w:fldCharType="separate"/>
      </w:r>
      <w:r w:rsidR="00102828">
        <w:t xml:space="preserve">Figure </w:t>
      </w:r>
      <w:r w:rsidR="00102828">
        <w:rPr>
          <w:noProof/>
        </w:rPr>
        <w:t>33</w:t>
      </w:r>
      <w:r w:rsidR="00A7106D">
        <w:fldChar w:fldCharType="end"/>
      </w:r>
      <w:r w:rsidR="0007132C">
        <w:t>b</w:t>
      </w:r>
      <w:r w:rsidR="00A7106D">
        <w:t xml:space="preserve">). </w:t>
      </w:r>
      <w:r w:rsidR="73A0E4D8">
        <w:t>E</w:t>
      </w:r>
      <w:r w:rsidR="415589EB">
        <w:t>nvironmental water maintains salinity at appropriate levels, rarely exceeding 100 PSU</w:t>
      </w:r>
      <w:r w:rsidR="0557F6E4">
        <w:t xml:space="preserve">. However, </w:t>
      </w:r>
      <w:r w:rsidR="22A8C710">
        <w:t>the absence of environmental water enables excursion</w:t>
      </w:r>
      <w:r w:rsidR="14B79852">
        <w:t>s</w:t>
      </w:r>
      <w:r w:rsidR="22A8C710">
        <w:t xml:space="preserve"> </w:t>
      </w:r>
      <w:r w:rsidR="287EBBE8">
        <w:t>of</w:t>
      </w:r>
      <w:r w:rsidR="22A8C710">
        <w:t xml:space="preserve"> salinity </w:t>
      </w:r>
      <w:r w:rsidR="47941C24">
        <w:t xml:space="preserve">to damagingly high concentrations </w:t>
      </w:r>
      <w:r w:rsidR="22A8C710">
        <w:t xml:space="preserve">approaching 160 PSU </w:t>
      </w:r>
      <w:r w:rsidR="78209E2D">
        <w:t xml:space="preserve"> </w:t>
      </w:r>
      <w:r w:rsidR="504ECFFF">
        <w:t>(Figure 33b).</w:t>
      </w:r>
      <w:r w:rsidR="22A8C710">
        <w:t xml:space="preserve"> </w:t>
      </w:r>
      <w:r w:rsidR="00E141D2">
        <w:t>In 2023-24, t</w:t>
      </w:r>
      <w:r w:rsidR="00A7106D">
        <w:t xml:space="preserve">here was a benefit of </w:t>
      </w:r>
      <w:r w:rsidR="00EB09E3">
        <w:t xml:space="preserve">salinity reduction </w:t>
      </w:r>
      <w:r w:rsidR="00A7106D">
        <w:t xml:space="preserve">up to 10.3 PSU </w:t>
      </w:r>
      <w:r w:rsidR="00EB09E3">
        <w:t xml:space="preserve">in the South Lagoon </w:t>
      </w:r>
      <w:r w:rsidR="00A7106D">
        <w:t>(visible by comparing the red and blue lines), associated with a 19.2% contribution by Commonwealth environmental water to the barrage flow over that period. Environmental water also made an important long-term shift in the salinity, with the water deliveries from previous years providing a legacy benefit year-on-year. The cumulative impact over the seven years (July 2017–June 2024) on the salinity reduction in the South Lagoon reached over 49 PSU in the 2020-21 water year, which gradually reduced to about 26 PSU at the end of 2023-24, due to the stronger flushing effect of the more recent low salinity flows from the LMR (</w:t>
      </w:r>
      <w:r w:rsidR="00A7106D">
        <w:fldChar w:fldCharType="begin"/>
      </w:r>
      <w:r w:rsidR="00A7106D">
        <w:instrText xml:space="preserve"> REF _Ref125014166 \h </w:instrText>
      </w:r>
      <w:r w:rsidR="00A7106D" w:rsidRPr="7C1E9BE9">
        <w:rPr>
          <w:highlight w:val="yellow"/>
        </w:rPr>
        <w:instrText xml:space="preserve"> \* MERGEFORMAT </w:instrText>
      </w:r>
      <w:r w:rsidR="00A7106D">
        <w:fldChar w:fldCharType="separate"/>
      </w:r>
      <w:r w:rsidR="00102828">
        <w:t xml:space="preserve">Figure </w:t>
      </w:r>
      <w:r w:rsidR="00102828">
        <w:rPr>
          <w:noProof/>
        </w:rPr>
        <w:t>33</w:t>
      </w:r>
      <w:r w:rsidR="00A7106D">
        <w:fldChar w:fldCharType="end"/>
      </w:r>
      <w:r w:rsidR="0007132C">
        <w:t>b</w:t>
      </w:r>
      <w:r w:rsidR="00A7106D">
        <w:t>; comparing the orange and red lines). The salinity shows a clear seasonal pattern with higher salinity in summer and lower salinity in winter, in response to the seasonal variations in barrage flows, oceanic water levels, air temperature and water exchange through the air-water interface (precipitation and evaporation) (Figure C2, Appendix C). The time series plots of predicted salinity in different zones in all ‘No CEW’ and ‘No eWater’ scenarios, for comparison to the ‘base-case’ scenario, are provided in the supplementary material appended to this report. It is evident that environmental water had direct impacts on the salinity across all sites along the Coorong (not just in the South Lagoon), and the salinity generally increased in the scenarios from ‘No CEW 1 year’ to ‘No CEW 7 years’ and from ‘No eWater 1 year’ to ‘No eWater 7 years’ scenarios, indicating the cumulative benefit of environmental water on salinity of the Coorong.  Importantly, the cumulative benefit of environmental water delivery in the dry years persists in the Coorong, even after the high flow period in the 2021-22 water year, highlighting the “memory-effect” of past water allocation in this ecosystem.</w:t>
      </w:r>
    </w:p>
    <w:p w14:paraId="5B7965F2" w14:textId="7760EA0B" w:rsidR="00C416FA" w:rsidRPr="005E38EF" w:rsidRDefault="00C416FA" w:rsidP="00C416FA">
      <w:r>
        <w:t>To demonstrate the spatial effect of environmental water on salinity levels, a</w:t>
      </w:r>
      <w:r w:rsidRPr="00B040AA">
        <w:t xml:space="preserve"> transect plot of predicted </w:t>
      </w:r>
      <w:r>
        <w:t xml:space="preserve">mean </w:t>
      </w:r>
      <w:r w:rsidRPr="00B040AA">
        <w:t xml:space="preserve">salinity in all </w:t>
      </w:r>
      <w:r>
        <w:t xml:space="preserve">‘No CEW’ and ‘No eWater’ </w:t>
      </w:r>
      <w:r w:rsidRPr="00B040AA">
        <w:t xml:space="preserve">scenarios </w:t>
      </w:r>
      <w:r>
        <w:t>in</w:t>
      </w:r>
      <w:r w:rsidRPr="00B040AA">
        <w:t xml:space="preserve"> comparison </w:t>
      </w:r>
      <w:r>
        <w:t>with</w:t>
      </w:r>
      <w:r w:rsidRPr="00B040AA">
        <w:t xml:space="preserve"> the </w:t>
      </w:r>
      <w:r>
        <w:t>‘All Water’ scenario</w:t>
      </w:r>
      <w:r w:rsidRPr="00B040AA">
        <w:t xml:space="preserve"> along the</w:t>
      </w:r>
      <w:r>
        <w:t xml:space="preserve"> length of the</w:t>
      </w:r>
      <w:r w:rsidRPr="00B040AA">
        <w:t xml:space="preserve"> Coorong </w:t>
      </w:r>
      <w:r>
        <w:t xml:space="preserve">for the period between 1 July 2023 and 30 June </w:t>
      </w:r>
      <w:r w:rsidRPr="00B040AA">
        <w:t>202</w:t>
      </w:r>
      <w:r>
        <w:t>4</w:t>
      </w:r>
      <w:r w:rsidRPr="00B040AA">
        <w:t xml:space="preserve"> </w:t>
      </w:r>
      <w:r>
        <w:t xml:space="preserve">is presented in </w:t>
      </w:r>
      <w:r>
        <w:fldChar w:fldCharType="begin"/>
      </w:r>
      <w:r>
        <w:instrText xml:space="preserve"> REF _Ref96529694 \h </w:instrText>
      </w:r>
      <w:r>
        <w:fldChar w:fldCharType="separate"/>
      </w:r>
      <w:r w:rsidR="00102828">
        <w:t xml:space="preserve">Figure </w:t>
      </w:r>
      <w:r w:rsidR="00102828">
        <w:rPr>
          <w:noProof/>
        </w:rPr>
        <w:t>34</w:t>
      </w:r>
      <w:r>
        <w:fldChar w:fldCharType="end"/>
      </w:r>
      <w:r w:rsidRPr="00B040AA">
        <w:t xml:space="preserve">. </w:t>
      </w:r>
      <w:r>
        <w:t>T</w:t>
      </w:r>
      <w:r w:rsidRPr="009F5051">
        <w:t xml:space="preserve">he </w:t>
      </w:r>
      <w:r>
        <w:t xml:space="preserve">results highlight the spatial salinity gradient with salinity generally increasing from Goolwa to the South Lagoon. The water became fresher at Goolwa (left of Murray Mouth in </w:t>
      </w:r>
      <w:r>
        <w:fldChar w:fldCharType="begin"/>
      </w:r>
      <w:r>
        <w:instrText xml:space="preserve"> REF _Ref96529694 \h </w:instrText>
      </w:r>
      <w:r>
        <w:fldChar w:fldCharType="separate"/>
      </w:r>
      <w:r w:rsidR="00102828">
        <w:t xml:space="preserve">Figure </w:t>
      </w:r>
      <w:r w:rsidR="00102828">
        <w:rPr>
          <w:noProof/>
        </w:rPr>
        <w:t>34</w:t>
      </w:r>
      <w:r>
        <w:fldChar w:fldCharType="end"/>
      </w:r>
      <w:r>
        <w:t xml:space="preserve">) and Pelican Point sites than the Murray Mouth site due to the flushing from the barrage flows in this year. Environmental water delivery in 2023-24 helped to reduce the mean salinity by about 8.8 PSU in the North Lagoon, though the effect diminished with distance to the South Lagoon. Environmental water delivery had a significant cumulative impact substantially reducing salinity over the seven years, and the impact increased with distance from the barrages and Murray Mouth. Without environmental water from 2017–2024, the average salinity increase of ~26 </w:t>
      </w:r>
      <w:r>
        <w:lastRenderedPageBreak/>
        <w:t xml:space="preserve">PSU in 2023-24 is seen at the southern end of the South Lagoon between Parnka Point and Salt Creek. Interestingly, the 2023-24 environmental water, if supplied in isolation (for one year only), had little effect below Parnka Point, highlighting that sustained multi-year provision of additional water results in benefits being realised throughout the full length of the Coorong lagoon. </w:t>
      </w:r>
    </w:p>
    <w:p w14:paraId="488B653D" w14:textId="45C0CBCB" w:rsidR="005659DC" w:rsidRDefault="006B19D9" w:rsidP="005659DC">
      <w:pPr>
        <w:spacing w:after="0"/>
        <w:jc w:val="center"/>
      </w:pPr>
      <w:r>
        <w:rPr>
          <w:noProof/>
        </w:rPr>
        <mc:AlternateContent>
          <mc:Choice Requires="wps">
            <w:drawing>
              <wp:anchor distT="0" distB="0" distL="114300" distR="114300" simplePos="0" relativeHeight="251658249" behindDoc="0" locked="0" layoutInCell="1" allowOverlap="1" wp14:anchorId="1A8EF236" wp14:editId="43C0A27C">
                <wp:simplePos x="0" y="0"/>
                <wp:positionH relativeFrom="column">
                  <wp:posOffset>4740584</wp:posOffset>
                </wp:positionH>
                <wp:positionV relativeFrom="paragraph">
                  <wp:posOffset>2557677</wp:posOffset>
                </wp:positionV>
                <wp:extent cx="403654" cy="411892"/>
                <wp:effectExtent l="0" t="0" r="3175" b="0"/>
                <wp:wrapNone/>
                <wp:docPr id="1361981247" name="Text Box 45"/>
                <wp:cNvGraphicFramePr/>
                <a:graphic xmlns:a="http://schemas.openxmlformats.org/drawingml/2006/main">
                  <a:graphicData uri="http://schemas.microsoft.com/office/word/2010/wordprocessingShape">
                    <wps:wsp>
                      <wps:cNvSpPr txBox="1"/>
                      <wps:spPr>
                        <a:xfrm>
                          <a:off x="0" y="0"/>
                          <a:ext cx="403654" cy="411892"/>
                        </a:xfrm>
                        <a:prstGeom prst="rect">
                          <a:avLst/>
                        </a:prstGeom>
                        <a:solidFill>
                          <a:schemeClr val="lt1"/>
                        </a:solidFill>
                        <a:ln w="6350">
                          <a:noFill/>
                        </a:ln>
                      </wps:spPr>
                      <wps:txbx>
                        <w:txbxContent>
                          <w:p w14:paraId="4BEBE108" w14:textId="7C54C946" w:rsidR="006B19D9" w:rsidRPr="00254058" w:rsidRDefault="006B19D9" w:rsidP="006B19D9">
                            <w:pPr>
                              <w:rPr>
                                <w:rFonts w:ascii="Arial" w:hAnsi="Arial" w:cs="Arial"/>
                                <w:b/>
                                <w:bCs/>
                              </w:rPr>
                            </w:pPr>
                            <w:r w:rsidRPr="00254058">
                              <w:rPr>
                                <w:rFonts w:ascii="Arial" w:hAnsi="Arial" w:cs="Arial"/>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8EF236" id="Text Box 45" o:spid="_x0000_s1027" type="#_x0000_t202" style="position:absolute;left:0;text-align:left;margin-left:373.25pt;margin-top:201.4pt;width:31.8pt;height:32.4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1oCLwIAAFoEAAAOAAAAZHJzL2Uyb0RvYy54bWysVE1v2zAMvQ/YfxB0X2ynTtYacYosRYYB&#10;RVsgHXpWZDkWIIuapMTOfv0oOV/rdhp2kUmReiIfnzy771tF9sI6Cbqk2SilRGgOldTbkn5/XX26&#10;pcR5piumQIuSHoSj9/OPH2adKcQYGlCVsARBtCs6U9LGe1MkieONaJkbgREagzXYlnl07TapLOsQ&#10;vVXJOE2nSQe2Mha4cA53H4YgnUf8uhbcP9e1E56okmJtPq42rpuwJvMZK7aWmUbyYxnsH6pomdR4&#10;6RnqgXlGdlb+AdVKbsFB7Ucc2gTqWnIRe8BusvRdN+uGGRF7QXKcOdPk/h8sf9qvzYslvv8CPQ4w&#10;ENIZVzjcDP30tW3DFyslGEcKD2faRO8Jx808vZlOcko4hvIsu70bB5TkcthY578KaEkwSmpxKpEs&#10;tn90fkg9pYS7HChZraRS0QlKEEtlyZ7hDJWPJSL4b1lKk66k05tJGoE1hOMDstJYy6WlYPl+0xNZ&#10;XbW7geqALFgYBOIMX0ms9ZE5/8IsKgIbR5X7Z1xqBXgXHC1KGrA//7Yf8nFQGKWkQ4WV1P3YMSso&#10;Ud80jvAuy/Mgyejkk89jdOx1ZHMd0bt2CUhAhu/J8GiGfK9OZm2hfcPHsAi3YohpjneX1J/MpR90&#10;j4+Ji8UiJqEIDfOPem14gA6Eh0m89m/MmuO4PM75CU5aZMW7qQ254aSGxc5DLeNIA88Dq0f6UcBR&#10;FMfHFl7ItR+zLr+E+S8AAAD//wMAUEsDBBQABgAIAAAAIQCyS4k84gAAAAsBAAAPAAAAZHJzL2Rv&#10;d25yZXYueG1sTI/LToRAEEX3Jv5Dp0zcGKdhHjBBmokxPpLZOfiIux66BCJdTegewL+3XOmyqk5u&#10;nZvvZtuJEQffOlIQLyIQSJUzLdUKXsqH6y0IHzQZ3TlCBd/oYVecn+U6M26iZxwPoRYcQj7TCpoQ&#10;+kxKXzVotV+4Holvn26wOvA41NIMeuJw28llFCXS6pb4Q6N7vGuw+jqcrIKPq/p97+fH12m1WfX3&#10;T2OZvplSqcuL+fYGRMA5/MHwq8/qULDT0Z3IeNEpSNfJhlEF62jJHZjYxlEM4sibJE1BFrn836H4&#10;AQAA//8DAFBLAQItABQABgAIAAAAIQC2gziS/gAAAOEBAAATAAAAAAAAAAAAAAAAAAAAAABbQ29u&#10;dGVudF9UeXBlc10ueG1sUEsBAi0AFAAGAAgAAAAhADj9If/WAAAAlAEAAAsAAAAAAAAAAAAAAAAA&#10;LwEAAF9yZWxzLy5yZWxzUEsBAi0AFAAGAAgAAAAhALuPWgIvAgAAWgQAAA4AAAAAAAAAAAAAAAAA&#10;LgIAAGRycy9lMm9Eb2MueG1sUEsBAi0AFAAGAAgAAAAhALJLiTziAAAACwEAAA8AAAAAAAAAAAAA&#10;AAAAiQQAAGRycy9kb3ducmV2LnhtbFBLBQYAAAAABAAEAPMAAACYBQAAAAA=&#10;" fillcolor="white [3201]" stroked="f" strokeweight=".5pt">
                <v:textbox>
                  <w:txbxContent>
                    <w:p w14:paraId="4BEBE108" w14:textId="7C54C946" w:rsidR="006B19D9" w:rsidRPr="00254058" w:rsidRDefault="006B19D9" w:rsidP="006B19D9">
                      <w:pPr>
                        <w:rPr>
                          <w:rFonts w:ascii="Arial" w:hAnsi="Arial" w:cs="Arial"/>
                          <w:b/>
                          <w:bCs/>
                        </w:rPr>
                      </w:pPr>
                      <w:r w:rsidRPr="00254058">
                        <w:rPr>
                          <w:rFonts w:ascii="Arial" w:hAnsi="Arial" w:cs="Arial"/>
                          <w:b/>
                          <w:bCs/>
                        </w:rPr>
                        <w:t>(b)</w:t>
                      </w:r>
                    </w:p>
                  </w:txbxContent>
                </v:textbox>
              </v:shape>
            </w:pict>
          </mc:Fallback>
        </mc:AlternateContent>
      </w:r>
      <w:r w:rsidR="00D96EF2">
        <w:rPr>
          <w:noProof/>
        </w:rPr>
        <mc:AlternateContent>
          <mc:Choice Requires="wps">
            <w:drawing>
              <wp:anchor distT="0" distB="0" distL="114300" distR="114300" simplePos="0" relativeHeight="251658248" behindDoc="0" locked="0" layoutInCell="1" allowOverlap="1" wp14:anchorId="5FDADF2E" wp14:editId="58A462BA">
                <wp:simplePos x="0" y="0"/>
                <wp:positionH relativeFrom="column">
                  <wp:posOffset>4736757</wp:posOffset>
                </wp:positionH>
                <wp:positionV relativeFrom="paragraph">
                  <wp:posOffset>222422</wp:posOffset>
                </wp:positionV>
                <wp:extent cx="403654" cy="411892"/>
                <wp:effectExtent l="0" t="0" r="3175" b="0"/>
                <wp:wrapNone/>
                <wp:docPr id="166996655" name="Text Box 45"/>
                <wp:cNvGraphicFramePr/>
                <a:graphic xmlns:a="http://schemas.openxmlformats.org/drawingml/2006/main">
                  <a:graphicData uri="http://schemas.microsoft.com/office/word/2010/wordprocessingShape">
                    <wps:wsp>
                      <wps:cNvSpPr txBox="1"/>
                      <wps:spPr>
                        <a:xfrm>
                          <a:off x="0" y="0"/>
                          <a:ext cx="403654" cy="411892"/>
                        </a:xfrm>
                        <a:prstGeom prst="rect">
                          <a:avLst/>
                        </a:prstGeom>
                        <a:solidFill>
                          <a:schemeClr val="lt1"/>
                        </a:solidFill>
                        <a:ln w="6350">
                          <a:noFill/>
                        </a:ln>
                      </wps:spPr>
                      <wps:txbx>
                        <w:txbxContent>
                          <w:p w14:paraId="57DEA47F" w14:textId="23A16B1C" w:rsidR="00D96EF2" w:rsidRPr="00254058" w:rsidRDefault="00D96EF2">
                            <w:pPr>
                              <w:rPr>
                                <w:rFonts w:ascii="Arial" w:hAnsi="Arial" w:cs="Arial"/>
                                <w:b/>
                                <w:bCs/>
                              </w:rPr>
                            </w:pPr>
                            <w:r w:rsidRPr="00254058">
                              <w:rPr>
                                <w:rFonts w:ascii="Arial" w:hAnsi="Arial" w:cs="Arial"/>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ADF2E" id="_x0000_s1028" type="#_x0000_t202" style="position:absolute;left:0;text-align:left;margin-left:372.95pt;margin-top:17.5pt;width:31.8pt;height:32.4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umMAIAAFoEAAAOAAAAZHJzL2Uyb0RvYy54bWysVE1v2zAMvQ/YfxB0X2ynTtYacYosRYYB&#10;RVsgHXpWZCk2IIuapMTOfv0oOV/rdhp2kUmReiIfnzy771tF9sK6BnRJs1FKidAcqkZvS/r9dfXp&#10;lhLnma6YAi1KehCO3s8/fph1phBjqEFVwhIE0a7oTElr702RJI7XomVuBEZoDEqwLfPo2m1SWdYh&#10;equScZpOkw5sZSxw4RzuPgxBOo/4Ugrun6V0whNVUqzNx9XGdRPWZD5jxdYyUzf8WAb7hypa1mi8&#10;9Az1wDwjO9v8AdU23IID6Ucc2gSkbLiIPWA3Wfqum3XNjIi9IDnOnGly/w+WP+3X5sUS33+BHgcY&#10;COmMKxxuhn56advwxUoJxpHCw5k20XvCcTNPb6aTnBKOoTzLbu/GASW5HDbW+a8CWhKMklqcSiSL&#10;7R+dH1JPKeEuB6qpVo1S0QlKEEtlyZ7hDJWPJSL4b1lKk66k05tJGoE1hOMDstJYy6WlYPl+05Om&#10;KmksNOxsoDogCxYGgTjDVw3W+sicf2EWFYGNo8r9My5SAd4FR4uSGuzPv+2HfBwURinpUGEldT92&#10;zApK1DeNI7zL8jxIMjr55PMYHXsd2VxH9K5dAhKQ4XsyPJoh36uTKS20b/gYFuFWDDHN8e6S+pO5&#10;9IPu8TFxsVjEJBShYf5Rrw0P0IHwMInX/o1ZcxyXxzk/wUmLrHg3tSE3nNSw2HmQTRzphdUj/Sjg&#10;KIrjYwsv5NqPWZdfwvwXAAAA//8DAFBLAwQUAAYACAAAACEA/WTExOAAAAAJAQAADwAAAGRycy9k&#10;b3ducmV2LnhtbEyPQU+DQBCF7yb+h82YeDHtoogtyNAYozbxZqkab1t2BCK7S9gt4L93POlxMl/e&#10;+16+mU0nRhp86yzC5TICQbZyurU1wr58XKxB+KCsVp2zhPBNHjbF6UmuMu0m+0LjLtSCQ6zPFEIT&#10;Qp9J6auGjPJL15Pl36cbjAp8DrXUg5o43HTyKopupFGt5YZG9XTfUPW1OxqEj4v6/dnPT69TnMT9&#10;w3YsV2+6RDw/m+9uQQSawx8Mv/qsDgU7HdzRai86hNV1kjKKECe8iYF1lCYgDghpmoIscvl/QfED&#10;AAD//wMAUEsBAi0AFAAGAAgAAAAhALaDOJL+AAAA4QEAABMAAAAAAAAAAAAAAAAAAAAAAFtDb250&#10;ZW50X1R5cGVzXS54bWxQSwECLQAUAAYACAAAACEAOP0h/9YAAACUAQAACwAAAAAAAAAAAAAAAAAv&#10;AQAAX3JlbHMvLnJlbHNQSwECLQAUAAYACAAAACEAe1/7pjACAABaBAAADgAAAAAAAAAAAAAAAAAu&#10;AgAAZHJzL2Uyb0RvYy54bWxQSwECLQAUAAYACAAAACEA/WTExOAAAAAJAQAADwAAAAAAAAAAAAAA&#10;AACKBAAAZHJzL2Rvd25yZXYueG1sUEsFBgAAAAAEAAQA8wAAAJcFAAAAAA==&#10;" fillcolor="white [3201]" stroked="f" strokeweight=".5pt">
                <v:textbox>
                  <w:txbxContent>
                    <w:p w14:paraId="57DEA47F" w14:textId="23A16B1C" w:rsidR="00D96EF2" w:rsidRPr="00254058" w:rsidRDefault="00D96EF2">
                      <w:pPr>
                        <w:rPr>
                          <w:rFonts w:ascii="Arial" w:hAnsi="Arial" w:cs="Arial"/>
                          <w:b/>
                          <w:bCs/>
                        </w:rPr>
                      </w:pPr>
                      <w:r w:rsidRPr="00254058">
                        <w:rPr>
                          <w:rFonts w:ascii="Arial" w:hAnsi="Arial" w:cs="Arial"/>
                          <w:b/>
                          <w:bCs/>
                        </w:rPr>
                        <w:t>(a)</w:t>
                      </w:r>
                    </w:p>
                  </w:txbxContent>
                </v:textbox>
              </v:shape>
            </w:pict>
          </mc:Fallback>
        </mc:AlternateContent>
      </w:r>
      <w:r w:rsidR="00E026DB">
        <w:rPr>
          <w:noProof/>
        </w:rPr>
        <w:drawing>
          <wp:inline distT="0" distB="0" distL="0" distR="0" wp14:anchorId="64CC23EF" wp14:editId="04F3EE29">
            <wp:extent cx="5727700" cy="2287270"/>
            <wp:effectExtent l="0" t="0" r="0" b="0"/>
            <wp:docPr id="2045222819" name="Picture 43" descr="Modelled salinity in the Coorong North Lagoon under different flow scenar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222819" name="Picture 43" descr="Modelled salinity in the Coorong North Lagoon under different flow scenarios."/>
                    <pic:cNvPicPr/>
                  </pic:nvPicPr>
                  <pic:blipFill>
                    <a:blip r:embed="rId97">
                      <a:extLst>
                        <a:ext uri="{28A0092B-C50C-407E-A947-70E740481C1C}">
                          <a14:useLocalDpi xmlns:a14="http://schemas.microsoft.com/office/drawing/2010/main" val="0"/>
                        </a:ext>
                      </a:extLst>
                    </a:blip>
                    <a:stretch>
                      <a:fillRect/>
                    </a:stretch>
                  </pic:blipFill>
                  <pic:spPr>
                    <a:xfrm>
                      <a:off x="0" y="0"/>
                      <a:ext cx="5727700" cy="2287270"/>
                    </a:xfrm>
                    <a:prstGeom prst="rect">
                      <a:avLst/>
                    </a:prstGeom>
                  </pic:spPr>
                </pic:pic>
              </a:graphicData>
            </a:graphic>
          </wp:inline>
        </w:drawing>
      </w:r>
      <w:r w:rsidR="00365AD0">
        <w:rPr>
          <w:noProof/>
        </w:rPr>
        <w:drawing>
          <wp:inline distT="0" distB="0" distL="0" distR="0" wp14:anchorId="2D8BD02B" wp14:editId="15CE2326">
            <wp:extent cx="5727700" cy="2287270"/>
            <wp:effectExtent l="0" t="0" r="0" b="0"/>
            <wp:docPr id="995038090" name="Picture 44" descr="Modelled salinity in the Coorong South Lagoon under different flow scenar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38090" name="Picture 44" descr="Modelled salinity in the Coorong South Lagoon under different flow scenarios."/>
                    <pic:cNvPicPr/>
                  </pic:nvPicPr>
                  <pic:blipFill>
                    <a:blip r:embed="rId98">
                      <a:extLst>
                        <a:ext uri="{28A0092B-C50C-407E-A947-70E740481C1C}">
                          <a14:useLocalDpi xmlns:a14="http://schemas.microsoft.com/office/drawing/2010/main" val="0"/>
                        </a:ext>
                      </a:extLst>
                    </a:blip>
                    <a:stretch>
                      <a:fillRect/>
                    </a:stretch>
                  </pic:blipFill>
                  <pic:spPr>
                    <a:xfrm>
                      <a:off x="0" y="0"/>
                      <a:ext cx="5727700" cy="2287270"/>
                    </a:xfrm>
                    <a:prstGeom prst="rect">
                      <a:avLst/>
                    </a:prstGeom>
                  </pic:spPr>
                </pic:pic>
              </a:graphicData>
            </a:graphic>
          </wp:inline>
        </w:drawing>
      </w:r>
    </w:p>
    <w:p w14:paraId="26B7A9C2" w14:textId="77777777" w:rsidR="005659DC" w:rsidRPr="00217CF9" w:rsidRDefault="005659DC" w:rsidP="005659DC">
      <w:pPr>
        <w:spacing w:before="0"/>
        <w:jc w:val="center"/>
        <w:rPr>
          <w:rFonts w:ascii="Arial" w:hAnsi="Arial" w:cs="Arial"/>
          <w:sz w:val="17"/>
          <w:szCs w:val="17"/>
        </w:rPr>
      </w:pPr>
      <w:r w:rsidRPr="00217CF9">
        <w:rPr>
          <w:rFonts w:ascii="Arial" w:hAnsi="Arial" w:cs="Arial"/>
          <w:sz w:val="17"/>
          <w:szCs w:val="17"/>
        </w:rPr>
        <w:t>Date</w:t>
      </w:r>
    </w:p>
    <w:p w14:paraId="6EF82DB9" w14:textId="6B039CDD" w:rsidR="005659DC" w:rsidRPr="0067504A" w:rsidRDefault="005659DC" w:rsidP="005659DC">
      <w:pPr>
        <w:pStyle w:val="Caption"/>
      </w:pPr>
      <w:bookmarkStart w:id="247" w:name="_Ref125014166"/>
      <w:bookmarkStart w:id="248" w:name="_Toc152860260"/>
      <w:bookmarkStart w:id="249" w:name="_Toc200464484"/>
      <w:r>
        <w:t xml:space="preserve">Figure </w:t>
      </w:r>
      <w:r>
        <w:fldChar w:fldCharType="begin"/>
      </w:r>
      <w:r>
        <w:instrText>SEQ Figure \* ARABIC</w:instrText>
      </w:r>
      <w:r>
        <w:fldChar w:fldCharType="separate"/>
      </w:r>
      <w:r w:rsidR="00102828">
        <w:rPr>
          <w:noProof/>
        </w:rPr>
        <w:t>33</w:t>
      </w:r>
      <w:r>
        <w:fldChar w:fldCharType="end"/>
      </w:r>
      <w:bookmarkEnd w:id="247"/>
      <w:r>
        <w:t xml:space="preserve">. Time series of mean salinity variation in </w:t>
      </w:r>
      <w:r w:rsidR="00534AB4">
        <w:t xml:space="preserve">a) the Coorong North Lagoon, and b) </w:t>
      </w:r>
      <w:r>
        <w:t>the Coorong South Lagoon</w:t>
      </w:r>
      <w:r w:rsidR="00EC1445">
        <w:t>. The base-case scenario is compared</w:t>
      </w:r>
      <w:r>
        <w:t xml:space="preserve"> </w:t>
      </w:r>
      <w:r w:rsidR="00EC1445">
        <w:t xml:space="preserve">with </w:t>
      </w:r>
      <w:r>
        <w:t>the ‘No CEW’ and ‘No eWater’ scenarios</w:t>
      </w:r>
      <w:r w:rsidRPr="00CF44C9">
        <w:t xml:space="preserve">, spanning the modelling period from </w:t>
      </w:r>
      <w:r>
        <w:t xml:space="preserve">July </w:t>
      </w:r>
      <w:r w:rsidRPr="00CF44C9">
        <w:t>2017 to</w:t>
      </w:r>
      <w:r>
        <w:t xml:space="preserve"> June </w:t>
      </w:r>
      <w:bookmarkEnd w:id="248"/>
      <w:r w:rsidRPr="00CF44C9">
        <w:t>202</w:t>
      </w:r>
      <w:r>
        <w:t>4</w:t>
      </w:r>
      <w:r w:rsidRPr="004A6708">
        <w:t xml:space="preserve"> </w:t>
      </w:r>
      <w:r>
        <w:t>(r</w:t>
      </w:r>
      <w:r w:rsidRPr="004A6708">
        <w:t xml:space="preserve">efer to </w:t>
      </w:r>
      <w:r>
        <w:fldChar w:fldCharType="begin"/>
      </w:r>
      <w:r>
        <w:instrText xml:space="preserve"> REF _Ref125016145 \h </w:instrText>
      </w:r>
      <w:r>
        <w:fldChar w:fldCharType="separate"/>
      </w:r>
      <w:r w:rsidR="00102828">
        <w:t xml:space="preserve">Table </w:t>
      </w:r>
      <w:r w:rsidR="00102828">
        <w:rPr>
          <w:noProof/>
        </w:rPr>
        <w:t>6</w:t>
      </w:r>
      <w:r>
        <w:fldChar w:fldCharType="end"/>
      </w:r>
      <w:r w:rsidRPr="004A6708">
        <w:t xml:space="preserve"> for scenario</w:t>
      </w:r>
      <w:r w:rsidR="00EC1445">
        <w:t xml:space="preserve"> details</w:t>
      </w:r>
      <w:r>
        <w:t>)</w:t>
      </w:r>
      <w:r w:rsidRPr="004A6708">
        <w:t>.</w:t>
      </w:r>
      <w:r>
        <w:t xml:space="preserve"> Note that </w:t>
      </w:r>
      <w:r w:rsidRPr="00CE030F">
        <w:t xml:space="preserve">the lines of </w:t>
      </w:r>
      <w:r>
        <w:t>‘B</w:t>
      </w:r>
      <w:r w:rsidRPr="00CE030F">
        <w:t>ase</w:t>
      </w:r>
      <w:r>
        <w:t>-</w:t>
      </w:r>
      <w:r w:rsidRPr="00CE030F">
        <w:t>case</w:t>
      </w:r>
      <w:r>
        <w:t>’</w:t>
      </w:r>
      <w:r w:rsidRPr="00CE030F">
        <w:t xml:space="preserve"> and </w:t>
      </w:r>
      <w:r>
        <w:t>‘</w:t>
      </w:r>
      <w:r w:rsidRPr="00CE030F">
        <w:t>N</w:t>
      </w:r>
      <w:r>
        <w:t xml:space="preserve">o </w:t>
      </w:r>
      <w:r w:rsidRPr="00CE030F">
        <w:t>C</w:t>
      </w:r>
      <w:r>
        <w:t>EW 2023-24 (NC1</w:t>
      </w:r>
      <w:r w:rsidR="00F81297">
        <w:t xml:space="preserve"> in 2023-24</w:t>
      </w:r>
      <w:r>
        <w:t>)’</w:t>
      </w:r>
      <w:r w:rsidRPr="00CE030F">
        <w:t xml:space="preserve"> were largely overlayed by </w:t>
      </w:r>
      <w:r>
        <w:t xml:space="preserve">‘No eWater 2023-24 (NC1)’ from July 2017 to June 2023 because they were using the same barrage flow condition in years prior to July 2023, and the line of ‘No CEW 2017–2024 (NC7)’ was largely overlayed by ‘No eWater 2017–2024 (NE7)’ because the environmental water was mostly contributed by </w:t>
      </w:r>
      <w:r w:rsidR="00F81297">
        <w:t>Commonwealth environmental water (</w:t>
      </w:r>
      <w:r>
        <w:t>CEW</w:t>
      </w:r>
      <w:r w:rsidR="00F81297">
        <w:t>)</w:t>
      </w:r>
      <w:r>
        <w:t xml:space="preserve"> over the seven-year study period.</w:t>
      </w:r>
      <w:bookmarkEnd w:id="249"/>
      <w:r>
        <w:t xml:space="preserve"> </w:t>
      </w:r>
    </w:p>
    <w:p w14:paraId="41FEFF87" w14:textId="77777777" w:rsidR="005659DC" w:rsidRDefault="005659DC" w:rsidP="005659DC"/>
    <w:p w14:paraId="33BB29BD" w14:textId="77777777" w:rsidR="005659DC" w:rsidRDefault="005659DC" w:rsidP="005659DC">
      <w:pPr>
        <w:spacing w:after="0"/>
        <w:jc w:val="center"/>
      </w:pPr>
    </w:p>
    <w:p w14:paraId="2E3D1699" w14:textId="77777777" w:rsidR="005659DC" w:rsidRDefault="005659DC" w:rsidP="005659DC">
      <w:pPr>
        <w:spacing w:after="0"/>
        <w:jc w:val="center"/>
      </w:pPr>
      <w:r>
        <w:rPr>
          <w:noProof/>
        </w:rPr>
        <w:lastRenderedPageBreak/>
        <w:drawing>
          <wp:inline distT="0" distB="0" distL="0" distR="0" wp14:anchorId="592FEB33" wp14:editId="1E5EFBCA">
            <wp:extent cx="5727700" cy="2291080"/>
            <wp:effectExtent l="0" t="0" r="6350" b="0"/>
            <wp:docPr id="660565922" name="Picture 6" descr="Transect comparison of simulated mean salinity from the ‘No CEW’ scenarios, ‘No eWater’ scenarios, and ‘base-case’ scenario along the Coo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65922" name="Picture 6" descr="Transect comparison of simulated mean salinity from the ‘No CEW’ scenarios, ‘No eWater’ scenarios, and ‘base-case’ scenario along the Cooro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27700" cy="2291080"/>
                    </a:xfrm>
                    <a:prstGeom prst="rect">
                      <a:avLst/>
                    </a:prstGeom>
                    <a:noFill/>
                    <a:ln>
                      <a:noFill/>
                    </a:ln>
                  </pic:spPr>
                </pic:pic>
              </a:graphicData>
            </a:graphic>
          </wp:inline>
        </w:drawing>
      </w:r>
    </w:p>
    <w:p w14:paraId="7898A460" w14:textId="77777777" w:rsidR="005659DC" w:rsidRPr="00AA15C3" w:rsidRDefault="005659DC" w:rsidP="005659DC">
      <w:pPr>
        <w:spacing w:before="0"/>
        <w:jc w:val="center"/>
        <w:rPr>
          <w:rFonts w:ascii="Arial" w:hAnsi="Arial" w:cs="Arial"/>
          <w:sz w:val="18"/>
          <w:szCs w:val="18"/>
        </w:rPr>
      </w:pPr>
      <w:r w:rsidRPr="00AA15C3">
        <w:rPr>
          <w:rFonts w:ascii="Arial" w:hAnsi="Arial" w:cs="Arial"/>
          <w:sz w:val="18"/>
          <w:szCs w:val="18"/>
        </w:rPr>
        <w:t>Site</w:t>
      </w:r>
    </w:p>
    <w:p w14:paraId="12E6EAF1" w14:textId="19F3AB32" w:rsidR="005659DC" w:rsidRDefault="005659DC" w:rsidP="00605FB2">
      <w:pPr>
        <w:pStyle w:val="Captions"/>
      </w:pPr>
      <w:bookmarkStart w:id="250" w:name="_Ref96529694"/>
      <w:bookmarkStart w:id="251" w:name="_Toc103170080"/>
      <w:bookmarkStart w:id="252" w:name="_Toc152860261"/>
      <w:bookmarkStart w:id="253" w:name="_Toc200464485"/>
      <w:r>
        <w:t xml:space="preserve">Figure </w:t>
      </w:r>
      <w:r>
        <w:fldChar w:fldCharType="begin"/>
      </w:r>
      <w:r>
        <w:instrText xml:space="preserve"> SEQ Figure \* ARABIC </w:instrText>
      </w:r>
      <w:r>
        <w:fldChar w:fldCharType="separate"/>
      </w:r>
      <w:r w:rsidR="00102828">
        <w:rPr>
          <w:noProof/>
        </w:rPr>
        <w:t>34</w:t>
      </w:r>
      <w:r>
        <w:rPr>
          <w:noProof/>
        </w:rPr>
        <w:fldChar w:fldCharType="end"/>
      </w:r>
      <w:bookmarkEnd w:id="250"/>
      <w:r w:rsidRPr="000E3ECB">
        <w:t>. Transect comparison of simulated</w:t>
      </w:r>
      <w:r>
        <w:t xml:space="preserve"> mean</w:t>
      </w:r>
      <w:r w:rsidRPr="000E3ECB">
        <w:t xml:space="preserve"> salinity</w:t>
      </w:r>
      <w:r>
        <w:t xml:space="preserve"> from the ‘No CEW’ scenarios, ‘No eWater’ scenarios, and ‘base-case’ scenario</w:t>
      </w:r>
      <w:r w:rsidRPr="000E3ECB">
        <w:t xml:space="preserve"> along the Coorong in </w:t>
      </w:r>
      <w:r>
        <w:t xml:space="preserve">July 2023–June </w:t>
      </w:r>
      <w:bookmarkEnd w:id="251"/>
      <w:r>
        <w:t>2024</w:t>
      </w:r>
      <w:r w:rsidRPr="000E3ECB">
        <w:t xml:space="preserve"> </w:t>
      </w:r>
      <w:r>
        <w:t>(r</w:t>
      </w:r>
      <w:r w:rsidRPr="00AD4D7D">
        <w:t xml:space="preserve">efer to </w:t>
      </w:r>
      <w:r>
        <w:fldChar w:fldCharType="begin"/>
      </w:r>
      <w:r>
        <w:instrText xml:space="preserve"> REF _Ref125016145 \h </w:instrText>
      </w:r>
      <w:r>
        <w:fldChar w:fldCharType="separate"/>
      </w:r>
      <w:r w:rsidR="00102828">
        <w:t xml:space="preserve">Table </w:t>
      </w:r>
      <w:r w:rsidR="00102828">
        <w:rPr>
          <w:noProof/>
        </w:rPr>
        <w:t>6</w:t>
      </w:r>
      <w:r>
        <w:fldChar w:fldCharType="end"/>
      </w:r>
      <w:r w:rsidRPr="00AD4D7D">
        <w:t xml:space="preserve"> for scenarios</w:t>
      </w:r>
      <w:r>
        <w:t>)</w:t>
      </w:r>
      <w:r w:rsidRPr="00AD4D7D">
        <w:t>.</w:t>
      </w:r>
      <w:bookmarkEnd w:id="252"/>
      <w:bookmarkEnd w:id="253"/>
      <w:r>
        <w:t xml:space="preserve"> </w:t>
      </w:r>
      <w:r w:rsidR="00BB1202">
        <w:t xml:space="preserve">The x-axis </w:t>
      </w:r>
      <w:r w:rsidR="00E04D4A">
        <w:t>positions</w:t>
      </w:r>
      <w:r w:rsidR="00CC0FFE">
        <w:t xml:space="preserve"> </w:t>
      </w:r>
      <w:r w:rsidR="00E04D4A">
        <w:t>are</w:t>
      </w:r>
      <w:r w:rsidR="00CC0FFE">
        <w:t xml:space="preserve"> based on distance fr</w:t>
      </w:r>
      <w:r w:rsidR="00E04D4A">
        <w:t>o</w:t>
      </w:r>
      <w:r w:rsidR="00CC0FFE">
        <w:t>m the mouth (in km)</w:t>
      </w:r>
      <w:r w:rsidR="00E04D4A">
        <w:t>.</w:t>
      </w:r>
    </w:p>
    <w:p w14:paraId="3FCFE0F7" w14:textId="77777777" w:rsidR="005659DC" w:rsidRPr="00F635AC" w:rsidRDefault="005659DC" w:rsidP="005659DC">
      <w:pPr>
        <w:rPr>
          <w:lang w:val="en-US"/>
        </w:rPr>
      </w:pPr>
    </w:p>
    <w:p w14:paraId="24F62D2A" w14:textId="77777777" w:rsidR="005659DC" w:rsidRPr="0075498A" w:rsidRDefault="005659DC" w:rsidP="005659DC">
      <w:pPr>
        <w:rPr>
          <w:color w:val="auto"/>
        </w:rPr>
      </w:pPr>
      <w:r w:rsidRPr="0075498A">
        <w:rPr>
          <w:i/>
          <w:iCs/>
          <w:color w:val="auto"/>
          <w:u w:val="single"/>
        </w:rPr>
        <w:t xml:space="preserve">Salt flux through the Murray barrages, </w:t>
      </w:r>
      <w:r>
        <w:rPr>
          <w:i/>
          <w:iCs/>
          <w:color w:val="auto"/>
          <w:u w:val="single"/>
        </w:rPr>
        <w:t>Murray M</w:t>
      </w:r>
      <w:r w:rsidRPr="0075498A">
        <w:rPr>
          <w:i/>
          <w:iCs/>
          <w:color w:val="auto"/>
          <w:u w:val="single"/>
        </w:rPr>
        <w:t>outh and Coorong</w:t>
      </w:r>
      <w:r w:rsidRPr="0075498A" w:rsidDel="005E1D8A">
        <w:rPr>
          <w:i/>
          <w:color w:val="auto"/>
          <w:u w:val="single"/>
        </w:rPr>
        <w:t xml:space="preserve"> </w:t>
      </w:r>
    </w:p>
    <w:p w14:paraId="132F5809" w14:textId="49C38CB6" w:rsidR="005659DC" w:rsidRPr="001832D4" w:rsidRDefault="005659DC" w:rsidP="005659DC">
      <w:r>
        <w:t xml:space="preserve">Salt loads moving through the system for each modelling year from July 2017 to June 2024 are summarised in </w:t>
      </w:r>
      <w:r>
        <w:fldChar w:fldCharType="begin"/>
      </w:r>
      <w:r>
        <w:instrText xml:space="preserve"> REF _Ref125016164 \h </w:instrText>
      </w:r>
      <w:r>
        <w:fldChar w:fldCharType="separate"/>
      </w:r>
      <w:r w:rsidR="00102828">
        <w:t xml:space="preserve">Table </w:t>
      </w:r>
      <w:r w:rsidR="00102828">
        <w:rPr>
          <w:noProof/>
        </w:rPr>
        <w:t>7</w:t>
      </w:r>
      <w:r>
        <w:fldChar w:fldCharType="end"/>
      </w:r>
      <w:r>
        <w:t xml:space="preserve">. The total salt load exported from the Basin into the Coorong (i.e. </w:t>
      </w:r>
      <w:r w:rsidR="003C6349">
        <w:t xml:space="preserve">through </w:t>
      </w:r>
      <w:r>
        <w:t>the barrages) varied each year dependent on the amount of water flow and salinity levels in the waters upstream of the barrages</w:t>
      </w:r>
      <w:r w:rsidR="79970CA9">
        <w:t xml:space="preserve"> in the centre of Lake Alexandrina</w:t>
      </w:r>
      <w:r>
        <w:t xml:space="preserve">. For the “dry" period between July 2017 and June 2021, the annual total salt load through the barrages with no environmental water was estimated to have ranged between 0 to 163,860 tonnes, compared to between 338,428 to 579,468 tonnes in the ‘All Water’ scenario. This demonstrates the significant role of environmental water to salt export under low-flow conditions. From 2021-22 to 2023-24, the natural (unregulated) flows dominated barrage flows and the proportional contribution of environmental water to the salt export was therefore relatively small. In 2023-24 water year, a total salt load of 1.24 million tonnes was </w:t>
      </w:r>
      <w:r w:rsidR="007F29DC">
        <w:t xml:space="preserve">estimated by modelling </w:t>
      </w:r>
      <w:r>
        <w:t xml:space="preserve">to be exported from the Basin through the barrages. Without environmental water, this value was estimated to be 0.95 million tonnes, and therefore environmental water </w:t>
      </w:r>
      <w:r w:rsidR="007F29DC">
        <w:t xml:space="preserve">contributed to </w:t>
      </w:r>
      <w:r>
        <w:t xml:space="preserve">the </w:t>
      </w:r>
      <w:r w:rsidR="007F29DC">
        <w:t xml:space="preserve">salt </w:t>
      </w:r>
      <w:r>
        <w:t xml:space="preserve">export of 291,495 tonnes, of which 221,272 tonnes was specifically </w:t>
      </w:r>
      <w:r w:rsidR="001067F9">
        <w:t xml:space="preserve">attributed </w:t>
      </w:r>
      <w:r w:rsidR="007F29DC">
        <w:t xml:space="preserve">to </w:t>
      </w:r>
      <w:r>
        <w:t xml:space="preserve">Commonwealth environmental water. </w:t>
      </w:r>
    </w:p>
    <w:p w14:paraId="1A511874" w14:textId="1D57B79A" w:rsidR="005659DC" w:rsidRPr="009A0EB2" w:rsidRDefault="005659DC" w:rsidP="005659DC">
      <w:pPr>
        <w:rPr>
          <w:szCs w:val="21"/>
        </w:rPr>
      </w:pPr>
      <w:r>
        <w:t>The salt fluxes through the Murray Mouth and is transported southward. Variations in salt flux occur each year and are dependent upon barrage flows, tidal forcing, sea level anomalies, and the</w:t>
      </w:r>
      <w:r w:rsidR="00D20EA6">
        <w:t xml:space="preserve"> existing</w:t>
      </w:r>
      <w:r>
        <w:t xml:space="preserve"> salinity gradient along the Coorong. The net exchange of salt through the Murray Mouth in the ‘All Water’ scenario varied each year, but environmental water significantly reduced salt intrusion from the Southern Ocean </w:t>
      </w:r>
      <w:r w:rsidR="00D20EA6">
        <w:t>in</w:t>
      </w:r>
      <w:r>
        <w:t>to the Coorong in all years. Without Commonwealth environmental water since July 2017, there would have been ~</w:t>
      </w:r>
      <w:r w:rsidR="00D20EA6">
        <w:t>6</w:t>
      </w:r>
      <w:r>
        <w:t xml:space="preserve"> million tonnes of additional salt transported from the Southern Ocean into the Coorong each water year from July 2017 to June 2021 (</w:t>
      </w:r>
      <w:r>
        <w:fldChar w:fldCharType="begin"/>
      </w:r>
      <w:r>
        <w:instrText xml:space="preserve"> REF _Ref125016164 \h </w:instrText>
      </w:r>
      <w:r>
        <w:fldChar w:fldCharType="separate"/>
      </w:r>
      <w:r w:rsidR="00102828">
        <w:t xml:space="preserve">Table </w:t>
      </w:r>
      <w:r w:rsidR="00102828">
        <w:rPr>
          <w:noProof/>
        </w:rPr>
        <w:t>7</w:t>
      </w:r>
      <w:r>
        <w:fldChar w:fldCharType="end"/>
      </w:r>
      <w:r w:rsidR="00D20EA6">
        <w:t xml:space="preserve">), which was reduced by ~4 million tonnes per year with </w:t>
      </w:r>
      <w:r w:rsidR="001E4385">
        <w:t xml:space="preserve">Commonwealth environmental </w:t>
      </w:r>
      <w:r w:rsidR="00D20EA6">
        <w:t>water (Table 10</w:t>
      </w:r>
      <w:r>
        <w:t xml:space="preserve">). </w:t>
      </w:r>
      <w:r w:rsidRPr="001832D4">
        <w:t>In 202</w:t>
      </w:r>
      <w:r>
        <w:t>1</w:t>
      </w:r>
      <w:r w:rsidRPr="001832D4">
        <w:t>-2</w:t>
      </w:r>
      <w:r>
        <w:t>2 and 2022-23, unregulated water dominated barrage flows and</w:t>
      </w:r>
      <w:r w:rsidRPr="001832D4">
        <w:t xml:space="preserve"> there was a net export of </w:t>
      </w:r>
      <w:r>
        <w:t xml:space="preserve">4.32 and 4.14 million tonnes </w:t>
      </w:r>
      <w:r w:rsidRPr="001832D4">
        <w:t>of salt</w:t>
      </w:r>
      <w:r>
        <w:t>, respectively,</w:t>
      </w:r>
      <w:r w:rsidRPr="001832D4">
        <w:t xml:space="preserve"> from the Coorong into the Southern Ocean through the Murray Mouth</w:t>
      </w:r>
      <w:r>
        <w:t xml:space="preserve"> due to the high catchment flow flushing the hypersaline </w:t>
      </w:r>
      <w:r>
        <w:lastRenderedPageBreak/>
        <w:t>water out of the Coorong into the ocean</w:t>
      </w:r>
      <w:r w:rsidRPr="001832D4">
        <w:t>.</w:t>
      </w:r>
      <w:r>
        <w:t xml:space="preserve"> In 2023-34, there was a net export of 2.88 million tonnes of salt from the Coorong to the ocean, whereas</w:t>
      </w:r>
      <w:r w:rsidRPr="001832D4">
        <w:t xml:space="preserve"> </w:t>
      </w:r>
      <w:r>
        <w:t>w</w:t>
      </w:r>
      <w:r w:rsidRPr="001832D4">
        <w:t xml:space="preserve">ithout environmental water, there would </w:t>
      </w:r>
      <w:r>
        <w:t>have been</w:t>
      </w:r>
      <w:r w:rsidRPr="001832D4">
        <w:t xml:space="preserve"> a net </w:t>
      </w:r>
      <w:r>
        <w:t>import</w:t>
      </w:r>
      <w:r w:rsidRPr="001832D4">
        <w:t xml:space="preserve"> of </w:t>
      </w:r>
      <w:r>
        <w:t xml:space="preserve">1.10 million tonnes </w:t>
      </w:r>
      <w:r w:rsidRPr="001832D4">
        <w:t>of salt from the Southern Ocean</w:t>
      </w:r>
      <w:r>
        <w:t xml:space="preserve"> to </w:t>
      </w:r>
      <w:r w:rsidRPr="001832D4">
        <w:t xml:space="preserve">the Coorong. </w:t>
      </w:r>
      <w:r>
        <w:t>Therefore, e</w:t>
      </w:r>
      <w:r w:rsidRPr="001832D4">
        <w:t xml:space="preserve">nvironmental water </w:t>
      </w:r>
      <w:r>
        <w:t xml:space="preserve">increased salt export to the ocean </w:t>
      </w:r>
      <w:r w:rsidRPr="001832D4">
        <w:t xml:space="preserve">by approximately </w:t>
      </w:r>
      <w:r>
        <w:t xml:space="preserve">3.98 million tonnes </w:t>
      </w:r>
      <w:r w:rsidRPr="001832D4">
        <w:t>in 202</w:t>
      </w:r>
      <w:r>
        <w:t>3</w:t>
      </w:r>
      <w:r w:rsidRPr="001832D4">
        <w:t>-2</w:t>
      </w:r>
      <w:r>
        <w:t>4</w:t>
      </w:r>
      <w:r w:rsidRPr="001832D4">
        <w:t xml:space="preserve">, </w:t>
      </w:r>
      <w:r>
        <w:t>a large portion of</w:t>
      </w:r>
      <w:r w:rsidRPr="001832D4">
        <w:t xml:space="preserve"> which </w:t>
      </w:r>
      <w:r>
        <w:t xml:space="preserve">was </w:t>
      </w:r>
      <w:r w:rsidRPr="009A0EB2">
        <w:rPr>
          <w:szCs w:val="21"/>
        </w:rPr>
        <w:t>attributable to Commonwealth environmental water (</w:t>
      </w:r>
      <w:r>
        <w:rPr>
          <w:szCs w:val="21"/>
        </w:rPr>
        <w:t>2.85 million</w:t>
      </w:r>
      <w:r w:rsidRPr="009A0EB2">
        <w:rPr>
          <w:szCs w:val="21"/>
        </w:rPr>
        <w:t xml:space="preserve"> tonnes). </w:t>
      </w:r>
    </w:p>
    <w:p w14:paraId="3423E30C" w14:textId="79B6B6A8" w:rsidR="005659DC" w:rsidRDefault="005659DC" w:rsidP="005659DC">
      <w:bookmarkStart w:id="254" w:name="_Hlk132809413"/>
      <w:r>
        <w:t>The southward transport of salt from the Murray Mouth region to the North Lagoon varied each year with an annual flux rate of 1.38–2.67 million tonnes during the dry years of 2017-2021. I</w:t>
      </w:r>
      <w:r w:rsidRPr="009A0EB2">
        <w:t>n</w:t>
      </w:r>
      <w:r>
        <w:t xml:space="preserve"> the wet years of</w:t>
      </w:r>
      <w:r w:rsidRPr="009A0EB2">
        <w:t xml:space="preserve"> 2021</w:t>
      </w:r>
      <w:r>
        <w:t>–20</w:t>
      </w:r>
      <w:r w:rsidRPr="009A0EB2">
        <w:t>2</w:t>
      </w:r>
      <w:r>
        <w:t>4</w:t>
      </w:r>
      <w:r w:rsidRPr="009A0EB2">
        <w:t xml:space="preserve">, there was a northward export of salt with </w:t>
      </w:r>
      <w:r>
        <w:t>an annual</w:t>
      </w:r>
      <w:r w:rsidRPr="009A0EB2">
        <w:t xml:space="preserve"> flux rate of 1.17</w:t>
      </w:r>
      <w:r>
        <w:t>–2.16</w:t>
      </w:r>
      <w:r w:rsidRPr="009A0EB2">
        <w:t xml:space="preserve"> million tonnes. This export from the North Lagoon to the Murray Mouth during the high catchment flow events accompanied a reduction of salinity concentrations within the North and South </w:t>
      </w:r>
      <w:r>
        <w:t>l</w:t>
      </w:r>
      <w:r w:rsidRPr="009A0EB2">
        <w:t>agoon</w:t>
      </w:r>
      <w:r>
        <w:t>s</w:t>
      </w:r>
      <w:r w:rsidRPr="009A0EB2">
        <w:t xml:space="preserve"> (</w:t>
      </w:r>
      <w:r w:rsidRPr="009A0EB2">
        <w:rPr>
          <w:b/>
        </w:rPr>
        <w:fldChar w:fldCharType="begin"/>
      </w:r>
      <w:r w:rsidRPr="009A0EB2">
        <w:instrText xml:space="preserve"> REF _Ref125014166 \h  \* MERGEFORMAT </w:instrText>
      </w:r>
      <w:r w:rsidRPr="009A0EB2">
        <w:rPr>
          <w:b/>
        </w:rPr>
      </w:r>
      <w:r w:rsidRPr="009A0EB2">
        <w:rPr>
          <w:b/>
        </w:rPr>
        <w:fldChar w:fldCharType="separate"/>
      </w:r>
      <w:r w:rsidR="00102828">
        <w:t xml:space="preserve">Figure </w:t>
      </w:r>
      <w:r w:rsidR="00102828">
        <w:rPr>
          <w:noProof/>
        </w:rPr>
        <w:t>33</w:t>
      </w:r>
      <w:r w:rsidRPr="009A0EB2">
        <w:rPr>
          <w:b/>
        </w:rPr>
        <w:fldChar w:fldCharType="end"/>
      </w:r>
      <w:r>
        <w:t xml:space="preserve"> and </w:t>
      </w:r>
      <w:r>
        <w:fldChar w:fldCharType="begin"/>
      </w:r>
      <w:r>
        <w:instrText xml:space="preserve"> REF _Ref161212653 \h </w:instrText>
      </w:r>
      <w:r>
        <w:fldChar w:fldCharType="separate"/>
      </w:r>
      <w:r w:rsidR="00102828">
        <w:t xml:space="preserve">Table </w:t>
      </w:r>
      <w:r w:rsidR="00102828">
        <w:rPr>
          <w:noProof/>
        </w:rPr>
        <w:t>8</w:t>
      </w:r>
      <w:r>
        <w:fldChar w:fldCharType="end"/>
      </w:r>
      <w:r>
        <w:t>).</w:t>
      </w:r>
      <w:r w:rsidRPr="001832D4">
        <w:t xml:space="preserve"> </w:t>
      </w:r>
      <w:r>
        <w:t>This indicates that, in the wet years, the strong flushing events through the barrages</w:t>
      </w:r>
      <w:r w:rsidRPr="00143DF4">
        <w:t xml:space="preserve"> </w:t>
      </w:r>
      <w:r>
        <w:t xml:space="preserve">helped to significantly reduce the salinity in the Coorong that accumulated over the dry years. </w:t>
      </w:r>
      <w:r w:rsidRPr="009A0EB2">
        <w:t xml:space="preserve">Environmental water generally helps to reduce salt transport to the North </w:t>
      </w:r>
      <w:r>
        <w:t>and South l</w:t>
      </w:r>
      <w:r w:rsidRPr="009A0EB2">
        <w:t>agoon</w:t>
      </w:r>
      <w:r>
        <w:t>s, particularly during the dry years. Comparing the ‘All Water’ and the ‘No eWater</w:t>
      </w:r>
      <w:r w:rsidRPr="008E1528">
        <w:t xml:space="preserve"> </w:t>
      </w:r>
      <w:r>
        <w:t>2023-24 (NE1)’ scenarios, environmental water</w:t>
      </w:r>
      <w:r w:rsidRPr="001832D4">
        <w:t xml:space="preserve"> helped to </w:t>
      </w:r>
      <w:r>
        <w:t>reduce</w:t>
      </w:r>
      <w:r w:rsidRPr="001832D4">
        <w:t xml:space="preserve"> the salt flux </w:t>
      </w:r>
      <w:r>
        <w:t>from</w:t>
      </w:r>
      <w:r w:rsidRPr="001832D4">
        <w:t xml:space="preserve"> the</w:t>
      </w:r>
      <w:r w:rsidRPr="008E1528">
        <w:t xml:space="preserve"> </w:t>
      </w:r>
      <w:r>
        <w:t>Murray Mouth region to the North</w:t>
      </w:r>
      <w:r w:rsidRPr="001832D4">
        <w:t xml:space="preserve"> </w:t>
      </w:r>
      <w:r>
        <w:t xml:space="preserve">Lagoon by 3.13 million tonnes, 2.44 million of which was contributed by the Commonwealth environmental water. </w:t>
      </w:r>
    </w:p>
    <w:bookmarkEnd w:id="254"/>
    <w:p w14:paraId="5FCA1315" w14:textId="77777777" w:rsidR="005659DC" w:rsidRDefault="005659DC" w:rsidP="005659DC"/>
    <w:p w14:paraId="664AF0A8" w14:textId="77777777" w:rsidR="005659DC" w:rsidRDefault="005659DC" w:rsidP="005659DC">
      <w:pPr>
        <w:spacing w:before="0" w:after="160" w:line="259" w:lineRule="auto"/>
        <w:jc w:val="left"/>
        <w:sectPr w:rsidR="005659DC" w:rsidSect="005659DC">
          <w:pgSz w:w="11900" w:h="16840"/>
          <w:pgMar w:top="1440" w:right="1440" w:bottom="1440" w:left="1440" w:header="709" w:footer="709" w:gutter="0"/>
          <w:cols w:space="720"/>
        </w:sectPr>
      </w:pPr>
    </w:p>
    <w:p w14:paraId="63FF49AD" w14:textId="6DA3E130" w:rsidR="005659DC" w:rsidRDefault="005659DC" w:rsidP="00605FB2">
      <w:pPr>
        <w:pStyle w:val="Captions"/>
        <w:rPr>
          <w:lang w:eastAsia="zh-CN"/>
        </w:rPr>
      </w:pPr>
      <w:bookmarkStart w:id="255" w:name="_Ref125016164"/>
      <w:bookmarkStart w:id="256" w:name="_Toc152860306"/>
      <w:bookmarkStart w:id="257" w:name="_Toc200464531"/>
      <w:r>
        <w:lastRenderedPageBreak/>
        <w:t xml:space="preserve">Table </w:t>
      </w:r>
      <w:r>
        <w:fldChar w:fldCharType="begin"/>
      </w:r>
      <w:r>
        <w:instrText xml:space="preserve"> SEQ Table \* ARABIC </w:instrText>
      </w:r>
      <w:r>
        <w:fldChar w:fldCharType="separate"/>
      </w:r>
      <w:r w:rsidR="00102828">
        <w:rPr>
          <w:noProof/>
        </w:rPr>
        <w:t>7</w:t>
      </w:r>
      <w:r>
        <w:rPr>
          <w:noProof/>
        </w:rPr>
        <w:fldChar w:fldCharType="end"/>
      </w:r>
      <w:bookmarkEnd w:id="255"/>
      <w:r>
        <w:t xml:space="preserve">. </w:t>
      </w:r>
      <w:r w:rsidRPr="00514118">
        <w:rPr>
          <w:lang w:eastAsia="zh-CN"/>
        </w:rPr>
        <w:t>Summary of salt flux (</w:t>
      </w:r>
      <w:r>
        <w:rPr>
          <w:lang w:eastAsia="zh-CN"/>
        </w:rPr>
        <w:t>tonnes</w:t>
      </w:r>
      <w:r w:rsidRPr="00514118">
        <w:rPr>
          <w:lang w:eastAsia="zh-CN"/>
        </w:rPr>
        <w:t xml:space="preserve">) though barrages, Murray </w:t>
      </w:r>
      <w:r>
        <w:rPr>
          <w:lang w:eastAsia="zh-CN"/>
        </w:rPr>
        <w:t>M</w:t>
      </w:r>
      <w:r w:rsidRPr="00514118">
        <w:rPr>
          <w:lang w:eastAsia="zh-CN"/>
        </w:rPr>
        <w:t>outh, Pelican Point (North Lagoon) and Parnka Point (South Lagoon) in 2017</w:t>
      </w:r>
      <w:r>
        <w:rPr>
          <w:lang w:eastAsia="zh-CN"/>
        </w:rPr>
        <w:t>–2024</w:t>
      </w:r>
      <w:r w:rsidRPr="00514118">
        <w:rPr>
          <w:lang w:eastAsia="zh-CN"/>
        </w:rPr>
        <w:t>.</w:t>
      </w:r>
      <w:r>
        <w:rPr>
          <w:lang w:eastAsia="zh-CN"/>
        </w:rPr>
        <w:t xml:space="preserve"> Refer to </w:t>
      </w:r>
      <w:r>
        <w:rPr>
          <w:lang w:eastAsia="zh-CN"/>
        </w:rPr>
        <w:fldChar w:fldCharType="begin"/>
      </w:r>
      <w:r>
        <w:rPr>
          <w:lang w:eastAsia="zh-CN"/>
        </w:rPr>
        <w:instrText xml:space="preserve"> REF _Ref125016145 \h </w:instrText>
      </w:r>
      <w:r>
        <w:rPr>
          <w:lang w:eastAsia="zh-CN"/>
        </w:rPr>
      </w:r>
      <w:r>
        <w:rPr>
          <w:lang w:eastAsia="zh-CN"/>
        </w:rPr>
        <w:fldChar w:fldCharType="separate"/>
      </w:r>
      <w:r w:rsidR="00102828">
        <w:t xml:space="preserve">Table </w:t>
      </w:r>
      <w:r w:rsidR="00102828">
        <w:rPr>
          <w:noProof/>
        </w:rPr>
        <w:t>6</w:t>
      </w:r>
      <w:r>
        <w:rPr>
          <w:lang w:eastAsia="zh-CN"/>
        </w:rPr>
        <w:fldChar w:fldCharType="end"/>
      </w:r>
      <w:r>
        <w:rPr>
          <w:lang w:eastAsia="zh-CN"/>
        </w:rPr>
        <w:t xml:space="preserve"> for scenarios.</w:t>
      </w:r>
      <w:bookmarkEnd w:id="256"/>
      <w:bookmarkEnd w:id="257"/>
    </w:p>
    <w:tbl>
      <w:tblPr>
        <w:tblStyle w:val="GridTable5Dark-Accent11"/>
        <w:tblW w:w="12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summarising salt flux in tonnes each year though barrages, Murray Mouth, Pelican Point and Parnka Point from 2017–2024."/>
      </w:tblPr>
      <w:tblGrid>
        <w:gridCol w:w="2270"/>
        <w:gridCol w:w="1549"/>
        <w:gridCol w:w="1147"/>
        <w:gridCol w:w="1165"/>
        <w:gridCol w:w="1147"/>
        <w:gridCol w:w="1147"/>
        <w:gridCol w:w="1412"/>
        <w:gridCol w:w="1533"/>
        <w:gridCol w:w="1589"/>
      </w:tblGrid>
      <w:tr w:rsidR="005659DC" w:rsidRPr="00BC2B27" w14:paraId="0E26BDD9" w14:textId="77777777" w:rsidTr="00BC2B27">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2270" w:type="dxa"/>
            <w:tcBorders>
              <w:top w:val="none" w:sz="0" w:space="0" w:color="auto"/>
              <w:left w:val="none" w:sz="0" w:space="0" w:color="auto"/>
              <w:bottom w:val="single" w:sz="4" w:space="0" w:color="auto"/>
              <w:right w:val="none" w:sz="0" w:space="0" w:color="auto"/>
            </w:tcBorders>
            <w:shd w:val="clear" w:color="auto" w:fill="auto"/>
            <w:noWrap/>
            <w:hideMark/>
          </w:tcPr>
          <w:p w14:paraId="53BA5A39" w14:textId="77777777" w:rsidR="005659DC" w:rsidRPr="00BC2B27" w:rsidRDefault="005659DC" w:rsidP="00CE710E">
            <w:pPr>
              <w:spacing w:before="0" w:after="0" w:line="240" w:lineRule="auto"/>
              <w:jc w:val="left"/>
              <w:rPr>
                <w:color w:val="auto"/>
                <w:kern w:val="0"/>
                <w:sz w:val="18"/>
                <w:szCs w:val="18"/>
              </w:rPr>
            </w:pPr>
            <w:r w:rsidRPr="00BC2B27">
              <w:rPr>
                <w:color w:val="auto"/>
                <w:kern w:val="0"/>
                <w:sz w:val="18"/>
                <w:szCs w:val="18"/>
              </w:rPr>
              <w:t>Site</w:t>
            </w:r>
          </w:p>
        </w:tc>
        <w:tc>
          <w:tcPr>
            <w:tcW w:w="1549" w:type="dxa"/>
            <w:tcBorders>
              <w:top w:val="none" w:sz="0" w:space="0" w:color="auto"/>
              <w:left w:val="none" w:sz="0" w:space="0" w:color="auto"/>
              <w:right w:val="none" w:sz="0" w:space="0" w:color="auto"/>
            </w:tcBorders>
            <w:shd w:val="clear" w:color="auto" w:fill="auto"/>
            <w:noWrap/>
            <w:hideMark/>
          </w:tcPr>
          <w:p w14:paraId="2F241785" w14:textId="77777777" w:rsidR="005659DC" w:rsidRPr="00BC2B27" w:rsidRDefault="005659DC" w:rsidP="00CE710E">
            <w:pPr>
              <w:spacing w:before="0" w:after="0" w:line="240" w:lineRule="auto"/>
              <w:jc w:val="left"/>
              <w:cnfStyle w:val="100000000000" w:firstRow="1" w:lastRow="0" w:firstColumn="0" w:lastColumn="0" w:oddVBand="0" w:evenVBand="0" w:oddHBand="0" w:evenHBand="0" w:firstRowFirstColumn="0" w:firstRowLastColumn="0" w:lastRowFirstColumn="0" w:lastRowLastColumn="0"/>
              <w:rPr>
                <w:color w:val="auto"/>
                <w:kern w:val="0"/>
                <w:sz w:val="18"/>
                <w:szCs w:val="18"/>
              </w:rPr>
            </w:pPr>
            <w:r w:rsidRPr="00BC2B27">
              <w:rPr>
                <w:color w:val="auto"/>
                <w:kern w:val="0"/>
                <w:sz w:val="18"/>
                <w:szCs w:val="18"/>
              </w:rPr>
              <w:t>Scenarios/Year</w:t>
            </w:r>
          </w:p>
        </w:tc>
        <w:tc>
          <w:tcPr>
            <w:tcW w:w="1147" w:type="dxa"/>
            <w:tcBorders>
              <w:top w:val="none" w:sz="0" w:space="0" w:color="auto"/>
              <w:left w:val="none" w:sz="0" w:space="0" w:color="auto"/>
              <w:right w:val="none" w:sz="0" w:space="0" w:color="auto"/>
            </w:tcBorders>
            <w:shd w:val="clear" w:color="auto" w:fill="auto"/>
          </w:tcPr>
          <w:p w14:paraId="16A728DA" w14:textId="77777777" w:rsidR="005659DC" w:rsidRPr="00BC2B27"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17-18</w:t>
            </w:r>
          </w:p>
        </w:tc>
        <w:tc>
          <w:tcPr>
            <w:tcW w:w="1165" w:type="dxa"/>
            <w:tcBorders>
              <w:top w:val="none" w:sz="0" w:space="0" w:color="auto"/>
              <w:left w:val="none" w:sz="0" w:space="0" w:color="auto"/>
              <w:right w:val="none" w:sz="0" w:space="0" w:color="auto"/>
            </w:tcBorders>
            <w:shd w:val="clear" w:color="auto" w:fill="auto"/>
          </w:tcPr>
          <w:p w14:paraId="25D6FD60" w14:textId="77777777" w:rsidR="005659DC" w:rsidRPr="00BC2B27"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18-19</w:t>
            </w:r>
          </w:p>
        </w:tc>
        <w:tc>
          <w:tcPr>
            <w:tcW w:w="1147" w:type="dxa"/>
            <w:tcBorders>
              <w:top w:val="none" w:sz="0" w:space="0" w:color="auto"/>
              <w:left w:val="none" w:sz="0" w:space="0" w:color="auto"/>
              <w:right w:val="none" w:sz="0" w:space="0" w:color="auto"/>
            </w:tcBorders>
            <w:shd w:val="clear" w:color="auto" w:fill="auto"/>
          </w:tcPr>
          <w:p w14:paraId="43C31EF8" w14:textId="77777777" w:rsidR="005659DC" w:rsidRPr="00BC2B27"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19-20</w:t>
            </w:r>
          </w:p>
        </w:tc>
        <w:tc>
          <w:tcPr>
            <w:tcW w:w="1147" w:type="dxa"/>
            <w:tcBorders>
              <w:top w:val="none" w:sz="0" w:space="0" w:color="auto"/>
              <w:left w:val="none" w:sz="0" w:space="0" w:color="auto"/>
              <w:right w:val="none" w:sz="0" w:space="0" w:color="auto"/>
            </w:tcBorders>
            <w:shd w:val="clear" w:color="auto" w:fill="auto"/>
          </w:tcPr>
          <w:p w14:paraId="2F87FACB" w14:textId="77777777" w:rsidR="005659DC" w:rsidRPr="00BC2B27"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20-21</w:t>
            </w:r>
          </w:p>
        </w:tc>
        <w:tc>
          <w:tcPr>
            <w:tcW w:w="1412" w:type="dxa"/>
            <w:tcBorders>
              <w:top w:val="none" w:sz="0" w:space="0" w:color="auto"/>
              <w:left w:val="none" w:sz="0" w:space="0" w:color="auto"/>
              <w:right w:val="none" w:sz="0" w:space="0" w:color="auto"/>
            </w:tcBorders>
            <w:shd w:val="clear" w:color="auto" w:fill="auto"/>
            <w:noWrap/>
            <w:hideMark/>
          </w:tcPr>
          <w:p w14:paraId="0EAD0A67" w14:textId="77777777" w:rsidR="005659DC" w:rsidRPr="00BC2B27"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21-22</w:t>
            </w:r>
          </w:p>
        </w:tc>
        <w:tc>
          <w:tcPr>
            <w:tcW w:w="1533" w:type="dxa"/>
            <w:tcBorders>
              <w:top w:val="none" w:sz="0" w:space="0" w:color="auto"/>
              <w:left w:val="none" w:sz="0" w:space="0" w:color="auto"/>
              <w:right w:val="none" w:sz="0" w:space="0" w:color="auto"/>
            </w:tcBorders>
            <w:shd w:val="clear" w:color="auto" w:fill="auto"/>
          </w:tcPr>
          <w:p w14:paraId="1F74BDED" w14:textId="77777777" w:rsidR="005659DC" w:rsidRPr="00BC2B27"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22-23</w:t>
            </w:r>
          </w:p>
        </w:tc>
        <w:tc>
          <w:tcPr>
            <w:tcW w:w="1589" w:type="dxa"/>
            <w:tcBorders>
              <w:top w:val="none" w:sz="0" w:space="0" w:color="auto"/>
              <w:left w:val="none" w:sz="0" w:space="0" w:color="auto"/>
              <w:right w:val="none" w:sz="0" w:space="0" w:color="auto"/>
            </w:tcBorders>
            <w:shd w:val="clear" w:color="auto" w:fill="auto"/>
          </w:tcPr>
          <w:p w14:paraId="5CA702E4" w14:textId="77777777" w:rsidR="005659DC" w:rsidRPr="00BC2B27"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23-24</w:t>
            </w:r>
          </w:p>
        </w:tc>
      </w:tr>
      <w:tr w:rsidR="00BC2B27" w:rsidRPr="00BC2B27" w14:paraId="4AF656C0" w14:textId="77777777" w:rsidTr="00BC2B27">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val="restart"/>
            <w:tcBorders>
              <w:left w:val="single" w:sz="4" w:space="0" w:color="auto"/>
            </w:tcBorders>
            <w:shd w:val="clear" w:color="auto" w:fill="auto"/>
            <w:noWrap/>
            <w:hideMark/>
          </w:tcPr>
          <w:p w14:paraId="7F4DD936" w14:textId="77777777" w:rsidR="00BC2B27" w:rsidRPr="00BC2B27" w:rsidRDefault="00BC2B27" w:rsidP="00CE710E">
            <w:pPr>
              <w:spacing w:before="0" w:after="0" w:line="240" w:lineRule="auto"/>
              <w:jc w:val="center"/>
              <w:rPr>
                <w:rFonts w:cs="Calibri"/>
                <w:kern w:val="0"/>
                <w:sz w:val="18"/>
                <w:szCs w:val="18"/>
              </w:rPr>
            </w:pPr>
            <w:r w:rsidRPr="00BC2B27">
              <w:rPr>
                <w:rFonts w:cs="Calibri"/>
                <w:kern w:val="0"/>
                <w:sz w:val="18"/>
                <w:szCs w:val="18"/>
              </w:rPr>
              <w:t xml:space="preserve">Barrages </w:t>
            </w:r>
            <w:r w:rsidRPr="00BC2B27">
              <w:rPr>
                <w:rFonts w:cs="Calibri"/>
                <w:kern w:val="0"/>
                <w:sz w:val="18"/>
                <w:szCs w:val="18"/>
              </w:rPr>
              <w:br/>
              <w:t>(from lakes to Coorong)</w:t>
            </w:r>
          </w:p>
        </w:tc>
        <w:tc>
          <w:tcPr>
            <w:tcW w:w="1549" w:type="dxa"/>
            <w:shd w:val="clear" w:color="auto" w:fill="auto"/>
            <w:noWrap/>
            <w:hideMark/>
          </w:tcPr>
          <w:p w14:paraId="6892F356" w14:textId="77777777" w:rsidR="00BC2B27" w:rsidRPr="00BC2B27" w:rsidRDefault="00BC2B27"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Base-case</w:t>
            </w:r>
          </w:p>
        </w:tc>
        <w:tc>
          <w:tcPr>
            <w:tcW w:w="1147" w:type="dxa"/>
            <w:shd w:val="clear" w:color="auto" w:fill="auto"/>
          </w:tcPr>
          <w:p w14:paraId="688E1ADB"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441,792</w:t>
            </w:r>
          </w:p>
        </w:tc>
        <w:tc>
          <w:tcPr>
            <w:tcW w:w="1165" w:type="dxa"/>
            <w:shd w:val="clear" w:color="auto" w:fill="auto"/>
          </w:tcPr>
          <w:p w14:paraId="2EA943FD"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338,428</w:t>
            </w:r>
          </w:p>
        </w:tc>
        <w:tc>
          <w:tcPr>
            <w:tcW w:w="1147" w:type="dxa"/>
            <w:shd w:val="clear" w:color="auto" w:fill="auto"/>
          </w:tcPr>
          <w:p w14:paraId="2EA20120"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373,797</w:t>
            </w:r>
          </w:p>
        </w:tc>
        <w:tc>
          <w:tcPr>
            <w:tcW w:w="1147" w:type="dxa"/>
            <w:shd w:val="clear" w:color="auto" w:fill="auto"/>
          </w:tcPr>
          <w:p w14:paraId="1811F5A7"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579,468</w:t>
            </w:r>
          </w:p>
        </w:tc>
        <w:tc>
          <w:tcPr>
            <w:tcW w:w="1412" w:type="dxa"/>
            <w:shd w:val="clear" w:color="auto" w:fill="auto"/>
            <w:noWrap/>
          </w:tcPr>
          <w:p w14:paraId="0409D705"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1,818,314</w:t>
            </w:r>
          </w:p>
        </w:tc>
        <w:tc>
          <w:tcPr>
            <w:tcW w:w="1533" w:type="dxa"/>
            <w:shd w:val="clear" w:color="auto" w:fill="auto"/>
          </w:tcPr>
          <w:p w14:paraId="088A9C02"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3,112,925</w:t>
            </w:r>
          </w:p>
        </w:tc>
        <w:tc>
          <w:tcPr>
            <w:tcW w:w="1589" w:type="dxa"/>
            <w:shd w:val="clear" w:color="auto" w:fill="auto"/>
          </w:tcPr>
          <w:p w14:paraId="488FAD40"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1,241,811</w:t>
            </w:r>
          </w:p>
        </w:tc>
      </w:tr>
      <w:tr w:rsidR="00BC2B27" w:rsidRPr="00BC2B27" w14:paraId="33894550" w14:textId="77777777" w:rsidTr="00BC2B27">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tcBorders>
            <w:shd w:val="clear" w:color="auto" w:fill="auto"/>
            <w:noWrap/>
            <w:hideMark/>
          </w:tcPr>
          <w:p w14:paraId="676AF02B" w14:textId="77777777" w:rsidR="00BC2B27" w:rsidRPr="00BC2B27" w:rsidRDefault="00BC2B27" w:rsidP="003A59D0">
            <w:pPr>
              <w:spacing w:before="0" w:after="0" w:line="240" w:lineRule="auto"/>
              <w:jc w:val="center"/>
              <w:rPr>
                <w:rFonts w:cs="Calibri"/>
                <w:kern w:val="0"/>
                <w:sz w:val="18"/>
                <w:szCs w:val="18"/>
              </w:rPr>
            </w:pPr>
          </w:p>
        </w:tc>
        <w:tc>
          <w:tcPr>
            <w:tcW w:w="1549" w:type="dxa"/>
            <w:shd w:val="clear" w:color="auto" w:fill="auto"/>
            <w:noWrap/>
            <w:hideMark/>
          </w:tcPr>
          <w:p w14:paraId="0C8C9B75" w14:textId="2AD7BF71" w:rsidR="00BC2B27" w:rsidRPr="00BC2B27" w:rsidRDefault="00BC2B27" w:rsidP="003A59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NC1</w:t>
            </w:r>
          </w:p>
        </w:tc>
        <w:tc>
          <w:tcPr>
            <w:tcW w:w="1147" w:type="dxa"/>
            <w:shd w:val="clear" w:color="auto" w:fill="auto"/>
          </w:tcPr>
          <w:p w14:paraId="09349852" w14:textId="42BACFC1" w:rsidR="00BC2B27" w:rsidRPr="00BC2B27" w:rsidRDefault="00BC2B27" w:rsidP="003A59D0">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44,708</w:t>
            </w:r>
          </w:p>
        </w:tc>
        <w:tc>
          <w:tcPr>
            <w:tcW w:w="1165" w:type="dxa"/>
            <w:shd w:val="clear" w:color="auto" w:fill="auto"/>
          </w:tcPr>
          <w:p w14:paraId="41C439D6" w14:textId="6B18F176" w:rsidR="00BC2B27" w:rsidRPr="00BC2B27" w:rsidRDefault="00BC2B27" w:rsidP="003A59D0">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0</w:t>
            </w:r>
          </w:p>
        </w:tc>
        <w:tc>
          <w:tcPr>
            <w:tcW w:w="1147" w:type="dxa"/>
            <w:shd w:val="clear" w:color="auto" w:fill="auto"/>
          </w:tcPr>
          <w:p w14:paraId="1FEB9B7D" w14:textId="4E30A438" w:rsidR="00BC2B27" w:rsidRPr="00BC2B27" w:rsidRDefault="00BC2B27" w:rsidP="003A59D0">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0</w:t>
            </w:r>
          </w:p>
        </w:tc>
        <w:tc>
          <w:tcPr>
            <w:tcW w:w="1147" w:type="dxa"/>
            <w:shd w:val="clear" w:color="auto" w:fill="auto"/>
          </w:tcPr>
          <w:p w14:paraId="2CB8CE99" w14:textId="44B9AA6C" w:rsidR="00BC2B27" w:rsidRPr="00BC2B27" w:rsidRDefault="00BC2B27" w:rsidP="003A59D0">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206,681</w:t>
            </w:r>
          </w:p>
        </w:tc>
        <w:tc>
          <w:tcPr>
            <w:tcW w:w="1412" w:type="dxa"/>
            <w:shd w:val="clear" w:color="auto" w:fill="auto"/>
            <w:noWrap/>
          </w:tcPr>
          <w:p w14:paraId="48DA824C" w14:textId="24E3AAED" w:rsidR="00BC2B27" w:rsidRPr="00BC2B27" w:rsidRDefault="00BC2B27" w:rsidP="003A59D0">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1,537,470</w:t>
            </w:r>
          </w:p>
        </w:tc>
        <w:tc>
          <w:tcPr>
            <w:tcW w:w="1533" w:type="dxa"/>
            <w:shd w:val="clear" w:color="auto" w:fill="auto"/>
          </w:tcPr>
          <w:p w14:paraId="01C578BA" w14:textId="081E4B08" w:rsidR="00BC2B27" w:rsidRPr="00BC2B27" w:rsidRDefault="00BC2B27" w:rsidP="003A59D0">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2,961,673</w:t>
            </w:r>
          </w:p>
        </w:tc>
        <w:tc>
          <w:tcPr>
            <w:tcW w:w="1589" w:type="dxa"/>
            <w:shd w:val="clear" w:color="auto" w:fill="auto"/>
          </w:tcPr>
          <w:p w14:paraId="0FB52641" w14:textId="30BEDA6C" w:rsidR="00BC2B27" w:rsidRPr="00BC2B27" w:rsidRDefault="00BC2B27" w:rsidP="003A59D0">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1,020,539</w:t>
            </w:r>
          </w:p>
        </w:tc>
      </w:tr>
      <w:tr w:rsidR="00BC2B27" w:rsidRPr="00BC2B27" w14:paraId="0367C6C6" w14:textId="77777777" w:rsidTr="00BC2B27">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tcBorders>
            <w:shd w:val="clear" w:color="auto" w:fill="auto"/>
            <w:noWrap/>
            <w:hideMark/>
          </w:tcPr>
          <w:p w14:paraId="2B603586" w14:textId="77777777" w:rsidR="00BC2B27" w:rsidRPr="00BC2B27" w:rsidRDefault="00BC2B27" w:rsidP="00CE710E">
            <w:pPr>
              <w:spacing w:before="0" w:after="0" w:line="240" w:lineRule="auto"/>
              <w:jc w:val="center"/>
              <w:rPr>
                <w:rFonts w:cs="Calibri"/>
                <w:kern w:val="0"/>
                <w:sz w:val="18"/>
                <w:szCs w:val="18"/>
              </w:rPr>
            </w:pPr>
          </w:p>
        </w:tc>
        <w:tc>
          <w:tcPr>
            <w:tcW w:w="1549" w:type="dxa"/>
            <w:shd w:val="clear" w:color="auto" w:fill="auto"/>
            <w:noWrap/>
            <w:hideMark/>
          </w:tcPr>
          <w:p w14:paraId="24F2136C" w14:textId="77777777" w:rsidR="00BC2B27" w:rsidRPr="00BC2B27" w:rsidRDefault="00BC2B27"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NC7</w:t>
            </w:r>
          </w:p>
        </w:tc>
        <w:tc>
          <w:tcPr>
            <w:tcW w:w="1147" w:type="dxa"/>
            <w:shd w:val="clear" w:color="auto" w:fill="auto"/>
          </w:tcPr>
          <w:p w14:paraId="75DFE37C"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44,708</w:t>
            </w:r>
          </w:p>
        </w:tc>
        <w:tc>
          <w:tcPr>
            <w:tcW w:w="1165" w:type="dxa"/>
            <w:shd w:val="clear" w:color="auto" w:fill="auto"/>
          </w:tcPr>
          <w:p w14:paraId="2926F04D"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0</w:t>
            </w:r>
          </w:p>
        </w:tc>
        <w:tc>
          <w:tcPr>
            <w:tcW w:w="1147" w:type="dxa"/>
            <w:shd w:val="clear" w:color="auto" w:fill="auto"/>
          </w:tcPr>
          <w:p w14:paraId="55DD954F"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0</w:t>
            </w:r>
          </w:p>
        </w:tc>
        <w:tc>
          <w:tcPr>
            <w:tcW w:w="1147" w:type="dxa"/>
            <w:shd w:val="clear" w:color="auto" w:fill="auto"/>
          </w:tcPr>
          <w:p w14:paraId="30B5E1A6"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206,681</w:t>
            </w:r>
          </w:p>
        </w:tc>
        <w:tc>
          <w:tcPr>
            <w:tcW w:w="1412" w:type="dxa"/>
            <w:shd w:val="clear" w:color="auto" w:fill="auto"/>
            <w:noWrap/>
          </w:tcPr>
          <w:p w14:paraId="4C9E7100"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1,537,470</w:t>
            </w:r>
          </w:p>
        </w:tc>
        <w:tc>
          <w:tcPr>
            <w:tcW w:w="1533" w:type="dxa"/>
            <w:shd w:val="clear" w:color="auto" w:fill="auto"/>
          </w:tcPr>
          <w:p w14:paraId="7561E2B7"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2,961,673</w:t>
            </w:r>
          </w:p>
        </w:tc>
        <w:tc>
          <w:tcPr>
            <w:tcW w:w="1589" w:type="dxa"/>
            <w:shd w:val="clear" w:color="auto" w:fill="auto"/>
          </w:tcPr>
          <w:p w14:paraId="47437EE4"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1,020,539</w:t>
            </w:r>
          </w:p>
        </w:tc>
      </w:tr>
      <w:tr w:rsidR="00652928" w:rsidRPr="00BC2B27" w14:paraId="10630CDD" w14:textId="77777777" w:rsidTr="00BC2B27">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tcBorders>
            <w:shd w:val="clear" w:color="auto" w:fill="auto"/>
            <w:noWrap/>
          </w:tcPr>
          <w:p w14:paraId="64093DAB" w14:textId="77777777" w:rsidR="00652928" w:rsidRPr="00BC2B27" w:rsidRDefault="00652928" w:rsidP="00652928">
            <w:pPr>
              <w:spacing w:before="0" w:after="0" w:line="240" w:lineRule="auto"/>
              <w:jc w:val="center"/>
              <w:rPr>
                <w:rFonts w:cs="Calibri"/>
                <w:kern w:val="0"/>
                <w:sz w:val="18"/>
                <w:szCs w:val="18"/>
              </w:rPr>
            </w:pPr>
          </w:p>
        </w:tc>
        <w:tc>
          <w:tcPr>
            <w:tcW w:w="1549" w:type="dxa"/>
            <w:shd w:val="clear" w:color="auto" w:fill="auto"/>
            <w:noWrap/>
          </w:tcPr>
          <w:p w14:paraId="518FC820" w14:textId="4AB866B2" w:rsidR="00652928" w:rsidRPr="00BC2B27" w:rsidRDefault="00652928" w:rsidP="0065292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NE1</w:t>
            </w:r>
          </w:p>
        </w:tc>
        <w:tc>
          <w:tcPr>
            <w:tcW w:w="1147" w:type="dxa"/>
            <w:shd w:val="clear" w:color="auto" w:fill="auto"/>
          </w:tcPr>
          <w:p w14:paraId="13FD48E5" w14:textId="4FF13440" w:rsidR="00652928" w:rsidRPr="00BC2B27" w:rsidRDefault="00652928" w:rsidP="00652928">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29,800</w:t>
            </w:r>
          </w:p>
        </w:tc>
        <w:tc>
          <w:tcPr>
            <w:tcW w:w="1165" w:type="dxa"/>
            <w:shd w:val="clear" w:color="auto" w:fill="auto"/>
          </w:tcPr>
          <w:p w14:paraId="76E247CA" w14:textId="736E4D72" w:rsidR="00652928" w:rsidRPr="00BC2B27" w:rsidRDefault="00652928" w:rsidP="00652928">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0</w:t>
            </w:r>
          </w:p>
        </w:tc>
        <w:tc>
          <w:tcPr>
            <w:tcW w:w="1147" w:type="dxa"/>
            <w:shd w:val="clear" w:color="auto" w:fill="auto"/>
          </w:tcPr>
          <w:p w14:paraId="61E8FEFA" w14:textId="699DF237" w:rsidR="00652928" w:rsidRPr="00BC2B27" w:rsidRDefault="00652928" w:rsidP="00652928">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0</w:t>
            </w:r>
          </w:p>
        </w:tc>
        <w:tc>
          <w:tcPr>
            <w:tcW w:w="1147" w:type="dxa"/>
            <w:shd w:val="clear" w:color="auto" w:fill="auto"/>
          </w:tcPr>
          <w:p w14:paraId="428A9A8E" w14:textId="6B622615" w:rsidR="00652928" w:rsidRPr="00BC2B27" w:rsidRDefault="00652928" w:rsidP="00652928">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163,860</w:t>
            </w:r>
          </w:p>
        </w:tc>
        <w:tc>
          <w:tcPr>
            <w:tcW w:w="1412" w:type="dxa"/>
            <w:shd w:val="clear" w:color="auto" w:fill="auto"/>
            <w:noWrap/>
          </w:tcPr>
          <w:p w14:paraId="5A581C57" w14:textId="2F5BE85E" w:rsidR="00652928" w:rsidRPr="00BC2B27" w:rsidRDefault="00652928" w:rsidP="00652928">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1,381,994</w:t>
            </w:r>
          </w:p>
        </w:tc>
        <w:tc>
          <w:tcPr>
            <w:tcW w:w="1533" w:type="dxa"/>
            <w:shd w:val="clear" w:color="auto" w:fill="auto"/>
          </w:tcPr>
          <w:p w14:paraId="01441EE2" w14:textId="73EE37FC" w:rsidR="00652928" w:rsidRPr="00BC2B27" w:rsidRDefault="00652928" w:rsidP="00652928">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2,889,612</w:t>
            </w:r>
          </w:p>
        </w:tc>
        <w:tc>
          <w:tcPr>
            <w:tcW w:w="1589" w:type="dxa"/>
            <w:shd w:val="clear" w:color="auto" w:fill="auto"/>
          </w:tcPr>
          <w:p w14:paraId="2D617F72" w14:textId="7AC77CE0" w:rsidR="00652928" w:rsidRPr="00BC2B27" w:rsidRDefault="00652928" w:rsidP="00652928">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950,316</w:t>
            </w:r>
          </w:p>
        </w:tc>
      </w:tr>
      <w:tr w:rsidR="00BC2B27" w:rsidRPr="00BC2B27" w14:paraId="51D045F3" w14:textId="77777777" w:rsidTr="00BC2B27">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bottom w:val="single" w:sz="4" w:space="0" w:color="auto"/>
            </w:tcBorders>
            <w:shd w:val="clear" w:color="auto" w:fill="auto"/>
            <w:noWrap/>
          </w:tcPr>
          <w:p w14:paraId="4B3759BD" w14:textId="77777777" w:rsidR="00BC2B27" w:rsidRPr="00BC2B27" w:rsidRDefault="00BC2B27" w:rsidP="00BC2B27">
            <w:pPr>
              <w:spacing w:before="0" w:after="0" w:line="240" w:lineRule="auto"/>
              <w:jc w:val="center"/>
              <w:rPr>
                <w:rFonts w:cs="Calibri"/>
                <w:kern w:val="0"/>
                <w:sz w:val="18"/>
                <w:szCs w:val="18"/>
              </w:rPr>
            </w:pPr>
          </w:p>
        </w:tc>
        <w:tc>
          <w:tcPr>
            <w:tcW w:w="1549" w:type="dxa"/>
            <w:shd w:val="clear" w:color="auto" w:fill="auto"/>
            <w:noWrap/>
          </w:tcPr>
          <w:p w14:paraId="257A7C55" w14:textId="5C2D7E04" w:rsidR="00BC2B27" w:rsidRPr="00BC2B27" w:rsidRDefault="00BC2B27" w:rsidP="00BC2B2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NE7</w:t>
            </w:r>
          </w:p>
        </w:tc>
        <w:tc>
          <w:tcPr>
            <w:tcW w:w="1147" w:type="dxa"/>
            <w:shd w:val="clear" w:color="auto" w:fill="auto"/>
          </w:tcPr>
          <w:p w14:paraId="67008618" w14:textId="520EA418"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29,800</w:t>
            </w:r>
          </w:p>
        </w:tc>
        <w:tc>
          <w:tcPr>
            <w:tcW w:w="1165" w:type="dxa"/>
            <w:shd w:val="clear" w:color="auto" w:fill="auto"/>
          </w:tcPr>
          <w:p w14:paraId="1A252FEC" w14:textId="16BA1D57"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0</w:t>
            </w:r>
          </w:p>
        </w:tc>
        <w:tc>
          <w:tcPr>
            <w:tcW w:w="1147" w:type="dxa"/>
            <w:shd w:val="clear" w:color="auto" w:fill="auto"/>
          </w:tcPr>
          <w:p w14:paraId="1FAC251D" w14:textId="7D04464D"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0</w:t>
            </w:r>
          </w:p>
        </w:tc>
        <w:tc>
          <w:tcPr>
            <w:tcW w:w="1147" w:type="dxa"/>
            <w:shd w:val="clear" w:color="auto" w:fill="auto"/>
          </w:tcPr>
          <w:p w14:paraId="2A187BBD" w14:textId="280A04EA"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163,860</w:t>
            </w:r>
          </w:p>
        </w:tc>
        <w:tc>
          <w:tcPr>
            <w:tcW w:w="1412" w:type="dxa"/>
            <w:shd w:val="clear" w:color="auto" w:fill="auto"/>
            <w:noWrap/>
          </w:tcPr>
          <w:p w14:paraId="084FCFF7" w14:textId="236B521C"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1,381,994</w:t>
            </w:r>
          </w:p>
        </w:tc>
        <w:tc>
          <w:tcPr>
            <w:tcW w:w="1533" w:type="dxa"/>
            <w:shd w:val="clear" w:color="auto" w:fill="auto"/>
          </w:tcPr>
          <w:p w14:paraId="78E9E316" w14:textId="6739D27D"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2,889,612</w:t>
            </w:r>
          </w:p>
        </w:tc>
        <w:tc>
          <w:tcPr>
            <w:tcW w:w="1589" w:type="dxa"/>
            <w:shd w:val="clear" w:color="auto" w:fill="auto"/>
          </w:tcPr>
          <w:p w14:paraId="3FB9B136" w14:textId="304CE8D7"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950,316</w:t>
            </w:r>
          </w:p>
        </w:tc>
      </w:tr>
      <w:tr w:rsidR="00BC2B27" w:rsidRPr="00BC2B27" w14:paraId="53DEA1FD" w14:textId="77777777" w:rsidTr="00BC2B27">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val="restart"/>
            <w:tcBorders>
              <w:left w:val="single" w:sz="4" w:space="0" w:color="auto"/>
            </w:tcBorders>
            <w:shd w:val="clear" w:color="auto" w:fill="auto"/>
            <w:noWrap/>
            <w:hideMark/>
          </w:tcPr>
          <w:p w14:paraId="287DA4DC" w14:textId="77777777" w:rsidR="00BC2B27" w:rsidRPr="00BC2B27" w:rsidRDefault="00BC2B27" w:rsidP="00CE710E">
            <w:pPr>
              <w:spacing w:before="0" w:after="0" w:line="240" w:lineRule="auto"/>
              <w:jc w:val="center"/>
              <w:rPr>
                <w:rFonts w:cs="Calibri"/>
                <w:kern w:val="0"/>
                <w:sz w:val="18"/>
                <w:szCs w:val="18"/>
              </w:rPr>
            </w:pPr>
            <w:r w:rsidRPr="00BC2B27">
              <w:rPr>
                <w:rFonts w:cs="Calibri"/>
                <w:kern w:val="0"/>
                <w:sz w:val="18"/>
                <w:szCs w:val="18"/>
              </w:rPr>
              <w:t xml:space="preserve">Murray Mouth </w:t>
            </w:r>
            <w:r w:rsidRPr="00BC2B27">
              <w:rPr>
                <w:rFonts w:cs="Calibri"/>
                <w:kern w:val="0"/>
                <w:sz w:val="18"/>
                <w:szCs w:val="18"/>
              </w:rPr>
              <w:br/>
              <w:t>(from Southern Ocean to Coorong)</w:t>
            </w:r>
          </w:p>
        </w:tc>
        <w:tc>
          <w:tcPr>
            <w:tcW w:w="1549" w:type="dxa"/>
            <w:shd w:val="clear" w:color="auto" w:fill="auto"/>
            <w:noWrap/>
          </w:tcPr>
          <w:p w14:paraId="772A46D0" w14:textId="77777777" w:rsidR="00BC2B27" w:rsidRPr="00BC2B27" w:rsidRDefault="00BC2B27"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Base-case</w:t>
            </w:r>
          </w:p>
        </w:tc>
        <w:tc>
          <w:tcPr>
            <w:tcW w:w="1147" w:type="dxa"/>
            <w:shd w:val="clear" w:color="auto" w:fill="auto"/>
          </w:tcPr>
          <w:p w14:paraId="2BEB90ED"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2,137,023</w:t>
            </w:r>
          </w:p>
        </w:tc>
        <w:tc>
          <w:tcPr>
            <w:tcW w:w="1165" w:type="dxa"/>
            <w:shd w:val="clear" w:color="auto" w:fill="auto"/>
          </w:tcPr>
          <w:p w14:paraId="07239537"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2,137,931</w:t>
            </w:r>
          </w:p>
        </w:tc>
        <w:tc>
          <w:tcPr>
            <w:tcW w:w="1147" w:type="dxa"/>
            <w:shd w:val="clear" w:color="auto" w:fill="auto"/>
          </w:tcPr>
          <w:p w14:paraId="7B200C89"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2,285,666</w:t>
            </w:r>
          </w:p>
        </w:tc>
        <w:tc>
          <w:tcPr>
            <w:tcW w:w="1147" w:type="dxa"/>
            <w:shd w:val="clear" w:color="auto" w:fill="auto"/>
          </w:tcPr>
          <w:p w14:paraId="178DCE65"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1,607,901</w:t>
            </w:r>
          </w:p>
        </w:tc>
        <w:tc>
          <w:tcPr>
            <w:tcW w:w="1412" w:type="dxa"/>
            <w:shd w:val="clear" w:color="auto" w:fill="auto"/>
            <w:noWrap/>
          </w:tcPr>
          <w:p w14:paraId="3633BE73"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-4,317,197</w:t>
            </w:r>
          </w:p>
        </w:tc>
        <w:tc>
          <w:tcPr>
            <w:tcW w:w="1533" w:type="dxa"/>
            <w:shd w:val="clear" w:color="auto" w:fill="auto"/>
          </w:tcPr>
          <w:p w14:paraId="7A1E1FBC"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-4,137,762</w:t>
            </w:r>
          </w:p>
        </w:tc>
        <w:tc>
          <w:tcPr>
            <w:tcW w:w="1589" w:type="dxa"/>
            <w:shd w:val="clear" w:color="auto" w:fill="auto"/>
          </w:tcPr>
          <w:p w14:paraId="70B466F4"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-2,876,270</w:t>
            </w:r>
          </w:p>
        </w:tc>
      </w:tr>
      <w:tr w:rsidR="00BC2B27" w:rsidRPr="00BC2B27" w14:paraId="5E41E02A" w14:textId="77777777" w:rsidTr="00BC2B27">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tcBorders>
            <w:shd w:val="clear" w:color="auto" w:fill="auto"/>
            <w:noWrap/>
            <w:hideMark/>
          </w:tcPr>
          <w:p w14:paraId="1EF950C9" w14:textId="77777777" w:rsidR="00BC2B27" w:rsidRPr="00BC2B27" w:rsidRDefault="00BC2B27" w:rsidP="00CE710E">
            <w:pPr>
              <w:spacing w:before="0" w:after="0" w:line="240" w:lineRule="auto"/>
              <w:jc w:val="center"/>
              <w:rPr>
                <w:rFonts w:cs="Calibri"/>
                <w:kern w:val="0"/>
                <w:sz w:val="18"/>
                <w:szCs w:val="18"/>
              </w:rPr>
            </w:pPr>
          </w:p>
        </w:tc>
        <w:tc>
          <w:tcPr>
            <w:tcW w:w="1549" w:type="dxa"/>
            <w:shd w:val="clear" w:color="auto" w:fill="auto"/>
            <w:noWrap/>
          </w:tcPr>
          <w:p w14:paraId="5D9CFBBF" w14:textId="31D81CAE" w:rsidR="00BC2B27" w:rsidRPr="00BC2B27" w:rsidRDefault="00BC2B27"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NC1</w:t>
            </w:r>
          </w:p>
        </w:tc>
        <w:tc>
          <w:tcPr>
            <w:tcW w:w="1147" w:type="dxa"/>
            <w:shd w:val="clear" w:color="auto" w:fill="auto"/>
            <w:vAlign w:val="bottom"/>
          </w:tcPr>
          <w:p w14:paraId="6A72A839" w14:textId="6CF4BBF3"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6,153,004</w:t>
            </w:r>
          </w:p>
        </w:tc>
        <w:tc>
          <w:tcPr>
            <w:tcW w:w="1165" w:type="dxa"/>
            <w:shd w:val="clear" w:color="auto" w:fill="auto"/>
            <w:vAlign w:val="bottom"/>
          </w:tcPr>
          <w:p w14:paraId="4BAC8ABE" w14:textId="42349D53"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6,407,573</w:t>
            </w:r>
          </w:p>
        </w:tc>
        <w:tc>
          <w:tcPr>
            <w:tcW w:w="1147" w:type="dxa"/>
            <w:shd w:val="clear" w:color="auto" w:fill="auto"/>
            <w:vAlign w:val="bottom"/>
          </w:tcPr>
          <w:p w14:paraId="3553746A" w14:textId="5A63A77F" w:rsidR="00BC2B27" w:rsidRPr="00BC2B27" w:rsidRDefault="00A638B5"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Pr>
                <w:sz w:val="18"/>
                <w:szCs w:val="18"/>
              </w:rPr>
              <w:t>6</w:t>
            </w:r>
            <w:r w:rsidR="00BC2B27" w:rsidRPr="00BC2B27">
              <w:rPr>
                <w:sz w:val="18"/>
                <w:szCs w:val="18"/>
              </w:rPr>
              <w:t>,</w:t>
            </w:r>
            <w:r>
              <w:rPr>
                <w:sz w:val="18"/>
                <w:szCs w:val="18"/>
              </w:rPr>
              <w:t>089,326</w:t>
            </w:r>
          </w:p>
        </w:tc>
        <w:tc>
          <w:tcPr>
            <w:tcW w:w="1147" w:type="dxa"/>
            <w:shd w:val="clear" w:color="auto" w:fill="auto"/>
            <w:vAlign w:val="bottom"/>
          </w:tcPr>
          <w:p w14:paraId="5DA5D4BB" w14:textId="07A01CB0"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5,719,788</w:t>
            </w:r>
          </w:p>
        </w:tc>
        <w:tc>
          <w:tcPr>
            <w:tcW w:w="1412" w:type="dxa"/>
            <w:shd w:val="clear" w:color="auto" w:fill="auto"/>
            <w:noWrap/>
            <w:vAlign w:val="bottom"/>
          </w:tcPr>
          <w:p w14:paraId="3DDEFC0D" w14:textId="7559B6EA"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-4,157,941</w:t>
            </w:r>
          </w:p>
        </w:tc>
        <w:tc>
          <w:tcPr>
            <w:tcW w:w="1533" w:type="dxa"/>
            <w:shd w:val="clear" w:color="auto" w:fill="auto"/>
            <w:vAlign w:val="bottom"/>
          </w:tcPr>
          <w:p w14:paraId="2E784AB4" w14:textId="68281911"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-4,021,248</w:t>
            </w:r>
          </w:p>
        </w:tc>
        <w:tc>
          <w:tcPr>
            <w:tcW w:w="1589" w:type="dxa"/>
            <w:shd w:val="clear" w:color="auto" w:fill="auto"/>
          </w:tcPr>
          <w:p w14:paraId="57D695E9"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-21,305</w:t>
            </w:r>
          </w:p>
        </w:tc>
      </w:tr>
      <w:tr w:rsidR="00BC2B27" w:rsidRPr="00BC2B27" w14:paraId="567588DC" w14:textId="77777777" w:rsidTr="00BC2B27">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tcBorders>
            <w:shd w:val="clear" w:color="auto" w:fill="auto"/>
            <w:noWrap/>
          </w:tcPr>
          <w:p w14:paraId="0AAA7123" w14:textId="77777777" w:rsidR="00BC2B27" w:rsidRPr="00BC2B27" w:rsidRDefault="00BC2B27" w:rsidP="00CE710E">
            <w:pPr>
              <w:spacing w:before="0" w:after="0" w:line="240" w:lineRule="auto"/>
              <w:jc w:val="center"/>
              <w:rPr>
                <w:rFonts w:cs="Calibri"/>
                <w:kern w:val="0"/>
                <w:sz w:val="18"/>
                <w:szCs w:val="18"/>
              </w:rPr>
            </w:pPr>
          </w:p>
        </w:tc>
        <w:tc>
          <w:tcPr>
            <w:tcW w:w="1549" w:type="dxa"/>
            <w:shd w:val="clear" w:color="auto" w:fill="auto"/>
            <w:noWrap/>
          </w:tcPr>
          <w:p w14:paraId="47C300EA" w14:textId="77777777" w:rsidR="00BC2B27" w:rsidRPr="00BC2B27" w:rsidRDefault="00BC2B27"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NC7</w:t>
            </w:r>
          </w:p>
        </w:tc>
        <w:tc>
          <w:tcPr>
            <w:tcW w:w="1147" w:type="dxa"/>
            <w:shd w:val="clear" w:color="auto" w:fill="auto"/>
          </w:tcPr>
          <w:p w14:paraId="1F06E980"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6,153,004</w:t>
            </w:r>
          </w:p>
        </w:tc>
        <w:tc>
          <w:tcPr>
            <w:tcW w:w="1165" w:type="dxa"/>
            <w:shd w:val="clear" w:color="auto" w:fill="auto"/>
          </w:tcPr>
          <w:p w14:paraId="67389AD4"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5,401,572</w:t>
            </w:r>
          </w:p>
        </w:tc>
        <w:tc>
          <w:tcPr>
            <w:tcW w:w="1147" w:type="dxa"/>
            <w:shd w:val="clear" w:color="auto" w:fill="auto"/>
          </w:tcPr>
          <w:p w14:paraId="0198B43A"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4,529,739</w:t>
            </w:r>
          </w:p>
        </w:tc>
        <w:tc>
          <w:tcPr>
            <w:tcW w:w="1147" w:type="dxa"/>
            <w:shd w:val="clear" w:color="auto" w:fill="auto"/>
          </w:tcPr>
          <w:p w14:paraId="5A46B630"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4,344,994</w:t>
            </w:r>
          </w:p>
        </w:tc>
        <w:tc>
          <w:tcPr>
            <w:tcW w:w="1412" w:type="dxa"/>
            <w:shd w:val="clear" w:color="auto" w:fill="auto"/>
            <w:noWrap/>
          </w:tcPr>
          <w:p w14:paraId="65C83437"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-6,048,951</w:t>
            </w:r>
          </w:p>
        </w:tc>
        <w:tc>
          <w:tcPr>
            <w:tcW w:w="1533" w:type="dxa"/>
            <w:shd w:val="clear" w:color="auto" w:fill="auto"/>
          </w:tcPr>
          <w:p w14:paraId="4C88130C"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-4,684,491</w:t>
            </w:r>
          </w:p>
        </w:tc>
        <w:tc>
          <w:tcPr>
            <w:tcW w:w="1589" w:type="dxa"/>
            <w:shd w:val="clear" w:color="auto" w:fill="auto"/>
          </w:tcPr>
          <w:p w14:paraId="1B4F90DF"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-1,747,350</w:t>
            </w:r>
          </w:p>
        </w:tc>
      </w:tr>
      <w:tr w:rsidR="00BC2B27" w:rsidRPr="00BC2B27" w14:paraId="3CCA23C5" w14:textId="77777777" w:rsidTr="00BC2B27">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tcBorders>
            <w:shd w:val="clear" w:color="auto" w:fill="auto"/>
            <w:noWrap/>
          </w:tcPr>
          <w:p w14:paraId="24E50F81" w14:textId="77777777" w:rsidR="00BC2B27" w:rsidRPr="00BC2B27" w:rsidRDefault="00BC2B27" w:rsidP="00BC2B27">
            <w:pPr>
              <w:spacing w:before="0" w:after="0" w:line="240" w:lineRule="auto"/>
              <w:jc w:val="center"/>
              <w:rPr>
                <w:rFonts w:cs="Calibri"/>
                <w:kern w:val="0"/>
                <w:sz w:val="18"/>
                <w:szCs w:val="18"/>
              </w:rPr>
            </w:pPr>
          </w:p>
        </w:tc>
        <w:tc>
          <w:tcPr>
            <w:tcW w:w="1549" w:type="dxa"/>
            <w:shd w:val="clear" w:color="auto" w:fill="auto"/>
            <w:noWrap/>
          </w:tcPr>
          <w:p w14:paraId="02908E73" w14:textId="37AE8A7B" w:rsidR="00BC2B27" w:rsidRPr="00BC2B27" w:rsidRDefault="00BC2B27" w:rsidP="00BC2B2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NE1</w:t>
            </w:r>
          </w:p>
        </w:tc>
        <w:tc>
          <w:tcPr>
            <w:tcW w:w="1147" w:type="dxa"/>
            <w:shd w:val="clear" w:color="auto" w:fill="auto"/>
          </w:tcPr>
          <w:p w14:paraId="7EB5894C" w14:textId="0799B58A"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w:t>
            </w:r>
          </w:p>
        </w:tc>
        <w:tc>
          <w:tcPr>
            <w:tcW w:w="1165" w:type="dxa"/>
            <w:shd w:val="clear" w:color="auto" w:fill="auto"/>
          </w:tcPr>
          <w:p w14:paraId="1561194F" w14:textId="2ED62336"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w:t>
            </w:r>
          </w:p>
        </w:tc>
        <w:tc>
          <w:tcPr>
            <w:tcW w:w="1147" w:type="dxa"/>
            <w:shd w:val="clear" w:color="auto" w:fill="auto"/>
          </w:tcPr>
          <w:p w14:paraId="49149715" w14:textId="68118B4F"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w:t>
            </w:r>
          </w:p>
        </w:tc>
        <w:tc>
          <w:tcPr>
            <w:tcW w:w="1147" w:type="dxa"/>
            <w:shd w:val="clear" w:color="auto" w:fill="auto"/>
          </w:tcPr>
          <w:p w14:paraId="35F4E0FD" w14:textId="041A347D"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w:t>
            </w:r>
          </w:p>
        </w:tc>
        <w:tc>
          <w:tcPr>
            <w:tcW w:w="1412" w:type="dxa"/>
            <w:shd w:val="clear" w:color="auto" w:fill="auto"/>
            <w:noWrap/>
          </w:tcPr>
          <w:p w14:paraId="0E681405" w14:textId="7C5C4A44"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w:t>
            </w:r>
          </w:p>
        </w:tc>
        <w:tc>
          <w:tcPr>
            <w:tcW w:w="1533" w:type="dxa"/>
            <w:shd w:val="clear" w:color="auto" w:fill="auto"/>
          </w:tcPr>
          <w:p w14:paraId="49D4A994" w14:textId="7B9A0F01"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w:t>
            </w:r>
          </w:p>
        </w:tc>
        <w:tc>
          <w:tcPr>
            <w:tcW w:w="1589" w:type="dxa"/>
            <w:shd w:val="clear" w:color="auto" w:fill="auto"/>
          </w:tcPr>
          <w:p w14:paraId="7E7A8195" w14:textId="603EA6C0"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1,101,679</w:t>
            </w:r>
          </w:p>
        </w:tc>
      </w:tr>
      <w:tr w:rsidR="00BC2B27" w:rsidRPr="00BC2B27" w14:paraId="06F46CA8" w14:textId="77777777" w:rsidTr="00BC2B27">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bottom w:val="single" w:sz="4" w:space="0" w:color="auto"/>
            </w:tcBorders>
            <w:shd w:val="clear" w:color="auto" w:fill="auto"/>
            <w:noWrap/>
          </w:tcPr>
          <w:p w14:paraId="2FDCAE33" w14:textId="77777777" w:rsidR="00BC2B27" w:rsidRPr="00BC2B27" w:rsidRDefault="00BC2B27" w:rsidP="00BC2B27">
            <w:pPr>
              <w:spacing w:before="0" w:after="0" w:line="240" w:lineRule="auto"/>
              <w:jc w:val="center"/>
              <w:rPr>
                <w:rFonts w:cs="Calibri"/>
                <w:kern w:val="0"/>
                <w:sz w:val="18"/>
                <w:szCs w:val="18"/>
              </w:rPr>
            </w:pPr>
          </w:p>
        </w:tc>
        <w:tc>
          <w:tcPr>
            <w:tcW w:w="1549" w:type="dxa"/>
            <w:shd w:val="clear" w:color="auto" w:fill="auto"/>
            <w:noWrap/>
          </w:tcPr>
          <w:p w14:paraId="4013A89A" w14:textId="725E6C75" w:rsidR="00BC2B27" w:rsidRPr="00BC2B27" w:rsidRDefault="00BC2B27" w:rsidP="00BC2B2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NE7</w:t>
            </w:r>
          </w:p>
        </w:tc>
        <w:tc>
          <w:tcPr>
            <w:tcW w:w="1147" w:type="dxa"/>
            <w:shd w:val="clear" w:color="auto" w:fill="auto"/>
          </w:tcPr>
          <w:p w14:paraId="4D380020" w14:textId="5E900AA9"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6,344,622</w:t>
            </w:r>
          </w:p>
        </w:tc>
        <w:tc>
          <w:tcPr>
            <w:tcW w:w="1165" w:type="dxa"/>
            <w:shd w:val="clear" w:color="auto" w:fill="auto"/>
          </w:tcPr>
          <w:p w14:paraId="78699FD7" w14:textId="56F5D959"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5,372,396</w:t>
            </w:r>
          </w:p>
        </w:tc>
        <w:tc>
          <w:tcPr>
            <w:tcW w:w="1147" w:type="dxa"/>
            <w:shd w:val="clear" w:color="auto" w:fill="auto"/>
          </w:tcPr>
          <w:p w14:paraId="0726019B" w14:textId="30A01103"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4,523,983</w:t>
            </w:r>
          </w:p>
        </w:tc>
        <w:tc>
          <w:tcPr>
            <w:tcW w:w="1147" w:type="dxa"/>
            <w:shd w:val="clear" w:color="auto" w:fill="auto"/>
          </w:tcPr>
          <w:p w14:paraId="58184C95" w14:textId="07B9663A"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4,512,901</w:t>
            </w:r>
          </w:p>
        </w:tc>
        <w:tc>
          <w:tcPr>
            <w:tcW w:w="1412" w:type="dxa"/>
            <w:shd w:val="clear" w:color="auto" w:fill="auto"/>
            <w:noWrap/>
          </w:tcPr>
          <w:p w14:paraId="373ECF97" w14:textId="6E937325"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-5,976,787</w:t>
            </w:r>
          </w:p>
        </w:tc>
        <w:tc>
          <w:tcPr>
            <w:tcW w:w="1533" w:type="dxa"/>
            <w:shd w:val="clear" w:color="auto" w:fill="auto"/>
          </w:tcPr>
          <w:p w14:paraId="7FAE9710" w14:textId="29B53580"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-4,634,279</w:t>
            </w:r>
          </w:p>
        </w:tc>
        <w:tc>
          <w:tcPr>
            <w:tcW w:w="1589" w:type="dxa"/>
            <w:shd w:val="clear" w:color="auto" w:fill="auto"/>
          </w:tcPr>
          <w:p w14:paraId="67E63E64" w14:textId="27D22813"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-633,412</w:t>
            </w:r>
          </w:p>
        </w:tc>
      </w:tr>
      <w:tr w:rsidR="00BC2B27" w:rsidRPr="00BC2B27" w14:paraId="73F9A453" w14:textId="77777777" w:rsidTr="00BC2B27">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val="restart"/>
            <w:tcBorders>
              <w:left w:val="single" w:sz="4" w:space="0" w:color="auto"/>
            </w:tcBorders>
            <w:shd w:val="clear" w:color="auto" w:fill="auto"/>
            <w:noWrap/>
            <w:hideMark/>
          </w:tcPr>
          <w:p w14:paraId="269622FD" w14:textId="77777777" w:rsidR="00BC2B27" w:rsidRPr="00BC2B27" w:rsidRDefault="00BC2B27" w:rsidP="00CE710E">
            <w:pPr>
              <w:spacing w:before="0" w:after="0" w:line="240" w:lineRule="auto"/>
              <w:jc w:val="center"/>
              <w:rPr>
                <w:rFonts w:cs="Calibri"/>
                <w:kern w:val="0"/>
                <w:sz w:val="18"/>
                <w:szCs w:val="18"/>
              </w:rPr>
            </w:pPr>
            <w:r w:rsidRPr="00BC2B27">
              <w:rPr>
                <w:rFonts w:cs="Calibri"/>
                <w:kern w:val="0"/>
                <w:sz w:val="18"/>
                <w:szCs w:val="18"/>
              </w:rPr>
              <w:t xml:space="preserve">North Lagoon </w:t>
            </w:r>
            <w:r w:rsidRPr="00BC2B27">
              <w:rPr>
                <w:rFonts w:cs="Calibri"/>
                <w:kern w:val="0"/>
                <w:sz w:val="18"/>
                <w:szCs w:val="18"/>
              </w:rPr>
              <w:br/>
              <w:t>(from Pelican Point southward)</w:t>
            </w:r>
          </w:p>
        </w:tc>
        <w:tc>
          <w:tcPr>
            <w:tcW w:w="1549" w:type="dxa"/>
            <w:shd w:val="clear" w:color="auto" w:fill="auto"/>
            <w:noWrap/>
          </w:tcPr>
          <w:p w14:paraId="68C91881" w14:textId="77777777" w:rsidR="00BC2B27" w:rsidRPr="00BC2B27" w:rsidRDefault="00BC2B27"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Base-case</w:t>
            </w:r>
          </w:p>
        </w:tc>
        <w:tc>
          <w:tcPr>
            <w:tcW w:w="1147" w:type="dxa"/>
            <w:shd w:val="clear" w:color="auto" w:fill="auto"/>
          </w:tcPr>
          <w:p w14:paraId="05BDE97B"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1,378,024</w:t>
            </w:r>
          </w:p>
        </w:tc>
        <w:tc>
          <w:tcPr>
            <w:tcW w:w="1165" w:type="dxa"/>
            <w:shd w:val="clear" w:color="auto" w:fill="auto"/>
          </w:tcPr>
          <w:p w14:paraId="61B2B447"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2,132,772</w:t>
            </w:r>
          </w:p>
        </w:tc>
        <w:tc>
          <w:tcPr>
            <w:tcW w:w="1147" w:type="dxa"/>
            <w:shd w:val="clear" w:color="auto" w:fill="auto"/>
          </w:tcPr>
          <w:p w14:paraId="1FBAE229"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2,669,144</w:t>
            </w:r>
          </w:p>
        </w:tc>
        <w:tc>
          <w:tcPr>
            <w:tcW w:w="1147" w:type="dxa"/>
            <w:shd w:val="clear" w:color="auto" w:fill="auto"/>
          </w:tcPr>
          <w:p w14:paraId="5F82F49E"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1,825,895</w:t>
            </w:r>
          </w:p>
        </w:tc>
        <w:tc>
          <w:tcPr>
            <w:tcW w:w="1412" w:type="dxa"/>
            <w:shd w:val="clear" w:color="auto" w:fill="auto"/>
            <w:noWrap/>
          </w:tcPr>
          <w:p w14:paraId="3DEF344E"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-2,044,759</w:t>
            </w:r>
          </w:p>
        </w:tc>
        <w:tc>
          <w:tcPr>
            <w:tcW w:w="1533" w:type="dxa"/>
            <w:shd w:val="clear" w:color="auto" w:fill="auto"/>
          </w:tcPr>
          <w:p w14:paraId="1CB66530"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-1,168,148</w:t>
            </w:r>
          </w:p>
        </w:tc>
        <w:tc>
          <w:tcPr>
            <w:tcW w:w="1589" w:type="dxa"/>
            <w:shd w:val="clear" w:color="auto" w:fill="auto"/>
          </w:tcPr>
          <w:p w14:paraId="1C54958B"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-2,158,143</w:t>
            </w:r>
          </w:p>
        </w:tc>
      </w:tr>
      <w:tr w:rsidR="00BC2B27" w:rsidRPr="00BC2B27" w14:paraId="33FFE5E5" w14:textId="77777777" w:rsidTr="00BC2B27">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tcBorders>
            <w:shd w:val="clear" w:color="auto" w:fill="auto"/>
            <w:noWrap/>
            <w:hideMark/>
          </w:tcPr>
          <w:p w14:paraId="4B21F226" w14:textId="77777777" w:rsidR="00BC2B27" w:rsidRPr="00BC2B27" w:rsidRDefault="00BC2B27" w:rsidP="00CE710E">
            <w:pPr>
              <w:spacing w:before="0" w:after="0" w:line="240" w:lineRule="auto"/>
              <w:jc w:val="center"/>
              <w:rPr>
                <w:rFonts w:cs="Calibri"/>
                <w:kern w:val="0"/>
                <w:sz w:val="18"/>
                <w:szCs w:val="18"/>
              </w:rPr>
            </w:pPr>
          </w:p>
        </w:tc>
        <w:tc>
          <w:tcPr>
            <w:tcW w:w="1549" w:type="dxa"/>
            <w:shd w:val="clear" w:color="auto" w:fill="auto"/>
            <w:noWrap/>
          </w:tcPr>
          <w:p w14:paraId="70536827" w14:textId="4AD115C1" w:rsidR="00BC2B27" w:rsidRPr="00BC2B27" w:rsidRDefault="00BC2B27"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NC1</w:t>
            </w:r>
          </w:p>
        </w:tc>
        <w:tc>
          <w:tcPr>
            <w:tcW w:w="1147" w:type="dxa"/>
            <w:shd w:val="clear" w:color="auto" w:fill="auto"/>
            <w:vAlign w:val="bottom"/>
          </w:tcPr>
          <w:p w14:paraId="4ACFA3E4" w14:textId="62F7F7FF"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4,844,517</w:t>
            </w:r>
          </w:p>
        </w:tc>
        <w:tc>
          <w:tcPr>
            <w:tcW w:w="1165" w:type="dxa"/>
            <w:shd w:val="clear" w:color="auto" w:fill="auto"/>
            <w:vAlign w:val="bottom"/>
          </w:tcPr>
          <w:p w14:paraId="1ACF4842" w14:textId="65655BCC"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5,777,005</w:t>
            </w:r>
          </w:p>
        </w:tc>
        <w:tc>
          <w:tcPr>
            <w:tcW w:w="1147" w:type="dxa"/>
            <w:shd w:val="clear" w:color="auto" w:fill="auto"/>
            <w:vAlign w:val="bottom"/>
          </w:tcPr>
          <w:p w14:paraId="1D13CB12" w14:textId="1FA5FE2B" w:rsidR="00BC2B27" w:rsidRPr="00BC2B27" w:rsidRDefault="00A638B5"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Pr>
                <w:sz w:val="18"/>
                <w:szCs w:val="18"/>
              </w:rPr>
              <w:t>5</w:t>
            </w:r>
            <w:r w:rsidR="00BC2B27" w:rsidRPr="00BC2B27">
              <w:rPr>
                <w:sz w:val="18"/>
                <w:szCs w:val="18"/>
              </w:rPr>
              <w:t>,</w:t>
            </w:r>
            <w:r>
              <w:rPr>
                <w:sz w:val="18"/>
                <w:szCs w:val="18"/>
              </w:rPr>
              <w:t>654</w:t>
            </w:r>
            <w:r w:rsidR="00BC2B27" w:rsidRPr="00BC2B27">
              <w:rPr>
                <w:sz w:val="18"/>
                <w:szCs w:val="18"/>
              </w:rPr>
              <w:t>,</w:t>
            </w:r>
            <w:r>
              <w:rPr>
                <w:sz w:val="18"/>
                <w:szCs w:val="18"/>
              </w:rPr>
              <w:t>687</w:t>
            </w:r>
          </w:p>
        </w:tc>
        <w:tc>
          <w:tcPr>
            <w:tcW w:w="1147" w:type="dxa"/>
            <w:shd w:val="clear" w:color="auto" w:fill="auto"/>
            <w:vAlign w:val="bottom"/>
          </w:tcPr>
          <w:p w14:paraId="1B6222C5" w14:textId="5C93AC25"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5,300,136</w:t>
            </w:r>
          </w:p>
        </w:tc>
        <w:tc>
          <w:tcPr>
            <w:tcW w:w="1412" w:type="dxa"/>
            <w:shd w:val="clear" w:color="auto" w:fill="auto"/>
            <w:noWrap/>
            <w:vAlign w:val="bottom"/>
          </w:tcPr>
          <w:p w14:paraId="1EDCA002" w14:textId="113E1211"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-2,184,329</w:t>
            </w:r>
          </w:p>
        </w:tc>
        <w:tc>
          <w:tcPr>
            <w:tcW w:w="1533" w:type="dxa"/>
            <w:shd w:val="clear" w:color="auto" w:fill="auto"/>
            <w:vAlign w:val="bottom"/>
          </w:tcPr>
          <w:p w14:paraId="10F3284C" w14:textId="2E1F57F5"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-1,217,359</w:t>
            </w:r>
          </w:p>
        </w:tc>
        <w:tc>
          <w:tcPr>
            <w:tcW w:w="1589" w:type="dxa"/>
            <w:shd w:val="clear" w:color="auto" w:fill="auto"/>
          </w:tcPr>
          <w:p w14:paraId="5B5DAE98"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282,878</w:t>
            </w:r>
          </w:p>
        </w:tc>
      </w:tr>
      <w:tr w:rsidR="00BC2B27" w:rsidRPr="00BC2B27" w14:paraId="22219BB7" w14:textId="77777777" w:rsidTr="00BC2B27">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tcBorders>
            <w:shd w:val="clear" w:color="auto" w:fill="auto"/>
            <w:noWrap/>
            <w:hideMark/>
          </w:tcPr>
          <w:p w14:paraId="37504E36" w14:textId="77777777" w:rsidR="00BC2B27" w:rsidRPr="00BC2B27" w:rsidRDefault="00BC2B27" w:rsidP="00CE710E">
            <w:pPr>
              <w:spacing w:before="0" w:after="0" w:line="240" w:lineRule="auto"/>
              <w:jc w:val="center"/>
              <w:rPr>
                <w:rFonts w:cs="Calibri"/>
                <w:kern w:val="0"/>
                <w:sz w:val="18"/>
                <w:szCs w:val="18"/>
              </w:rPr>
            </w:pPr>
          </w:p>
        </w:tc>
        <w:tc>
          <w:tcPr>
            <w:tcW w:w="1549" w:type="dxa"/>
            <w:shd w:val="clear" w:color="auto" w:fill="auto"/>
            <w:noWrap/>
          </w:tcPr>
          <w:p w14:paraId="1ED55193" w14:textId="77777777" w:rsidR="00BC2B27" w:rsidRPr="00BC2B27" w:rsidRDefault="00BC2B27"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NC7</w:t>
            </w:r>
          </w:p>
        </w:tc>
        <w:tc>
          <w:tcPr>
            <w:tcW w:w="1147" w:type="dxa"/>
            <w:shd w:val="clear" w:color="auto" w:fill="auto"/>
          </w:tcPr>
          <w:p w14:paraId="78A733B7"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4,844,517</w:t>
            </w:r>
          </w:p>
        </w:tc>
        <w:tc>
          <w:tcPr>
            <w:tcW w:w="1165" w:type="dxa"/>
            <w:shd w:val="clear" w:color="auto" w:fill="auto"/>
          </w:tcPr>
          <w:p w14:paraId="4177DFFA"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4,970,188</w:t>
            </w:r>
          </w:p>
        </w:tc>
        <w:tc>
          <w:tcPr>
            <w:tcW w:w="1147" w:type="dxa"/>
            <w:shd w:val="clear" w:color="auto" w:fill="auto"/>
          </w:tcPr>
          <w:p w14:paraId="2ED85443"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4,410,353</w:t>
            </w:r>
          </w:p>
        </w:tc>
        <w:tc>
          <w:tcPr>
            <w:tcW w:w="1147" w:type="dxa"/>
            <w:shd w:val="clear" w:color="auto" w:fill="auto"/>
          </w:tcPr>
          <w:p w14:paraId="3C254B08"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4,290,622</w:t>
            </w:r>
          </w:p>
        </w:tc>
        <w:tc>
          <w:tcPr>
            <w:tcW w:w="1412" w:type="dxa"/>
            <w:shd w:val="clear" w:color="auto" w:fill="auto"/>
            <w:noWrap/>
          </w:tcPr>
          <w:p w14:paraId="7DBC50B0"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-3,760,164</w:t>
            </w:r>
          </w:p>
        </w:tc>
        <w:tc>
          <w:tcPr>
            <w:tcW w:w="1533" w:type="dxa"/>
            <w:shd w:val="clear" w:color="auto" w:fill="auto"/>
          </w:tcPr>
          <w:p w14:paraId="3C706786"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-1,894,973</w:t>
            </w:r>
          </w:p>
        </w:tc>
        <w:tc>
          <w:tcPr>
            <w:tcW w:w="1589" w:type="dxa"/>
            <w:shd w:val="clear" w:color="auto" w:fill="auto"/>
          </w:tcPr>
          <w:p w14:paraId="3F40559F"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-1,413,631</w:t>
            </w:r>
          </w:p>
        </w:tc>
      </w:tr>
      <w:tr w:rsidR="00BC2B27" w:rsidRPr="00BC2B27" w14:paraId="6F547647" w14:textId="77777777" w:rsidTr="00BC2B27">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tcBorders>
            <w:shd w:val="clear" w:color="auto" w:fill="auto"/>
            <w:noWrap/>
          </w:tcPr>
          <w:p w14:paraId="06475B5A" w14:textId="77777777" w:rsidR="00BC2B27" w:rsidRPr="00BC2B27" w:rsidRDefault="00BC2B27" w:rsidP="00BC2B27">
            <w:pPr>
              <w:spacing w:before="0" w:after="0" w:line="240" w:lineRule="auto"/>
              <w:jc w:val="center"/>
              <w:rPr>
                <w:rFonts w:cs="Calibri"/>
                <w:kern w:val="0"/>
                <w:sz w:val="18"/>
                <w:szCs w:val="18"/>
              </w:rPr>
            </w:pPr>
          </w:p>
        </w:tc>
        <w:tc>
          <w:tcPr>
            <w:tcW w:w="1549" w:type="dxa"/>
            <w:shd w:val="clear" w:color="auto" w:fill="auto"/>
            <w:noWrap/>
          </w:tcPr>
          <w:p w14:paraId="7A885173" w14:textId="03FB660B" w:rsidR="00BC2B27" w:rsidRPr="00BC2B27" w:rsidRDefault="00BC2B27" w:rsidP="00BC2B2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NE1</w:t>
            </w:r>
          </w:p>
        </w:tc>
        <w:tc>
          <w:tcPr>
            <w:tcW w:w="1147" w:type="dxa"/>
            <w:shd w:val="clear" w:color="auto" w:fill="auto"/>
          </w:tcPr>
          <w:p w14:paraId="5AA9AD19" w14:textId="0829A584"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w:t>
            </w:r>
          </w:p>
        </w:tc>
        <w:tc>
          <w:tcPr>
            <w:tcW w:w="1165" w:type="dxa"/>
            <w:shd w:val="clear" w:color="auto" w:fill="auto"/>
          </w:tcPr>
          <w:p w14:paraId="3A628FE5" w14:textId="0A480E4B"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w:t>
            </w:r>
          </w:p>
        </w:tc>
        <w:tc>
          <w:tcPr>
            <w:tcW w:w="1147" w:type="dxa"/>
            <w:shd w:val="clear" w:color="auto" w:fill="auto"/>
          </w:tcPr>
          <w:p w14:paraId="723708AC" w14:textId="368F0273"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w:t>
            </w:r>
          </w:p>
        </w:tc>
        <w:tc>
          <w:tcPr>
            <w:tcW w:w="1147" w:type="dxa"/>
            <w:shd w:val="clear" w:color="auto" w:fill="auto"/>
          </w:tcPr>
          <w:p w14:paraId="4454AF70" w14:textId="5496B635"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w:t>
            </w:r>
          </w:p>
        </w:tc>
        <w:tc>
          <w:tcPr>
            <w:tcW w:w="1412" w:type="dxa"/>
            <w:shd w:val="clear" w:color="auto" w:fill="auto"/>
            <w:noWrap/>
          </w:tcPr>
          <w:p w14:paraId="7FDB2663" w14:textId="02E5B334"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w:t>
            </w:r>
          </w:p>
        </w:tc>
        <w:tc>
          <w:tcPr>
            <w:tcW w:w="1533" w:type="dxa"/>
            <w:shd w:val="clear" w:color="auto" w:fill="auto"/>
          </w:tcPr>
          <w:p w14:paraId="155CA7D7" w14:textId="6248D546"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w:t>
            </w:r>
          </w:p>
        </w:tc>
        <w:tc>
          <w:tcPr>
            <w:tcW w:w="1589" w:type="dxa"/>
            <w:shd w:val="clear" w:color="auto" w:fill="auto"/>
          </w:tcPr>
          <w:p w14:paraId="1E9FB0F5" w14:textId="4630D220"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971,104</w:t>
            </w:r>
          </w:p>
        </w:tc>
      </w:tr>
      <w:tr w:rsidR="00BC2B27" w:rsidRPr="00BC2B27" w14:paraId="5C4039AE" w14:textId="77777777" w:rsidTr="00BC2B27">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bottom w:val="single" w:sz="4" w:space="0" w:color="auto"/>
            </w:tcBorders>
            <w:shd w:val="clear" w:color="auto" w:fill="auto"/>
            <w:noWrap/>
          </w:tcPr>
          <w:p w14:paraId="271AF93B" w14:textId="77777777" w:rsidR="00BC2B27" w:rsidRPr="00BC2B27" w:rsidRDefault="00BC2B27" w:rsidP="00BC2B27">
            <w:pPr>
              <w:spacing w:before="0" w:after="0" w:line="240" w:lineRule="auto"/>
              <w:jc w:val="center"/>
              <w:rPr>
                <w:rFonts w:cs="Calibri"/>
                <w:kern w:val="0"/>
                <w:sz w:val="18"/>
                <w:szCs w:val="18"/>
              </w:rPr>
            </w:pPr>
          </w:p>
        </w:tc>
        <w:tc>
          <w:tcPr>
            <w:tcW w:w="1549" w:type="dxa"/>
            <w:shd w:val="clear" w:color="auto" w:fill="auto"/>
            <w:noWrap/>
          </w:tcPr>
          <w:p w14:paraId="50D82440" w14:textId="64AD7CCE" w:rsidR="00BC2B27" w:rsidRPr="00BC2B27" w:rsidRDefault="00BC2B27" w:rsidP="00BC2B2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NE7</w:t>
            </w:r>
          </w:p>
        </w:tc>
        <w:tc>
          <w:tcPr>
            <w:tcW w:w="1147" w:type="dxa"/>
            <w:shd w:val="clear" w:color="auto" w:fill="auto"/>
          </w:tcPr>
          <w:p w14:paraId="0EF38C19" w14:textId="638723DC"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5,023,800</w:t>
            </w:r>
          </w:p>
        </w:tc>
        <w:tc>
          <w:tcPr>
            <w:tcW w:w="1165" w:type="dxa"/>
            <w:shd w:val="clear" w:color="auto" w:fill="auto"/>
          </w:tcPr>
          <w:p w14:paraId="305258F9" w14:textId="5044C150"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4,938,341</w:t>
            </w:r>
          </w:p>
        </w:tc>
        <w:tc>
          <w:tcPr>
            <w:tcW w:w="1147" w:type="dxa"/>
            <w:shd w:val="clear" w:color="auto" w:fill="auto"/>
          </w:tcPr>
          <w:p w14:paraId="622C23A5" w14:textId="68B9EA60"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4,406,133</w:t>
            </w:r>
          </w:p>
        </w:tc>
        <w:tc>
          <w:tcPr>
            <w:tcW w:w="1147" w:type="dxa"/>
            <w:shd w:val="clear" w:color="auto" w:fill="auto"/>
          </w:tcPr>
          <w:p w14:paraId="52604CF4" w14:textId="132267F6"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4,417,755</w:t>
            </w:r>
          </w:p>
        </w:tc>
        <w:tc>
          <w:tcPr>
            <w:tcW w:w="1412" w:type="dxa"/>
            <w:shd w:val="clear" w:color="auto" w:fill="auto"/>
            <w:noWrap/>
          </w:tcPr>
          <w:p w14:paraId="53750894" w14:textId="1FE3B961"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-3,847,463</w:t>
            </w:r>
          </w:p>
        </w:tc>
        <w:tc>
          <w:tcPr>
            <w:tcW w:w="1533" w:type="dxa"/>
            <w:shd w:val="clear" w:color="auto" w:fill="auto"/>
          </w:tcPr>
          <w:p w14:paraId="4BD6EABC" w14:textId="32E86207"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-1,928,113</w:t>
            </w:r>
          </w:p>
        </w:tc>
        <w:tc>
          <w:tcPr>
            <w:tcW w:w="1589" w:type="dxa"/>
            <w:shd w:val="clear" w:color="auto" w:fill="auto"/>
          </w:tcPr>
          <w:p w14:paraId="0EF80764" w14:textId="251E0CA8"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-735,199</w:t>
            </w:r>
          </w:p>
        </w:tc>
      </w:tr>
      <w:tr w:rsidR="00BC2B27" w:rsidRPr="00BC2B27" w14:paraId="47985A76" w14:textId="77777777" w:rsidTr="00BC2B27">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val="restart"/>
            <w:tcBorders>
              <w:left w:val="single" w:sz="4" w:space="0" w:color="auto"/>
            </w:tcBorders>
            <w:shd w:val="clear" w:color="auto" w:fill="auto"/>
            <w:noWrap/>
            <w:hideMark/>
          </w:tcPr>
          <w:p w14:paraId="178E93B4" w14:textId="77777777" w:rsidR="00BC2B27" w:rsidRPr="00BC2B27" w:rsidRDefault="00BC2B27" w:rsidP="00CE710E">
            <w:pPr>
              <w:spacing w:before="0" w:after="0" w:line="240" w:lineRule="auto"/>
              <w:jc w:val="center"/>
              <w:rPr>
                <w:rFonts w:cs="Calibri"/>
                <w:kern w:val="0"/>
                <w:sz w:val="18"/>
                <w:szCs w:val="18"/>
              </w:rPr>
            </w:pPr>
            <w:r w:rsidRPr="00BC2B27">
              <w:rPr>
                <w:rFonts w:cs="Calibri"/>
                <w:kern w:val="0"/>
                <w:sz w:val="18"/>
                <w:szCs w:val="18"/>
              </w:rPr>
              <w:t>South Lagoon (Parnka Point southward)</w:t>
            </w:r>
          </w:p>
        </w:tc>
        <w:tc>
          <w:tcPr>
            <w:tcW w:w="1549" w:type="dxa"/>
            <w:shd w:val="clear" w:color="auto" w:fill="auto"/>
            <w:noWrap/>
          </w:tcPr>
          <w:p w14:paraId="53C51909" w14:textId="77777777" w:rsidR="00BC2B27" w:rsidRPr="00BC2B27" w:rsidRDefault="00BC2B27"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Base-case</w:t>
            </w:r>
          </w:p>
        </w:tc>
        <w:tc>
          <w:tcPr>
            <w:tcW w:w="1147" w:type="dxa"/>
            <w:shd w:val="clear" w:color="auto" w:fill="auto"/>
          </w:tcPr>
          <w:p w14:paraId="4B5E5465"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792,854</w:t>
            </w:r>
          </w:p>
        </w:tc>
        <w:tc>
          <w:tcPr>
            <w:tcW w:w="1165" w:type="dxa"/>
            <w:shd w:val="clear" w:color="auto" w:fill="auto"/>
          </w:tcPr>
          <w:p w14:paraId="7CD896A2"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2,378,063</w:t>
            </w:r>
          </w:p>
        </w:tc>
        <w:tc>
          <w:tcPr>
            <w:tcW w:w="1147" w:type="dxa"/>
            <w:shd w:val="clear" w:color="auto" w:fill="auto"/>
          </w:tcPr>
          <w:p w14:paraId="1C17ACEE"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1,294,496</w:t>
            </w:r>
          </w:p>
        </w:tc>
        <w:tc>
          <w:tcPr>
            <w:tcW w:w="1147" w:type="dxa"/>
            <w:shd w:val="clear" w:color="auto" w:fill="auto"/>
          </w:tcPr>
          <w:p w14:paraId="5351E57A"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2,802,295</w:t>
            </w:r>
          </w:p>
        </w:tc>
        <w:tc>
          <w:tcPr>
            <w:tcW w:w="1412" w:type="dxa"/>
            <w:shd w:val="clear" w:color="auto" w:fill="auto"/>
            <w:noWrap/>
          </w:tcPr>
          <w:p w14:paraId="07DD49F2"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-827,932</w:t>
            </w:r>
          </w:p>
        </w:tc>
        <w:tc>
          <w:tcPr>
            <w:tcW w:w="1533" w:type="dxa"/>
            <w:shd w:val="clear" w:color="auto" w:fill="auto"/>
          </w:tcPr>
          <w:p w14:paraId="4F6A8D79"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-2,816,988</w:t>
            </w:r>
          </w:p>
        </w:tc>
        <w:tc>
          <w:tcPr>
            <w:tcW w:w="1589" w:type="dxa"/>
            <w:shd w:val="clear" w:color="auto" w:fill="auto"/>
          </w:tcPr>
          <w:p w14:paraId="45C23C83"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-192,002</w:t>
            </w:r>
          </w:p>
        </w:tc>
      </w:tr>
      <w:tr w:rsidR="00BC2B27" w:rsidRPr="00BC2B27" w14:paraId="2C4907F9" w14:textId="77777777" w:rsidTr="00BC2B27">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tcBorders>
            <w:shd w:val="clear" w:color="auto" w:fill="auto"/>
            <w:noWrap/>
            <w:hideMark/>
          </w:tcPr>
          <w:p w14:paraId="3AD337C9" w14:textId="77777777" w:rsidR="00BC2B27" w:rsidRPr="00BC2B27" w:rsidRDefault="00BC2B27" w:rsidP="00CE710E">
            <w:pPr>
              <w:spacing w:before="0" w:after="0" w:line="240" w:lineRule="auto"/>
              <w:jc w:val="right"/>
              <w:rPr>
                <w:rFonts w:cs="Calibri"/>
                <w:kern w:val="0"/>
                <w:sz w:val="18"/>
                <w:szCs w:val="18"/>
              </w:rPr>
            </w:pPr>
          </w:p>
        </w:tc>
        <w:tc>
          <w:tcPr>
            <w:tcW w:w="1549" w:type="dxa"/>
            <w:shd w:val="clear" w:color="auto" w:fill="auto"/>
            <w:noWrap/>
          </w:tcPr>
          <w:p w14:paraId="540FE878" w14:textId="523C5F16" w:rsidR="00BC2B27" w:rsidRPr="00BC2B27" w:rsidRDefault="00BC2B27"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NC1</w:t>
            </w:r>
          </w:p>
        </w:tc>
        <w:tc>
          <w:tcPr>
            <w:tcW w:w="1147" w:type="dxa"/>
            <w:shd w:val="clear" w:color="auto" w:fill="auto"/>
            <w:vAlign w:val="bottom"/>
          </w:tcPr>
          <w:p w14:paraId="01562441" w14:textId="0AE81C5A"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2,602,467</w:t>
            </w:r>
          </w:p>
        </w:tc>
        <w:tc>
          <w:tcPr>
            <w:tcW w:w="1165" w:type="dxa"/>
            <w:shd w:val="clear" w:color="auto" w:fill="auto"/>
            <w:vAlign w:val="bottom"/>
          </w:tcPr>
          <w:p w14:paraId="60B9913A" w14:textId="32CDECEB"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3,563,330</w:t>
            </w:r>
          </w:p>
        </w:tc>
        <w:tc>
          <w:tcPr>
            <w:tcW w:w="1147" w:type="dxa"/>
            <w:shd w:val="clear" w:color="auto" w:fill="auto"/>
            <w:vAlign w:val="bottom"/>
          </w:tcPr>
          <w:p w14:paraId="4A054014" w14:textId="4DF2FA2C" w:rsidR="00BC2B27" w:rsidRPr="00BC2B27" w:rsidRDefault="00980FDD"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Pr>
                <w:sz w:val="18"/>
                <w:szCs w:val="18"/>
              </w:rPr>
              <w:t>3</w:t>
            </w:r>
            <w:r w:rsidR="00BC2B27" w:rsidRPr="00BC2B27">
              <w:rPr>
                <w:sz w:val="18"/>
                <w:szCs w:val="18"/>
              </w:rPr>
              <w:t>,</w:t>
            </w:r>
            <w:r>
              <w:rPr>
                <w:sz w:val="18"/>
                <w:szCs w:val="18"/>
              </w:rPr>
              <w:t>043</w:t>
            </w:r>
            <w:r w:rsidR="00BC2B27" w:rsidRPr="00BC2B27">
              <w:rPr>
                <w:sz w:val="18"/>
                <w:szCs w:val="18"/>
              </w:rPr>
              <w:t>,</w:t>
            </w:r>
            <w:r>
              <w:rPr>
                <w:sz w:val="18"/>
                <w:szCs w:val="18"/>
              </w:rPr>
              <w:t>574</w:t>
            </w:r>
          </w:p>
        </w:tc>
        <w:tc>
          <w:tcPr>
            <w:tcW w:w="1147" w:type="dxa"/>
            <w:shd w:val="clear" w:color="auto" w:fill="auto"/>
            <w:vAlign w:val="bottom"/>
          </w:tcPr>
          <w:p w14:paraId="467814AF" w14:textId="742488D6"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4,404,517</w:t>
            </w:r>
          </w:p>
        </w:tc>
        <w:tc>
          <w:tcPr>
            <w:tcW w:w="1412" w:type="dxa"/>
            <w:shd w:val="clear" w:color="auto" w:fill="auto"/>
            <w:noWrap/>
            <w:vAlign w:val="bottom"/>
          </w:tcPr>
          <w:p w14:paraId="07BE5A1D" w14:textId="6FED6CBC"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-908,973</w:t>
            </w:r>
          </w:p>
        </w:tc>
        <w:tc>
          <w:tcPr>
            <w:tcW w:w="1533" w:type="dxa"/>
            <w:shd w:val="clear" w:color="auto" w:fill="auto"/>
            <w:vAlign w:val="bottom"/>
          </w:tcPr>
          <w:p w14:paraId="2C93CA87" w14:textId="1ED4C9E3"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-2,849,328</w:t>
            </w:r>
          </w:p>
        </w:tc>
        <w:tc>
          <w:tcPr>
            <w:tcW w:w="1589" w:type="dxa"/>
            <w:shd w:val="clear" w:color="auto" w:fill="auto"/>
          </w:tcPr>
          <w:p w14:paraId="3CCD552A" w14:textId="77777777" w:rsidR="00BC2B27" w:rsidRPr="00BC2B27" w:rsidRDefault="00BC2B27"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782,671</w:t>
            </w:r>
          </w:p>
        </w:tc>
      </w:tr>
      <w:tr w:rsidR="00BC2B27" w:rsidRPr="00BC2B27" w14:paraId="007E0F88" w14:textId="77777777" w:rsidTr="00BC2B27">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tcBorders>
            <w:shd w:val="clear" w:color="auto" w:fill="auto"/>
            <w:noWrap/>
            <w:hideMark/>
          </w:tcPr>
          <w:p w14:paraId="0F49E74C" w14:textId="77777777" w:rsidR="00BC2B27" w:rsidRPr="00BC2B27" w:rsidRDefault="00BC2B27" w:rsidP="00CE710E">
            <w:pPr>
              <w:spacing w:before="0" w:after="0" w:line="240" w:lineRule="auto"/>
              <w:jc w:val="right"/>
              <w:rPr>
                <w:rFonts w:cs="Calibri"/>
                <w:kern w:val="0"/>
                <w:sz w:val="18"/>
                <w:szCs w:val="18"/>
              </w:rPr>
            </w:pPr>
          </w:p>
        </w:tc>
        <w:tc>
          <w:tcPr>
            <w:tcW w:w="1549" w:type="dxa"/>
            <w:shd w:val="clear" w:color="auto" w:fill="auto"/>
            <w:noWrap/>
          </w:tcPr>
          <w:p w14:paraId="213B0370" w14:textId="77777777" w:rsidR="00BC2B27" w:rsidRPr="00BC2B27" w:rsidRDefault="00BC2B27"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NC7</w:t>
            </w:r>
          </w:p>
        </w:tc>
        <w:tc>
          <w:tcPr>
            <w:tcW w:w="1147" w:type="dxa"/>
            <w:shd w:val="clear" w:color="auto" w:fill="auto"/>
          </w:tcPr>
          <w:p w14:paraId="6FFF9555"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2,602,467</w:t>
            </w:r>
          </w:p>
        </w:tc>
        <w:tc>
          <w:tcPr>
            <w:tcW w:w="1165" w:type="dxa"/>
            <w:shd w:val="clear" w:color="auto" w:fill="auto"/>
          </w:tcPr>
          <w:p w14:paraId="3B10E02E"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3,911,785</w:t>
            </w:r>
          </w:p>
        </w:tc>
        <w:tc>
          <w:tcPr>
            <w:tcW w:w="1147" w:type="dxa"/>
            <w:shd w:val="clear" w:color="auto" w:fill="auto"/>
          </w:tcPr>
          <w:p w14:paraId="117519C2"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3,641,554</w:t>
            </w:r>
          </w:p>
        </w:tc>
        <w:tc>
          <w:tcPr>
            <w:tcW w:w="1147" w:type="dxa"/>
            <w:shd w:val="clear" w:color="auto" w:fill="auto"/>
          </w:tcPr>
          <w:p w14:paraId="5469E12C"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4,836,538</w:t>
            </w:r>
          </w:p>
        </w:tc>
        <w:tc>
          <w:tcPr>
            <w:tcW w:w="1412" w:type="dxa"/>
            <w:shd w:val="clear" w:color="auto" w:fill="auto"/>
            <w:noWrap/>
          </w:tcPr>
          <w:p w14:paraId="7CF02993"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-1,209,009</w:t>
            </w:r>
          </w:p>
        </w:tc>
        <w:tc>
          <w:tcPr>
            <w:tcW w:w="1533" w:type="dxa"/>
            <w:shd w:val="clear" w:color="auto" w:fill="auto"/>
          </w:tcPr>
          <w:p w14:paraId="2477EF61"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-4,055,613</w:t>
            </w:r>
          </w:p>
        </w:tc>
        <w:tc>
          <w:tcPr>
            <w:tcW w:w="1589" w:type="dxa"/>
            <w:shd w:val="clear" w:color="auto" w:fill="auto"/>
          </w:tcPr>
          <w:p w14:paraId="28272332" w14:textId="77777777" w:rsidR="00BC2B27" w:rsidRPr="00BC2B27" w:rsidRDefault="00BC2B27"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314,130</w:t>
            </w:r>
          </w:p>
        </w:tc>
      </w:tr>
      <w:tr w:rsidR="00BC2B27" w:rsidRPr="00BC2B27" w14:paraId="0700C4C0" w14:textId="77777777" w:rsidTr="00BC2B27">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tcBorders>
            <w:shd w:val="clear" w:color="auto" w:fill="auto"/>
            <w:noWrap/>
          </w:tcPr>
          <w:p w14:paraId="7E1D306B" w14:textId="77777777" w:rsidR="00BC2B27" w:rsidRPr="00BC2B27" w:rsidRDefault="00BC2B27" w:rsidP="00BC2B27">
            <w:pPr>
              <w:spacing w:before="0" w:after="0" w:line="240" w:lineRule="auto"/>
              <w:jc w:val="right"/>
              <w:rPr>
                <w:rFonts w:cs="Calibri"/>
                <w:kern w:val="0"/>
                <w:sz w:val="18"/>
                <w:szCs w:val="18"/>
              </w:rPr>
            </w:pPr>
          </w:p>
        </w:tc>
        <w:tc>
          <w:tcPr>
            <w:tcW w:w="1549" w:type="dxa"/>
            <w:shd w:val="clear" w:color="auto" w:fill="auto"/>
            <w:noWrap/>
          </w:tcPr>
          <w:p w14:paraId="40D7825D" w14:textId="59AB7EDA" w:rsidR="00BC2B27" w:rsidRPr="00BC2B27" w:rsidRDefault="00BC2B27" w:rsidP="00BC2B2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rFonts w:cs="Calibri"/>
                <w:kern w:val="0"/>
                <w:sz w:val="18"/>
                <w:szCs w:val="18"/>
              </w:rPr>
              <w:t>NE1</w:t>
            </w:r>
          </w:p>
        </w:tc>
        <w:tc>
          <w:tcPr>
            <w:tcW w:w="1147" w:type="dxa"/>
            <w:shd w:val="clear" w:color="auto" w:fill="auto"/>
          </w:tcPr>
          <w:p w14:paraId="26B10F9D" w14:textId="0EA169CB"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w:t>
            </w:r>
          </w:p>
        </w:tc>
        <w:tc>
          <w:tcPr>
            <w:tcW w:w="1165" w:type="dxa"/>
            <w:shd w:val="clear" w:color="auto" w:fill="auto"/>
          </w:tcPr>
          <w:p w14:paraId="71B0CE1A" w14:textId="61644186"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w:t>
            </w:r>
          </w:p>
        </w:tc>
        <w:tc>
          <w:tcPr>
            <w:tcW w:w="1147" w:type="dxa"/>
            <w:shd w:val="clear" w:color="auto" w:fill="auto"/>
          </w:tcPr>
          <w:p w14:paraId="26DFB402" w14:textId="5E329508"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w:t>
            </w:r>
          </w:p>
        </w:tc>
        <w:tc>
          <w:tcPr>
            <w:tcW w:w="1147" w:type="dxa"/>
            <w:shd w:val="clear" w:color="auto" w:fill="auto"/>
          </w:tcPr>
          <w:p w14:paraId="6F096E3D" w14:textId="558C4E90"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w:t>
            </w:r>
          </w:p>
        </w:tc>
        <w:tc>
          <w:tcPr>
            <w:tcW w:w="1412" w:type="dxa"/>
            <w:shd w:val="clear" w:color="auto" w:fill="auto"/>
            <w:noWrap/>
          </w:tcPr>
          <w:p w14:paraId="57D71F3B" w14:textId="02AED16B"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w:t>
            </w:r>
          </w:p>
        </w:tc>
        <w:tc>
          <w:tcPr>
            <w:tcW w:w="1533" w:type="dxa"/>
            <w:shd w:val="clear" w:color="auto" w:fill="auto"/>
          </w:tcPr>
          <w:p w14:paraId="72D60B0C" w14:textId="07A4A6F4"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w:t>
            </w:r>
          </w:p>
        </w:tc>
        <w:tc>
          <w:tcPr>
            <w:tcW w:w="1589" w:type="dxa"/>
            <w:shd w:val="clear" w:color="auto" w:fill="auto"/>
          </w:tcPr>
          <w:p w14:paraId="1872CBCA" w14:textId="52A59125" w:rsidR="00BC2B27" w:rsidRPr="00BC2B27" w:rsidRDefault="00BC2B27" w:rsidP="00BC2B2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8"/>
                <w:szCs w:val="18"/>
              </w:rPr>
            </w:pPr>
            <w:r w:rsidRPr="00BC2B27">
              <w:rPr>
                <w:sz w:val="18"/>
                <w:szCs w:val="18"/>
              </w:rPr>
              <w:t>790,826</w:t>
            </w:r>
          </w:p>
        </w:tc>
      </w:tr>
      <w:tr w:rsidR="00BC2B27" w:rsidRPr="00BC2B27" w14:paraId="20960E71" w14:textId="77777777" w:rsidTr="00BC2B27">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single" w:sz="4" w:space="0" w:color="auto"/>
              <w:bottom w:val="single" w:sz="4" w:space="0" w:color="auto"/>
            </w:tcBorders>
            <w:shd w:val="clear" w:color="auto" w:fill="auto"/>
            <w:noWrap/>
          </w:tcPr>
          <w:p w14:paraId="5C62C2CF" w14:textId="77777777" w:rsidR="00BC2B27" w:rsidRPr="00BC2B27" w:rsidRDefault="00BC2B27" w:rsidP="00BC2B27">
            <w:pPr>
              <w:spacing w:before="0" w:after="0" w:line="240" w:lineRule="auto"/>
              <w:jc w:val="right"/>
              <w:rPr>
                <w:rFonts w:cs="Calibri"/>
                <w:kern w:val="0"/>
                <w:sz w:val="18"/>
                <w:szCs w:val="18"/>
              </w:rPr>
            </w:pPr>
          </w:p>
        </w:tc>
        <w:tc>
          <w:tcPr>
            <w:tcW w:w="1549" w:type="dxa"/>
            <w:shd w:val="clear" w:color="auto" w:fill="auto"/>
            <w:noWrap/>
          </w:tcPr>
          <w:p w14:paraId="53D87729" w14:textId="7AE895B9" w:rsidR="00BC2B27" w:rsidRPr="00BC2B27" w:rsidRDefault="00BC2B27" w:rsidP="00BC2B2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rFonts w:cs="Calibri"/>
                <w:kern w:val="0"/>
                <w:sz w:val="18"/>
                <w:szCs w:val="18"/>
              </w:rPr>
              <w:t>NE7</w:t>
            </w:r>
          </w:p>
        </w:tc>
        <w:tc>
          <w:tcPr>
            <w:tcW w:w="1147" w:type="dxa"/>
            <w:shd w:val="clear" w:color="auto" w:fill="auto"/>
          </w:tcPr>
          <w:p w14:paraId="32603251" w14:textId="34BE133F"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2,724,620</w:t>
            </w:r>
          </w:p>
        </w:tc>
        <w:tc>
          <w:tcPr>
            <w:tcW w:w="1165" w:type="dxa"/>
            <w:shd w:val="clear" w:color="auto" w:fill="auto"/>
          </w:tcPr>
          <w:p w14:paraId="2F771FC6" w14:textId="7AF52822"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3,907,908</w:t>
            </w:r>
          </w:p>
        </w:tc>
        <w:tc>
          <w:tcPr>
            <w:tcW w:w="1147" w:type="dxa"/>
            <w:shd w:val="clear" w:color="auto" w:fill="auto"/>
          </w:tcPr>
          <w:p w14:paraId="080ABA50" w14:textId="2A118ECC"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3,631,329</w:t>
            </w:r>
          </w:p>
        </w:tc>
        <w:tc>
          <w:tcPr>
            <w:tcW w:w="1147" w:type="dxa"/>
            <w:shd w:val="clear" w:color="auto" w:fill="auto"/>
          </w:tcPr>
          <w:p w14:paraId="1E9A3833" w14:textId="7E9FF80E"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4,951,965</w:t>
            </w:r>
          </w:p>
        </w:tc>
        <w:tc>
          <w:tcPr>
            <w:tcW w:w="1412" w:type="dxa"/>
            <w:shd w:val="clear" w:color="auto" w:fill="auto"/>
            <w:noWrap/>
          </w:tcPr>
          <w:p w14:paraId="1D6ACBA7" w14:textId="59FC2A05"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-1,303,928</w:t>
            </w:r>
          </w:p>
        </w:tc>
        <w:tc>
          <w:tcPr>
            <w:tcW w:w="1533" w:type="dxa"/>
            <w:shd w:val="clear" w:color="auto" w:fill="auto"/>
          </w:tcPr>
          <w:p w14:paraId="25139851" w14:textId="39E4E240"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-4,092,026</w:t>
            </w:r>
          </w:p>
        </w:tc>
        <w:tc>
          <w:tcPr>
            <w:tcW w:w="1589" w:type="dxa"/>
            <w:shd w:val="clear" w:color="auto" w:fill="auto"/>
          </w:tcPr>
          <w:p w14:paraId="7BC71C4F" w14:textId="1CC88253" w:rsidR="00BC2B27" w:rsidRPr="00BC2B27" w:rsidRDefault="00BC2B27" w:rsidP="00BC2B2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8"/>
                <w:szCs w:val="18"/>
              </w:rPr>
            </w:pPr>
            <w:r w:rsidRPr="00BC2B27">
              <w:rPr>
                <w:sz w:val="18"/>
                <w:szCs w:val="18"/>
              </w:rPr>
              <w:t>322,413</w:t>
            </w:r>
          </w:p>
        </w:tc>
      </w:tr>
    </w:tbl>
    <w:p w14:paraId="0CC0803D" w14:textId="77777777" w:rsidR="005659DC" w:rsidRPr="00143DF4" w:rsidRDefault="005659DC" w:rsidP="005659DC">
      <w:pPr>
        <w:rPr>
          <w:lang w:val="en-US" w:eastAsia="zh-CN"/>
        </w:rPr>
      </w:pPr>
    </w:p>
    <w:p w14:paraId="50044D72" w14:textId="77777777" w:rsidR="005659DC" w:rsidRPr="00143DF4" w:rsidRDefault="005659DC" w:rsidP="005659DC">
      <w:pPr>
        <w:rPr>
          <w:lang w:val="en-US" w:eastAsia="zh-CN"/>
        </w:rPr>
      </w:pPr>
    </w:p>
    <w:p w14:paraId="501BEB79" w14:textId="77777777" w:rsidR="005659DC" w:rsidRPr="00534D41" w:rsidRDefault="005659DC" w:rsidP="005659DC">
      <w:pPr>
        <w:rPr>
          <w:lang w:val="en-US" w:eastAsia="zh-CN"/>
        </w:rPr>
      </w:pPr>
    </w:p>
    <w:p w14:paraId="5A2571B9" w14:textId="77777777" w:rsidR="005659DC" w:rsidRDefault="005659DC" w:rsidP="005659DC">
      <w:pPr>
        <w:rPr>
          <w:lang w:val="en-US" w:eastAsia="zh-CN"/>
        </w:rPr>
      </w:pPr>
    </w:p>
    <w:p w14:paraId="6988AE35" w14:textId="77777777" w:rsidR="005659DC" w:rsidRDefault="005659DC" w:rsidP="005659DC">
      <w:pPr>
        <w:sectPr w:rsidR="005659DC" w:rsidSect="005659DC">
          <w:pgSz w:w="16840" w:h="11900" w:orient="landscape"/>
          <w:pgMar w:top="1440" w:right="1440" w:bottom="1440" w:left="1440" w:header="709" w:footer="709" w:gutter="0"/>
          <w:cols w:space="720"/>
        </w:sectPr>
      </w:pPr>
    </w:p>
    <w:p w14:paraId="3B900597" w14:textId="77777777" w:rsidR="005659DC" w:rsidRDefault="005659DC" w:rsidP="005659DC">
      <w:pPr>
        <w:spacing w:after="0"/>
      </w:pPr>
      <w:r>
        <w:rPr>
          <w:noProof/>
        </w:rPr>
        <w:lastRenderedPageBreak/>
        <w:drawing>
          <wp:inline distT="0" distB="0" distL="0" distR="0" wp14:anchorId="3CEE3C51" wp14:editId="1A8CB14A">
            <wp:extent cx="5727700" cy="4295775"/>
            <wp:effectExtent l="0" t="0" r="6350" b="9525"/>
            <wp:docPr id="265623153" name="Picture 1" descr="Two graphs showing cumulative salt flux with and without environmental water delivery through Pelican Point and Parnka Point sites for July 2017–June 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623153" name="Picture 1" descr="Two graphs showing cumulative salt flux with and without environmental water delivery through Pelican Point and Parnka Point sites for July 2017–June 2024. "/>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27700" cy="4295775"/>
                    </a:xfrm>
                    <a:prstGeom prst="rect">
                      <a:avLst/>
                    </a:prstGeom>
                    <a:noFill/>
                    <a:ln>
                      <a:noFill/>
                    </a:ln>
                  </pic:spPr>
                </pic:pic>
              </a:graphicData>
            </a:graphic>
          </wp:inline>
        </w:drawing>
      </w:r>
    </w:p>
    <w:p w14:paraId="1F333FA2" w14:textId="77777777" w:rsidR="005659DC" w:rsidRPr="0015612E" w:rsidRDefault="005659DC" w:rsidP="005659DC">
      <w:pPr>
        <w:spacing w:before="0"/>
        <w:jc w:val="center"/>
        <w:rPr>
          <w:rFonts w:ascii="Arial" w:hAnsi="Arial" w:cs="Arial"/>
          <w:sz w:val="18"/>
          <w:szCs w:val="16"/>
        </w:rPr>
      </w:pPr>
      <w:r w:rsidRPr="0015612E">
        <w:rPr>
          <w:rFonts w:ascii="Arial" w:hAnsi="Arial" w:cs="Arial"/>
          <w:sz w:val="18"/>
          <w:szCs w:val="16"/>
        </w:rPr>
        <w:t>Date</w:t>
      </w:r>
    </w:p>
    <w:p w14:paraId="0C1CF229" w14:textId="1C0EEF5A" w:rsidR="005659DC" w:rsidRDefault="005659DC" w:rsidP="00605FB2">
      <w:pPr>
        <w:pStyle w:val="Captions"/>
      </w:pPr>
      <w:bookmarkStart w:id="258" w:name="_Ref96529732"/>
      <w:bookmarkStart w:id="259" w:name="_Toc103170081"/>
      <w:bookmarkStart w:id="260" w:name="_Toc152860262"/>
      <w:bookmarkStart w:id="261" w:name="_Toc200464486"/>
      <w:r>
        <w:t xml:space="preserve">Figure </w:t>
      </w:r>
      <w:r>
        <w:fldChar w:fldCharType="begin"/>
      </w:r>
      <w:r>
        <w:instrText xml:space="preserve"> SEQ Figure \* ARABIC </w:instrText>
      </w:r>
      <w:r>
        <w:fldChar w:fldCharType="separate"/>
      </w:r>
      <w:r w:rsidR="00102828">
        <w:rPr>
          <w:noProof/>
        </w:rPr>
        <w:t>35</w:t>
      </w:r>
      <w:r>
        <w:rPr>
          <w:noProof/>
        </w:rPr>
        <w:fldChar w:fldCharType="end"/>
      </w:r>
      <w:bookmarkEnd w:id="258"/>
      <w:r w:rsidRPr="001832D4">
        <w:t xml:space="preserve">. Cumulative salt flux with and without environmental water delivery through </w:t>
      </w:r>
      <w:r>
        <w:t xml:space="preserve">Pelican </w:t>
      </w:r>
      <w:r w:rsidRPr="001832D4">
        <w:t>Point and Parnka Point</w:t>
      </w:r>
      <w:r>
        <w:t xml:space="preserve"> sites</w:t>
      </w:r>
      <w:r w:rsidRPr="001832D4">
        <w:t xml:space="preserve"> for July 2017–Ju</w:t>
      </w:r>
      <w:r>
        <w:t>ne</w:t>
      </w:r>
      <w:r w:rsidRPr="001832D4">
        <w:t xml:space="preserve"> 202</w:t>
      </w:r>
      <w:r>
        <w:t>4</w:t>
      </w:r>
      <w:r w:rsidRPr="001832D4">
        <w:t>.</w:t>
      </w:r>
      <w:bookmarkEnd w:id="259"/>
      <w:r w:rsidRPr="001832D4">
        <w:t xml:space="preserve"> </w:t>
      </w:r>
      <w:bookmarkStart w:id="262" w:name="_Hlk125589270"/>
      <w:r>
        <w:t>The results from the ‘base-case’, ‘No CEW 2023-24 (NC1</w:t>
      </w:r>
      <w:r w:rsidR="00FE0E4B">
        <w:t xml:space="preserve"> in 2023-24</w:t>
      </w:r>
      <w:r>
        <w:t>)’ and ‘No eWater 2023-24 (NE1)’ scenarios are overlapped in the first six years and show only slight differences in the last year (2023-24) due to the small contribution of environmental water to the total barrage flows in this year</w:t>
      </w:r>
      <w:r w:rsidRPr="00EC491B">
        <w:t xml:space="preserve"> </w:t>
      </w:r>
      <w:r>
        <w:t xml:space="preserve">and the line of ‘No CEW 2017–2024 (NC7)’ was largely overlayed by ‘No eWater 2017–2024 (NE7)’ because the environmental water was mostly contributed by </w:t>
      </w:r>
      <w:r w:rsidR="00E305DC">
        <w:t>Commonwealth environmental water (</w:t>
      </w:r>
      <w:r>
        <w:t>CEW</w:t>
      </w:r>
      <w:r w:rsidR="00E305DC">
        <w:t>)</w:t>
      </w:r>
      <w:r>
        <w:t xml:space="preserve"> over the seven-year study period. </w:t>
      </w:r>
      <w:r>
        <w:rPr>
          <w:lang w:eastAsia="zh-CN"/>
        </w:rPr>
        <w:t xml:space="preserve">Refer to </w:t>
      </w:r>
      <w:r>
        <w:rPr>
          <w:lang w:eastAsia="zh-CN"/>
        </w:rPr>
        <w:fldChar w:fldCharType="begin"/>
      </w:r>
      <w:r>
        <w:rPr>
          <w:lang w:eastAsia="zh-CN"/>
        </w:rPr>
        <w:instrText xml:space="preserve"> REF _Ref125016145 \h </w:instrText>
      </w:r>
      <w:r>
        <w:rPr>
          <w:lang w:eastAsia="zh-CN"/>
        </w:rPr>
      </w:r>
      <w:r>
        <w:rPr>
          <w:lang w:eastAsia="zh-CN"/>
        </w:rPr>
        <w:fldChar w:fldCharType="separate"/>
      </w:r>
      <w:r w:rsidR="00102828">
        <w:t xml:space="preserve">Table </w:t>
      </w:r>
      <w:r w:rsidR="00102828">
        <w:rPr>
          <w:noProof/>
        </w:rPr>
        <w:t>6</w:t>
      </w:r>
      <w:r>
        <w:rPr>
          <w:lang w:eastAsia="zh-CN"/>
        </w:rPr>
        <w:fldChar w:fldCharType="end"/>
      </w:r>
      <w:r>
        <w:rPr>
          <w:lang w:eastAsia="zh-CN"/>
        </w:rPr>
        <w:t xml:space="preserve"> for scenarios.</w:t>
      </w:r>
      <w:bookmarkEnd w:id="260"/>
      <w:bookmarkEnd w:id="261"/>
      <w:r w:rsidRPr="004365E4">
        <w:t xml:space="preserve"> </w:t>
      </w:r>
      <w:bookmarkEnd w:id="262"/>
    </w:p>
    <w:p w14:paraId="172B6678" w14:textId="4264D9E2" w:rsidR="00232C23" w:rsidRDefault="005659DC" w:rsidP="005659DC">
      <w:r>
        <w:t>Further analysis on the cumulative salt flux though Pelican Point to the North Lagoon and through Parnka Point to the South Lagoon (</w:t>
      </w:r>
      <w:r>
        <w:fldChar w:fldCharType="begin"/>
      </w:r>
      <w:r>
        <w:instrText xml:space="preserve"> REF _Ref96529732 \h </w:instrText>
      </w:r>
      <w:r>
        <w:fldChar w:fldCharType="separate"/>
      </w:r>
      <w:r w:rsidR="00102828">
        <w:t xml:space="preserve">Figure </w:t>
      </w:r>
      <w:r w:rsidR="00102828">
        <w:rPr>
          <w:noProof/>
        </w:rPr>
        <w:t>35</w:t>
      </w:r>
      <w:r>
        <w:fldChar w:fldCharType="end"/>
      </w:r>
      <w:r>
        <w:t xml:space="preserve">) showed the salt accumulation generally increased with time from July 2017 to July 2021 at both sites. In the years 2021–2023, the cumulative salt flux through Pelican Point decreased in the first few months then remained relatively constant due to the relatively flat salinity gradient from Murray Mouth region to the North Lagoon. In contrast, the cumulative salt flux through Parnka Point fluctuated but in general decreased to the end of </w:t>
      </w:r>
      <w:r w:rsidR="00F74875">
        <w:t>2022-23</w:t>
      </w:r>
      <w:r>
        <w:t>. In 2023-24, the cumulative salt flux dropped</w:t>
      </w:r>
      <w:r w:rsidR="00F74875">
        <w:t xml:space="preserve"> during the first six months</w:t>
      </w:r>
      <w:r>
        <w:t xml:space="preserve"> then increased from January–June 2024 at both sites, corresponding to the strong barrage flows </w:t>
      </w:r>
      <w:r w:rsidR="00F74875">
        <w:t xml:space="preserve">till </w:t>
      </w:r>
      <w:r>
        <w:t xml:space="preserve">late 2023 and reduced barrage flows in January–June 2024. Overall, there was still a net decrease of cumulative salt flux through Pelican Point and Parnka Point in 2023-24. The cumulative salt fluxes increased from the ‘No CEW 1 year’ to ‘No CEW 7 years’, and from the ‘No eWater 1 year’ to ‘No eWater 7 years’ scenarios, indicating cumulative effects of the environmental water on the salt transport. </w:t>
      </w:r>
    </w:p>
    <w:p w14:paraId="4D82CD3C" w14:textId="46D7D2E6" w:rsidR="005659DC" w:rsidRDefault="005659DC" w:rsidP="005659DC">
      <w:r>
        <w:lastRenderedPageBreak/>
        <w:t xml:space="preserve">The mean and median salinity at Murray Mouth, North Lagoon and South Lagoon in each year are summarised in </w:t>
      </w:r>
      <w:r>
        <w:fldChar w:fldCharType="begin"/>
      </w:r>
      <w:r>
        <w:instrText xml:space="preserve"> REF _Ref161212653 \h </w:instrText>
      </w:r>
      <w:r>
        <w:fldChar w:fldCharType="separate"/>
      </w:r>
      <w:r w:rsidR="00102828">
        <w:t xml:space="preserve">Table </w:t>
      </w:r>
      <w:r w:rsidR="00102828">
        <w:rPr>
          <w:noProof/>
        </w:rPr>
        <w:t>8</w:t>
      </w:r>
      <w:r>
        <w:fldChar w:fldCharType="end"/>
      </w:r>
      <w:r>
        <w:t xml:space="preserve">. The mean and median salinity at the Murray Mouth and North/South lagoons showed a dynamic variation corresponding to external forcings with a general increase from 2017 to 2021, then </w:t>
      </w:r>
      <w:r w:rsidR="00232C23">
        <w:t xml:space="preserve">a </w:t>
      </w:r>
      <w:r>
        <w:t>general decrease from 2021 to 2023. In 2023-24, the mean and median salinity increased at the Murray Mouth and North Lagoon, and slightly decreased in the South Lagoon. E</w:t>
      </w:r>
      <w:r w:rsidRPr="00EC7554">
        <w:t xml:space="preserve">nvironmental water reduced the salinity in the </w:t>
      </w:r>
      <w:r>
        <w:t>Coorong,</w:t>
      </w:r>
      <w:r w:rsidRPr="00EC7554">
        <w:t xml:space="preserve"> </w:t>
      </w:r>
      <w:r>
        <w:t>which is particularly evident</w:t>
      </w:r>
      <w:r w:rsidRPr="00EC7554">
        <w:t xml:space="preserve"> in the </w:t>
      </w:r>
      <w:r>
        <w:t>S</w:t>
      </w:r>
      <w:r w:rsidRPr="00EC7554">
        <w:t xml:space="preserve">outh </w:t>
      </w:r>
      <w:r>
        <w:t>Lagoon</w:t>
      </w:r>
      <w:r w:rsidRPr="00EC7554">
        <w:t>, where the me</w:t>
      </w:r>
      <w:r>
        <w:t>dia</w:t>
      </w:r>
      <w:r w:rsidRPr="00EC7554">
        <w:t>n salinity in 202</w:t>
      </w:r>
      <w:r>
        <w:t>3</w:t>
      </w:r>
      <w:r w:rsidRPr="00EC7554">
        <w:t>-2</w:t>
      </w:r>
      <w:r>
        <w:t>4</w:t>
      </w:r>
      <w:r w:rsidRPr="00EC7554">
        <w:t xml:space="preserve"> would have </w:t>
      </w:r>
      <w:r>
        <w:t>increased from 59.64 PSU to 82.90 PSU</w:t>
      </w:r>
      <w:r w:rsidRPr="00EC7554">
        <w:t xml:space="preserve"> if there was no</w:t>
      </w:r>
      <w:r>
        <w:t xml:space="preserve"> Commonwealth environmental water</w:t>
      </w:r>
      <w:r w:rsidRPr="00EC7554">
        <w:t xml:space="preserve"> since 2017. </w:t>
      </w:r>
    </w:p>
    <w:p w14:paraId="2E08556F" w14:textId="77777777" w:rsidR="005659DC" w:rsidRPr="00A70967" w:rsidRDefault="005659DC" w:rsidP="005659DC">
      <w:pPr>
        <w:rPr>
          <w:i/>
          <w:u w:val="single"/>
        </w:rPr>
      </w:pPr>
      <w:bookmarkStart w:id="263" w:name="_Ref125020741"/>
      <w:bookmarkStart w:id="264" w:name="_Toc152860307"/>
      <w:r w:rsidRPr="00A70967">
        <w:rPr>
          <w:i/>
          <w:u w:val="single"/>
        </w:rPr>
        <w:t>Nutrients and chlorophyll</w:t>
      </w:r>
      <w:r>
        <w:rPr>
          <w:i/>
          <w:u w:val="single"/>
        </w:rPr>
        <w:t>-</w:t>
      </w:r>
      <w:r w:rsidRPr="00A70967">
        <w:rPr>
          <w:i/>
          <w:u w:val="single"/>
        </w:rPr>
        <w:t>a</w:t>
      </w:r>
    </w:p>
    <w:p w14:paraId="10C2469D" w14:textId="172ADE8F" w:rsidR="005659DC" w:rsidRDefault="005659DC" w:rsidP="005659DC">
      <w:r w:rsidRPr="005E38EF">
        <w:t xml:space="preserve">Predicted </w:t>
      </w:r>
      <w:r>
        <w:t>nutrient and chlorophyll-</w:t>
      </w:r>
      <w:r w:rsidRPr="00BC1669">
        <w:rPr>
          <w:i/>
          <w:iCs/>
        </w:rPr>
        <w:t>a</w:t>
      </w:r>
      <w:r>
        <w:t xml:space="preserve"> loads</w:t>
      </w:r>
      <w:r w:rsidRPr="005E38EF">
        <w:t xml:space="preserve"> in all scenarios at </w:t>
      </w:r>
      <w:r>
        <w:t>barrages, Murray Mouth, Pelican Point and Parnka Point are</w:t>
      </w:r>
      <w:r w:rsidRPr="005E38EF">
        <w:t xml:space="preserve"> </w:t>
      </w:r>
      <w:r w:rsidRPr="001832D4">
        <w:t xml:space="preserve">summarised </w:t>
      </w:r>
      <w:r>
        <w:t>in the supplementary material enclosed with this report. T</w:t>
      </w:r>
      <w:r w:rsidRPr="001832D4">
        <w:t xml:space="preserve">he total </w:t>
      </w:r>
      <w:r>
        <w:t>nitrogen</w:t>
      </w:r>
      <w:r w:rsidRPr="001832D4">
        <w:t xml:space="preserve"> loads in </w:t>
      </w:r>
      <w:r>
        <w:t xml:space="preserve">each year between July </w:t>
      </w:r>
      <w:r w:rsidRPr="001832D4">
        <w:t>20</w:t>
      </w:r>
      <w:r>
        <w:t>17</w:t>
      </w:r>
      <w:r w:rsidRPr="001832D4">
        <w:t>–</w:t>
      </w:r>
      <w:r>
        <w:t xml:space="preserve">June </w:t>
      </w:r>
      <w:r w:rsidRPr="001832D4">
        <w:t>202</w:t>
      </w:r>
      <w:r>
        <w:t>4</w:t>
      </w:r>
      <w:r w:rsidRPr="001832D4">
        <w:t xml:space="preserve"> are summarised in </w:t>
      </w:r>
      <w:r>
        <w:fldChar w:fldCharType="begin"/>
      </w:r>
      <w:r>
        <w:instrText xml:space="preserve"> REF _Ref125020919 \h </w:instrText>
      </w:r>
      <w:r>
        <w:fldChar w:fldCharType="separate"/>
      </w:r>
      <w:r w:rsidR="00102828">
        <w:t xml:space="preserve">Table </w:t>
      </w:r>
      <w:r w:rsidR="00102828">
        <w:rPr>
          <w:noProof/>
        </w:rPr>
        <w:t>9</w:t>
      </w:r>
      <w:r>
        <w:fldChar w:fldCharType="end"/>
      </w:r>
      <w:r>
        <w:t xml:space="preserve"> below as an example, </w:t>
      </w:r>
      <w:r w:rsidRPr="001832D4">
        <w:t xml:space="preserve">which showed the barrage flow </w:t>
      </w:r>
      <w:r>
        <w:t xml:space="preserve">transported </w:t>
      </w:r>
      <w:r w:rsidRPr="001832D4">
        <w:t>large amount of nutrient</w:t>
      </w:r>
      <w:r>
        <w:t>s</w:t>
      </w:r>
      <w:r w:rsidRPr="001832D4">
        <w:t xml:space="preserve"> from the </w:t>
      </w:r>
      <w:r>
        <w:t>B</w:t>
      </w:r>
      <w:r w:rsidRPr="001832D4">
        <w:t>asin into the Coorong, most of which</w:t>
      </w:r>
      <w:r>
        <w:t xml:space="preserve"> (&gt;84%)</w:t>
      </w:r>
      <w:r w:rsidRPr="001832D4">
        <w:t xml:space="preserve"> were then export</w:t>
      </w:r>
      <w:r>
        <w:t>ed</w:t>
      </w:r>
      <w:r w:rsidRPr="001832D4">
        <w:t xml:space="preserve"> to the Southern Ocean through the Murray </w:t>
      </w:r>
      <w:r>
        <w:t>M</w:t>
      </w:r>
      <w:r w:rsidRPr="001832D4">
        <w:t xml:space="preserve">outh. </w:t>
      </w:r>
      <w:r w:rsidR="00C416FA">
        <w:t>R</w:t>
      </w:r>
      <w:r>
        <w:t>elatively small amount</w:t>
      </w:r>
      <w:r w:rsidR="00C416FA">
        <w:t>s</w:t>
      </w:r>
      <w:r>
        <w:t xml:space="preserve"> of nutrients were transported southward during the dry years. During the wet years, the interactions of barrage flows, Salt Creek flow, and tide forcing may either transport nutrient to or flush out from the South and North lagoons. Environmental water had a large and ecologically significant impact on nutrient import from Lower Lakes to the Coorong and export from Coorong to the ocean, particularly during the dry years. However, t</w:t>
      </w:r>
      <w:r w:rsidRPr="001832D4">
        <w:t xml:space="preserve">he </w:t>
      </w:r>
      <w:r>
        <w:t xml:space="preserve">contribution of </w:t>
      </w:r>
      <w:r w:rsidRPr="001832D4">
        <w:t xml:space="preserve">environmental water </w:t>
      </w:r>
      <w:r>
        <w:t>to the southward nutrient and chlorophyll-</w:t>
      </w:r>
      <w:r w:rsidRPr="00BC1669">
        <w:rPr>
          <w:i/>
          <w:iCs/>
        </w:rPr>
        <w:t>a</w:t>
      </w:r>
      <w:r>
        <w:t xml:space="preserve"> fluxes varied in different years and were small compared to barrage loads and export to the Southern Ocean (supplementary material). The fluxes of nutrients in the North and South lagoons did not show significant differences between the ‘All Water’, ‘No CEW’ and ‘No eWater’ scenarios (</w:t>
      </w:r>
      <w:r>
        <w:fldChar w:fldCharType="begin"/>
      </w:r>
      <w:r>
        <w:instrText xml:space="preserve"> REF _Ref96529741 \h </w:instrText>
      </w:r>
      <w:r>
        <w:fldChar w:fldCharType="separate"/>
      </w:r>
      <w:r w:rsidR="00102828">
        <w:t xml:space="preserve">Figure </w:t>
      </w:r>
      <w:r w:rsidR="00102828">
        <w:rPr>
          <w:noProof/>
        </w:rPr>
        <w:t>36</w:t>
      </w:r>
      <w:r>
        <w:fldChar w:fldCharType="end"/>
      </w:r>
      <w:r>
        <w:t xml:space="preserve"> and supplementary material), indicating the nutrient cycling dynamics in the North and South lagoons are more dominated by local biogeochemical reactions than hydrodynamic transport.</w:t>
      </w:r>
    </w:p>
    <w:p w14:paraId="081BACDC" w14:textId="77777777" w:rsidR="005659DC" w:rsidRDefault="005659DC" w:rsidP="00605FB2">
      <w:pPr>
        <w:pStyle w:val="Captions"/>
        <w:sectPr w:rsidR="005659DC" w:rsidSect="005659DC">
          <w:pgSz w:w="11900" w:h="16840"/>
          <w:pgMar w:top="1440" w:right="1440" w:bottom="1440" w:left="1440" w:header="709" w:footer="709" w:gutter="0"/>
          <w:cols w:space="720"/>
          <w:docGrid w:linePitch="286"/>
        </w:sectPr>
      </w:pPr>
    </w:p>
    <w:p w14:paraId="28C333C3" w14:textId="4CCC80F7" w:rsidR="005659DC" w:rsidRDefault="005659DC" w:rsidP="00605FB2">
      <w:pPr>
        <w:pStyle w:val="Captions"/>
        <w:rPr>
          <w:lang w:eastAsia="zh-CN"/>
        </w:rPr>
      </w:pPr>
      <w:bookmarkStart w:id="265" w:name="_Ref161212653"/>
      <w:bookmarkStart w:id="266" w:name="_Toc200464532"/>
      <w:r>
        <w:lastRenderedPageBreak/>
        <w:t xml:space="preserve">Table </w:t>
      </w:r>
      <w:r>
        <w:fldChar w:fldCharType="begin"/>
      </w:r>
      <w:r>
        <w:instrText xml:space="preserve"> SEQ Table \* ARABIC </w:instrText>
      </w:r>
      <w:r>
        <w:fldChar w:fldCharType="separate"/>
      </w:r>
      <w:r w:rsidR="00102828">
        <w:rPr>
          <w:noProof/>
        </w:rPr>
        <w:t>8</w:t>
      </w:r>
      <w:r>
        <w:rPr>
          <w:noProof/>
        </w:rPr>
        <w:fldChar w:fldCharType="end"/>
      </w:r>
      <w:bookmarkEnd w:id="263"/>
      <w:bookmarkEnd w:id="265"/>
      <w:r>
        <w:t xml:space="preserve">. </w:t>
      </w:r>
      <w:r>
        <w:rPr>
          <w:lang w:eastAsia="zh-CN"/>
        </w:rPr>
        <w:t>Predicted mean and median salinity at Murray Mouth (MM), North Lagoon (NL) (at Long Point), and South Lagoon (SL) (at Woods Well) in all investigated scenarios. Units are practical salinity units (PSU).</w:t>
      </w:r>
      <w:r w:rsidRPr="00631191">
        <w:t xml:space="preserve"> </w:t>
      </w:r>
      <w:r w:rsidRPr="00631191">
        <w:rPr>
          <w:lang w:eastAsia="zh-CN"/>
        </w:rPr>
        <w:t>Refer to</w:t>
      </w:r>
      <w:r>
        <w:rPr>
          <w:lang w:eastAsia="zh-CN"/>
        </w:rPr>
        <w:t xml:space="preserve"> </w:t>
      </w:r>
      <w:r>
        <w:rPr>
          <w:lang w:eastAsia="zh-CN"/>
        </w:rPr>
        <w:fldChar w:fldCharType="begin"/>
      </w:r>
      <w:r>
        <w:rPr>
          <w:lang w:eastAsia="zh-CN"/>
        </w:rPr>
        <w:instrText xml:space="preserve"> REF _Ref125016145 \h </w:instrText>
      </w:r>
      <w:r>
        <w:rPr>
          <w:lang w:eastAsia="zh-CN"/>
        </w:rPr>
      </w:r>
      <w:r>
        <w:rPr>
          <w:lang w:eastAsia="zh-CN"/>
        </w:rPr>
        <w:fldChar w:fldCharType="separate"/>
      </w:r>
      <w:r w:rsidR="00102828">
        <w:t xml:space="preserve">Table </w:t>
      </w:r>
      <w:r w:rsidR="00102828">
        <w:rPr>
          <w:noProof/>
        </w:rPr>
        <w:t>6</w:t>
      </w:r>
      <w:r>
        <w:rPr>
          <w:lang w:eastAsia="zh-CN"/>
        </w:rPr>
        <w:fldChar w:fldCharType="end"/>
      </w:r>
      <w:r w:rsidRPr="00631191">
        <w:rPr>
          <w:lang w:eastAsia="zh-CN"/>
        </w:rPr>
        <w:t xml:space="preserve"> for scenarios.</w:t>
      </w:r>
      <w:bookmarkEnd w:id="264"/>
      <w:bookmarkEnd w:id="266"/>
    </w:p>
    <w:tbl>
      <w:tblPr>
        <w:tblStyle w:val="GridTable5Dark-Accent11"/>
        <w:tblW w:w="14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le of predicted mean and median salinity at Murray Mouth, North Lagoon, and South Lagoon in all investigated scenarios from 2017-2024."/>
      </w:tblPr>
      <w:tblGrid>
        <w:gridCol w:w="424"/>
        <w:gridCol w:w="989"/>
        <w:gridCol w:w="585"/>
        <w:gridCol w:w="585"/>
        <w:gridCol w:w="585"/>
        <w:gridCol w:w="585"/>
        <w:gridCol w:w="585"/>
        <w:gridCol w:w="585"/>
        <w:gridCol w:w="586"/>
        <w:gridCol w:w="585"/>
        <w:gridCol w:w="780"/>
        <w:gridCol w:w="585"/>
        <w:gridCol w:w="585"/>
        <w:gridCol w:w="673"/>
        <w:gridCol w:w="585"/>
        <w:gridCol w:w="586"/>
        <w:gridCol w:w="672"/>
        <w:gridCol w:w="585"/>
        <w:gridCol w:w="585"/>
        <w:gridCol w:w="585"/>
        <w:gridCol w:w="585"/>
        <w:gridCol w:w="585"/>
        <w:gridCol w:w="586"/>
      </w:tblGrid>
      <w:tr w:rsidR="005659DC" w:rsidRPr="008B2D6B" w14:paraId="65BCA3C2" w14:textId="77777777" w:rsidTr="00CE710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gridSpan w:val="2"/>
            <w:vMerge w:val="restart"/>
            <w:tcBorders>
              <w:top w:val="none" w:sz="0" w:space="0" w:color="auto"/>
              <w:left w:val="none" w:sz="0" w:space="0" w:color="auto"/>
              <w:right w:val="none" w:sz="0" w:space="0" w:color="auto"/>
            </w:tcBorders>
            <w:shd w:val="clear" w:color="auto" w:fill="auto"/>
            <w:noWrap/>
            <w:hideMark/>
          </w:tcPr>
          <w:p w14:paraId="63A59063" w14:textId="77777777" w:rsidR="005659DC" w:rsidRPr="008B2D6B" w:rsidRDefault="005659DC" w:rsidP="00CE710E">
            <w:pPr>
              <w:spacing w:before="0" w:after="0" w:line="240" w:lineRule="auto"/>
              <w:jc w:val="left"/>
              <w:rPr>
                <w:rFonts w:cs="Calibri"/>
                <w:b w:val="0"/>
                <w:bCs w:val="0"/>
                <w:kern w:val="0"/>
                <w:sz w:val="16"/>
                <w:szCs w:val="16"/>
              </w:rPr>
            </w:pPr>
            <w:r w:rsidRPr="008B2D6B">
              <w:rPr>
                <w:rFonts w:cs="Calibri"/>
                <w:kern w:val="0"/>
                <w:sz w:val="16"/>
                <w:szCs w:val="16"/>
              </w:rPr>
              <w:t> </w:t>
            </w:r>
          </w:p>
          <w:p w14:paraId="61A109EB" w14:textId="77777777" w:rsidR="005659DC" w:rsidRPr="008B2D6B" w:rsidRDefault="005659DC" w:rsidP="00CE710E">
            <w:pPr>
              <w:spacing w:before="0" w:after="0" w:line="240" w:lineRule="auto"/>
              <w:jc w:val="left"/>
              <w:rPr>
                <w:rFonts w:cs="Calibri"/>
                <w:kern w:val="0"/>
                <w:sz w:val="16"/>
                <w:szCs w:val="16"/>
              </w:rPr>
            </w:pPr>
            <w:r w:rsidRPr="008B2D6B">
              <w:rPr>
                <w:sz w:val="16"/>
                <w:szCs w:val="16"/>
              </w:rPr>
              <w:t>Scenarios</w:t>
            </w:r>
          </w:p>
        </w:tc>
        <w:tc>
          <w:tcPr>
            <w:tcW w:w="1755" w:type="dxa"/>
            <w:gridSpan w:val="3"/>
            <w:tcBorders>
              <w:top w:val="none" w:sz="0" w:space="0" w:color="auto"/>
              <w:left w:val="none" w:sz="0" w:space="0" w:color="auto"/>
              <w:right w:val="none" w:sz="0" w:space="0" w:color="auto"/>
            </w:tcBorders>
            <w:shd w:val="clear" w:color="auto" w:fill="auto"/>
            <w:noWrap/>
          </w:tcPr>
          <w:p w14:paraId="7A06620C" w14:textId="77777777" w:rsidR="005659DC" w:rsidRPr="008B2D6B"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kern w:val="0"/>
                <w:sz w:val="16"/>
                <w:szCs w:val="16"/>
              </w:rPr>
            </w:pPr>
            <w:r w:rsidRPr="008B2D6B">
              <w:rPr>
                <w:sz w:val="16"/>
                <w:szCs w:val="16"/>
              </w:rPr>
              <w:t>2017-18</w:t>
            </w:r>
          </w:p>
        </w:tc>
        <w:tc>
          <w:tcPr>
            <w:tcW w:w="1755" w:type="dxa"/>
            <w:gridSpan w:val="3"/>
            <w:tcBorders>
              <w:top w:val="none" w:sz="0" w:space="0" w:color="auto"/>
              <w:left w:val="none" w:sz="0" w:space="0" w:color="auto"/>
              <w:right w:val="none" w:sz="0" w:space="0" w:color="auto"/>
            </w:tcBorders>
            <w:shd w:val="clear" w:color="auto" w:fill="auto"/>
          </w:tcPr>
          <w:p w14:paraId="61EC52DB" w14:textId="77777777" w:rsidR="005659DC" w:rsidRPr="008B2D6B"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kern w:val="0"/>
                <w:sz w:val="16"/>
                <w:szCs w:val="16"/>
              </w:rPr>
            </w:pPr>
            <w:r w:rsidRPr="008B2D6B">
              <w:rPr>
                <w:sz w:val="16"/>
                <w:szCs w:val="16"/>
              </w:rPr>
              <w:t>2018-19</w:t>
            </w:r>
          </w:p>
        </w:tc>
        <w:tc>
          <w:tcPr>
            <w:tcW w:w="1951" w:type="dxa"/>
            <w:gridSpan w:val="3"/>
            <w:tcBorders>
              <w:top w:val="none" w:sz="0" w:space="0" w:color="auto"/>
              <w:left w:val="none" w:sz="0" w:space="0" w:color="auto"/>
              <w:right w:val="none" w:sz="0" w:space="0" w:color="auto"/>
            </w:tcBorders>
            <w:shd w:val="clear" w:color="auto" w:fill="auto"/>
          </w:tcPr>
          <w:p w14:paraId="423375FF" w14:textId="77777777" w:rsidR="005659DC" w:rsidRPr="008B2D6B"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kern w:val="0"/>
                <w:sz w:val="16"/>
                <w:szCs w:val="16"/>
              </w:rPr>
            </w:pPr>
            <w:r w:rsidRPr="008B2D6B">
              <w:rPr>
                <w:sz w:val="16"/>
                <w:szCs w:val="16"/>
              </w:rPr>
              <w:t>2019-20</w:t>
            </w:r>
          </w:p>
        </w:tc>
        <w:tc>
          <w:tcPr>
            <w:tcW w:w="1843" w:type="dxa"/>
            <w:gridSpan w:val="3"/>
            <w:tcBorders>
              <w:top w:val="none" w:sz="0" w:space="0" w:color="auto"/>
              <w:left w:val="none" w:sz="0" w:space="0" w:color="auto"/>
              <w:right w:val="none" w:sz="0" w:space="0" w:color="auto"/>
            </w:tcBorders>
            <w:shd w:val="clear" w:color="auto" w:fill="auto"/>
          </w:tcPr>
          <w:p w14:paraId="4B429AB1" w14:textId="77777777" w:rsidR="005659DC" w:rsidRPr="008B2D6B"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kern w:val="0"/>
                <w:sz w:val="16"/>
                <w:szCs w:val="16"/>
              </w:rPr>
            </w:pPr>
            <w:r w:rsidRPr="008B2D6B">
              <w:rPr>
                <w:sz w:val="16"/>
                <w:szCs w:val="16"/>
              </w:rPr>
              <w:t>2020-21</w:t>
            </w:r>
          </w:p>
        </w:tc>
        <w:tc>
          <w:tcPr>
            <w:tcW w:w="1843" w:type="dxa"/>
            <w:gridSpan w:val="3"/>
            <w:tcBorders>
              <w:top w:val="none" w:sz="0" w:space="0" w:color="auto"/>
              <w:left w:val="none" w:sz="0" w:space="0" w:color="auto"/>
              <w:right w:val="none" w:sz="0" w:space="0" w:color="auto"/>
            </w:tcBorders>
            <w:shd w:val="clear" w:color="auto" w:fill="auto"/>
            <w:noWrap/>
          </w:tcPr>
          <w:p w14:paraId="55355716" w14:textId="77777777" w:rsidR="005659DC" w:rsidRPr="008B2D6B"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kern w:val="0"/>
                <w:sz w:val="16"/>
                <w:szCs w:val="16"/>
              </w:rPr>
            </w:pPr>
            <w:r w:rsidRPr="008B2D6B">
              <w:rPr>
                <w:sz w:val="16"/>
                <w:szCs w:val="16"/>
              </w:rPr>
              <w:t>2021-22</w:t>
            </w:r>
          </w:p>
        </w:tc>
        <w:tc>
          <w:tcPr>
            <w:tcW w:w="1755" w:type="dxa"/>
            <w:gridSpan w:val="3"/>
            <w:tcBorders>
              <w:top w:val="none" w:sz="0" w:space="0" w:color="auto"/>
              <w:left w:val="none" w:sz="0" w:space="0" w:color="auto"/>
              <w:right w:val="none" w:sz="0" w:space="0" w:color="auto"/>
            </w:tcBorders>
            <w:shd w:val="clear" w:color="auto" w:fill="auto"/>
            <w:noWrap/>
          </w:tcPr>
          <w:p w14:paraId="7A5AB836" w14:textId="77777777" w:rsidR="005659DC" w:rsidRPr="008B2D6B"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kern w:val="0"/>
                <w:sz w:val="16"/>
                <w:szCs w:val="16"/>
              </w:rPr>
            </w:pPr>
            <w:r w:rsidRPr="008B2D6B">
              <w:rPr>
                <w:sz w:val="16"/>
                <w:szCs w:val="16"/>
              </w:rPr>
              <w:t>2022-23</w:t>
            </w:r>
          </w:p>
        </w:tc>
        <w:tc>
          <w:tcPr>
            <w:tcW w:w="1756" w:type="dxa"/>
            <w:gridSpan w:val="3"/>
            <w:tcBorders>
              <w:top w:val="none" w:sz="0" w:space="0" w:color="auto"/>
              <w:left w:val="none" w:sz="0" w:space="0" w:color="auto"/>
              <w:right w:val="none" w:sz="0" w:space="0" w:color="auto"/>
            </w:tcBorders>
            <w:shd w:val="clear" w:color="auto" w:fill="auto"/>
          </w:tcPr>
          <w:p w14:paraId="0559EBED" w14:textId="77777777" w:rsidR="005659DC" w:rsidRPr="008B2D6B"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8B2D6B">
              <w:rPr>
                <w:sz w:val="16"/>
                <w:szCs w:val="16"/>
              </w:rPr>
              <w:t>202</w:t>
            </w:r>
            <w:r>
              <w:rPr>
                <w:sz w:val="16"/>
                <w:szCs w:val="16"/>
              </w:rPr>
              <w:t>3</w:t>
            </w:r>
            <w:r w:rsidRPr="008B2D6B">
              <w:rPr>
                <w:sz w:val="16"/>
                <w:szCs w:val="16"/>
              </w:rPr>
              <w:t>-2</w:t>
            </w:r>
            <w:r>
              <w:rPr>
                <w:sz w:val="16"/>
                <w:szCs w:val="16"/>
              </w:rPr>
              <w:t>4</w:t>
            </w:r>
          </w:p>
        </w:tc>
      </w:tr>
      <w:tr w:rsidR="00B27C3A" w:rsidRPr="008B2D6B" w14:paraId="3DBFE9E3" w14:textId="77777777" w:rsidTr="005659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gridSpan w:val="2"/>
            <w:vMerge/>
            <w:tcBorders>
              <w:left w:val="single" w:sz="4" w:space="0" w:color="auto"/>
            </w:tcBorders>
            <w:shd w:val="clear" w:color="auto" w:fill="auto"/>
            <w:noWrap/>
          </w:tcPr>
          <w:p w14:paraId="10E34051" w14:textId="77777777" w:rsidR="005659DC" w:rsidRPr="008B2D6B" w:rsidRDefault="005659DC" w:rsidP="00CE710E">
            <w:pPr>
              <w:spacing w:before="0" w:after="0" w:line="240" w:lineRule="auto"/>
              <w:jc w:val="left"/>
              <w:rPr>
                <w:rFonts w:cs="Calibri"/>
                <w:kern w:val="0"/>
                <w:sz w:val="16"/>
                <w:szCs w:val="16"/>
              </w:rPr>
            </w:pPr>
          </w:p>
        </w:tc>
        <w:tc>
          <w:tcPr>
            <w:tcW w:w="585" w:type="dxa"/>
            <w:shd w:val="clear" w:color="auto" w:fill="auto"/>
            <w:noWrap/>
          </w:tcPr>
          <w:p w14:paraId="79271A0C"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MM</w:t>
            </w:r>
          </w:p>
        </w:tc>
        <w:tc>
          <w:tcPr>
            <w:tcW w:w="585" w:type="dxa"/>
            <w:shd w:val="clear" w:color="auto" w:fill="auto"/>
            <w:noWrap/>
          </w:tcPr>
          <w:p w14:paraId="6C1F2828"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NL</w:t>
            </w:r>
          </w:p>
        </w:tc>
        <w:tc>
          <w:tcPr>
            <w:tcW w:w="585" w:type="dxa"/>
            <w:shd w:val="clear" w:color="auto" w:fill="auto"/>
            <w:noWrap/>
          </w:tcPr>
          <w:p w14:paraId="025472A8"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SL</w:t>
            </w:r>
          </w:p>
        </w:tc>
        <w:tc>
          <w:tcPr>
            <w:tcW w:w="585" w:type="dxa"/>
            <w:shd w:val="clear" w:color="auto" w:fill="auto"/>
          </w:tcPr>
          <w:p w14:paraId="7CBF4EB3"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MM</w:t>
            </w:r>
          </w:p>
        </w:tc>
        <w:tc>
          <w:tcPr>
            <w:tcW w:w="585" w:type="dxa"/>
            <w:shd w:val="clear" w:color="auto" w:fill="auto"/>
          </w:tcPr>
          <w:p w14:paraId="523B27A8"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NL</w:t>
            </w:r>
          </w:p>
        </w:tc>
        <w:tc>
          <w:tcPr>
            <w:tcW w:w="585" w:type="dxa"/>
            <w:shd w:val="clear" w:color="auto" w:fill="auto"/>
          </w:tcPr>
          <w:p w14:paraId="426D47E6"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SL</w:t>
            </w:r>
          </w:p>
        </w:tc>
        <w:tc>
          <w:tcPr>
            <w:tcW w:w="586" w:type="dxa"/>
            <w:shd w:val="clear" w:color="auto" w:fill="auto"/>
          </w:tcPr>
          <w:p w14:paraId="756C23A9"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MM</w:t>
            </w:r>
          </w:p>
        </w:tc>
        <w:tc>
          <w:tcPr>
            <w:tcW w:w="585" w:type="dxa"/>
            <w:shd w:val="clear" w:color="auto" w:fill="auto"/>
          </w:tcPr>
          <w:p w14:paraId="50A0F3D1"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NL</w:t>
            </w:r>
          </w:p>
        </w:tc>
        <w:tc>
          <w:tcPr>
            <w:tcW w:w="780" w:type="dxa"/>
            <w:shd w:val="clear" w:color="auto" w:fill="auto"/>
          </w:tcPr>
          <w:p w14:paraId="49B688A5"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SL</w:t>
            </w:r>
          </w:p>
        </w:tc>
        <w:tc>
          <w:tcPr>
            <w:tcW w:w="585" w:type="dxa"/>
            <w:shd w:val="clear" w:color="auto" w:fill="auto"/>
          </w:tcPr>
          <w:p w14:paraId="7AA4F51C"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MM</w:t>
            </w:r>
          </w:p>
        </w:tc>
        <w:tc>
          <w:tcPr>
            <w:tcW w:w="585" w:type="dxa"/>
            <w:shd w:val="clear" w:color="auto" w:fill="auto"/>
          </w:tcPr>
          <w:p w14:paraId="255C24D7"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NL</w:t>
            </w:r>
          </w:p>
        </w:tc>
        <w:tc>
          <w:tcPr>
            <w:tcW w:w="673" w:type="dxa"/>
            <w:shd w:val="clear" w:color="auto" w:fill="auto"/>
          </w:tcPr>
          <w:p w14:paraId="5AFE14B6"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SL</w:t>
            </w:r>
          </w:p>
        </w:tc>
        <w:tc>
          <w:tcPr>
            <w:tcW w:w="585" w:type="dxa"/>
            <w:shd w:val="clear" w:color="auto" w:fill="auto"/>
            <w:noWrap/>
          </w:tcPr>
          <w:p w14:paraId="606D6454"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MM</w:t>
            </w:r>
          </w:p>
        </w:tc>
        <w:tc>
          <w:tcPr>
            <w:tcW w:w="586" w:type="dxa"/>
            <w:shd w:val="clear" w:color="auto" w:fill="auto"/>
            <w:noWrap/>
          </w:tcPr>
          <w:p w14:paraId="5FAEDF07"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NL</w:t>
            </w:r>
          </w:p>
        </w:tc>
        <w:tc>
          <w:tcPr>
            <w:tcW w:w="672" w:type="dxa"/>
            <w:shd w:val="clear" w:color="auto" w:fill="auto"/>
            <w:noWrap/>
          </w:tcPr>
          <w:p w14:paraId="52AEFAB1"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SL</w:t>
            </w:r>
          </w:p>
        </w:tc>
        <w:tc>
          <w:tcPr>
            <w:tcW w:w="585" w:type="dxa"/>
            <w:shd w:val="clear" w:color="auto" w:fill="auto"/>
            <w:noWrap/>
          </w:tcPr>
          <w:p w14:paraId="1DD42867"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MM</w:t>
            </w:r>
          </w:p>
        </w:tc>
        <w:tc>
          <w:tcPr>
            <w:tcW w:w="585" w:type="dxa"/>
            <w:shd w:val="clear" w:color="auto" w:fill="auto"/>
            <w:noWrap/>
          </w:tcPr>
          <w:p w14:paraId="6F1EB18F"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NL</w:t>
            </w:r>
          </w:p>
        </w:tc>
        <w:tc>
          <w:tcPr>
            <w:tcW w:w="585" w:type="dxa"/>
            <w:shd w:val="clear" w:color="auto" w:fill="auto"/>
            <w:noWrap/>
          </w:tcPr>
          <w:p w14:paraId="078EB95B"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SL</w:t>
            </w:r>
          </w:p>
        </w:tc>
        <w:tc>
          <w:tcPr>
            <w:tcW w:w="585" w:type="dxa"/>
            <w:shd w:val="clear" w:color="auto" w:fill="auto"/>
          </w:tcPr>
          <w:p w14:paraId="09699C06"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MM</w:t>
            </w:r>
          </w:p>
        </w:tc>
        <w:tc>
          <w:tcPr>
            <w:tcW w:w="585" w:type="dxa"/>
            <w:shd w:val="clear" w:color="auto" w:fill="auto"/>
          </w:tcPr>
          <w:p w14:paraId="33933BFE"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NL</w:t>
            </w:r>
          </w:p>
        </w:tc>
        <w:tc>
          <w:tcPr>
            <w:tcW w:w="586" w:type="dxa"/>
            <w:shd w:val="clear" w:color="auto" w:fill="auto"/>
          </w:tcPr>
          <w:p w14:paraId="32714063" w14:textId="77777777" w:rsidR="005659DC" w:rsidRPr="008B2D6B" w:rsidRDefault="005659DC" w:rsidP="00CE71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SL</w:t>
            </w:r>
          </w:p>
        </w:tc>
      </w:tr>
      <w:tr w:rsidR="00B27C3A" w:rsidRPr="008B2D6B" w14:paraId="23DA2FB1" w14:textId="77777777" w:rsidTr="005659DC">
        <w:trPr>
          <w:trHeight w:val="300"/>
        </w:trPr>
        <w:tc>
          <w:tcPr>
            <w:cnfStyle w:val="001000000000" w:firstRow="0" w:lastRow="0" w:firstColumn="1" w:lastColumn="0" w:oddVBand="0" w:evenVBand="0" w:oddHBand="0" w:evenHBand="0" w:firstRowFirstColumn="0" w:firstRowLastColumn="0" w:lastRowFirstColumn="0" w:lastRowLastColumn="0"/>
            <w:tcW w:w="424" w:type="dxa"/>
            <w:vMerge w:val="restart"/>
            <w:tcBorders>
              <w:left w:val="single" w:sz="4" w:space="0" w:color="auto"/>
            </w:tcBorders>
            <w:shd w:val="clear" w:color="auto" w:fill="auto"/>
            <w:noWrap/>
            <w:textDirection w:val="btLr"/>
            <w:hideMark/>
          </w:tcPr>
          <w:p w14:paraId="067C6DBA" w14:textId="77777777" w:rsidR="005659DC" w:rsidRPr="008B2D6B" w:rsidRDefault="005659DC" w:rsidP="00CE710E">
            <w:pPr>
              <w:spacing w:before="0" w:after="0" w:line="240" w:lineRule="auto"/>
              <w:jc w:val="center"/>
              <w:rPr>
                <w:rFonts w:cs="Calibri"/>
                <w:kern w:val="0"/>
                <w:sz w:val="16"/>
                <w:szCs w:val="16"/>
              </w:rPr>
            </w:pPr>
            <w:r w:rsidRPr="008B2D6B">
              <w:rPr>
                <w:rFonts w:cs="Calibri"/>
                <w:kern w:val="0"/>
                <w:sz w:val="16"/>
                <w:szCs w:val="16"/>
              </w:rPr>
              <w:t>Mean</w:t>
            </w:r>
          </w:p>
        </w:tc>
        <w:tc>
          <w:tcPr>
            <w:tcW w:w="989" w:type="dxa"/>
            <w:shd w:val="clear" w:color="auto" w:fill="auto"/>
            <w:noWrap/>
            <w:hideMark/>
          </w:tcPr>
          <w:p w14:paraId="6E8A3E40" w14:textId="77777777" w:rsidR="005659DC" w:rsidRPr="008B2D6B"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8B2D6B">
              <w:rPr>
                <w:rFonts w:cs="Calibri"/>
                <w:kern w:val="0"/>
                <w:sz w:val="16"/>
                <w:szCs w:val="16"/>
              </w:rPr>
              <w:t>Base</w:t>
            </w:r>
            <w:r>
              <w:rPr>
                <w:rFonts w:cs="Calibri"/>
                <w:kern w:val="0"/>
                <w:sz w:val="16"/>
                <w:szCs w:val="16"/>
              </w:rPr>
              <w:t>-</w:t>
            </w:r>
            <w:r w:rsidRPr="008B2D6B">
              <w:rPr>
                <w:rFonts w:cs="Calibri"/>
                <w:kern w:val="0"/>
                <w:sz w:val="16"/>
                <w:szCs w:val="16"/>
              </w:rPr>
              <w:t>case</w:t>
            </w:r>
          </w:p>
        </w:tc>
        <w:tc>
          <w:tcPr>
            <w:tcW w:w="585" w:type="dxa"/>
            <w:shd w:val="clear" w:color="auto" w:fill="auto"/>
            <w:noWrap/>
            <w:hideMark/>
          </w:tcPr>
          <w:p w14:paraId="48831A9B"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17.79</w:t>
            </w:r>
          </w:p>
        </w:tc>
        <w:tc>
          <w:tcPr>
            <w:tcW w:w="585" w:type="dxa"/>
            <w:shd w:val="clear" w:color="auto" w:fill="auto"/>
            <w:noWrap/>
            <w:hideMark/>
          </w:tcPr>
          <w:p w14:paraId="68A081CD"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25.47</w:t>
            </w:r>
          </w:p>
        </w:tc>
        <w:tc>
          <w:tcPr>
            <w:tcW w:w="585" w:type="dxa"/>
            <w:shd w:val="clear" w:color="auto" w:fill="auto"/>
            <w:noWrap/>
            <w:hideMark/>
          </w:tcPr>
          <w:p w14:paraId="70A078FA"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68.73</w:t>
            </w:r>
          </w:p>
        </w:tc>
        <w:tc>
          <w:tcPr>
            <w:tcW w:w="585" w:type="dxa"/>
            <w:shd w:val="clear" w:color="auto" w:fill="auto"/>
          </w:tcPr>
          <w:p w14:paraId="574DF10D"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22.69</w:t>
            </w:r>
          </w:p>
        </w:tc>
        <w:tc>
          <w:tcPr>
            <w:tcW w:w="585" w:type="dxa"/>
            <w:shd w:val="clear" w:color="auto" w:fill="auto"/>
          </w:tcPr>
          <w:p w14:paraId="64255EA8"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31.73</w:t>
            </w:r>
          </w:p>
        </w:tc>
        <w:tc>
          <w:tcPr>
            <w:tcW w:w="585" w:type="dxa"/>
            <w:shd w:val="clear" w:color="auto" w:fill="auto"/>
          </w:tcPr>
          <w:p w14:paraId="08AD3232"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72.95</w:t>
            </w:r>
          </w:p>
        </w:tc>
        <w:tc>
          <w:tcPr>
            <w:tcW w:w="586" w:type="dxa"/>
            <w:shd w:val="clear" w:color="auto" w:fill="auto"/>
          </w:tcPr>
          <w:p w14:paraId="776B4F80"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22.14</w:t>
            </w:r>
          </w:p>
        </w:tc>
        <w:tc>
          <w:tcPr>
            <w:tcW w:w="585" w:type="dxa"/>
            <w:shd w:val="clear" w:color="auto" w:fill="auto"/>
          </w:tcPr>
          <w:p w14:paraId="6AD5C933"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27.06</w:t>
            </w:r>
          </w:p>
        </w:tc>
        <w:tc>
          <w:tcPr>
            <w:tcW w:w="780" w:type="dxa"/>
            <w:shd w:val="clear" w:color="auto" w:fill="auto"/>
          </w:tcPr>
          <w:p w14:paraId="2694925B"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80.80</w:t>
            </w:r>
          </w:p>
        </w:tc>
        <w:tc>
          <w:tcPr>
            <w:tcW w:w="585" w:type="dxa"/>
            <w:shd w:val="clear" w:color="auto" w:fill="auto"/>
          </w:tcPr>
          <w:p w14:paraId="2CBF6508"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17.66</w:t>
            </w:r>
          </w:p>
        </w:tc>
        <w:tc>
          <w:tcPr>
            <w:tcW w:w="585" w:type="dxa"/>
            <w:shd w:val="clear" w:color="auto" w:fill="auto"/>
          </w:tcPr>
          <w:p w14:paraId="4593B1AF"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26.23</w:t>
            </w:r>
          </w:p>
        </w:tc>
        <w:tc>
          <w:tcPr>
            <w:tcW w:w="673" w:type="dxa"/>
            <w:shd w:val="clear" w:color="auto" w:fill="auto"/>
          </w:tcPr>
          <w:p w14:paraId="4E144EE1"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89.13</w:t>
            </w:r>
          </w:p>
        </w:tc>
        <w:tc>
          <w:tcPr>
            <w:tcW w:w="585" w:type="dxa"/>
            <w:shd w:val="clear" w:color="auto" w:fill="auto"/>
            <w:noWrap/>
            <w:hideMark/>
          </w:tcPr>
          <w:p w14:paraId="7C22F270"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4.24</w:t>
            </w:r>
          </w:p>
        </w:tc>
        <w:tc>
          <w:tcPr>
            <w:tcW w:w="586" w:type="dxa"/>
            <w:shd w:val="clear" w:color="auto" w:fill="auto"/>
            <w:noWrap/>
            <w:hideMark/>
          </w:tcPr>
          <w:p w14:paraId="63BBB7AF"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19.70</w:t>
            </w:r>
          </w:p>
        </w:tc>
        <w:tc>
          <w:tcPr>
            <w:tcW w:w="672" w:type="dxa"/>
            <w:shd w:val="clear" w:color="auto" w:fill="auto"/>
            <w:noWrap/>
            <w:hideMark/>
          </w:tcPr>
          <w:p w14:paraId="33829E4D"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83.20</w:t>
            </w:r>
          </w:p>
        </w:tc>
        <w:tc>
          <w:tcPr>
            <w:tcW w:w="585" w:type="dxa"/>
            <w:shd w:val="clear" w:color="auto" w:fill="auto"/>
            <w:noWrap/>
            <w:hideMark/>
          </w:tcPr>
          <w:p w14:paraId="34FFAEC3"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2.02</w:t>
            </w:r>
          </w:p>
        </w:tc>
        <w:tc>
          <w:tcPr>
            <w:tcW w:w="585" w:type="dxa"/>
            <w:shd w:val="clear" w:color="auto" w:fill="auto"/>
            <w:noWrap/>
            <w:hideMark/>
          </w:tcPr>
          <w:p w14:paraId="4FE050EC"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13.69</w:t>
            </w:r>
          </w:p>
        </w:tc>
        <w:tc>
          <w:tcPr>
            <w:tcW w:w="585" w:type="dxa"/>
            <w:shd w:val="clear" w:color="auto" w:fill="auto"/>
            <w:noWrap/>
            <w:hideMark/>
          </w:tcPr>
          <w:p w14:paraId="6B8D3EA8"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63.37</w:t>
            </w:r>
          </w:p>
        </w:tc>
        <w:tc>
          <w:tcPr>
            <w:tcW w:w="585" w:type="dxa"/>
            <w:shd w:val="clear" w:color="auto" w:fill="auto"/>
          </w:tcPr>
          <w:p w14:paraId="24A99377"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9.39</w:t>
            </w:r>
          </w:p>
        </w:tc>
        <w:tc>
          <w:tcPr>
            <w:tcW w:w="585" w:type="dxa"/>
            <w:shd w:val="clear" w:color="auto" w:fill="auto"/>
          </w:tcPr>
          <w:p w14:paraId="188B0D61"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30.85</w:t>
            </w:r>
          </w:p>
        </w:tc>
        <w:tc>
          <w:tcPr>
            <w:tcW w:w="586" w:type="dxa"/>
            <w:shd w:val="clear" w:color="auto" w:fill="auto"/>
          </w:tcPr>
          <w:p w14:paraId="298D1137"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58.78</w:t>
            </w:r>
          </w:p>
        </w:tc>
      </w:tr>
      <w:tr w:rsidR="00B27C3A" w:rsidRPr="008B2D6B" w14:paraId="522E18AF" w14:textId="77777777" w:rsidTr="005659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4" w:type="dxa"/>
            <w:vMerge/>
            <w:tcBorders>
              <w:left w:val="single" w:sz="4" w:space="0" w:color="auto"/>
            </w:tcBorders>
            <w:shd w:val="clear" w:color="auto" w:fill="auto"/>
            <w:hideMark/>
          </w:tcPr>
          <w:p w14:paraId="0464626F" w14:textId="77777777" w:rsidR="005659DC" w:rsidRPr="008B2D6B" w:rsidRDefault="005659DC" w:rsidP="00CE710E">
            <w:pPr>
              <w:spacing w:before="0" w:after="0" w:line="240" w:lineRule="auto"/>
              <w:jc w:val="left"/>
              <w:rPr>
                <w:rFonts w:cs="Calibri"/>
                <w:kern w:val="0"/>
                <w:sz w:val="16"/>
                <w:szCs w:val="16"/>
              </w:rPr>
            </w:pPr>
          </w:p>
        </w:tc>
        <w:tc>
          <w:tcPr>
            <w:tcW w:w="989" w:type="dxa"/>
            <w:shd w:val="clear" w:color="auto" w:fill="auto"/>
            <w:noWrap/>
            <w:hideMark/>
          </w:tcPr>
          <w:p w14:paraId="1A20FA98" w14:textId="77777777" w:rsidR="005659DC" w:rsidRPr="008B2D6B"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NC1</w:t>
            </w:r>
          </w:p>
        </w:tc>
        <w:tc>
          <w:tcPr>
            <w:tcW w:w="585" w:type="dxa"/>
            <w:shd w:val="clear" w:color="auto" w:fill="auto"/>
            <w:noWrap/>
            <w:hideMark/>
          </w:tcPr>
          <w:p w14:paraId="7E3A4A85" w14:textId="5B5177E4" w:rsidR="005659DC" w:rsidRPr="008B2D6B" w:rsidRDefault="00A17002"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Pr>
                <w:sz w:val="14"/>
                <w:szCs w:val="14"/>
              </w:rPr>
              <w:t>27.37</w:t>
            </w:r>
          </w:p>
        </w:tc>
        <w:tc>
          <w:tcPr>
            <w:tcW w:w="585" w:type="dxa"/>
            <w:shd w:val="clear" w:color="auto" w:fill="auto"/>
            <w:noWrap/>
            <w:hideMark/>
          </w:tcPr>
          <w:p w14:paraId="1D49BE17" w14:textId="5F715279" w:rsidR="005659DC" w:rsidRPr="008B2D6B" w:rsidRDefault="00A17002"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Pr>
                <w:sz w:val="14"/>
                <w:szCs w:val="14"/>
              </w:rPr>
              <w:t>39.70</w:t>
            </w:r>
          </w:p>
        </w:tc>
        <w:tc>
          <w:tcPr>
            <w:tcW w:w="585" w:type="dxa"/>
            <w:shd w:val="clear" w:color="auto" w:fill="auto"/>
            <w:noWrap/>
            <w:hideMark/>
          </w:tcPr>
          <w:p w14:paraId="310E2FE1" w14:textId="1975D456" w:rsidR="005659DC" w:rsidRPr="008B2D6B" w:rsidRDefault="009569FA"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Pr>
                <w:sz w:val="14"/>
                <w:szCs w:val="14"/>
              </w:rPr>
              <w:t>73.59</w:t>
            </w:r>
          </w:p>
        </w:tc>
        <w:tc>
          <w:tcPr>
            <w:tcW w:w="585" w:type="dxa"/>
            <w:shd w:val="clear" w:color="auto" w:fill="auto"/>
          </w:tcPr>
          <w:p w14:paraId="084F9512" w14:textId="585F9BB1" w:rsidR="005659DC" w:rsidRPr="008B2D6B" w:rsidRDefault="009569FA"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30.26</w:t>
            </w:r>
          </w:p>
        </w:tc>
        <w:tc>
          <w:tcPr>
            <w:tcW w:w="585" w:type="dxa"/>
            <w:shd w:val="clear" w:color="auto" w:fill="auto"/>
          </w:tcPr>
          <w:p w14:paraId="70168E35" w14:textId="66E4B4D5" w:rsidR="005659DC" w:rsidRPr="008B2D6B" w:rsidRDefault="009569FA"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42.74</w:t>
            </w:r>
          </w:p>
        </w:tc>
        <w:tc>
          <w:tcPr>
            <w:tcW w:w="585" w:type="dxa"/>
            <w:shd w:val="clear" w:color="auto" w:fill="auto"/>
          </w:tcPr>
          <w:p w14:paraId="2C5A69B6" w14:textId="6EFA3FEB" w:rsidR="005659DC" w:rsidRPr="008B2D6B" w:rsidRDefault="009569FA"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76.96</w:t>
            </w:r>
          </w:p>
        </w:tc>
        <w:tc>
          <w:tcPr>
            <w:tcW w:w="586" w:type="dxa"/>
            <w:shd w:val="clear" w:color="auto" w:fill="auto"/>
          </w:tcPr>
          <w:p w14:paraId="239638AC" w14:textId="117313D5" w:rsidR="005659DC" w:rsidRPr="008B2D6B" w:rsidRDefault="009569FA"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29.61</w:t>
            </w:r>
          </w:p>
        </w:tc>
        <w:tc>
          <w:tcPr>
            <w:tcW w:w="585" w:type="dxa"/>
            <w:shd w:val="clear" w:color="auto" w:fill="auto"/>
          </w:tcPr>
          <w:p w14:paraId="5508D1E2" w14:textId="06CC96CB" w:rsidR="005659DC" w:rsidRPr="008B2D6B" w:rsidRDefault="009569FA"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41.94</w:t>
            </w:r>
          </w:p>
        </w:tc>
        <w:tc>
          <w:tcPr>
            <w:tcW w:w="780" w:type="dxa"/>
            <w:shd w:val="clear" w:color="auto" w:fill="auto"/>
          </w:tcPr>
          <w:p w14:paraId="4E68BC2B" w14:textId="71C19700" w:rsidR="005659DC" w:rsidRPr="008B2D6B" w:rsidRDefault="009569FA"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86.97</w:t>
            </w:r>
          </w:p>
        </w:tc>
        <w:tc>
          <w:tcPr>
            <w:tcW w:w="585" w:type="dxa"/>
            <w:shd w:val="clear" w:color="auto" w:fill="auto"/>
          </w:tcPr>
          <w:p w14:paraId="23079B22" w14:textId="2ACAD01D" w:rsidR="005659DC" w:rsidRPr="008B2D6B" w:rsidRDefault="005757D1"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25.28</w:t>
            </w:r>
          </w:p>
        </w:tc>
        <w:tc>
          <w:tcPr>
            <w:tcW w:w="585" w:type="dxa"/>
            <w:shd w:val="clear" w:color="auto" w:fill="auto"/>
          </w:tcPr>
          <w:p w14:paraId="75D73533" w14:textId="419EBEC7" w:rsidR="005659DC" w:rsidRPr="008B2D6B" w:rsidRDefault="005757D1"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38.84</w:t>
            </w:r>
          </w:p>
        </w:tc>
        <w:tc>
          <w:tcPr>
            <w:tcW w:w="673" w:type="dxa"/>
            <w:shd w:val="clear" w:color="auto" w:fill="auto"/>
          </w:tcPr>
          <w:p w14:paraId="5C20DB2A" w14:textId="0209B4C2" w:rsidR="005659DC" w:rsidRPr="008B2D6B" w:rsidRDefault="005757D1"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92.81</w:t>
            </w:r>
          </w:p>
        </w:tc>
        <w:tc>
          <w:tcPr>
            <w:tcW w:w="585" w:type="dxa"/>
            <w:shd w:val="clear" w:color="auto" w:fill="auto"/>
            <w:noWrap/>
            <w:hideMark/>
          </w:tcPr>
          <w:p w14:paraId="7384BAFD" w14:textId="49682F7F" w:rsidR="005659DC" w:rsidRPr="008B2D6B" w:rsidRDefault="00F009CA"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Pr>
                <w:sz w:val="14"/>
                <w:szCs w:val="14"/>
              </w:rPr>
              <w:t>5.48</w:t>
            </w:r>
          </w:p>
        </w:tc>
        <w:tc>
          <w:tcPr>
            <w:tcW w:w="586" w:type="dxa"/>
            <w:shd w:val="clear" w:color="auto" w:fill="auto"/>
            <w:noWrap/>
            <w:hideMark/>
          </w:tcPr>
          <w:p w14:paraId="460668DB" w14:textId="3CF2FDBF" w:rsidR="005659DC" w:rsidRPr="008B2D6B" w:rsidRDefault="00F009CA"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Pr>
                <w:sz w:val="14"/>
                <w:szCs w:val="14"/>
              </w:rPr>
              <w:t>21.13</w:t>
            </w:r>
          </w:p>
        </w:tc>
        <w:tc>
          <w:tcPr>
            <w:tcW w:w="672" w:type="dxa"/>
            <w:shd w:val="clear" w:color="auto" w:fill="auto"/>
            <w:noWrap/>
            <w:hideMark/>
          </w:tcPr>
          <w:p w14:paraId="7EF17797" w14:textId="50FD545D" w:rsidR="005659DC" w:rsidRPr="008B2D6B" w:rsidRDefault="00F009CA"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Pr>
                <w:sz w:val="14"/>
                <w:szCs w:val="14"/>
              </w:rPr>
              <w:t>83.46</w:t>
            </w:r>
          </w:p>
        </w:tc>
        <w:tc>
          <w:tcPr>
            <w:tcW w:w="585" w:type="dxa"/>
            <w:shd w:val="clear" w:color="auto" w:fill="auto"/>
            <w:noWrap/>
            <w:hideMark/>
          </w:tcPr>
          <w:p w14:paraId="1085DA7D" w14:textId="219A54AB" w:rsidR="005659DC" w:rsidRPr="008B2D6B" w:rsidRDefault="0028504E"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Pr>
                <w:sz w:val="14"/>
                <w:szCs w:val="14"/>
              </w:rPr>
              <w:t>2.39</w:t>
            </w:r>
          </w:p>
        </w:tc>
        <w:tc>
          <w:tcPr>
            <w:tcW w:w="585" w:type="dxa"/>
            <w:shd w:val="clear" w:color="auto" w:fill="auto"/>
            <w:noWrap/>
            <w:hideMark/>
          </w:tcPr>
          <w:p w14:paraId="7A1B9FFC" w14:textId="38AEF8A4" w:rsidR="005659DC" w:rsidRPr="008B2D6B" w:rsidRDefault="0028504E"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Pr>
                <w:sz w:val="14"/>
                <w:szCs w:val="14"/>
              </w:rPr>
              <w:t>14.09</w:t>
            </w:r>
          </w:p>
        </w:tc>
        <w:tc>
          <w:tcPr>
            <w:tcW w:w="585" w:type="dxa"/>
            <w:shd w:val="clear" w:color="auto" w:fill="auto"/>
            <w:noWrap/>
            <w:hideMark/>
          </w:tcPr>
          <w:p w14:paraId="10D577B1" w14:textId="2B858139" w:rsidR="005659DC" w:rsidRPr="008B2D6B" w:rsidRDefault="0028504E"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Pr>
                <w:sz w:val="14"/>
                <w:szCs w:val="14"/>
              </w:rPr>
              <w:t>63.48</w:t>
            </w:r>
          </w:p>
        </w:tc>
        <w:tc>
          <w:tcPr>
            <w:tcW w:w="585" w:type="dxa"/>
            <w:shd w:val="clear" w:color="auto" w:fill="auto"/>
          </w:tcPr>
          <w:p w14:paraId="685D7F90"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13.87</w:t>
            </w:r>
          </w:p>
        </w:tc>
        <w:tc>
          <w:tcPr>
            <w:tcW w:w="585" w:type="dxa"/>
            <w:shd w:val="clear" w:color="auto" w:fill="auto"/>
          </w:tcPr>
          <w:p w14:paraId="65F3B557" w14:textId="0C5EE0E3"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38.41</w:t>
            </w:r>
          </w:p>
        </w:tc>
        <w:tc>
          <w:tcPr>
            <w:tcW w:w="586" w:type="dxa"/>
            <w:shd w:val="clear" w:color="auto" w:fill="auto"/>
          </w:tcPr>
          <w:p w14:paraId="5180B860" w14:textId="2EE60A28"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59.67</w:t>
            </w:r>
          </w:p>
        </w:tc>
      </w:tr>
      <w:tr w:rsidR="00B27C3A" w:rsidRPr="008B2D6B" w14:paraId="5F48B1BE" w14:textId="77777777" w:rsidTr="005659DC">
        <w:trPr>
          <w:trHeight w:val="300"/>
        </w:trPr>
        <w:tc>
          <w:tcPr>
            <w:cnfStyle w:val="001000000000" w:firstRow="0" w:lastRow="0" w:firstColumn="1" w:lastColumn="0" w:oddVBand="0" w:evenVBand="0" w:oddHBand="0" w:evenHBand="0" w:firstRowFirstColumn="0" w:firstRowLastColumn="0" w:lastRowFirstColumn="0" w:lastRowLastColumn="0"/>
            <w:tcW w:w="424" w:type="dxa"/>
            <w:vMerge/>
            <w:tcBorders>
              <w:left w:val="single" w:sz="4" w:space="0" w:color="auto"/>
            </w:tcBorders>
            <w:shd w:val="clear" w:color="auto" w:fill="auto"/>
            <w:hideMark/>
          </w:tcPr>
          <w:p w14:paraId="4D75DB4C" w14:textId="77777777" w:rsidR="005659DC" w:rsidRPr="008B2D6B" w:rsidRDefault="005659DC" w:rsidP="00CE710E">
            <w:pPr>
              <w:spacing w:before="0" w:after="0" w:line="240" w:lineRule="auto"/>
              <w:jc w:val="left"/>
              <w:rPr>
                <w:rFonts w:cs="Calibri"/>
                <w:kern w:val="0"/>
                <w:sz w:val="16"/>
                <w:szCs w:val="16"/>
              </w:rPr>
            </w:pPr>
          </w:p>
        </w:tc>
        <w:tc>
          <w:tcPr>
            <w:tcW w:w="989" w:type="dxa"/>
            <w:shd w:val="clear" w:color="auto" w:fill="auto"/>
            <w:noWrap/>
            <w:hideMark/>
          </w:tcPr>
          <w:p w14:paraId="3D6AD7C3" w14:textId="77777777" w:rsidR="005659DC" w:rsidRPr="008B2D6B"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8B2D6B">
              <w:rPr>
                <w:rFonts w:cs="Calibri"/>
                <w:kern w:val="0"/>
                <w:sz w:val="16"/>
                <w:szCs w:val="16"/>
              </w:rPr>
              <w:t>NE1</w:t>
            </w:r>
          </w:p>
        </w:tc>
        <w:tc>
          <w:tcPr>
            <w:tcW w:w="585" w:type="dxa"/>
            <w:shd w:val="clear" w:color="auto" w:fill="auto"/>
            <w:noWrap/>
            <w:hideMark/>
          </w:tcPr>
          <w:p w14:paraId="46E435EC"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noWrap/>
            <w:hideMark/>
          </w:tcPr>
          <w:p w14:paraId="3BF56FA8"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noWrap/>
            <w:hideMark/>
          </w:tcPr>
          <w:p w14:paraId="51C96077"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tcPr>
          <w:p w14:paraId="3586864E"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w:t>
            </w:r>
          </w:p>
        </w:tc>
        <w:tc>
          <w:tcPr>
            <w:tcW w:w="585" w:type="dxa"/>
            <w:shd w:val="clear" w:color="auto" w:fill="auto"/>
          </w:tcPr>
          <w:p w14:paraId="04DB2659"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w:t>
            </w:r>
          </w:p>
        </w:tc>
        <w:tc>
          <w:tcPr>
            <w:tcW w:w="585" w:type="dxa"/>
            <w:shd w:val="clear" w:color="auto" w:fill="auto"/>
          </w:tcPr>
          <w:p w14:paraId="665AC6CC"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w:t>
            </w:r>
          </w:p>
        </w:tc>
        <w:tc>
          <w:tcPr>
            <w:tcW w:w="586" w:type="dxa"/>
            <w:shd w:val="clear" w:color="auto" w:fill="auto"/>
          </w:tcPr>
          <w:p w14:paraId="43896F3A"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w:t>
            </w:r>
          </w:p>
        </w:tc>
        <w:tc>
          <w:tcPr>
            <w:tcW w:w="585" w:type="dxa"/>
            <w:shd w:val="clear" w:color="auto" w:fill="auto"/>
          </w:tcPr>
          <w:p w14:paraId="0A7CEC39"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w:t>
            </w:r>
          </w:p>
        </w:tc>
        <w:tc>
          <w:tcPr>
            <w:tcW w:w="780" w:type="dxa"/>
            <w:shd w:val="clear" w:color="auto" w:fill="auto"/>
          </w:tcPr>
          <w:p w14:paraId="757F0C9D"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w:t>
            </w:r>
          </w:p>
        </w:tc>
        <w:tc>
          <w:tcPr>
            <w:tcW w:w="585" w:type="dxa"/>
            <w:shd w:val="clear" w:color="auto" w:fill="auto"/>
          </w:tcPr>
          <w:p w14:paraId="2613CEEF"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w:t>
            </w:r>
          </w:p>
        </w:tc>
        <w:tc>
          <w:tcPr>
            <w:tcW w:w="585" w:type="dxa"/>
            <w:shd w:val="clear" w:color="auto" w:fill="auto"/>
          </w:tcPr>
          <w:p w14:paraId="60F66FE1"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w:t>
            </w:r>
          </w:p>
        </w:tc>
        <w:tc>
          <w:tcPr>
            <w:tcW w:w="673" w:type="dxa"/>
            <w:shd w:val="clear" w:color="auto" w:fill="auto"/>
          </w:tcPr>
          <w:p w14:paraId="692EE865"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w:t>
            </w:r>
          </w:p>
        </w:tc>
        <w:tc>
          <w:tcPr>
            <w:tcW w:w="585" w:type="dxa"/>
            <w:shd w:val="clear" w:color="auto" w:fill="auto"/>
            <w:noWrap/>
            <w:hideMark/>
          </w:tcPr>
          <w:p w14:paraId="47966CD7"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sidRPr="008B2D6B">
              <w:rPr>
                <w:sz w:val="14"/>
                <w:szCs w:val="14"/>
              </w:rPr>
              <w:t>-</w:t>
            </w:r>
          </w:p>
        </w:tc>
        <w:tc>
          <w:tcPr>
            <w:tcW w:w="586" w:type="dxa"/>
            <w:shd w:val="clear" w:color="auto" w:fill="auto"/>
            <w:noWrap/>
            <w:hideMark/>
          </w:tcPr>
          <w:p w14:paraId="70DA6180"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sidRPr="008B2D6B">
              <w:rPr>
                <w:sz w:val="14"/>
                <w:szCs w:val="14"/>
              </w:rPr>
              <w:t>-</w:t>
            </w:r>
          </w:p>
        </w:tc>
        <w:tc>
          <w:tcPr>
            <w:tcW w:w="672" w:type="dxa"/>
            <w:shd w:val="clear" w:color="auto" w:fill="auto"/>
            <w:noWrap/>
            <w:hideMark/>
          </w:tcPr>
          <w:p w14:paraId="04DB4CD6"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noWrap/>
            <w:hideMark/>
          </w:tcPr>
          <w:p w14:paraId="6C1F5F6B"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noWrap/>
            <w:hideMark/>
          </w:tcPr>
          <w:p w14:paraId="0A9C761F"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noWrap/>
            <w:hideMark/>
          </w:tcPr>
          <w:p w14:paraId="2F6C4C9E"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tcPr>
          <w:p w14:paraId="68C41C91"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15.28</w:t>
            </w:r>
          </w:p>
        </w:tc>
        <w:tc>
          <w:tcPr>
            <w:tcW w:w="585" w:type="dxa"/>
            <w:shd w:val="clear" w:color="auto" w:fill="auto"/>
          </w:tcPr>
          <w:p w14:paraId="4688D858"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39.66</w:t>
            </w:r>
          </w:p>
        </w:tc>
        <w:tc>
          <w:tcPr>
            <w:tcW w:w="586" w:type="dxa"/>
            <w:shd w:val="clear" w:color="auto" w:fill="auto"/>
          </w:tcPr>
          <w:p w14:paraId="0AE07081"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59.58</w:t>
            </w:r>
          </w:p>
        </w:tc>
      </w:tr>
      <w:tr w:rsidR="00B27C3A" w:rsidRPr="008B2D6B" w14:paraId="2B85526A" w14:textId="77777777" w:rsidTr="005659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4" w:type="dxa"/>
            <w:vMerge/>
            <w:tcBorders>
              <w:left w:val="single" w:sz="4" w:space="0" w:color="auto"/>
            </w:tcBorders>
            <w:shd w:val="clear" w:color="auto" w:fill="auto"/>
            <w:hideMark/>
          </w:tcPr>
          <w:p w14:paraId="02D7BEA9" w14:textId="77777777" w:rsidR="005659DC" w:rsidRPr="008B2D6B" w:rsidRDefault="005659DC" w:rsidP="00CE710E">
            <w:pPr>
              <w:spacing w:before="0" w:after="0" w:line="240" w:lineRule="auto"/>
              <w:jc w:val="left"/>
              <w:rPr>
                <w:rFonts w:cs="Calibri"/>
                <w:kern w:val="0"/>
                <w:sz w:val="16"/>
                <w:szCs w:val="16"/>
              </w:rPr>
            </w:pPr>
          </w:p>
        </w:tc>
        <w:tc>
          <w:tcPr>
            <w:tcW w:w="989" w:type="dxa"/>
            <w:shd w:val="clear" w:color="auto" w:fill="auto"/>
            <w:noWrap/>
            <w:hideMark/>
          </w:tcPr>
          <w:p w14:paraId="29BA1DCE" w14:textId="77777777" w:rsidR="005659DC" w:rsidRPr="008B2D6B"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NC</w:t>
            </w:r>
            <w:r>
              <w:rPr>
                <w:rFonts w:cs="Calibri"/>
                <w:kern w:val="0"/>
                <w:sz w:val="16"/>
                <w:szCs w:val="16"/>
              </w:rPr>
              <w:t>7</w:t>
            </w:r>
          </w:p>
        </w:tc>
        <w:tc>
          <w:tcPr>
            <w:tcW w:w="585" w:type="dxa"/>
            <w:shd w:val="clear" w:color="auto" w:fill="auto"/>
            <w:noWrap/>
            <w:hideMark/>
          </w:tcPr>
          <w:p w14:paraId="64163B75"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27.37</w:t>
            </w:r>
          </w:p>
        </w:tc>
        <w:tc>
          <w:tcPr>
            <w:tcW w:w="585" w:type="dxa"/>
            <w:shd w:val="clear" w:color="auto" w:fill="auto"/>
            <w:noWrap/>
            <w:hideMark/>
          </w:tcPr>
          <w:p w14:paraId="43F3DD42"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39.70</w:t>
            </w:r>
          </w:p>
        </w:tc>
        <w:tc>
          <w:tcPr>
            <w:tcW w:w="585" w:type="dxa"/>
            <w:shd w:val="clear" w:color="auto" w:fill="auto"/>
            <w:noWrap/>
            <w:hideMark/>
          </w:tcPr>
          <w:p w14:paraId="7D7BFA13"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73.59</w:t>
            </w:r>
          </w:p>
        </w:tc>
        <w:tc>
          <w:tcPr>
            <w:tcW w:w="585" w:type="dxa"/>
            <w:shd w:val="clear" w:color="auto" w:fill="auto"/>
          </w:tcPr>
          <w:p w14:paraId="1835A79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30.67</w:t>
            </w:r>
          </w:p>
        </w:tc>
        <w:tc>
          <w:tcPr>
            <w:tcW w:w="585" w:type="dxa"/>
            <w:shd w:val="clear" w:color="auto" w:fill="auto"/>
          </w:tcPr>
          <w:p w14:paraId="5D6AE28F"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47.59</w:t>
            </w:r>
          </w:p>
        </w:tc>
        <w:tc>
          <w:tcPr>
            <w:tcW w:w="585" w:type="dxa"/>
            <w:shd w:val="clear" w:color="auto" w:fill="auto"/>
          </w:tcPr>
          <w:p w14:paraId="6882633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91.29</w:t>
            </w:r>
          </w:p>
        </w:tc>
        <w:tc>
          <w:tcPr>
            <w:tcW w:w="586" w:type="dxa"/>
            <w:shd w:val="clear" w:color="auto" w:fill="auto"/>
          </w:tcPr>
          <w:p w14:paraId="6D24F198"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30.37</w:t>
            </w:r>
          </w:p>
        </w:tc>
        <w:tc>
          <w:tcPr>
            <w:tcW w:w="585" w:type="dxa"/>
            <w:shd w:val="clear" w:color="auto" w:fill="auto"/>
          </w:tcPr>
          <w:p w14:paraId="3D55526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50.50</w:t>
            </w:r>
          </w:p>
        </w:tc>
        <w:tc>
          <w:tcPr>
            <w:tcW w:w="780" w:type="dxa"/>
            <w:shd w:val="clear" w:color="auto" w:fill="auto"/>
          </w:tcPr>
          <w:p w14:paraId="0D46E867"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112.38</w:t>
            </w:r>
          </w:p>
        </w:tc>
        <w:tc>
          <w:tcPr>
            <w:tcW w:w="585" w:type="dxa"/>
            <w:shd w:val="clear" w:color="auto" w:fill="auto"/>
          </w:tcPr>
          <w:p w14:paraId="744E669F"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25.87</w:t>
            </w:r>
          </w:p>
        </w:tc>
        <w:tc>
          <w:tcPr>
            <w:tcW w:w="585" w:type="dxa"/>
            <w:shd w:val="clear" w:color="auto" w:fill="auto"/>
          </w:tcPr>
          <w:p w14:paraId="7EC3CC3B"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45.49</w:t>
            </w:r>
          </w:p>
        </w:tc>
        <w:tc>
          <w:tcPr>
            <w:tcW w:w="673" w:type="dxa"/>
            <w:shd w:val="clear" w:color="auto" w:fill="auto"/>
          </w:tcPr>
          <w:p w14:paraId="387EF7FC"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127.61</w:t>
            </w:r>
          </w:p>
        </w:tc>
        <w:tc>
          <w:tcPr>
            <w:tcW w:w="585" w:type="dxa"/>
            <w:shd w:val="clear" w:color="auto" w:fill="auto"/>
            <w:noWrap/>
            <w:hideMark/>
          </w:tcPr>
          <w:p w14:paraId="79FC3E75"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5.84</w:t>
            </w:r>
          </w:p>
        </w:tc>
        <w:tc>
          <w:tcPr>
            <w:tcW w:w="586" w:type="dxa"/>
            <w:shd w:val="clear" w:color="auto" w:fill="auto"/>
            <w:noWrap/>
            <w:hideMark/>
          </w:tcPr>
          <w:p w14:paraId="5CF50C62"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32.31</w:t>
            </w:r>
          </w:p>
        </w:tc>
        <w:tc>
          <w:tcPr>
            <w:tcW w:w="672" w:type="dxa"/>
            <w:shd w:val="clear" w:color="auto" w:fill="auto"/>
            <w:noWrap/>
            <w:hideMark/>
          </w:tcPr>
          <w:p w14:paraId="3FE8EB6F"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121.03</w:t>
            </w:r>
          </w:p>
        </w:tc>
        <w:tc>
          <w:tcPr>
            <w:tcW w:w="585" w:type="dxa"/>
            <w:shd w:val="clear" w:color="auto" w:fill="auto"/>
            <w:noWrap/>
            <w:hideMark/>
          </w:tcPr>
          <w:p w14:paraId="659CE760"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2.42</w:t>
            </w:r>
          </w:p>
        </w:tc>
        <w:tc>
          <w:tcPr>
            <w:tcW w:w="585" w:type="dxa"/>
            <w:shd w:val="clear" w:color="auto" w:fill="auto"/>
            <w:noWrap/>
            <w:hideMark/>
          </w:tcPr>
          <w:p w14:paraId="4F6536D9"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20.20</w:t>
            </w:r>
          </w:p>
        </w:tc>
        <w:tc>
          <w:tcPr>
            <w:tcW w:w="585" w:type="dxa"/>
            <w:shd w:val="clear" w:color="auto" w:fill="auto"/>
            <w:noWrap/>
            <w:hideMark/>
          </w:tcPr>
          <w:p w14:paraId="78F60F0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89.75</w:t>
            </w:r>
          </w:p>
        </w:tc>
        <w:tc>
          <w:tcPr>
            <w:tcW w:w="585" w:type="dxa"/>
            <w:shd w:val="clear" w:color="auto" w:fill="auto"/>
          </w:tcPr>
          <w:p w14:paraId="12AB6479"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14.07</w:t>
            </w:r>
          </w:p>
        </w:tc>
        <w:tc>
          <w:tcPr>
            <w:tcW w:w="585" w:type="dxa"/>
            <w:shd w:val="clear" w:color="auto" w:fill="auto"/>
          </w:tcPr>
          <w:p w14:paraId="543A4335"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49.06</w:t>
            </w:r>
          </w:p>
        </w:tc>
        <w:tc>
          <w:tcPr>
            <w:tcW w:w="586" w:type="dxa"/>
            <w:shd w:val="clear" w:color="auto" w:fill="auto"/>
          </w:tcPr>
          <w:p w14:paraId="5A312C82" w14:textId="3BBB32C9"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81.5</w:t>
            </w:r>
            <w:r w:rsidR="003A134E">
              <w:rPr>
                <w:sz w:val="14"/>
                <w:szCs w:val="14"/>
              </w:rPr>
              <w:t>4</w:t>
            </w:r>
          </w:p>
        </w:tc>
      </w:tr>
      <w:tr w:rsidR="00B27C3A" w:rsidRPr="008B2D6B" w14:paraId="7A7AE2DC" w14:textId="77777777" w:rsidTr="005659DC">
        <w:trPr>
          <w:trHeight w:val="300"/>
        </w:trPr>
        <w:tc>
          <w:tcPr>
            <w:cnfStyle w:val="001000000000" w:firstRow="0" w:lastRow="0" w:firstColumn="1" w:lastColumn="0" w:oddVBand="0" w:evenVBand="0" w:oddHBand="0" w:evenHBand="0" w:firstRowFirstColumn="0" w:firstRowLastColumn="0" w:lastRowFirstColumn="0" w:lastRowLastColumn="0"/>
            <w:tcW w:w="424" w:type="dxa"/>
            <w:vMerge/>
            <w:tcBorders>
              <w:left w:val="single" w:sz="4" w:space="0" w:color="auto"/>
            </w:tcBorders>
            <w:shd w:val="clear" w:color="auto" w:fill="auto"/>
            <w:hideMark/>
          </w:tcPr>
          <w:p w14:paraId="34B78885" w14:textId="77777777" w:rsidR="005659DC" w:rsidRPr="008B2D6B" w:rsidRDefault="005659DC" w:rsidP="00CE710E">
            <w:pPr>
              <w:spacing w:before="0" w:after="0" w:line="240" w:lineRule="auto"/>
              <w:jc w:val="left"/>
              <w:rPr>
                <w:rFonts w:cs="Calibri"/>
                <w:kern w:val="0"/>
                <w:sz w:val="16"/>
                <w:szCs w:val="16"/>
              </w:rPr>
            </w:pPr>
          </w:p>
        </w:tc>
        <w:tc>
          <w:tcPr>
            <w:tcW w:w="989" w:type="dxa"/>
            <w:shd w:val="clear" w:color="auto" w:fill="auto"/>
            <w:noWrap/>
            <w:hideMark/>
          </w:tcPr>
          <w:p w14:paraId="7FFD3240" w14:textId="77777777" w:rsidR="005659DC" w:rsidRPr="008B2D6B"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8B2D6B">
              <w:rPr>
                <w:rFonts w:cs="Calibri"/>
                <w:kern w:val="0"/>
                <w:sz w:val="16"/>
                <w:szCs w:val="16"/>
              </w:rPr>
              <w:t>NE</w:t>
            </w:r>
            <w:r>
              <w:rPr>
                <w:rFonts w:cs="Calibri"/>
                <w:kern w:val="0"/>
                <w:sz w:val="16"/>
                <w:szCs w:val="16"/>
              </w:rPr>
              <w:t>7</w:t>
            </w:r>
          </w:p>
        </w:tc>
        <w:tc>
          <w:tcPr>
            <w:tcW w:w="585" w:type="dxa"/>
            <w:shd w:val="clear" w:color="auto" w:fill="auto"/>
            <w:noWrap/>
            <w:hideMark/>
          </w:tcPr>
          <w:p w14:paraId="2F7DBC95"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28.00</w:t>
            </w:r>
          </w:p>
        </w:tc>
        <w:tc>
          <w:tcPr>
            <w:tcW w:w="585" w:type="dxa"/>
            <w:shd w:val="clear" w:color="auto" w:fill="auto"/>
            <w:noWrap/>
            <w:hideMark/>
          </w:tcPr>
          <w:p w14:paraId="05B8795F"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40.68</w:t>
            </w:r>
          </w:p>
        </w:tc>
        <w:tc>
          <w:tcPr>
            <w:tcW w:w="585" w:type="dxa"/>
            <w:shd w:val="clear" w:color="auto" w:fill="auto"/>
            <w:noWrap/>
            <w:hideMark/>
          </w:tcPr>
          <w:p w14:paraId="1114F1CE"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73.91</w:t>
            </w:r>
          </w:p>
        </w:tc>
        <w:tc>
          <w:tcPr>
            <w:tcW w:w="585" w:type="dxa"/>
            <w:shd w:val="clear" w:color="auto" w:fill="auto"/>
          </w:tcPr>
          <w:p w14:paraId="6B8D1977"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30.68</w:t>
            </w:r>
          </w:p>
        </w:tc>
        <w:tc>
          <w:tcPr>
            <w:tcW w:w="585" w:type="dxa"/>
            <w:shd w:val="clear" w:color="auto" w:fill="auto"/>
          </w:tcPr>
          <w:p w14:paraId="1F16DBD3"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47.78</w:t>
            </w:r>
          </w:p>
        </w:tc>
        <w:tc>
          <w:tcPr>
            <w:tcW w:w="585" w:type="dxa"/>
            <w:shd w:val="clear" w:color="auto" w:fill="auto"/>
          </w:tcPr>
          <w:p w14:paraId="4AFBEF37"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92.09</w:t>
            </w:r>
          </w:p>
        </w:tc>
        <w:tc>
          <w:tcPr>
            <w:tcW w:w="586" w:type="dxa"/>
            <w:shd w:val="clear" w:color="auto" w:fill="auto"/>
          </w:tcPr>
          <w:p w14:paraId="3E14E859"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30.37</w:t>
            </w:r>
          </w:p>
        </w:tc>
        <w:tc>
          <w:tcPr>
            <w:tcW w:w="585" w:type="dxa"/>
            <w:shd w:val="clear" w:color="auto" w:fill="auto"/>
          </w:tcPr>
          <w:p w14:paraId="4322703B"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50.60</w:t>
            </w:r>
          </w:p>
        </w:tc>
        <w:tc>
          <w:tcPr>
            <w:tcW w:w="780" w:type="dxa"/>
            <w:shd w:val="clear" w:color="auto" w:fill="auto"/>
          </w:tcPr>
          <w:p w14:paraId="1B384F5E"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113.04</w:t>
            </w:r>
          </w:p>
        </w:tc>
        <w:tc>
          <w:tcPr>
            <w:tcW w:w="585" w:type="dxa"/>
            <w:shd w:val="clear" w:color="auto" w:fill="auto"/>
          </w:tcPr>
          <w:p w14:paraId="5A498B02"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26.40</w:t>
            </w:r>
          </w:p>
        </w:tc>
        <w:tc>
          <w:tcPr>
            <w:tcW w:w="585" w:type="dxa"/>
            <w:shd w:val="clear" w:color="auto" w:fill="auto"/>
          </w:tcPr>
          <w:p w14:paraId="5266BEF7"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46.50</w:t>
            </w:r>
          </w:p>
        </w:tc>
        <w:tc>
          <w:tcPr>
            <w:tcW w:w="673" w:type="dxa"/>
            <w:shd w:val="clear" w:color="auto" w:fill="auto"/>
          </w:tcPr>
          <w:p w14:paraId="4AB8F181"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128.65</w:t>
            </w:r>
          </w:p>
        </w:tc>
        <w:tc>
          <w:tcPr>
            <w:tcW w:w="585" w:type="dxa"/>
            <w:shd w:val="clear" w:color="auto" w:fill="auto"/>
            <w:noWrap/>
            <w:hideMark/>
          </w:tcPr>
          <w:p w14:paraId="3415D1A8"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7.05</w:t>
            </w:r>
          </w:p>
        </w:tc>
        <w:tc>
          <w:tcPr>
            <w:tcW w:w="586" w:type="dxa"/>
            <w:shd w:val="clear" w:color="auto" w:fill="auto"/>
            <w:noWrap/>
            <w:hideMark/>
          </w:tcPr>
          <w:p w14:paraId="4418F42C"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33.91</w:t>
            </w:r>
          </w:p>
        </w:tc>
        <w:tc>
          <w:tcPr>
            <w:tcW w:w="672" w:type="dxa"/>
            <w:shd w:val="clear" w:color="auto" w:fill="auto"/>
            <w:noWrap/>
            <w:hideMark/>
          </w:tcPr>
          <w:p w14:paraId="0C5C032B"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122.40</w:t>
            </w:r>
          </w:p>
        </w:tc>
        <w:tc>
          <w:tcPr>
            <w:tcW w:w="585" w:type="dxa"/>
            <w:shd w:val="clear" w:color="auto" w:fill="auto"/>
            <w:noWrap/>
            <w:hideMark/>
          </w:tcPr>
          <w:p w14:paraId="40F25187"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2.63</w:t>
            </w:r>
          </w:p>
        </w:tc>
        <w:tc>
          <w:tcPr>
            <w:tcW w:w="585" w:type="dxa"/>
            <w:shd w:val="clear" w:color="auto" w:fill="auto"/>
            <w:noWrap/>
            <w:hideMark/>
          </w:tcPr>
          <w:p w14:paraId="2B2E77C5"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20.55</w:t>
            </w:r>
          </w:p>
        </w:tc>
        <w:tc>
          <w:tcPr>
            <w:tcW w:w="585" w:type="dxa"/>
            <w:shd w:val="clear" w:color="auto" w:fill="auto"/>
            <w:noWrap/>
            <w:hideMark/>
          </w:tcPr>
          <w:p w14:paraId="30B57E3C"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90.24</w:t>
            </w:r>
          </w:p>
        </w:tc>
        <w:tc>
          <w:tcPr>
            <w:tcW w:w="585" w:type="dxa"/>
            <w:shd w:val="clear" w:color="auto" w:fill="auto"/>
          </w:tcPr>
          <w:p w14:paraId="3DB88A15"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15.51</w:t>
            </w:r>
          </w:p>
        </w:tc>
        <w:tc>
          <w:tcPr>
            <w:tcW w:w="585" w:type="dxa"/>
            <w:shd w:val="clear" w:color="auto" w:fill="auto"/>
          </w:tcPr>
          <w:p w14:paraId="6B9609A3"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50.50</w:t>
            </w:r>
          </w:p>
        </w:tc>
        <w:tc>
          <w:tcPr>
            <w:tcW w:w="586" w:type="dxa"/>
            <w:shd w:val="clear" w:color="auto" w:fill="auto"/>
          </w:tcPr>
          <w:p w14:paraId="75FCB363"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81.83</w:t>
            </w:r>
          </w:p>
        </w:tc>
      </w:tr>
      <w:tr w:rsidR="00B27C3A" w:rsidRPr="008B2D6B" w14:paraId="4228B1FB" w14:textId="77777777" w:rsidTr="005659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4" w:type="dxa"/>
            <w:vMerge w:val="restart"/>
            <w:tcBorders>
              <w:left w:val="single" w:sz="4" w:space="0" w:color="auto"/>
            </w:tcBorders>
            <w:shd w:val="clear" w:color="auto" w:fill="auto"/>
            <w:noWrap/>
            <w:textDirection w:val="btLr"/>
            <w:hideMark/>
          </w:tcPr>
          <w:p w14:paraId="575E028A" w14:textId="77777777" w:rsidR="005659DC" w:rsidRPr="008B2D6B" w:rsidRDefault="005659DC" w:rsidP="00CE710E">
            <w:pPr>
              <w:spacing w:before="0" w:after="0" w:line="240" w:lineRule="auto"/>
              <w:jc w:val="center"/>
              <w:rPr>
                <w:rFonts w:cs="Calibri"/>
                <w:kern w:val="0"/>
                <w:sz w:val="16"/>
                <w:szCs w:val="16"/>
              </w:rPr>
            </w:pPr>
            <w:r w:rsidRPr="008B2D6B">
              <w:rPr>
                <w:rFonts w:cs="Calibri"/>
                <w:kern w:val="0"/>
                <w:sz w:val="16"/>
                <w:szCs w:val="16"/>
              </w:rPr>
              <w:t>Median</w:t>
            </w:r>
          </w:p>
        </w:tc>
        <w:tc>
          <w:tcPr>
            <w:tcW w:w="989" w:type="dxa"/>
            <w:shd w:val="clear" w:color="auto" w:fill="auto"/>
            <w:noWrap/>
            <w:hideMark/>
          </w:tcPr>
          <w:p w14:paraId="4C944245" w14:textId="77777777" w:rsidR="005659DC" w:rsidRPr="008B2D6B"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Base</w:t>
            </w:r>
            <w:r>
              <w:rPr>
                <w:rFonts w:cs="Calibri"/>
                <w:kern w:val="0"/>
                <w:sz w:val="16"/>
                <w:szCs w:val="16"/>
              </w:rPr>
              <w:t>-</w:t>
            </w:r>
            <w:r w:rsidRPr="008B2D6B">
              <w:rPr>
                <w:rFonts w:cs="Calibri"/>
                <w:kern w:val="0"/>
                <w:sz w:val="16"/>
                <w:szCs w:val="16"/>
              </w:rPr>
              <w:t>case</w:t>
            </w:r>
          </w:p>
        </w:tc>
        <w:tc>
          <w:tcPr>
            <w:tcW w:w="585" w:type="dxa"/>
            <w:shd w:val="clear" w:color="auto" w:fill="auto"/>
            <w:noWrap/>
            <w:hideMark/>
          </w:tcPr>
          <w:p w14:paraId="6EBF3E9C"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19.99</w:t>
            </w:r>
          </w:p>
        </w:tc>
        <w:tc>
          <w:tcPr>
            <w:tcW w:w="585" w:type="dxa"/>
            <w:shd w:val="clear" w:color="auto" w:fill="auto"/>
            <w:noWrap/>
            <w:hideMark/>
          </w:tcPr>
          <w:p w14:paraId="39D1D5F1"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24.90</w:t>
            </w:r>
          </w:p>
        </w:tc>
        <w:tc>
          <w:tcPr>
            <w:tcW w:w="585" w:type="dxa"/>
            <w:shd w:val="clear" w:color="auto" w:fill="auto"/>
            <w:noWrap/>
            <w:hideMark/>
          </w:tcPr>
          <w:p w14:paraId="42094E5A"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70.94</w:t>
            </w:r>
          </w:p>
        </w:tc>
        <w:tc>
          <w:tcPr>
            <w:tcW w:w="585" w:type="dxa"/>
            <w:shd w:val="clear" w:color="auto" w:fill="auto"/>
          </w:tcPr>
          <w:p w14:paraId="7A0F9754"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27.42</w:t>
            </w:r>
          </w:p>
        </w:tc>
        <w:tc>
          <w:tcPr>
            <w:tcW w:w="585" w:type="dxa"/>
            <w:shd w:val="clear" w:color="auto" w:fill="auto"/>
          </w:tcPr>
          <w:p w14:paraId="432D5A0A"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29.48</w:t>
            </w:r>
          </w:p>
        </w:tc>
        <w:tc>
          <w:tcPr>
            <w:tcW w:w="585" w:type="dxa"/>
            <w:shd w:val="clear" w:color="auto" w:fill="auto"/>
          </w:tcPr>
          <w:p w14:paraId="3DE41A75"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74.92</w:t>
            </w:r>
          </w:p>
        </w:tc>
        <w:tc>
          <w:tcPr>
            <w:tcW w:w="586" w:type="dxa"/>
            <w:shd w:val="clear" w:color="auto" w:fill="auto"/>
          </w:tcPr>
          <w:p w14:paraId="72D7D8C3"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27.44</w:t>
            </w:r>
          </w:p>
        </w:tc>
        <w:tc>
          <w:tcPr>
            <w:tcW w:w="585" w:type="dxa"/>
            <w:shd w:val="clear" w:color="auto" w:fill="auto"/>
          </w:tcPr>
          <w:p w14:paraId="5DA39E02"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30.41</w:t>
            </w:r>
          </w:p>
        </w:tc>
        <w:tc>
          <w:tcPr>
            <w:tcW w:w="780" w:type="dxa"/>
            <w:shd w:val="clear" w:color="auto" w:fill="auto"/>
          </w:tcPr>
          <w:p w14:paraId="68F1A597"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81.95</w:t>
            </w:r>
          </w:p>
        </w:tc>
        <w:tc>
          <w:tcPr>
            <w:tcW w:w="585" w:type="dxa"/>
            <w:shd w:val="clear" w:color="auto" w:fill="auto"/>
          </w:tcPr>
          <w:p w14:paraId="196A7D28"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19.17</w:t>
            </w:r>
          </w:p>
        </w:tc>
        <w:tc>
          <w:tcPr>
            <w:tcW w:w="585" w:type="dxa"/>
            <w:shd w:val="clear" w:color="auto" w:fill="auto"/>
          </w:tcPr>
          <w:p w14:paraId="25501F34"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23.60</w:t>
            </w:r>
          </w:p>
        </w:tc>
        <w:tc>
          <w:tcPr>
            <w:tcW w:w="673" w:type="dxa"/>
            <w:shd w:val="clear" w:color="auto" w:fill="auto"/>
          </w:tcPr>
          <w:p w14:paraId="0DC9E629"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92.90</w:t>
            </w:r>
          </w:p>
        </w:tc>
        <w:tc>
          <w:tcPr>
            <w:tcW w:w="585" w:type="dxa"/>
            <w:shd w:val="clear" w:color="auto" w:fill="auto"/>
            <w:noWrap/>
            <w:hideMark/>
          </w:tcPr>
          <w:p w14:paraId="158F6553"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0.73</w:t>
            </w:r>
          </w:p>
        </w:tc>
        <w:tc>
          <w:tcPr>
            <w:tcW w:w="586" w:type="dxa"/>
            <w:shd w:val="clear" w:color="auto" w:fill="auto"/>
            <w:noWrap/>
            <w:hideMark/>
          </w:tcPr>
          <w:p w14:paraId="392EDDFF"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15.34</w:t>
            </w:r>
          </w:p>
        </w:tc>
        <w:tc>
          <w:tcPr>
            <w:tcW w:w="672" w:type="dxa"/>
            <w:shd w:val="clear" w:color="auto" w:fill="auto"/>
            <w:noWrap/>
            <w:hideMark/>
          </w:tcPr>
          <w:p w14:paraId="560745FE"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85.09</w:t>
            </w:r>
          </w:p>
        </w:tc>
        <w:tc>
          <w:tcPr>
            <w:tcW w:w="585" w:type="dxa"/>
            <w:shd w:val="clear" w:color="auto" w:fill="auto"/>
            <w:noWrap/>
            <w:hideMark/>
          </w:tcPr>
          <w:p w14:paraId="7015109D"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0.22</w:t>
            </w:r>
          </w:p>
        </w:tc>
        <w:tc>
          <w:tcPr>
            <w:tcW w:w="585" w:type="dxa"/>
            <w:shd w:val="clear" w:color="auto" w:fill="auto"/>
            <w:noWrap/>
            <w:hideMark/>
          </w:tcPr>
          <w:p w14:paraId="732B541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12.02</w:t>
            </w:r>
          </w:p>
        </w:tc>
        <w:tc>
          <w:tcPr>
            <w:tcW w:w="585" w:type="dxa"/>
            <w:shd w:val="clear" w:color="auto" w:fill="auto"/>
            <w:noWrap/>
            <w:hideMark/>
          </w:tcPr>
          <w:p w14:paraId="6045D65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67.44</w:t>
            </w:r>
          </w:p>
        </w:tc>
        <w:tc>
          <w:tcPr>
            <w:tcW w:w="585" w:type="dxa"/>
            <w:shd w:val="clear" w:color="auto" w:fill="auto"/>
          </w:tcPr>
          <w:p w14:paraId="723C954E"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1.88</w:t>
            </w:r>
          </w:p>
        </w:tc>
        <w:tc>
          <w:tcPr>
            <w:tcW w:w="585" w:type="dxa"/>
            <w:shd w:val="clear" w:color="auto" w:fill="auto"/>
          </w:tcPr>
          <w:p w14:paraId="1938B90A"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27.82</w:t>
            </w:r>
          </w:p>
        </w:tc>
        <w:tc>
          <w:tcPr>
            <w:tcW w:w="586" w:type="dxa"/>
            <w:shd w:val="clear" w:color="auto" w:fill="auto"/>
          </w:tcPr>
          <w:p w14:paraId="301F7718"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59.64</w:t>
            </w:r>
          </w:p>
        </w:tc>
      </w:tr>
      <w:tr w:rsidR="00B27C3A" w:rsidRPr="008B2D6B" w14:paraId="0D906A57" w14:textId="77777777" w:rsidTr="005659DC">
        <w:trPr>
          <w:trHeight w:val="300"/>
        </w:trPr>
        <w:tc>
          <w:tcPr>
            <w:cnfStyle w:val="001000000000" w:firstRow="0" w:lastRow="0" w:firstColumn="1" w:lastColumn="0" w:oddVBand="0" w:evenVBand="0" w:oddHBand="0" w:evenHBand="0" w:firstRowFirstColumn="0" w:firstRowLastColumn="0" w:lastRowFirstColumn="0" w:lastRowLastColumn="0"/>
            <w:tcW w:w="424" w:type="dxa"/>
            <w:vMerge/>
            <w:tcBorders>
              <w:left w:val="single" w:sz="4" w:space="0" w:color="auto"/>
            </w:tcBorders>
            <w:shd w:val="clear" w:color="auto" w:fill="auto"/>
            <w:hideMark/>
          </w:tcPr>
          <w:p w14:paraId="2E40B0FE" w14:textId="77777777" w:rsidR="005659DC" w:rsidRPr="008B2D6B" w:rsidRDefault="005659DC" w:rsidP="00CE710E">
            <w:pPr>
              <w:spacing w:before="0" w:after="0" w:line="240" w:lineRule="auto"/>
              <w:jc w:val="left"/>
              <w:rPr>
                <w:rFonts w:cs="Calibri"/>
                <w:kern w:val="0"/>
                <w:sz w:val="16"/>
                <w:szCs w:val="16"/>
              </w:rPr>
            </w:pPr>
          </w:p>
        </w:tc>
        <w:tc>
          <w:tcPr>
            <w:tcW w:w="989" w:type="dxa"/>
            <w:shd w:val="clear" w:color="auto" w:fill="auto"/>
            <w:noWrap/>
            <w:hideMark/>
          </w:tcPr>
          <w:p w14:paraId="02D2CCB4" w14:textId="77777777" w:rsidR="005659DC" w:rsidRPr="008B2D6B"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8B2D6B">
              <w:rPr>
                <w:rFonts w:cs="Calibri"/>
                <w:kern w:val="0"/>
                <w:sz w:val="16"/>
                <w:szCs w:val="16"/>
              </w:rPr>
              <w:t>NC1</w:t>
            </w:r>
          </w:p>
        </w:tc>
        <w:tc>
          <w:tcPr>
            <w:tcW w:w="585" w:type="dxa"/>
            <w:shd w:val="clear" w:color="auto" w:fill="auto"/>
            <w:noWrap/>
            <w:hideMark/>
          </w:tcPr>
          <w:p w14:paraId="6C03D35B" w14:textId="17982303" w:rsidR="005659DC" w:rsidRPr="008B2D6B" w:rsidRDefault="00777791"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Pr>
                <w:sz w:val="14"/>
                <w:szCs w:val="14"/>
              </w:rPr>
              <w:t>34.71</w:t>
            </w:r>
          </w:p>
        </w:tc>
        <w:tc>
          <w:tcPr>
            <w:tcW w:w="585" w:type="dxa"/>
            <w:shd w:val="clear" w:color="auto" w:fill="auto"/>
            <w:noWrap/>
            <w:hideMark/>
          </w:tcPr>
          <w:p w14:paraId="69D02C37" w14:textId="4283E356" w:rsidR="005659DC" w:rsidRPr="008B2D6B" w:rsidRDefault="00963BA2"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Pr>
                <w:sz w:val="14"/>
                <w:szCs w:val="14"/>
              </w:rPr>
              <w:t>39.04</w:t>
            </w:r>
          </w:p>
        </w:tc>
        <w:tc>
          <w:tcPr>
            <w:tcW w:w="585" w:type="dxa"/>
            <w:shd w:val="clear" w:color="auto" w:fill="auto"/>
            <w:noWrap/>
            <w:hideMark/>
          </w:tcPr>
          <w:p w14:paraId="723D28F2" w14:textId="58B52B63" w:rsidR="005659DC" w:rsidRPr="008B2D6B" w:rsidRDefault="00963BA2"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Pr>
                <w:sz w:val="14"/>
                <w:szCs w:val="14"/>
              </w:rPr>
              <w:t>75.65</w:t>
            </w:r>
          </w:p>
        </w:tc>
        <w:tc>
          <w:tcPr>
            <w:tcW w:w="585" w:type="dxa"/>
            <w:shd w:val="clear" w:color="auto" w:fill="auto"/>
          </w:tcPr>
          <w:p w14:paraId="2F58CC7E" w14:textId="394E6A4E" w:rsidR="005659DC" w:rsidRPr="008B2D6B" w:rsidRDefault="00963BA2"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35.18</w:t>
            </w:r>
          </w:p>
        </w:tc>
        <w:tc>
          <w:tcPr>
            <w:tcW w:w="585" w:type="dxa"/>
            <w:shd w:val="clear" w:color="auto" w:fill="auto"/>
          </w:tcPr>
          <w:p w14:paraId="7CA9CBEC" w14:textId="1050F70C" w:rsidR="005659DC" w:rsidRPr="008B2D6B" w:rsidRDefault="00963BA2"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41.01</w:t>
            </w:r>
          </w:p>
        </w:tc>
        <w:tc>
          <w:tcPr>
            <w:tcW w:w="585" w:type="dxa"/>
            <w:shd w:val="clear" w:color="auto" w:fill="auto"/>
          </w:tcPr>
          <w:p w14:paraId="190107E2" w14:textId="0D22507E" w:rsidR="005659DC" w:rsidRPr="008B2D6B" w:rsidRDefault="00963BA2"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78.62</w:t>
            </w:r>
          </w:p>
        </w:tc>
        <w:tc>
          <w:tcPr>
            <w:tcW w:w="586" w:type="dxa"/>
            <w:shd w:val="clear" w:color="auto" w:fill="auto"/>
          </w:tcPr>
          <w:p w14:paraId="57983959" w14:textId="7876B009" w:rsidR="005659DC" w:rsidRPr="008B2D6B" w:rsidRDefault="00963BA2"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35.10</w:t>
            </w:r>
          </w:p>
        </w:tc>
        <w:tc>
          <w:tcPr>
            <w:tcW w:w="585" w:type="dxa"/>
            <w:shd w:val="clear" w:color="auto" w:fill="auto"/>
          </w:tcPr>
          <w:p w14:paraId="05DCF9C8" w14:textId="7C4C474C" w:rsidR="005659DC" w:rsidRPr="008B2D6B" w:rsidRDefault="00963BA2"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40.52</w:t>
            </w:r>
          </w:p>
        </w:tc>
        <w:tc>
          <w:tcPr>
            <w:tcW w:w="780" w:type="dxa"/>
            <w:shd w:val="clear" w:color="auto" w:fill="auto"/>
          </w:tcPr>
          <w:p w14:paraId="09671718" w14:textId="15581C88" w:rsidR="005659DC" w:rsidRPr="008B2D6B" w:rsidRDefault="00963BA2"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88.35</w:t>
            </w:r>
          </w:p>
        </w:tc>
        <w:tc>
          <w:tcPr>
            <w:tcW w:w="585" w:type="dxa"/>
            <w:shd w:val="clear" w:color="auto" w:fill="auto"/>
          </w:tcPr>
          <w:p w14:paraId="52EDB85A" w14:textId="704B52DD" w:rsidR="005659DC" w:rsidRPr="008B2D6B" w:rsidRDefault="00963BA2"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34.69</w:t>
            </w:r>
          </w:p>
        </w:tc>
        <w:tc>
          <w:tcPr>
            <w:tcW w:w="585" w:type="dxa"/>
            <w:shd w:val="clear" w:color="auto" w:fill="auto"/>
          </w:tcPr>
          <w:p w14:paraId="04C63D39" w14:textId="14B6D0BD" w:rsidR="005659DC" w:rsidRPr="008B2D6B" w:rsidRDefault="00963BA2"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39.16</w:t>
            </w:r>
          </w:p>
        </w:tc>
        <w:tc>
          <w:tcPr>
            <w:tcW w:w="673" w:type="dxa"/>
            <w:shd w:val="clear" w:color="auto" w:fill="auto"/>
          </w:tcPr>
          <w:p w14:paraId="44277618" w14:textId="44729E3A" w:rsidR="005659DC" w:rsidRPr="008B2D6B" w:rsidRDefault="004917DA"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97.41</w:t>
            </w:r>
          </w:p>
        </w:tc>
        <w:tc>
          <w:tcPr>
            <w:tcW w:w="585" w:type="dxa"/>
            <w:shd w:val="clear" w:color="auto" w:fill="auto"/>
            <w:noWrap/>
            <w:hideMark/>
          </w:tcPr>
          <w:p w14:paraId="38EA4E03" w14:textId="7C2D006B" w:rsidR="005659DC" w:rsidRPr="008B2D6B" w:rsidRDefault="004917DA"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Pr>
                <w:sz w:val="14"/>
                <w:szCs w:val="14"/>
              </w:rPr>
              <w:t>1.23</w:t>
            </w:r>
          </w:p>
        </w:tc>
        <w:tc>
          <w:tcPr>
            <w:tcW w:w="586" w:type="dxa"/>
            <w:shd w:val="clear" w:color="auto" w:fill="auto"/>
            <w:noWrap/>
            <w:hideMark/>
          </w:tcPr>
          <w:p w14:paraId="0FBF9405" w14:textId="6575F18B" w:rsidR="005659DC" w:rsidRPr="008B2D6B" w:rsidRDefault="004917DA"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Pr>
                <w:sz w:val="14"/>
                <w:szCs w:val="14"/>
              </w:rPr>
              <w:t>20.41</w:t>
            </w:r>
          </w:p>
        </w:tc>
        <w:tc>
          <w:tcPr>
            <w:tcW w:w="672" w:type="dxa"/>
            <w:shd w:val="clear" w:color="auto" w:fill="auto"/>
            <w:noWrap/>
            <w:hideMark/>
          </w:tcPr>
          <w:p w14:paraId="439E4FDE" w14:textId="78C05841" w:rsidR="005659DC" w:rsidRPr="008B2D6B" w:rsidRDefault="004917DA"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Pr>
                <w:sz w:val="14"/>
                <w:szCs w:val="14"/>
              </w:rPr>
              <w:t>85.61</w:t>
            </w:r>
          </w:p>
        </w:tc>
        <w:tc>
          <w:tcPr>
            <w:tcW w:w="585" w:type="dxa"/>
            <w:shd w:val="clear" w:color="auto" w:fill="auto"/>
            <w:noWrap/>
            <w:hideMark/>
          </w:tcPr>
          <w:p w14:paraId="2B6ADF80" w14:textId="0606B200" w:rsidR="005659DC" w:rsidRPr="008B2D6B" w:rsidRDefault="004917DA"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Pr>
                <w:sz w:val="14"/>
                <w:szCs w:val="14"/>
              </w:rPr>
              <w:t>0.22</w:t>
            </w:r>
          </w:p>
        </w:tc>
        <w:tc>
          <w:tcPr>
            <w:tcW w:w="585" w:type="dxa"/>
            <w:shd w:val="clear" w:color="auto" w:fill="auto"/>
            <w:noWrap/>
            <w:hideMark/>
          </w:tcPr>
          <w:p w14:paraId="3E0D01E6" w14:textId="49E74B31" w:rsidR="005659DC" w:rsidRPr="008B2D6B" w:rsidRDefault="004917DA"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Pr>
                <w:sz w:val="14"/>
                <w:szCs w:val="14"/>
              </w:rPr>
              <w:t>12.28</w:t>
            </w:r>
          </w:p>
        </w:tc>
        <w:tc>
          <w:tcPr>
            <w:tcW w:w="585" w:type="dxa"/>
            <w:shd w:val="clear" w:color="auto" w:fill="auto"/>
            <w:noWrap/>
            <w:hideMark/>
          </w:tcPr>
          <w:p w14:paraId="140EAA93" w14:textId="493C828C" w:rsidR="005659DC" w:rsidRPr="008B2D6B" w:rsidRDefault="004917DA"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ourier New"/>
                <w:kern w:val="0"/>
                <w:sz w:val="14"/>
                <w:szCs w:val="14"/>
              </w:rPr>
            </w:pPr>
            <w:r>
              <w:rPr>
                <w:sz w:val="14"/>
                <w:szCs w:val="14"/>
              </w:rPr>
              <w:t>67.56</w:t>
            </w:r>
          </w:p>
        </w:tc>
        <w:tc>
          <w:tcPr>
            <w:tcW w:w="585" w:type="dxa"/>
            <w:shd w:val="clear" w:color="auto" w:fill="auto"/>
          </w:tcPr>
          <w:p w14:paraId="11B290F6"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5.76</w:t>
            </w:r>
          </w:p>
        </w:tc>
        <w:tc>
          <w:tcPr>
            <w:tcW w:w="585" w:type="dxa"/>
            <w:shd w:val="clear" w:color="auto" w:fill="auto"/>
          </w:tcPr>
          <w:p w14:paraId="0A6FF2C1" w14:textId="4A206205"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31.76</w:t>
            </w:r>
          </w:p>
        </w:tc>
        <w:tc>
          <w:tcPr>
            <w:tcW w:w="586" w:type="dxa"/>
            <w:shd w:val="clear" w:color="auto" w:fill="auto"/>
          </w:tcPr>
          <w:p w14:paraId="03C0913C" w14:textId="575D2A3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60.24</w:t>
            </w:r>
          </w:p>
        </w:tc>
      </w:tr>
      <w:tr w:rsidR="00B27C3A" w:rsidRPr="008B2D6B" w14:paraId="0BE00A08" w14:textId="77777777" w:rsidTr="005659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4" w:type="dxa"/>
            <w:vMerge/>
            <w:tcBorders>
              <w:left w:val="single" w:sz="4" w:space="0" w:color="auto"/>
            </w:tcBorders>
            <w:shd w:val="clear" w:color="auto" w:fill="auto"/>
            <w:hideMark/>
          </w:tcPr>
          <w:p w14:paraId="784C4047" w14:textId="77777777" w:rsidR="005659DC" w:rsidRPr="008B2D6B" w:rsidRDefault="005659DC" w:rsidP="00CE710E">
            <w:pPr>
              <w:spacing w:before="0" w:after="0" w:line="240" w:lineRule="auto"/>
              <w:jc w:val="left"/>
              <w:rPr>
                <w:rFonts w:cs="Calibri"/>
                <w:kern w:val="0"/>
                <w:sz w:val="16"/>
                <w:szCs w:val="16"/>
              </w:rPr>
            </w:pPr>
          </w:p>
        </w:tc>
        <w:tc>
          <w:tcPr>
            <w:tcW w:w="989" w:type="dxa"/>
            <w:shd w:val="clear" w:color="auto" w:fill="auto"/>
            <w:noWrap/>
            <w:hideMark/>
          </w:tcPr>
          <w:p w14:paraId="204AD83C" w14:textId="77777777" w:rsidR="005659DC" w:rsidRPr="008B2D6B"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NE1</w:t>
            </w:r>
          </w:p>
        </w:tc>
        <w:tc>
          <w:tcPr>
            <w:tcW w:w="585" w:type="dxa"/>
            <w:shd w:val="clear" w:color="auto" w:fill="auto"/>
            <w:noWrap/>
            <w:hideMark/>
          </w:tcPr>
          <w:p w14:paraId="725633C3"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noWrap/>
            <w:hideMark/>
          </w:tcPr>
          <w:p w14:paraId="700CA1FE"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noWrap/>
            <w:hideMark/>
          </w:tcPr>
          <w:p w14:paraId="2FAF8BAE"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tcPr>
          <w:p w14:paraId="7C8E562B"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w:t>
            </w:r>
          </w:p>
        </w:tc>
        <w:tc>
          <w:tcPr>
            <w:tcW w:w="585" w:type="dxa"/>
            <w:shd w:val="clear" w:color="auto" w:fill="auto"/>
          </w:tcPr>
          <w:p w14:paraId="7B8CA628"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w:t>
            </w:r>
          </w:p>
        </w:tc>
        <w:tc>
          <w:tcPr>
            <w:tcW w:w="585" w:type="dxa"/>
            <w:shd w:val="clear" w:color="auto" w:fill="auto"/>
          </w:tcPr>
          <w:p w14:paraId="5DCF3428"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w:t>
            </w:r>
          </w:p>
        </w:tc>
        <w:tc>
          <w:tcPr>
            <w:tcW w:w="586" w:type="dxa"/>
            <w:shd w:val="clear" w:color="auto" w:fill="auto"/>
          </w:tcPr>
          <w:p w14:paraId="7110C47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w:t>
            </w:r>
          </w:p>
        </w:tc>
        <w:tc>
          <w:tcPr>
            <w:tcW w:w="585" w:type="dxa"/>
            <w:shd w:val="clear" w:color="auto" w:fill="auto"/>
          </w:tcPr>
          <w:p w14:paraId="2B4DCC38"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w:t>
            </w:r>
          </w:p>
        </w:tc>
        <w:tc>
          <w:tcPr>
            <w:tcW w:w="780" w:type="dxa"/>
            <w:shd w:val="clear" w:color="auto" w:fill="auto"/>
          </w:tcPr>
          <w:p w14:paraId="62A042CE"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w:t>
            </w:r>
          </w:p>
        </w:tc>
        <w:tc>
          <w:tcPr>
            <w:tcW w:w="585" w:type="dxa"/>
            <w:shd w:val="clear" w:color="auto" w:fill="auto"/>
          </w:tcPr>
          <w:p w14:paraId="392FB719"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w:t>
            </w:r>
          </w:p>
        </w:tc>
        <w:tc>
          <w:tcPr>
            <w:tcW w:w="585" w:type="dxa"/>
            <w:shd w:val="clear" w:color="auto" w:fill="auto"/>
          </w:tcPr>
          <w:p w14:paraId="769000E3"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w:t>
            </w:r>
          </w:p>
        </w:tc>
        <w:tc>
          <w:tcPr>
            <w:tcW w:w="673" w:type="dxa"/>
            <w:shd w:val="clear" w:color="auto" w:fill="auto"/>
          </w:tcPr>
          <w:p w14:paraId="0D7EF742"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w:t>
            </w:r>
          </w:p>
        </w:tc>
        <w:tc>
          <w:tcPr>
            <w:tcW w:w="585" w:type="dxa"/>
            <w:shd w:val="clear" w:color="auto" w:fill="auto"/>
            <w:noWrap/>
            <w:hideMark/>
          </w:tcPr>
          <w:p w14:paraId="5AE05CF1"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sidRPr="008B2D6B">
              <w:rPr>
                <w:sz w:val="14"/>
                <w:szCs w:val="14"/>
              </w:rPr>
              <w:t>-</w:t>
            </w:r>
          </w:p>
        </w:tc>
        <w:tc>
          <w:tcPr>
            <w:tcW w:w="586" w:type="dxa"/>
            <w:shd w:val="clear" w:color="auto" w:fill="auto"/>
            <w:noWrap/>
            <w:hideMark/>
          </w:tcPr>
          <w:p w14:paraId="6C5A6BB4"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sidRPr="008B2D6B">
              <w:rPr>
                <w:sz w:val="14"/>
                <w:szCs w:val="14"/>
              </w:rPr>
              <w:t>-</w:t>
            </w:r>
          </w:p>
        </w:tc>
        <w:tc>
          <w:tcPr>
            <w:tcW w:w="672" w:type="dxa"/>
            <w:shd w:val="clear" w:color="auto" w:fill="auto"/>
            <w:noWrap/>
            <w:hideMark/>
          </w:tcPr>
          <w:p w14:paraId="63E2D6A5"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noWrap/>
            <w:hideMark/>
          </w:tcPr>
          <w:p w14:paraId="10515455"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noWrap/>
            <w:hideMark/>
          </w:tcPr>
          <w:p w14:paraId="1B1CF2EF"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noWrap/>
            <w:hideMark/>
          </w:tcPr>
          <w:p w14:paraId="40A07B30"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ourier New"/>
                <w:kern w:val="0"/>
                <w:sz w:val="14"/>
                <w:szCs w:val="14"/>
              </w:rPr>
            </w:pPr>
            <w:r w:rsidRPr="008B2D6B">
              <w:rPr>
                <w:sz w:val="14"/>
                <w:szCs w:val="14"/>
              </w:rPr>
              <w:t>-</w:t>
            </w:r>
          </w:p>
        </w:tc>
        <w:tc>
          <w:tcPr>
            <w:tcW w:w="585" w:type="dxa"/>
            <w:shd w:val="clear" w:color="auto" w:fill="auto"/>
          </w:tcPr>
          <w:p w14:paraId="67A2BB6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8.95</w:t>
            </w:r>
          </w:p>
        </w:tc>
        <w:tc>
          <w:tcPr>
            <w:tcW w:w="585" w:type="dxa"/>
            <w:shd w:val="clear" w:color="auto" w:fill="auto"/>
          </w:tcPr>
          <w:p w14:paraId="68FC258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32.44</w:t>
            </w:r>
          </w:p>
        </w:tc>
        <w:tc>
          <w:tcPr>
            <w:tcW w:w="586" w:type="dxa"/>
            <w:shd w:val="clear" w:color="auto" w:fill="auto"/>
          </w:tcPr>
          <w:p w14:paraId="2C386DFB"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60.21</w:t>
            </w:r>
          </w:p>
        </w:tc>
      </w:tr>
      <w:tr w:rsidR="00B27C3A" w:rsidRPr="008B2D6B" w14:paraId="706EB2D6" w14:textId="77777777" w:rsidTr="005659DC">
        <w:trPr>
          <w:trHeight w:val="300"/>
        </w:trPr>
        <w:tc>
          <w:tcPr>
            <w:cnfStyle w:val="001000000000" w:firstRow="0" w:lastRow="0" w:firstColumn="1" w:lastColumn="0" w:oddVBand="0" w:evenVBand="0" w:oddHBand="0" w:evenHBand="0" w:firstRowFirstColumn="0" w:firstRowLastColumn="0" w:lastRowFirstColumn="0" w:lastRowLastColumn="0"/>
            <w:tcW w:w="424" w:type="dxa"/>
            <w:vMerge/>
            <w:tcBorders>
              <w:left w:val="single" w:sz="4" w:space="0" w:color="auto"/>
            </w:tcBorders>
            <w:shd w:val="clear" w:color="auto" w:fill="auto"/>
            <w:hideMark/>
          </w:tcPr>
          <w:p w14:paraId="2CED9233" w14:textId="77777777" w:rsidR="005659DC" w:rsidRPr="008B2D6B" w:rsidRDefault="005659DC" w:rsidP="00CE710E">
            <w:pPr>
              <w:spacing w:before="0" w:after="0" w:line="240" w:lineRule="auto"/>
              <w:jc w:val="left"/>
              <w:rPr>
                <w:rFonts w:cs="Calibri"/>
                <w:kern w:val="0"/>
                <w:sz w:val="16"/>
                <w:szCs w:val="16"/>
              </w:rPr>
            </w:pPr>
          </w:p>
        </w:tc>
        <w:tc>
          <w:tcPr>
            <w:tcW w:w="989" w:type="dxa"/>
            <w:shd w:val="clear" w:color="auto" w:fill="auto"/>
            <w:noWrap/>
            <w:hideMark/>
          </w:tcPr>
          <w:p w14:paraId="310E7855" w14:textId="77777777" w:rsidR="005659DC" w:rsidRPr="008B2D6B"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8B2D6B">
              <w:rPr>
                <w:rFonts w:cs="Calibri"/>
                <w:kern w:val="0"/>
                <w:sz w:val="16"/>
                <w:szCs w:val="16"/>
              </w:rPr>
              <w:t>NC</w:t>
            </w:r>
            <w:r>
              <w:rPr>
                <w:rFonts w:cs="Calibri"/>
                <w:kern w:val="0"/>
                <w:sz w:val="16"/>
                <w:szCs w:val="16"/>
              </w:rPr>
              <w:t>7</w:t>
            </w:r>
          </w:p>
        </w:tc>
        <w:tc>
          <w:tcPr>
            <w:tcW w:w="585" w:type="dxa"/>
            <w:shd w:val="clear" w:color="auto" w:fill="auto"/>
            <w:noWrap/>
            <w:hideMark/>
          </w:tcPr>
          <w:p w14:paraId="132B2B80"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34.71</w:t>
            </w:r>
          </w:p>
        </w:tc>
        <w:tc>
          <w:tcPr>
            <w:tcW w:w="585" w:type="dxa"/>
            <w:shd w:val="clear" w:color="auto" w:fill="auto"/>
            <w:noWrap/>
            <w:hideMark/>
          </w:tcPr>
          <w:p w14:paraId="7A308013"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39.04</w:t>
            </w:r>
          </w:p>
        </w:tc>
        <w:tc>
          <w:tcPr>
            <w:tcW w:w="585" w:type="dxa"/>
            <w:shd w:val="clear" w:color="auto" w:fill="auto"/>
            <w:noWrap/>
            <w:hideMark/>
          </w:tcPr>
          <w:p w14:paraId="31AE4A0C"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75.65</w:t>
            </w:r>
          </w:p>
        </w:tc>
        <w:tc>
          <w:tcPr>
            <w:tcW w:w="585" w:type="dxa"/>
            <w:shd w:val="clear" w:color="auto" w:fill="auto"/>
          </w:tcPr>
          <w:p w14:paraId="065B6CA1"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35.26</w:t>
            </w:r>
          </w:p>
        </w:tc>
        <w:tc>
          <w:tcPr>
            <w:tcW w:w="585" w:type="dxa"/>
            <w:shd w:val="clear" w:color="auto" w:fill="auto"/>
          </w:tcPr>
          <w:p w14:paraId="7C630DCA"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43.06</w:t>
            </w:r>
          </w:p>
        </w:tc>
        <w:tc>
          <w:tcPr>
            <w:tcW w:w="585" w:type="dxa"/>
            <w:shd w:val="clear" w:color="auto" w:fill="auto"/>
          </w:tcPr>
          <w:p w14:paraId="7F14EC26"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93.75</w:t>
            </w:r>
          </w:p>
        </w:tc>
        <w:tc>
          <w:tcPr>
            <w:tcW w:w="586" w:type="dxa"/>
            <w:shd w:val="clear" w:color="auto" w:fill="auto"/>
          </w:tcPr>
          <w:p w14:paraId="60B4720D"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35.21</w:t>
            </w:r>
          </w:p>
        </w:tc>
        <w:tc>
          <w:tcPr>
            <w:tcW w:w="585" w:type="dxa"/>
            <w:shd w:val="clear" w:color="auto" w:fill="auto"/>
          </w:tcPr>
          <w:p w14:paraId="05884D7E"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47.41</w:t>
            </w:r>
          </w:p>
        </w:tc>
        <w:tc>
          <w:tcPr>
            <w:tcW w:w="780" w:type="dxa"/>
            <w:shd w:val="clear" w:color="auto" w:fill="auto"/>
          </w:tcPr>
          <w:p w14:paraId="59119C69"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112.99</w:t>
            </w:r>
          </w:p>
        </w:tc>
        <w:tc>
          <w:tcPr>
            <w:tcW w:w="585" w:type="dxa"/>
            <w:shd w:val="clear" w:color="auto" w:fill="auto"/>
          </w:tcPr>
          <w:p w14:paraId="13AA467B"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35.05</w:t>
            </w:r>
          </w:p>
        </w:tc>
        <w:tc>
          <w:tcPr>
            <w:tcW w:w="585" w:type="dxa"/>
            <w:shd w:val="clear" w:color="auto" w:fill="auto"/>
          </w:tcPr>
          <w:p w14:paraId="065EAA77"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41.26</w:t>
            </w:r>
          </w:p>
        </w:tc>
        <w:tc>
          <w:tcPr>
            <w:tcW w:w="673" w:type="dxa"/>
            <w:shd w:val="clear" w:color="auto" w:fill="auto"/>
          </w:tcPr>
          <w:p w14:paraId="78BE392B"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133.74</w:t>
            </w:r>
          </w:p>
        </w:tc>
        <w:tc>
          <w:tcPr>
            <w:tcW w:w="585" w:type="dxa"/>
            <w:shd w:val="clear" w:color="auto" w:fill="auto"/>
            <w:noWrap/>
            <w:hideMark/>
          </w:tcPr>
          <w:p w14:paraId="34A431B0"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1.35</w:t>
            </w:r>
          </w:p>
        </w:tc>
        <w:tc>
          <w:tcPr>
            <w:tcW w:w="586" w:type="dxa"/>
            <w:shd w:val="clear" w:color="auto" w:fill="auto"/>
            <w:noWrap/>
            <w:hideMark/>
          </w:tcPr>
          <w:p w14:paraId="1A130B93"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27.34</w:t>
            </w:r>
          </w:p>
        </w:tc>
        <w:tc>
          <w:tcPr>
            <w:tcW w:w="672" w:type="dxa"/>
            <w:shd w:val="clear" w:color="auto" w:fill="auto"/>
            <w:noWrap/>
            <w:hideMark/>
          </w:tcPr>
          <w:p w14:paraId="67AFC9B0"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124.91</w:t>
            </w:r>
          </w:p>
        </w:tc>
        <w:tc>
          <w:tcPr>
            <w:tcW w:w="585" w:type="dxa"/>
            <w:shd w:val="clear" w:color="auto" w:fill="auto"/>
            <w:noWrap/>
            <w:hideMark/>
          </w:tcPr>
          <w:p w14:paraId="5DD9431F"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0.23</w:t>
            </w:r>
          </w:p>
        </w:tc>
        <w:tc>
          <w:tcPr>
            <w:tcW w:w="585" w:type="dxa"/>
            <w:shd w:val="clear" w:color="auto" w:fill="auto"/>
            <w:noWrap/>
            <w:hideMark/>
          </w:tcPr>
          <w:p w14:paraId="72F0E276"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17.89</w:t>
            </w:r>
          </w:p>
        </w:tc>
        <w:tc>
          <w:tcPr>
            <w:tcW w:w="585" w:type="dxa"/>
            <w:shd w:val="clear" w:color="auto" w:fill="auto"/>
            <w:noWrap/>
            <w:hideMark/>
          </w:tcPr>
          <w:p w14:paraId="1E2CBFC8"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4"/>
                <w:szCs w:val="14"/>
              </w:rPr>
            </w:pPr>
            <w:r w:rsidRPr="008B2D6B">
              <w:rPr>
                <w:sz w:val="14"/>
                <w:szCs w:val="14"/>
              </w:rPr>
              <w:t>95.65</w:t>
            </w:r>
          </w:p>
        </w:tc>
        <w:tc>
          <w:tcPr>
            <w:tcW w:w="585" w:type="dxa"/>
            <w:shd w:val="clear" w:color="auto" w:fill="auto"/>
          </w:tcPr>
          <w:p w14:paraId="35C61953"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6.49</w:t>
            </w:r>
          </w:p>
        </w:tc>
        <w:tc>
          <w:tcPr>
            <w:tcW w:w="585" w:type="dxa"/>
            <w:shd w:val="clear" w:color="auto" w:fill="auto"/>
          </w:tcPr>
          <w:p w14:paraId="0BC64B70"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41.92</w:t>
            </w:r>
          </w:p>
        </w:tc>
        <w:tc>
          <w:tcPr>
            <w:tcW w:w="586" w:type="dxa"/>
            <w:shd w:val="clear" w:color="auto" w:fill="auto"/>
          </w:tcPr>
          <w:p w14:paraId="5148C9B3" w14:textId="77777777" w:rsidR="005659DC" w:rsidRPr="008B2D6B"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4"/>
                <w:szCs w:val="14"/>
              </w:rPr>
            </w:pPr>
            <w:r w:rsidRPr="008B2D6B">
              <w:rPr>
                <w:sz w:val="14"/>
                <w:szCs w:val="14"/>
              </w:rPr>
              <w:t>82.90</w:t>
            </w:r>
          </w:p>
        </w:tc>
      </w:tr>
      <w:tr w:rsidR="00B27C3A" w:rsidRPr="008B2D6B" w14:paraId="3F97B3D3" w14:textId="77777777" w:rsidTr="005659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4" w:type="dxa"/>
            <w:vMerge/>
            <w:tcBorders>
              <w:left w:val="single" w:sz="4" w:space="0" w:color="auto"/>
              <w:bottom w:val="single" w:sz="4" w:space="0" w:color="auto"/>
            </w:tcBorders>
            <w:shd w:val="clear" w:color="auto" w:fill="auto"/>
            <w:hideMark/>
          </w:tcPr>
          <w:p w14:paraId="61CFC1A3" w14:textId="77777777" w:rsidR="005659DC" w:rsidRPr="008B2D6B" w:rsidRDefault="005659DC" w:rsidP="00CE710E">
            <w:pPr>
              <w:spacing w:before="0" w:after="0" w:line="240" w:lineRule="auto"/>
              <w:jc w:val="left"/>
              <w:rPr>
                <w:rFonts w:cs="Calibri"/>
                <w:kern w:val="0"/>
                <w:sz w:val="16"/>
                <w:szCs w:val="16"/>
              </w:rPr>
            </w:pPr>
          </w:p>
        </w:tc>
        <w:tc>
          <w:tcPr>
            <w:tcW w:w="989" w:type="dxa"/>
            <w:shd w:val="clear" w:color="auto" w:fill="auto"/>
            <w:noWrap/>
            <w:hideMark/>
          </w:tcPr>
          <w:p w14:paraId="7A447AD4" w14:textId="77777777" w:rsidR="005659DC" w:rsidRPr="008B2D6B"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8B2D6B">
              <w:rPr>
                <w:rFonts w:cs="Calibri"/>
                <w:kern w:val="0"/>
                <w:sz w:val="16"/>
                <w:szCs w:val="16"/>
              </w:rPr>
              <w:t>NE</w:t>
            </w:r>
            <w:r>
              <w:rPr>
                <w:rFonts w:cs="Calibri"/>
                <w:kern w:val="0"/>
                <w:sz w:val="16"/>
                <w:szCs w:val="16"/>
              </w:rPr>
              <w:t>7</w:t>
            </w:r>
          </w:p>
        </w:tc>
        <w:tc>
          <w:tcPr>
            <w:tcW w:w="585" w:type="dxa"/>
            <w:shd w:val="clear" w:color="auto" w:fill="auto"/>
            <w:noWrap/>
            <w:hideMark/>
          </w:tcPr>
          <w:p w14:paraId="30291772"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35.04</w:t>
            </w:r>
          </w:p>
        </w:tc>
        <w:tc>
          <w:tcPr>
            <w:tcW w:w="585" w:type="dxa"/>
            <w:shd w:val="clear" w:color="auto" w:fill="auto"/>
            <w:noWrap/>
            <w:hideMark/>
          </w:tcPr>
          <w:p w14:paraId="337530C7"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40.21</w:t>
            </w:r>
          </w:p>
        </w:tc>
        <w:tc>
          <w:tcPr>
            <w:tcW w:w="585" w:type="dxa"/>
            <w:shd w:val="clear" w:color="auto" w:fill="auto"/>
            <w:noWrap/>
            <w:hideMark/>
          </w:tcPr>
          <w:p w14:paraId="31DD1D42"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75.73</w:t>
            </w:r>
          </w:p>
        </w:tc>
        <w:tc>
          <w:tcPr>
            <w:tcW w:w="585" w:type="dxa"/>
            <w:shd w:val="clear" w:color="auto" w:fill="auto"/>
          </w:tcPr>
          <w:p w14:paraId="0AB8341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35.26</w:t>
            </w:r>
          </w:p>
        </w:tc>
        <w:tc>
          <w:tcPr>
            <w:tcW w:w="585" w:type="dxa"/>
            <w:shd w:val="clear" w:color="auto" w:fill="auto"/>
          </w:tcPr>
          <w:p w14:paraId="57B2F1EE"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43.15</w:t>
            </w:r>
          </w:p>
        </w:tc>
        <w:tc>
          <w:tcPr>
            <w:tcW w:w="585" w:type="dxa"/>
            <w:shd w:val="clear" w:color="auto" w:fill="auto"/>
          </w:tcPr>
          <w:p w14:paraId="06F80B4F"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94.56</w:t>
            </w:r>
          </w:p>
        </w:tc>
        <w:tc>
          <w:tcPr>
            <w:tcW w:w="586" w:type="dxa"/>
            <w:shd w:val="clear" w:color="auto" w:fill="auto"/>
          </w:tcPr>
          <w:p w14:paraId="74D692FD"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35.21</w:t>
            </w:r>
          </w:p>
        </w:tc>
        <w:tc>
          <w:tcPr>
            <w:tcW w:w="585" w:type="dxa"/>
            <w:shd w:val="clear" w:color="auto" w:fill="auto"/>
          </w:tcPr>
          <w:p w14:paraId="66D1E413"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47.48</w:t>
            </w:r>
          </w:p>
        </w:tc>
        <w:tc>
          <w:tcPr>
            <w:tcW w:w="780" w:type="dxa"/>
            <w:shd w:val="clear" w:color="auto" w:fill="auto"/>
          </w:tcPr>
          <w:p w14:paraId="1D27A9F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113.63</w:t>
            </w:r>
          </w:p>
        </w:tc>
        <w:tc>
          <w:tcPr>
            <w:tcW w:w="585" w:type="dxa"/>
            <w:shd w:val="clear" w:color="auto" w:fill="auto"/>
          </w:tcPr>
          <w:p w14:paraId="15AFFBEA"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35.06</w:t>
            </w:r>
          </w:p>
        </w:tc>
        <w:tc>
          <w:tcPr>
            <w:tcW w:w="585" w:type="dxa"/>
            <w:shd w:val="clear" w:color="auto" w:fill="auto"/>
          </w:tcPr>
          <w:p w14:paraId="1B6006AB"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41.59</w:t>
            </w:r>
          </w:p>
        </w:tc>
        <w:tc>
          <w:tcPr>
            <w:tcW w:w="673" w:type="dxa"/>
            <w:shd w:val="clear" w:color="auto" w:fill="auto"/>
          </w:tcPr>
          <w:p w14:paraId="4DEC8C9C"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134.85</w:t>
            </w:r>
          </w:p>
        </w:tc>
        <w:tc>
          <w:tcPr>
            <w:tcW w:w="585" w:type="dxa"/>
            <w:shd w:val="clear" w:color="auto" w:fill="auto"/>
            <w:noWrap/>
            <w:hideMark/>
          </w:tcPr>
          <w:p w14:paraId="06DB293F"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1.81</w:t>
            </w:r>
          </w:p>
        </w:tc>
        <w:tc>
          <w:tcPr>
            <w:tcW w:w="586" w:type="dxa"/>
            <w:shd w:val="clear" w:color="auto" w:fill="auto"/>
            <w:noWrap/>
            <w:hideMark/>
          </w:tcPr>
          <w:p w14:paraId="20CA10EF"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33.47</w:t>
            </w:r>
          </w:p>
        </w:tc>
        <w:tc>
          <w:tcPr>
            <w:tcW w:w="672" w:type="dxa"/>
            <w:shd w:val="clear" w:color="auto" w:fill="auto"/>
            <w:noWrap/>
            <w:hideMark/>
          </w:tcPr>
          <w:p w14:paraId="02F8596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126.66</w:t>
            </w:r>
          </w:p>
        </w:tc>
        <w:tc>
          <w:tcPr>
            <w:tcW w:w="585" w:type="dxa"/>
            <w:shd w:val="clear" w:color="auto" w:fill="auto"/>
            <w:noWrap/>
            <w:hideMark/>
          </w:tcPr>
          <w:p w14:paraId="0C8A56DB"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0.23</w:t>
            </w:r>
          </w:p>
        </w:tc>
        <w:tc>
          <w:tcPr>
            <w:tcW w:w="585" w:type="dxa"/>
            <w:shd w:val="clear" w:color="auto" w:fill="auto"/>
            <w:noWrap/>
            <w:hideMark/>
          </w:tcPr>
          <w:p w14:paraId="3232B6E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18.05</w:t>
            </w:r>
          </w:p>
        </w:tc>
        <w:tc>
          <w:tcPr>
            <w:tcW w:w="585" w:type="dxa"/>
            <w:shd w:val="clear" w:color="auto" w:fill="auto"/>
            <w:noWrap/>
            <w:hideMark/>
          </w:tcPr>
          <w:p w14:paraId="5E9F6DE2"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4"/>
                <w:szCs w:val="14"/>
              </w:rPr>
            </w:pPr>
            <w:r w:rsidRPr="008B2D6B">
              <w:rPr>
                <w:sz w:val="14"/>
                <w:szCs w:val="14"/>
              </w:rPr>
              <w:t>96.19</w:t>
            </w:r>
          </w:p>
        </w:tc>
        <w:tc>
          <w:tcPr>
            <w:tcW w:w="585" w:type="dxa"/>
            <w:shd w:val="clear" w:color="auto" w:fill="auto"/>
          </w:tcPr>
          <w:p w14:paraId="25476DFA"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9.81</w:t>
            </w:r>
          </w:p>
        </w:tc>
        <w:tc>
          <w:tcPr>
            <w:tcW w:w="585" w:type="dxa"/>
            <w:shd w:val="clear" w:color="auto" w:fill="auto"/>
          </w:tcPr>
          <w:p w14:paraId="4052DD26"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42.56</w:t>
            </w:r>
          </w:p>
        </w:tc>
        <w:tc>
          <w:tcPr>
            <w:tcW w:w="586" w:type="dxa"/>
            <w:shd w:val="clear" w:color="auto" w:fill="auto"/>
          </w:tcPr>
          <w:p w14:paraId="45FABFAA" w14:textId="77777777" w:rsidR="005659DC" w:rsidRPr="008B2D6B"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4"/>
                <w:szCs w:val="14"/>
              </w:rPr>
            </w:pPr>
            <w:r w:rsidRPr="008B2D6B">
              <w:rPr>
                <w:sz w:val="14"/>
                <w:szCs w:val="14"/>
              </w:rPr>
              <w:t>83.35</w:t>
            </w:r>
          </w:p>
        </w:tc>
      </w:tr>
    </w:tbl>
    <w:p w14:paraId="39DA820A" w14:textId="77777777" w:rsidR="005659DC" w:rsidRDefault="005659DC" w:rsidP="005659DC">
      <w:pPr>
        <w:rPr>
          <w:i/>
          <w:u w:val="single"/>
        </w:rPr>
      </w:pPr>
    </w:p>
    <w:p w14:paraId="0EBB920D" w14:textId="77777777" w:rsidR="005659DC" w:rsidRDefault="005659DC" w:rsidP="005659DC">
      <w:pPr>
        <w:rPr>
          <w:i/>
          <w:u w:val="single"/>
        </w:rPr>
      </w:pPr>
    </w:p>
    <w:p w14:paraId="4CDEBD16" w14:textId="77777777" w:rsidR="005659DC" w:rsidRDefault="005659DC" w:rsidP="005659DC">
      <w:pPr>
        <w:rPr>
          <w:i/>
          <w:u w:val="single"/>
        </w:rPr>
        <w:sectPr w:rsidR="005659DC" w:rsidSect="005659DC">
          <w:pgSz w:w="16838" w:h="11906" w:orient="landscape"/>
          <w:pgMar w:top="1440" w:right="1440" w:bottom="1440" w:left="1440" w:header="709" w:footer="709" w:gutter="0"/>
          <w:cols w:space="708"/>
          <w:docGrid w:linePitch="360"/>
        </w:sectPr>
      </w:pPr>
    </w:p>
    <w:p w14:paraId="1808CFF5" w14:textId="77777777" w:rsidR="005659DC" w:rsidRPr="001832D4" w:rsidRDefault="005659DC" w:rsidP="005659DC"/>
    <w:p w14:paraId="251EB11D" w14:textId="77777777" w:rsidR="005659DC" w:rsidRDefault="005659DC" w:rsidP="005659DC">
      <w:pPr>
        <w:spacing w:after="0"/>
      </w:pPr>
    </w:p>
    <w:p w14:paraId="257D6779" w14:textId="77777777" w:rsidR="005659DC" w:rsidRDefault="005659DC" w:rsidP="005659DC">
      <w:pPr>
        <w:spacing w:after="0"/>
      </w:pPr>
      <w:r>
        <w:rPr>
          <w:noProof/>
        </w:rPr>
        <w:drawing>
          <wp:inline distT="0" distB="0" distL="0" distR="0" wp14:anchorId="227A30C3" wp14:editId="44AD6A41">
            <wp:extent cx="5731510" cy="4298950"/>
            <wp:effectExtent l="0" t="0" r="2540" b="6350"/>
            <wp:docPr id="925242609" name="Picture 2" descr="Two graphs displaying the cumulative total nitrogen flux with and without environmental water delivery through Pelican Point and Parnka Point sites for July 2017–July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42609" name="Picture 2" descr="Two graphs displaying the cumulative total nitrogen flux with and without environmental water delivery through Pelican Point and Parnka Point sites for July 2017–July 202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6F760CD" w14:textId="77777777" w:rsidR="005659DC" w:rsidRPr="0015612E" w:rsidRDefault="005659DC" w:rsidP="005659DC">
      <w:pPr>
        <w:spacing w:before="0"/>
        <w:jc w:val="center"/>
        <w:rPr>
          <w:rFonts w:ascii="Arial" w:hAnsi="Arial" w:cs="Arial"/>
          <w:sz w:val="19"/>
          <w:szCs w:val="19"/>
        </w:rPr>
      </w:pPr>
      <w:r w:rsidRPr="0015612E">
        <w:rPr>
          <w:rFonts w:ascii="Arial" w:hAnsi="Arial" w:cs="Arial"/>
          <w:sz w:val="19"/>
          <w:szCs w:val="19"/>
        </w:rPr>
        <w:t>Date</w:t>
      </w:r>
    </w:p>
    <w:p w14:paraId="6B497C20" w14:textId="067CD7BF" w:rsidR="005659DC" w:rsidRDefault="005659DC" w:rsidP="00605FB2">
      <w:pPr>
        <w:pStyle w:val="Captions"/>
      </w:pPr>
      <w:bookmarkStart w:id="267" w:name="_Ref96529741"/>
      <w:bookmarkStart w:id="268" w:name="_Toc103170082"/>
      <w:bookmarkStart w:id="269" w:name="_Toc152860263"/>
      <w:bookmarkStart w:id="270" w:name="_Toc200464487"/>
      <w:r>
        <w:t xml:space="preserve">Figure </w:t>
      </w:r>
      <w:r>
        <w:fldChar w:fldCharType="begin"/>
      </w:r>
      <w:r>
        <w:instrText xml:space="preserve"> SEQ Figure \* ARABIC </w:instrText>
      </w:r>
      <w:r>
        <w:fldChar w:fldCharType="separate"/>
      </w:r>
      <w:r w:rsidR="00102828">
        <w:rPr>
          <w:noProof/>
        </w:rPr>
        <w:t>36</w:t>
      </w:r>
      <w:r>
        <w:rPr>
          <w:noProof/>
        </w:rPr>
        <w:fldChar w:fldCharType="end"/>
      </w:r>
      <w:bookmarkEnd w:id="267"/>
      <w:r w:rsidRPr="001832D4">
        <w:t xml:space="preserve">. Cumulative </w:t>
      </w:r>
      <w:r>
        <w:t>total nitrogen (TN)</w:t>
      </w:r>
      <w:r w:rsidRPr="001832D4">
        <w:t xml:space="preserve"> flux with and without environmental water delivery through </w:t>
      </w:r>
      <w:r>
        <w:t>Pelican</w:t>
      </w:r>
      <w:r w:rsidRPr="001832D4">
        <w:t xml:space="preserve"> Point and Parnka Point </w:t>
      </w:r>
      <w:r>
        <w:t xml:space="preserve">sites </w:t>
      </w:r>
      <w:r w:rsidRPr="001832D4">
        <w:t>for July 2017–July 202</w:t>
      </w:r>
      <w:r>
        <w:t>4</w:t>
      </w:r>
      <w:r w:rsidRPr="001832D4">
        <w:t>.</w:t>
      </w:r>
      <w:bookmarkEnd w:id="268"/>
      <w:r>
        <w:t xml:space="preserve"> Similar to </w:t>
      </w:r>
      <w:r>
        <w:fldChar w:fldCharType="begin"/>
      </w:r>
      <w:r>
        <w:instrText xml:space="preserve"> REF _Ref96529732 \h </w:instrText>
      </w:r>
      <w:r>
        <w:fldChar w:fldCharType="separate"/>
      </w:r>
      <w:r w:rsidR="00102828">
        <w:t xml:space="preserve">Figure </w:t>
      </w:r>
      <w:r w:rsidR="00102828">
        <w:rPr>
          <w:noProof/>
        </w:rPr>
        <w:t>35</w:t>
      </w:r>
      <w:r>
        <w:fldChar w:fldCharType="end"/>
      </w:r>
      <w:r>
        <w:t>, the results from the ‘base-case’, ‘No CEW 2023-24 (NC1</w:t>
      </w:r>
      <w:r w:rsidR="00F81297">
        <w:t xml:space="preserve"> in 2023-24</w:t>
      </w:r>
      <w:r>
        <w:t>)’ and ‘No eWater 2023-24 (NE1)’ scenarios are overlapped in the first 6 years and show only slight differences in the last year (2023-24) due to the small contribution of environmental water to the total barrage flows in this year</w:t>
      </w:r>
      <w:r w:rsidRPr="00EC491B">
        <w:t xml:space="preserve"> </w:t>
      </w:r>
      <w:r>
        <w:t xml:space="preserve">and the line of ‘No CEW 2017–2024 (NC7)’ was largely overlayed by ‘No eWater 2017–2024 (NE7)’ because the environmental water was mostly contributed by </w:t>
      </w:r>
      <w:r w:rsidR="00F81297">
        <w:t>Commonwealth environmental water (</w:t>
      </w:r>
      <w:r>
        <w:t>CEW</w:t>
      </w:r>
      <w:r w:rsidR="00F81297">
        <w:t>)</w:t>
      </w:r>
      <w:r>
        <w:t xml:space="preserve"> over the 7-year study period.</w:t>
      </w:r>
      <w:r w:rsidRPr="002132D0">
        <w:t xml:space="preserve"> Refer to </w:t>
      </w:r>
      <w:r>
        <w:fldChar w:fldCharType="begin"/>
      </w:r>
      <w:r>
        <w:instrText xml:space="preserve"> REF _Ref125016145 \h </w:instrText>
      </w:r>
      <w:r>
        <w:fldChar w:fldCharType="separate"/>
      </w:r>
      <w:r w:rsidR="00102828">
        <w:t xml:space="preserve">Table </w:t>
      </w:r>
      <w:r w:rsidR="00102828">
        <w:rPr>
          <w:noProof/>
        </w:rPr>
        <w:t>6</w:t>
      </w:r>
      <w:r>
        <w:fldChar w:fldCharType="end"/>
      </w:r>
      <w:r w:rsidRPr="002132D0">
        <w:t xml:space="preserve"> for scenarios.</w:t>
      </w:r>
      <w:bookmarkEnd w:id="269"/>
      <w:bookmarkEnd w:id="270"/>
    </w:p>
    <w:p w14:paraId="7D2BC7CA" w14:textId="77777777" w:rsidR="005659DC" w:rsidRDefault="005659DC" w:rsidP="005659DC">
      <w:pPr>
        <w:spacing w:before="0" w:after="160" w:line="259" w:lineRule="auto"/>
        <w:jc w:val="left"/>
        <w:sectPr w:rsidR="005659DC" w:rsidSect="005659DC">
          <w:pgSz w:w="11906" w:h="16838"/>
          <w:pgMar w:top="1440" w:right="1440" w:bottom="1440" w:left="1440" w:header="708" w:footer="708" w:gutter="0"/>
          <w:cols w:space="708"/>
          <w:docGrid w:linePitch="360"/>
        </w:sectPr>
      </w:pPr>
      <w:r>
        <w:br w:type="page"/>
      </w:r>
    </w:p>
    <w:p w14:paraId="77EAE1AB" w14:textId="35D04E25" w:rsidR="005659DC" w:rsidRPr="006041F5" w:rsidRDefault="005659DC" w:rsidP="00605FB2">
      <w:pPr>
        <w:pStyle w:val="Captions"/>
        <w:rPr>
          <w:lang w:eastAsia="zh-CN"/>
        </w:rPr>
      </w:pPr>
      <w:bookmarkStart w:id="271" w:name="_Ref125020919"/>
      <w:bookmarkStart w:id="272" w:name="_Toc152860308"/>
      <w:bookmarkStart w:id="273" w:name="_Toc200464533"/>
      <w:bookmarkStart w:id="274" w:name="_Hlk132809440"/>
      <w:r>
        <w:lastRenderedPageBreak/>
        <w:t xml:space="preserve">Table </w:t>
      </w:r>
      <w:r>
        <w:fldChar w:fldCharType="begin"/>
      </w:r>
      <w:r>
        <w:instrText xml:space="preserve"> SEQ Table \* ARABIC </w:instrText>
      </w:r>
      <w:r>
        <w:fldChar w:fldCharType="separate"/>
      </w:r>
      <w:r w:rsidR="00102828">
        <w:rPr>
          <w:noProof/>
        </w:rPr>
        <w:t>9</w:t>
      </w:r>
      <w:r>
        <w:rPr>
          <w:noProof/>
        </w:rPr>
        <w:fldChar w:fldCharType="end"/>
      </w:r>
      <w:bookmarkEnd w:id="271"/>
      <w:r>
        <w:t xml:space="preserve">. </w:t>
      </w:r>
      <w:r w:rsidRPr="00514118">
        <w:rPr>
          <w:lang w:eastAsia="zh-CN"/>
        </w:rPr>
        <w:t xml:space="preserve">Summary of </w:t>
      </w:r>
      <w:r>
        <w:rPr>
          <w:lang w:eastAsia="zh-CN"/>
        </w:rPr>
        <w:t>total nitrogen</w:t>
      </w:r>
      <w:r w:rsidRPr="00514118">
        <w:rPr>
          <w:lang w:eastAsia="zh-CN"/>
        </w:rPr>
        <w:t xml:space="preserve"> flux (</w:t>
      </w:r>
      <w:r>
        <w:rPr>
          <w:lang w:eastAsia="zh-CN"/>
        </w:rPr>
        <w:t>tonnes</w:t>
      </w:r>
      <w:r w:rsidRPr="00514118">
        <w:rPr>
          <w:lang w:eastAsia="zh-CN"/>
        </w:rPr>
        <w:t xml:space="preserve">) though barrages, Murray </w:t>
      </w:r>
      <w:r>
        <w:rPr>
          <w:lang w:eastAsia="zh-CN"/>
        </w:rPr>
        <w:t>M</w:t>
      </w:r>
      <w:r w:rsidRPr="00514118">
        <w:rPr>
          <w:lang w:eastAsia="zh-CN"/>
        </w:rPr>
        <w:t>outh, Pelican Point (North Lagoon) and Parnka Point (South Lagoon) in 2017</w:t>
      </w:r>
      <w:r>
        <w:rPr>
          <w:lang w:eastAsia="zh-CN"/>
        </w:rPr>
        <w:t>–2024</w:t>
      </w:r>
      <w:r w:rsidRPr="00514118">
        <w:rPr>
          <w:lang w:eastAsia="zh-CN"/>
        </w:rPr>
        <w:t>.</w:t>
      </w:r>
      <w:r w:rsidRPr="002132D0">
        <w:t xml:space="preserve"> </w:t>
      </w:r>
      <w:r w:rsidRPr="002132D0">
        <w:rPr>
          <w:lang w:eastAsia="zh-CN"/>
        </w:rPr>
        <w:t xml:space="preserve">Refer to </w:t>
      </w:r>
      <w:r>
        <w:rPr>
          <w:lang w:eastAsia="zh-CN"/>
        </w:rPr>
        <w:fldChar w:fldCharType="begin"/>
      </w:r>
      <w:r>
        <w:rPr>
          <w:lang w:eastAsia="zh-CN"/>
        </w:rPr>
        <w:instrText xml:space="preserve"> REF _Ref125016145 \h </w:instrText>
      </w:r>
      <w:r>
        <w:rPr>
          <w:lang w:eastAsia="zh-CN"/>
        </w:rPr>
      </w:r>
      <w:r>
        <w:rPr>
          <w:lang w:eastAsia="zh-CN"/>
        </w:rPr>
        <w:fldChar w:fldCharType="separate"/>
      </w:r>
      <w:r w:rsidR="00102828">
        <w:t xml:space="preserve">Table </w:t>
      </w:r>
      <w:r w:rsidR="00102828">
        <w:rPr>
          <w:noProof/>
        </w:rPr>
        <w:t>6</w:t>
      </w:r>
      <w:r>
        <w:rPr>
          <w:lang w:eastAsia="zh-CN"/>
        </w:rPr>
        <w:fldChar w:fldCharType="end"/>
      </w:r>
      <w:r w:rsidRPr="002132D0">
        <w:rPr>
          <w:lang w:eastAsia="zh-CN"/>
        </w:rPr>
        <w:t xml:space="preserve"> for scenarios.</w:t>
      </w:r>
      <w:bookmarkEnd w:id="272"/>
      <w:bookmarkEnd w:id="273"/>
    </w:p>
    <w:tbl>
      <w:tblPr>
        <w:tblStyle w:val="GridTable5Dark-Accent11"/>
        <w:tblW w:w="11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showing summary of total nitrogen flux (tonnes) though barrages, Murray Mouth, Pelican Point and Parnka Point in 2017–2024. "/>
      </w:tblPr>
      <w:tblGrid>
        <w:gridCol w:w="2812"/>
        <w:gridCol w:w="1401"/>
        <w:gridCol w:w="985"/>
        <w:gridCol w:w="1015"/>
        <w:gridCol w:w="1016"/>
        <w:gridCol w:w="1038"/>
        <w:gridCol w:w="1141"/>
        <w:gridCol w:w="1188"/>
        <w:gridCol w:w="1188"/>
      </w:tblGrid>
      <w:tr w:rsidR="005659DC" w:rsidRPr="006157F1" w14:paraId="1BBE8BC4" w14:textId="77777777" w:rsidTr="00817658">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2812" w:type="dxa"/>
            <w:tcBorders>
              <w:top w:val="none" w:sz="0" w:space="0" w:color="auto"/>
              <w:left w:val="none" w:sz="0" w:space="0" w:color="auto"/>
              <w:right w:val="none" w:sz="0" w:space="0" w:color="auto"/>
            </w:tcBorders>
            <w:shd w:val="clear" w:color="auto" w:fill="auto"/>
            <w:noWrap/>
            <w:hideMark/>
          </w:tcPr>
          <w:bookmarkEnd w:id="274"/>
          <w:p w14:paraId="08E0511D" w14:textId="77777777" w:rsidR="005659DC" w:rsidRPr="006157F1" w:rsidRDefault="005659DC" w:rsidP="00CE710E">
            <w:pPr>
              <w:spacing w:before="0" w:after="0" w:line="240" w:lineRule="auto"/>
              <w:jc w:val="left"/>
              <w:rPr>
                <w:color w:val="auto"/>
                <w:kern w:val="0"/>
                <w:sz w:val="16"/>
                <w:szCs w:val="16"/>
              </w:rPr>
            </w:pPr>
            <w:r w:rsidRPr="006157F1">
              <w:rPr>
                <w:color w:val="auto"/>
                <w:kern w:val="0"/>
                <w:sz w:val="16"/>
                <w:szCs w:val="16"/>
              </w:rPr>
              <w:t>Site</w:t>
            </w:r>
          </w:p>
        </w:tc>
        <w:tc>
          <w:tcPr>
            <w:tcW w:w="1401" w:type="dxa"/>
            <w:tcBorders>
              <w:top w:val="none" w:sz="0" w:space="0" w:color="auto"/>
              <w:left w:val="none" w:sz="0" w:space="0" w:color="auto"/>
              <w:right w:val="none" w:sz="0" w:space="0" w:color="auto"/>
            </w:tcBorders>
            <w:shd w:val="clear" w:color="auto" w:fill="auto"/>
            <w:noWrap/>
            <w:hideMark/>
          </w:tcPr>
          <w:p w14:paraId="20947FE8" w14:textId="77777777" w:rsidR="005659DC" w:rsidRPr="006157F1" w:rsidRDefault="005659DC" w:rsidP="00CE710E">
            <w:pPr>
              <w:spacing w:before="0" w:after="0" w:line="240" w:lineRule="auto"/>
              <w:jc w:val="left"/>
              <w:cnfStyle w:val="100000000000" w:firstRow="1" w:lastRow="0" w:firstColumn="0" w:lastColumn="0" w:oddVBand="0" w:evenVBand="0" w:oddHBand="0" w:evenHBand="0" w:firstRowFirstColumn="0" w:firstRowLastColumn="0" w:lastRowFirstColumn="0" w:lastRowLastColumn="0"/>
              <w:rPr>
                <w:color w:val="auto"/>
                <w:kern w:val="0"/>
                <w:sz w:val="16"/>
                <w:szCs w:val="16"/>
              </w:rPr>
            </w:pPr>
            <w:r w:rsidRPr="006157F1">
              <w:rPr>
                <w:color w:val="auto"/>
                <w:kern w:val="0"/>
                <w:sz w:val="16"/>
                <w:szCs w:val="16"/>
              </w:rPr>
              <w:t>Scenarios</w:t>
            </w:r>
            <w:r>
              <w:rPr>
                <w:color w:val="auto"/>
                <w:kern w:val="0"/>
                <w:sz w:val="16"/>
                <w:szCs w:val="16"/>
              </w:rPr>
              <w:t>/Year</w:t>
            </w:r>
          </w:p>
        </w:tc>
        <w:tc>
          <w:tcPr>
            <w:tcW w:w="985" w:type="dxa"/>
            <w:tcBorders>
              <w:top w:val="none" w:sz="0" w:space="0" w:color="auto"/>
              <w:left w:val="none" w:sz="0" w:space="0" w:color="auto"/>
              <w:right w:val="none" w:sz="0" w:space="0" w:color="auto"/>
            </w:tcBorders>
            <w:shd w:val="clear" w:color="auto" w:fill="auto"/>
          </w:tcPr>
          <w:p w14:paraId="7BFBADDC" w14:textId="77777777" w:rsidR="005659DC" w:rsidRPr="006157F1"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auto"/>
                <w:kern w:val="0"/>
                <w:sz w:val="16"/>
                <w:szCs w:val="16"/>
              </w:rPr>
            </w:pPr>
            <w:r w:rsidRPr="006157F1">
              <w:rPr>
                <w:rFonts w:cs="Calibri"/>
                <w:color w:val="auto"/>
                <w:kern w:val="0"/>
                <w:sz w:val="16"/>
                <w:szCs w:val="16"/>
              </w:rPr>
              <w:t>17-18</w:t>
            </w:r>
          </w:p>
        </w:tc>
        <w:tc>
          <w:tcPr>
            <w:tcW w:w="1015" w:type="dxa"/>
            <w:tcBorders>
              <w:top w:val="none" w:sz="0" w:space="0" w:color="auto"/>
              <w:left w:val="none" w:sz="0" w:space="0" w:color="auto"/>
              <w:right w:val="none" w:sz="0" w:space="0" w:color="auto"/>
            </w:tcBorders>
            <w:shd w:val="clear" w:color="auto" w:fill="auto"/>
          </w:tcPr>
          <w:p w14:paraId="0149D52D" w14:textId="77777777" w:rsidR="005659DC" w:rsidRPr="006157F1"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auto"/>
                <w:kern w:val="0"/>
                <w:sz w:val="16"/>
                <w:szCs w:val="16"/>
              </w:rPr>
            </w:pPr>
            <w:r w:rsidRPr="006157F1">
              <w:rPr>
                <w:rFonts w:cs="Calibri"/>
                <w:color w:val="auto"/>
                <w:kern w:val="0"/>
                <w:sz w:val="16"/>
                <w:szCs w:val="16"/>
              </w:rPr>
              <w:t>18-19</w:t>
            </w:r>
          </w:p>
        </w:tc>
        <w:tc>
          <w:tcPr>
            <w:tcW w:w="1016" w:type="dxa"/>
            <w:tcBorders>
              <w:top w:val="none" w:sz="0" w:space="0" w:color="auto"/>
              <w:left w:val="none" w:sz="0" w:space="0" w:color="auto"/>
              <w:right w:val="none" w:sz="0" w:space="0" w:color="auto"/>
            </w:tcBorders>
            <w:shd w:val="clear" w:color="auto" w:fill="auto"/>
          </w:tcPr>
          <w:p w14:paraId="0883C364" w14:textId="77777777" w:rsidR="005659DC" w:rsidRPr="006157F1"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auto"/>
                <w:kern w:val="0"/>
                <w:sz w:val="16"/>
                <w:szCs w:val="16"/>
              </w:rPr>
            </w:pPr>
            <w:r w:rsidRPr="006157F1">
              <w:rPr>
                <w:rFonts w:cs="Calibri"/>
                <w:color w:val="auto"/>
                <w:kern w:val="0"/>
                <w:sz w:val="16"/>
                <w:szCs w:val="16"/>
              </w:rPr>
              <w:t>19-20</w:t>
            </w:r>
          </w:p>
        </w:tc>
        <w:tc>
          <w:tcPr>
            <w:tcW w:w="1038" w:type="dxa"/>
            <w:tcBorders>
              <w:top w:val="none" w:sz="0" w:space="0" w:color="auto"/>
              <w:left w:val="none" w:sz="0" w:space="0" w:color="auto"/>
              <w:right w:val="none" w:sz="0" w:space="0" w:color="auto"/>
            </w:tcBorders>
            <w:shd w:val="clear" w:color="auto" w:fill="auto"/>
          </w:tcPr>
          <w:p w14:paraId="41EB94F7" w14:textId="77777777" w:rsidR="005659DC" w:rsidRPr="006157F1"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auto"/>
                <w:kern w:val="0"/>
                <w:sz w:val="16"/>
                <w:szCs w:val="16"/>
              </w:rPr>
            </w:pPr>
            <w:r w:rsidRPr="006157F1">
              <w:rPr>
                <w:rFonts w:cs="Calibri"/>
                <w:color w:val="auto"/>
                <w:kern w:val="0"/>
                <w:sz w:val="16"/>
                <w:szCs w:val="16"/>
              </w:rPr>
              <w:t>20-21</w:t>
            </w:r>
          </w:p>
        </w:tc>
        <w:tc>
          <w:tcPr>
            <w:tcW w:w="1141" w:type="dxa"/>
            <w:tcBorders>
              <w:top w:val="none" w:sz="0" w:space="0" w:color="auto"/>
              <w:left w:val="none" w:sz="0" w:space="0" w:color="auto"/>
              <w:right w:val="none" w:sz="0" w:space="0" w:color="auto"/>
            </w:tcBorders>
            <w:shd w:val="clear" w:color="auto" w:fill="auto"/>
            <w:noWrap/>
            <w:hideMark/>
          </w:tcPr>
          <w:p w14:paraId="05BEB192" w14:textId="77777777" w:rsidR="005659DC" w:rsidRPr="006157F1"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auto"/>
                <w:kern w:val="0"/>
                <w:sz w:val="16"/>
                <w:szCs w:val="16"/>
              </w:rPr>
            </w:pPr>
            <w:r w:rsidRPr="006157F1">
              <w:rPr>
                <w:rFonts w:cs="Calibri"/>
                <w:color w:val="auto"/>
                <w:kern w:val="0"/>
                <w:sz w:val="16"/>
                <w:szCs w:val="16"/>
              </w:rPr>
              <w:t>21-22</w:t>
            </w:r>
          </w:p>
        </w:tc>
        <w:tc>
          <w:tcPr>
            <w:tcW w:w="1188" w:type="dxa"/>
            <w:tcBorders>
              <w:top w:val="none" w:sz="0" w:space="0" w:color="auto"/>
              <w:left w:val="none" w:sz="0" w:space="0" w:color="auto"/>
              <w:right w:val="none" w:sz="0" w:space="0" w:color="auto"/>
            </w:tcBorders>
            <w:shd w:val="clear" w:color="auto" w:fill="auto"/>
          </w:tcPr>
          <w:p w14:paraId="7FAEE422" w14:textId="77777777" w:rsidR="005659DC" w:rsidRPr="006157F1"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auto"/>
                <w:kern w:val="0"/>
                <w:sz w:val="16"/>
                <w:szCs w:val="16"/>
              </w:rPr>
            </w:pPr>
            <w:r w:rsidRPr="006157F1">
              <w:rPr>
                <w:rFonts w:cs="Calibri"/>
                <w:color w:val="auto"/>
                <w:kern w:val="0"/>
                <w:sz w:val="16"/>
                <w:szCs w:val="16"/>
              </w:rPr>
              <w:t>22-23</w:t>
            </w:r>
          </w:p>
        </w:tc>
        <w:tc>
          <w:tcPr>
            <w:tcW w:w="1188" w:type="dxa"/>
            <w:tcBorders>
              <w:top w:val="none" w:sz="0" w:space="0" w:color="auto"/>
              <w:left w:val="none" w:sz="0" w:space="0" w:color="auto"/>
              <w:right w:val="none" w:sz="0" w:space="0" w:color="auto"/>
            </w:tcBorders>
            <w:shd w:val="clear" w:color="auto" w:fill="auto"/>
          </w:tcPr>
          <w:p w14:paraId="7372F219" w14:textId="77777777" w:rsidR="005659DC" w:rsidRPr="006157F1" w:rsidRDefault="005659DC" w:rsidP="00CE71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auto"/>
                <w:kern w:val="0"/>
                <w:sz w:val="16"/>
                <w:szCs w:val="16"/>
              </w:rPr>
            </w:pPr>
            <w:r>
              <w:rPr>
                <w:rFonts w:cs="Calibri"/>
                <w:color w:val="auto"/>
                <w:kern w:val="0"/>
                <w:sz w:val="16"/>
                <w:szCs w:val="16"/>
              </w:rPr>
              <w:t>23-24</w:t>
            </w:r>
          </w:p>
        </w:tc>
      </w:tr>
      <w:tr w:rsidR="005659DC" w:rsidRPr="006157F1" w14:paraId="4054AC34" w14:textId="77777777" w:rsidTr="00817658">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val="restart"/>
            <w:tcBorders>
              <w:left w:val="none" w:sz="0" w:space="0" w:color="auto"/>
            </w:tcBorders>
            <w:shd w:val="clear" w:color="auto" w:fill="auto"/>
            <w:noWrap/>
            <w:hideMark/>
          </w:tcPr>
          <w:p w14:paraId="78049A38" w14:textId="77777777" w:rsidR="005659DC" w:rsidRPr="006157F1" w:rsidRDefault="005659DC" w:rsidP="00CE710E">
            <w:pPr>
              <w:spacing w:before="0" w:after="0" w:line="240" w:lineRule="auto"/>
              <w:jc w:val="center"/>
              <w:rPr>
                <w:rFonts w:cs="Calibri"/>
                <w:kern w:val="0"/>
                <w:sz w:val="16"/>
                <w:szCs w:val="16"/>
              </w:rPr>
            </w:pPr>
            <w:r w:rsidRPr="006157F1">
              <w:rPr>
                <w:rFonts w:cs="Calibri"/>
                <w:kern w:val="0"/>
                <w:sz w:val="16"/>
                <w:szCs w:val="16"/>
              </w:rPr>
              <w:t>Barrage (from lakes to Coorong)</w:t>
            </w:r>
          </w:p>
        </w:tc>
        <w:tc>
          <w:tcPr>
            <w:tcW w:w="1401" w:type="dxa"/>
            <w:shd w:val="clear" w:color="auto" w:fill="auto"/>
            <w:noWrap/>
            <w:hideMark/>
          </w:tcPr>
          <w:p w14:paraId="639D4323" w14:textId="77777777" w:rsidR="005659DC" w:rsidRPr="006157F1"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rFonts w:cs="Calibri"/>
                <w:kern w:val="0"/>
                <w:sz w:val="16"/>
                <w:szCs w:val="16"/>
              </w:rPr>
              <w:t>Base</w:t>
            </w:r>
            <w:r>
              <w:rPr>
                <w:rFonts w:cs="Calibri"/>
                <w:kern w:val="0"/>
                <w:sz w:val="16"/>
                <w:szCs w:val="16"/>
              </w:rPr>
              <w:t>-</w:t>
            </w:r>
            <w:r w:rsidRPr="006157F1">
              <w:rPr>
                <w:rFonts w:cs="Calibri"/>
                <w:kern w:val="0"/>
                <w:sz w:val="16"/>
                <w:szCs w:val="16"/>
              </w:rPr>
              <w:t>case</w:t>
            </w:r>
          </w:p>
        </w:tc>
        <w:tc>
          <w:tcPr>
            <w:tcW w:w="985" w:type="dxa"/>
            <w:shd w:val="clear" w:color="auto" w:fill="auto"/>
          </w:tcPr>
          <w:p w14:paraId="23258C07"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1,480.35</w:t>
            </w:r>
          </w:p>
        </w:tc>
        <w:tc>
          <w:tcPr>
            <w:tcW w:w="1015" w:type="dxa"/>
            <w:shd w:val="clear" w:color="auto" w:fill="auto"/>
          </w:tcPr>
          <w:p w14:paraId="7279BB1C"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696.37</w:t>
            </w:r>
          </w:p>
        </w:tc>
        <w:tc>
          <w:tcPr>
            <w:tcW w:w="1016" w:type="dxa"/>
            <w:shd w:val="clear" w:color="auto" w:fill="auto"/>
          </w:tcPr>
          <w:p w14:paraId="430C27D1"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894.91</w:t>
            </w:r>
          </w:p>
        </w:tc>
        <w:tc>
          <w:tcPr>
            <w:tcW w:w="1038" w:type="dxa"/>
            <w:shd w:val="clear" w:color="auto" w:fill="auto"/>
          </w:tcPr>
          <w:p w14:paraId="44606680"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1,682.68</w:t>
            </w:r>
          </w:p>
        </w:tc>
        <w:tc>
          <w:tcPr>
            <w:tcW w:w="1141" w:type="dxa"/>
            <w:shd w:val="clear" w:color="auto" w:fill="auto"/>
            <w:noWrap/>
          </w:tcPr>
          <w:p w14:paraId="414913B7"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8,033.86</w:t>
            </w:r>
          </w:p>
        </w:tc>
        <w:tc>
          <w:tcPr>
            <w:tcW w:w="1188" w:type="dxa"/>
            <w:shd w:val="clear" w:color="auto" w:fill="auto"/>
          </w:tcPr>
          <w:p w14:paraId="2B863DCE"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31,157.28</w:t>
            </w:r>
          </w:p>
        </w:tc>
        <w:tc>
          <w:tcPr>
            <w:tcW w:w="1188" w:type="dxa"/>
            <w:shd w:val="clear" w:color="auto" w:fill="auto"/>
          </w:tcPr>
          <w:p w14:paraId="57FDD802"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B6709D">
              <w:rPr>
                <w:sz w:val="16"/>
                <w:szCs w:val="16"/>
              </w:rPr>
              <w:t>6,660.97</w:t>
            </w:r>
          </w:p>
        </w:tc>
      </w:tr>
      <w:tr w:rsidR="005659DC" w:rsidRPr="006157F1" w14:paraId="3D753E6D" w14:textId="77777777" w:rsidTr="00817658">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0B5F1AD0" w14:textId="77777777" w:rsidR="005659DC" w:rsidRPr="006157F1" w:rsidRDefault="005659DC" w:rsidP="00CE710E">
            <w:pPr>
              <w:spacing w:before="0" w:after="0" w:line="240" w:lineRule="auto"/>
              <w:jc w:val="center"/>
              <w:rPr>
                <w:rFonts w:cs="Calibri"/>
                <w:kern w:val="0"/>
                <w:sz w:val="16"/>
                <w:szCs w:val="16"/>
              </w:rPr>
            </w:pPr>
          </w:p>
        </w:tc>
        <w:tc>
          <w:tcPr>
            <w:tcW w:w="1401" w:type="dxa"/>
            <w:shd w:val="clear" w:color="auto" w:fill="auto"/>
            <w:noWrap/>
            <w:hideMark/>
          </w:tcPr>
          <w:p w14:paraId="5A9461D2" w14:textId="77777777" w:rsidR="005659DC" w:rsidRPr="006157F1"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rFonts w:cs="Calibri"/>
                <w:kern w:val="0"/>
                <w:sz w:val="16"/>
                <w:szCs w:val="16"/>
              </w:rPr>
              <w:t>NC1</w:t>
            </w:r>
          </w:p>
        </w:tc>
        <w:tc>
          <w:tcPr>
            <w:tcW w:w="985" w:type="dxa"/>
            <w:shd w:val="clear" w:color="auto" w:fill="auto"/>
          </w:tcPr>
          <w:p w14:paraId="0979A157"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015" w:type="dxa"/>
            <w:shd w:val="clear" w:color="auto" w:fill="auto"/>
          </w:tcPr>
          <w:p w14:paraId="1A2F373D"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016" w:type="dxa"/>
            <w:shd w:val="clear" w:color="auto" w:fill="auto"/>
          </w:tcPr>
          <w:p w14:paraId="2066CE38"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038" w:type="dxa"/>
            <w:shd w:val="clear" w:color="auto" w:fill="auto"/>
          </w:tcPr>
          <w:p w14:paraId="2301F085"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141" w:type="dxa"/>
            <w:shd w:val="clear" w:color="auto" w:fill="auto"/>
            <w:noWrap/>
          </w:tcPr>
          <w:p w14:paraId="1C74DE4F"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188" w:type="dxa"/>
            <w:shd w:val="clear" w:color="auto" w:fill="auto"/>
          </w:tcPr>
          <w:p w14:paraId="4A8134D2"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29,882.14</w:t>
            </w:r>
          </w:p>
        </w:tc>
        <w:tc>
          <w:tcPr>
            <w:tcW w:w="1188" w:type="dxa"/>
            <w:shd w:val="clear" w:color="auto" w:fill="auto"/>
          </w:tcPr>
          <w:p w14:paraId="59D43800"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B6709D">
              <w:rPr>
                <w:sz w:val="16"/>
                <w:szCs w:val="16"/>
              </w:rPr>
              <w:t>5,548.47</w:t>
            </w:r>
          </w:p>
        </w:tc>
      </w:tr>
      <w:tr w:rsidR="005659DC" w:rsidRPr="006157F1" w14:paraId="525E3A0D" w14:textId="77777777" w:rsidTr="00817658">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55E8C10D" w14:textId="77777777" w:rsidR="005659DC" w:rsidRPr="006157F1" w:rsidRDefault="005659DC" w:rsidP="00CE710E">
            <w:pPr>
              <w:spacing w:before="0" w:after="0" w:line="240" w:lineRule="auto"/>
              <w:jc w:val="center"/>
              <w:rPr>
                <w:rFonts w:cs="Calibri"/>
                <w:kern w:val="0"/>
                <w:sz w:val="16"/>
                <w:szCs w:val="16"/>
              </w:rPr>
            </w:pPr>
          </w:p>
        </w:tc>
        <w:tc>
          <w:tcPr>
            <w:tcW w:w="1401" w:type="dxa"/>
            <w:shd w:val="clear" w:color="auto" w:fill="auto"/>
            <w:noWrap/>
            <w:hideMark/>
          </w:tcPr>
          <w:p w14:paraId="5D42E750" w14:textId="77777777" w:rsidR="005659DC" w:rsidRPr="006157F1"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rFonts w:cs="Calibri"/>
                <w:kern w:val="0"/>
                <w:sz w:val="16"/>
                <w:szCs w:val="16"/>
              </w:rPr>
              <w:t>NE1</w:t>
            </w:r>
          </w:p>
        </w:tc>
        <w:tc>
          <w:tcPr>
            <w:tcW w:w="985" w:type="dxa"/>
            <w:shd w:val="clear" w:color="auto" w:fill="auto"/>
          </w:tcPr>
          <w:p w14:paraId="6AB0CEDD"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015" w:type="dxa"/>
            <w:shd w:val="clear" w:color="auto" w:fill="auto"/>
          </w:tcPr>
          <w:p w14:paraId="1BFCD638"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016" w:type="dxa"/>
            <w:shd w:val="clear" w:color="auto" w:fill="auto"/>
          </w:tcPr>
          <w:p w14:paraId="4DB2E554"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038" w:type="dxa"/>
            <w:shd w:val="clear" w:color="auto" w:fill="auto"/>
          </w:tcPr>
          <w:p w14:paraId="6314B030"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141" w:type="dxa"/>
            <w:shd w:val="clear" w:color="auto" w:fill="auto"/>
            <w:noWrap/>
          </w:tcPr>
          <w:p w14:paraId="2BB81820"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188" w:type="dxa"/>
            <w:shd w:val="clear" w:color="auto" w:fill="auto"/>
          </w:tcPr>
          <w:p w14:paraId="508252AC"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29,304.95</w:t>
            </w:r>
          </w:p>
        </w:tc>
        <w:tc>
          <w:tcPr>
            <w:tcW w:w="1188" w:type="dxa"/>
            <w:shd w:val="clear" w:color="auto" w:fill="auto"/>
          </w:tcPr>
          <w:p w14:paraId="32AA8287"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B6709D">
              <w:rPr>
                <w:sz w:val="16"/>
                <w:szCs w:val="16"/>
              </w:rPr>
              <w:t>5,161.14</w:t>
            </w:r>
          </w:p>
        </w:tc>
      </w:tr>
      <w:tr w:rsidR="005659DC" w:rsidRPr="006157F1" w14:paraId="7C9F83D2" w14:textId="77777777" w:rsidTr="00817658">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03E5E9BB" w14:textId="77777777" w:rsidR="005659DC" w:rsidRPr="006157F1" w:rsidRDefault="005659DC" w:rsidP="00CE710E">
            <w:pPr>
              <w:spacing w:before="0" w:after="0" w:line="240" w:lineRule="auto"/>
              <w:jc w:val="center"/>
              <w:rPr>
                <w:rFonts w:cs="Calibri"/>
                <w:kern w:val="0"/>
                <w:sz w:val="16"/>
                <w:szCs w:val="16"/>
              </w:rPr>
            </w:pPr>
          </w:p>
        </w:tc>
        <w:tc>
          <w:tcPr>
            <w:tcW w:w="1401" w:type="dxa"/>
            <w:shd w:val="clear" w:color="auto" w:fill="auto"/>
            <w:noWrap/>
            <w:hideMark/>
          </w:tcPr>
          <w:p w14:paraId="264458B7" w14:textId="77777777" w:rsidR="005659DC" w:rsidRPr="006157F1"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rFonts w:cs="Calibri"/>
                <w:kern w:val="0"/>
                <w:sz w:val="16"/>
                <w:szCs w:val="16"/>
              </w:rPr>
              <w:t>NC</w:t>
            </w:r>
            <w:r>
              <w:rPr>
                <w:rFonts w:cs="Calibri"/>
                <w:kern w:val="0"/>
                <w:sz w:val="16"/>
                <w:szCs w:val="16"/>
              </w:rPr>
              <w:t>7</w:t>
            </w:r>
          </w:p>
        </w:tc>
        <w:tc>
          <w:tcPr>
            <w:tcW w:w="985" w:type="dxa"/>
            <w:shd w:val="clear" w:color="auto" w:fill="auto"/>
          </w:tcPr>
          <w:p w14:paraId="270C3DA6"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157.57</w:t>
            </w:r>
          </w:p>
        </w:tc>
        <w:tc>
          <w:tcPr>
            <w:tcW w:w="1015" w:type="dxa"/>
            <w:shd w:val="clear" w:color="auto" w:fill="auto"/>
          </w:tcPr>
          <w:p w14:paraId="1BA5C2A1"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0.00</w:t>
            </w:r>
          </w:p>
        </w:tc>
        <w:tc>
          <w:tcPr>
            <w:tcW w:w="1016" w:type="dxa"/>
            <w:shd w:val="clear" w:color="auto" w:fill="auto"/>
          </w:tcPr>
          <w:p w14:paraId="41284C3E"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0.00</w:t>
            </w:r>
          </w:p>
        </w:tc>
        <w:tc>
          <w:tcPr>
            <w:tcW w:w="1038" w:type="dxa"/>
            <w:shd w:val="clear" w:color="auto" w:fill="auto"/>
          </w:tcPr>
          <w:p w14:paraId="4201B161"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601.15</w:t>
            </w:r>
          </w:p>
        </w:tc>
        <w:tc>
          <w:tcPr>
            <w:tcW w:w="1141" w:type="dxa"/>
            <w:shd w:val="clear" w:color="auto" w:fill="auto"/>
            <w:noWrap/>
          </w:tcPr>
          <w:p w14:paraId="55FE9B52"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6,833.85</w:t>
            </w:r>
          </w:p>
        </w:tc>
        <w:tc>
          <w:tcPr>
            <w:tcW w:w="1188" w:type="dxa"/>
            <w:shd w:val="clear" w:color="auto" w:fill="auto"/>
          </w:tcPr>
          <w:p w14:paraId="239984C3"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29,882.14</w:t>
            </w:r>
          </w:p>
        </w:tc>
        <w:tc>
          <w:tcPr>
            <w:tcW w:w="1188" w:type="dxa"/>
            <w:shd w:val="clear" w:color="auto" w:fill="auto"/>
          </w:tcPr>
          <w:p w14:paraId="5386FCDD"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B6709D">
              <w:rPr>
                <w:sz w:val="16"/>
                <w:szCs w:val="16"/>
              </w:rPr>
              <w:t>5,548.47</w:t>
            </w:r>
          </w:p>
        </w:tc>
      </w:tr>
      <w:tr w:rsidR="005659DC" w:rsidRPr="006157F1" w14:paraId="4190C3D7" w14:textId="77777777" w:rsidTr="00817658">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0E9111D1" w14:textId="77777777" w:rsidR="005659DC" w:rsidRPr="006157F1" w:rsidRDefault="005659DC" w:rsidP="00CE710E">
            <w:pPr>
              <w:spacing w:before="0" w:after="0" w:line="240" w:lineRule="auto"/>
              <w:jc w:val="center"/>
              <w:rPr>
                <w:rFonts w:cs="Calibri"/>
                <w:kern w:val="0"/>
                <w:sz w:val="16"/>
                <w:szCs w:val="16"/>
              </w:rPr>
            </w:pPr>
          </w:p>
        </w:tc>
        <w:tc>
          <w:tcPr>
            <w:tcW w:w="1401" w:type="dxa"/>
            <w:shd w:val="clear" w:color="auto" w:fill="auto"/>
            <w:noWrap/>
            <w:hideMark/>
          </w:tcPr>
          <w:p w14:paraId="6E654295" w14:textId="77777777" w:rsidR="005659DC" w:rsidRPr="006157F1"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rFonts w:cs="Calibri"/>
                <w:kern w:val="0"/>
                <w:sz w:val="16"/>
                <w:szCs w:val="16"/>
              </w:rPr>
              <w:t>NE</w:t>
            </w:r>
            <w:r>
              <w:rPr>
                <w:rFonts w:cs="Calibri"/>
                <w:kern w:val="0"/>
                <w:sz w:val="16"/>
                <w:szCs w:val="16"/>
              </w:rPr>
              <w:t>7</w:t>
            </w:r>
          </w:p>
        </w:tc>
        <w:tc>
          <w:tcPr>
            <w:tcW w:w="985" w:type="dxa"/>
            <w:shd w:val="clear" w:color="auto" w:fill="auto"/>
          </w:tcPr>
          <w:p w14:paraId="3DB84F28"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107.36</w:t>
            </w:r>
          </w:p>
        </w:tc>
        <w:tc>
          <w:tcPr>
            <w:tcW w:w="1015" w:type="dxa"/>
            <w:shd w:val="clear" w:color="auto" w:fill="auto"/>
          </w:tcPr>
          <w:p w14:paraId="62C18347"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0.00</w:t>
            </w:r>
          </w:p>
        </w:tc>
        <w:tc>
          <w:tcPr>
            <w:tcW w:w="1016" w:type="dxa"/>
            <w:shd w:val="clear" w:color="auto" w:fill="auto"/>
          </w:tcPr>
          <w:p w14:paraId="34D61B27"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0.00</w:t>
            </w:r>
          </w:p>
        </w:tc>
        <w:tc>
          <w:tcPr>
            <w:tcW w:w="1038" w:type="dxa"/>
            <w:shd w:val="clear" w:color="auto" w:fill="auto"/>
          </w:tcPr>
          <w:p w14:paraId="14DC7146"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476.76</w:t>
            </w:r>
          </w:p>
        </w:tc>
        <w:tc>
          <w:tcPr>
            <w:tcW w:w="1141" w:type="dxa"/>
            <w:shd w:val="clear" w:color="auto" w:fill="auto"/>
            <w:noWrap/>
          </w:tcPr>
          <w:p w14:paraId="67F2568E"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6,206.37</w:t>
            </w:r>
          </w:p>
        </w:tc>
        <w:tc>
          <w:tcPr>
            <w:tcW w:w="1188" w:type="dxa"/>
            <w:shd w:val="clear" w:color="auto" w:fill="auto"/>
          </w:tcPr>
          <w:p w14:paraId="56EF7467"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29,304.95</w:t>
            </w:r>
          </w:p>
        </w:tc>
        <w:tc>
          <w:tcPr>
            <w:tcW w:w="1188" w:type="dxa"/>
            <w:shd w:val="clear" w:color="auto" w:fill="auto"/>
          </w:tcPr>
          <w:p w14:paraId="3B51860F"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B6709D">
              <w:rPr>
                <w:sz w:val="16"/>
                <w:szCs w:val="16"/>
              </w:rPr>
              <w:t>5,161.14</w:t>
            </w:r>
          </w:p>
        </w:tc>
      </w:tr>
      <w:tr w:rsidR="005659DC" w:rsidRPr="006157F1" w14:paraId="5CE647E7" w14:textId="77777777" w:rsidTr="00817658">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val="restart"/>
            <w:tcBorders>
              <w:left w:val="none" w:sz="0" w:space="0" w:color="auto"/>
            </w:tcBorders>
            <w:shd w:val="clear" w:color="auto" w:fill="auto"/>
            <w:noWrap/>
            <w:hideMark/>
          </w:tcPr>
          <w:p w14:paraId="69B5F980" w14:textId="77777777" w:rsidR="005659DC" w:rsidRPr="006157F1" w:rsidRDefault="005659DC" w:rsidP="00CE710E">
            <w:pPr>
              <w:spacing w:before="0" w:after="0" w:line="240" w:lineRule="auto"/>
              <w:jc w:val="center"/>
              <w:rPr>
                <w:rFonts w:cs="Calibri"/>
                <w:kern w:val="0"/>
                <w:sz w:val="16"/>
                <w:szCs w:val="16"/>
              </w:rPr>
            </w:pPr>
            <w:r w:rsidRPr="006157F1">
              <w:rPr>
                <w:rFonts w:cs="Calibri"/>
                <w:kern w:val="0"/>
                <w:sz w:val="16"/>
                <w:szCs w:val="16"/>
              </w:rPr>
              <w:t>Murray Mouth (from Southern Ocean to Coorong)</w:t>
            </w:r>
          </w:p>
        </w:tc>
        <w:tc>
          <w:tcPr>
            <w:tcW w:w="1401" w:type="dxa"/>
            <w:shd w:val="clear" w:color="auto" w:fill="auto"/>
            <w:noWrap/>
          </w:tcPr>
          <w:p w14:paraId="0531A102" w14:textId="77777777" w:rsidR="005659DC" w:rsidRPr="006157F1"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rFonts w:cs="Calibri"/>
                <w:kern w:val="0"/>
                <w:sz w:val="16"/>
                <w:szCs w:val="16"/>
              </w:rPr>
              <w:t>Base</w:t>
            </w:r>
            <w:r>
              <w:rPr>
                <w:rFonts w:cs="Calibri"/>
                <w:kern w:val="0"/>
                <w:sz w:val="16"/>
                <w:szCs w:val="16"/>
              </w:rPr>
              <w:t>-</w:t>
            </w:r>
            <w:r w:rsidRPr="006157F1">
              <w:rPr>
                <w:rFonts w:cs="Calibri"/>
                <w:kern w:val="0"/>
                <w:sz w:val="16"/>
                <w:szCs w:val="16"/>
              </w:rPr>
              <w:t>case</w:t>
            </w:r>
          </w:p>
        </w:tc>
        <w:tc>
          <w:tcPr>
            <w:tcW w:w="985" w:type="dxa"/>
            <w:shd w:val="clear" w:color="auto" w:fill="auto"/>
          </w:tcPr>
          <w:p w14:paraId="5BFA86B8"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-1,410.46</w:t>
            </w:r>
          </w:p>
        </w:tc>
        <w:tc>
          <w:tcPr>
            <w:tcW w:w="1015" w:type="dxa"/>
            <w:shd w:val="clear" w:color="auto" w:fill="auto"/>
          </w:tcPr>
          <w:p w14:paraId="350F1524"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-587.32</w:t>
            </w:r>
          </w:p>
        </w:tc>
        <w:tc>
          <w:tcPr>
            <w:tcW w:w="1016" w:type="dxa"/>
            <w:shd w:val="clear" w:color="auto" w:fill="auto"/>
          </w:tcPr>
          <w:p w14:paraId="1EAAC6D2"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-770.60</w:t>
            </w:r>
          </w:p>
        </w:tc>
        <w:tc>
          <w:tcPr>
            <w:tcW w:w="1038" w:type="dxa"/>
            <w:shd w:val="clear" w:color="auto" w:fill="auto"/>
          </w:tcPr>
          <w:p w14:paraId="189A175F"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-1,547.06</w:t>
            </w:r>
          </w:p>
        </w:tc>
        <w:tc>
          <w:tcPr>
            <w:tcW w:w="1141" w:type="dxa"/>
            <w:shd w:val="clear" w:color="auto" w:fill="auto"/>
            <w:noWrap/>
          </w:tcPr>
          <w:p w14:paraId="6A7F4A03"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-7,802.56</w:t>
            </w:r>
          </w:p>
        </w:tc>
        <w:tc>
          <w:tcPr>
            <w:tcW w:w="1188" w:type="dxa"/>
            <w:shd w:val="clear" w:color="auto" w:fill="auto"/>
          </w:tcPr>
          <w:p w14:paraId="30473F44"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-30,907.84</w:t>
            </w:r>
          </w:p>
        </w:tc>
        <w:tc>
          <w:tcPr>
            <w:tcW w:w="1188" w:type="dxa"/>
            <w:shd w:val="clear" w:color="auto" w:fill="auto"/>
          </w:tcPr>
          <w:p w14:paraId="3852D5F1"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B6709D">
              <w:rPr>
                <w:sz w:val="16"/>
                <w:szCs w:val="16"/>
              </w:rPr>
              <w:t>-6,885.43</w:t>
            </w:r>
          </w:p>
        </w:tc>
      </w:tr>
      <w:tr w:rsidR="005659DC" w:rsidRPr="006157F1" w14:paraId="6443FA80" w14:textId="77777777" w:rsidTr="00817658">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09616275" w14:textId="77777777" w:rsidR="005659DC" w:rsidRPr="006157F1" w:rsidRDefault="005659DC" w:rsidP="00CE710E">
            <w:pPr>
              <w:spacing w:before="0" w:after="0" w:line="240" w:lineRule="auto"/>
              <w:jc w:val="center"/>
              <w:rPr>
                <w:rFonts w:cs="Calibri"/>
                <w:kern w:val="0"/>
                <w:sz w:val="16"/>
                <w:szCs w:val="16"/>
              </w:rPr>
            </w:pPr>
          </w:p>
        </w:tc>
        <w:tc>
          <w:tcPr>
            <w:tcW w:w="1401" w:type="dxa"/>
            <w:shd w:val="clear" w:color="auto" w:fill="auto"/>
            <w:noWrap/>
          </w:tcPr>
          <w:p w14:paraId="780AC771" w14:textId="77777777" w:rsidR="005659DC" w:rsidRPr="006157F1"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rFonts w:cs="Calibri"/>
                <w:kern w:val="0"/>
                <w:sz w:val="16"/>
                <w:szCs w:val="16"/>
              </w:rPr>
              <w:t>NC1</w:t>
            </w:r>
          </w:p>
        </w:tc>
        <w:tc>
          <w:tcPr>
            <w:tcW w:w="985" w:type="dxa"/>
            <w:shd w:val="clear" w:color="auto" w:fill="auto"/>
          </w:tcPr>
          <w:p w14:paraId="509228F2"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015" w:type="dxa"/>
            <w:shd w:val="clear" w:color="auto" w:fill="auto"/>
          </w:tcPr>
          <w:p w14:paraId="12399F2A"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016" w:type="dxa"/>
            <w:shd w:val="clear" w:color="auto" w:fill="auto"/>
          </w:tcPr>
          <w:p w14:paraId="479BBA2A"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038" w:type="dxa"/>
            <w:shd w:val="clear" w:color="auto" w:fill="auto"/>
          </w:tcPr>
          <w:p w14:paraId="3C41C808"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141" w:type="dxa"/>
            <w:shd w:val="clear" w:color="auto" w:fill="auto"/>
            <w:noWrap/>
          </w:tcPr>
          <w:p w14:paraId="42A3AE87"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188" w:type="dxa"/>
            <w:shd w:val="clear" w:color="auto" w:fill="auto"/>
          </w:tcPr>
          <w:p w14:paraId="1C6B3FCC"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-29,641.27</w:t>
            </w:r>
          </w:p>
        </w:tc>
        <w:tc>
          <w:tcPr>
            <w:tcW w:w="1188" w:type="dxa"/>
            <w:shd w:val="clear" w:color="auto" w:fill="auto"/>
          </w:tcPr>
          <w:p w14:paraId="597B24EA"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B6709D">
              <w:rPr>
                <w:sz w:val="16"/>
                <w:szCs w:val="16"/>
              </w:rPr>
              <w:t>-5,774.60</w:t>
            </w:r>
          </w:p>
        </w:tc>
      </w:tr>
      <w:tr w:rsidR="005659DC" w:rsidRPr="006157F1" w14:paraId="15A4A27D" w14:textId="77777777" w:rsidTr="00817658">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1EEDE402" w14:textId="77777777" w:rsidR="005659DC" w:rsidRPr="006157F1" w:rsidRDefault="005659DC" w:rsidP="00CE710E">
            <w:pPr>
              <w:spacing w:before="0" w:after="0" w:line="240" w:lineRule="auto"/>
              <w:jc w:val="center"/>
              <w:rPr>
                <w:rFonts w:cs="Calibri"/>
                <w:kern w:val="0"/>
                <w:sz w:val="16"/>
                <w:szCs w:val="16"/>
              </w:rPr>
            </w:pPr>
          </w:p>
        </w:tc>
        <w:tc>
          <w:tcPr>
            <w:tcW w:w="1401" w:type="dxa"/>
            <w:shd w:val="clear" w:color="auto" w:fill="auto"/>
            <w:noWrap/>
          </w:tcPr>
          <w:p w14:paraId="2750DC99" w14:textId="77777777" w:rsidR="005659DC" w:rsidRPr="006157F1"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rFonts w:cs="Calibri"/>
                <w:kern w:val="0"/>
                <w:sz w:val="16"/>
                <w:szCs w:val="16"/>
              </w:rPr>
              <w:t>NE1</w:t>
            </w:r>
          </w:p>
        </w:tc>
        <w:tc>
          <w:tcPr>
            <w:tcW w:w="985" w:type="dxa"/>
            <w:shd w:val="clear" w:color="auto" w:fill="auto"/>
          </w:tcPr>
          <w:p w14:paraId="642B9213"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015" w:type="dxa"/>
            <w:shd w:val="clear" w:color="auto" w:fill="auto"/>
          </w:tcPr>
          <w:p w14:paraId="768FE174"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016" w:type="dxa"/>
            <w:shd w:val="clear" w:color="auto" w:fill="auto"/>
          </w:tcPr>
          <w:p w14:paraId="08C91754"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038" w:type="dxa"/>
            <w:shd w:val="clear" w:color="auto" w:fill="auto"/>
          </w:tcPr>
          <w:p w14:paraId="2590B27B"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141" w:type="dxa"/>
            <w:shd w:val="clear" w:color="auto" w:fill="auto"/>
            <w:noWrap/>
          </w:tcPr>
          <w:p w14:paraId="3B1BDEAB"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188" w:type="dxa"/>
            <w:shd w:val="clear" w:color="auto" w:fill="auto"/>
          </w:tcPr>
          <w:p w14:paraId="373A12A0"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-29,072.36</w:t>
            </w:r>
          </w:p>
        </w:tc>
        <w:tc>
          <w:tcPr>
            <w:tcW w:w="1188" w:type="dxa"/>
            <w:shd w:val="clear" w:color="auto" w:fill="auto"/>
          </w:tcPr>
          <w:p w14:paraId="49E9490F"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B6709D">
              <w:rPr>
                <w:sz w:val="16"/>
                <w:szCs w:val="16"/>
              </w:rPr>
              <w:t>-5,401.69</w:t>
            </w:r>
          </w:p>
        </w:tc>
      </w:tr>
      <w:tr w:rsidR="005659DC" w:rsidRPr="006157F1" w14:paraId="3304E9F7" w14:textId="77777777" w:rsidTr="00817658">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67FA474F" w14:textId="77777777" w:rsidR="005659DC" w:rsidRPr="006157F1" w:rsidRDefault="005659DC" w:rsidP="00CE710E">
            <w:pPr>
              <w:spacing w:before="0" w:after="0" w:line="240" w:lineRule="auto"/>
              <w:jc w:val="center"/>
              <w:rPr>
                <w:rFonts w:cs="Calibri"/>
                <w:kern w:val="0"/>
                <w:sz w:val="16"/>
                <w:szCs w:val="16"/>
              </w:rPr>
            </w:pPr>
          </w:p>
        </w:tc>
        <w:tc>
          <w:tcPr>
            <w:tcW w:w="1401" w:type="dxa"/>
            <w:shd w:val="clear" w:color="auto" w:fill="auto"/>
            <w:noWrap/>
          </w:tcPr>
          <w:p w14:paraId="078EA0DB" w14:textId="77777777" w:rsidR="005659DC" w:rsidRPr="006157F1"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rFonts w:cs="Calibri"/>
                <w:kern w:val="0"/>
                <w:sz w:val="16"/>
                <w:szCs w:val="16"/>
              </w:rPr>
              <w:t>NC</w:t>
            </w:r>
            <w:r>
              <w:rPr>
                <w:rFonts w:cs="Calibri"/>
                <w:kern w:val="0"/>
                <w:sz w:val="16"/>
                <w:szCs w:val="16"/>
              </w:rPr>
              <w:t>7</w:t>
            </w:r>
          </w:p>
        </w:tc>
        <w:tc>
          <w:tcPr>
            <w:tcW w:w="985" w:type="dxa"/>
            <w:shd w:val="clear" w:color="auto" w:fill="auto"/>
          </w:tcPr>
          <w:p w14:paraId="05BDAE67"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-153.68</w:t>
            </w:r>
          </w:p>
        </w:tc>
        <w:tc>
          <w:tcPr>
            <w:tcW w:w="1015" w:type="dxa"/>
            <w:shd w:val="clear" w:color="auto" w:fill="auto"/>
          </w:tcPr>
          <w:p w14:paraId="58D86BC6"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41.26</w:t>
            </w:r>
          </w:p>
        </w:tc>
        <w:tc>
          <w:tcPr>
            <w:tcW w:w="1016" w:type="dxa"/>
            <w:shd w:val="clear" w:color="auto" w:fill="auto"/>
          </w:tcPr>
          <w:p w14:paraId="01AB7A47"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105.47</w:t>
            </w:r>
          </w:p>
        </w:tc>
        <w:tc>
          <w:tcPr>
            <w:tcW w:w="1038" w:type="dxa"/>
            <w:shd w:val="clear" w:color="auto" w:fill="auto"/>
          </w:tcPr>
          <w:p w14:paraId="2A7EA620"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-532.37</w:t>
            </w:r>
          </w:p>
        </w:tc>
        <w:tc>
          <w:tcPr>
            <w:tcW w:w="1141" w:type="dxa"/>
            <w:shd w:val="clear" w:color="auto" w:fill="auto"/>
            <w:noWrap/>
          </w:tcPr>
          <w:p w14:paraId="57B7D32C"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-6,581.60</w:t>
            </w:r>
          </w:p>
        </w:tc>
        <w:tc>
          <w:tcPr>
            <w:tcW w:w="1188" w:type="dxa"/>
            <w:shd w:val="clear" w:color="auto" w:fill="auto"/>
          </w:tcPr>
          <w:p w14:paraId="422D1CA5"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-29,628.60</w:t>
            </w:r>
          </w:p>
        </w:tc>
        <w:tc>
          <w:tcPr>
            <w:tcW w:w="1188" w:type="dxa"/>
            <w:shd w:val="clear" w:color="auto" w:fill="auto"/>
          </w:tcPr>
          <w:p w14:paraId="57B0C1BA"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B6709D">
              <w:rPr>
                <w:sz w:val="16"/>
                <w:szCs w:val="16"/>
              </w:rPr>
              <w:t>-5,743.97</w:t>
            </w:r>
          </w:p>
        </w:tc>
      </w:tr>
      <w:tr w:rsidR="005659DC" w:rsidRPr="006157F1" w14:paraId="35D6A582" w14:textId="77777777" w:rsidTr="00817658">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5E908A10" w14:textId="77777777" w:rsidR="005659DC" w:rsidRPr="006157F1" w:rsidRDefault="005659DC" w:rsidP="00CE710E">
            <w:pPr>
              <w:spacing w:before="0" w:after="0" w:line="240" w:lineRule="auto"/>
              <w:jc w:val="center"/>
              <w:rPr>
                <w:rFonts w:cs="Calibri"/>
                <w:kern w:val="0"/>
                <w:sz w:val="16"/>
                <w:szCs w:val="16"/>
              </w:rPr>
            </w:pPr>
          </w:p>
        </w:tc>
        <w:tc>
          <w:tcPr>
            <w:tcW w:w="1401" w:type="dxa"/>
            <w:shd w:val="clear" w:color="auto" w:fill="auto"/>
            <w:noWrap/>
          </w:tcPr>
          <w:p w14:paraId="6A0D5FC7" w14:textId="77777777" w:rsidR="005659DC" w:rsidRPr="006157F1"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rFonts w:cs="Calibri"/>
                <w:kern w:val="0"/>
                <w:sz w:val="16"/>
                <w:szCs w:val="16"/>
              </w:rPr>
              <w:t>NE</w:t>
            </w:r>
            <w:r>
              <w:rPr>
                <w:rFonts w:cs="Calibri"/>
                <w:kern w:val="0"/>
                <w:sz w:val="16"/>
                <w:szCs w:val="16"/>
              </w:rPr>
              <w:t>7</w:t>
            </w:r>
          </w:p>
        </w:tc>
        <w:tc>
          <w:tcPr>
            <w:tcW w:w="985" w:type="dxa"/>
            <w:shd w:val="clear" w:color="auto" w:fill="auto"/>
          </w:tcPr>
          <w:p w14:paraId="1E203893"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-105.76</w:t>
            </w:r>
          </w:p>
        </w:tc>
        <w:tc>
          <w:tcPr>
            <w:tcW w:w="1015" w:type="dxa"/>
            <w:shd w:val="clear" w:color="auto" w:fill="auto"/>
          </w:tcPr>
          <w:p w14:paraId="55272CBA"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41.66</w:t>
            </w:r>
          </w:p>
        </w:tc>
        <w:tc>
          <w:tcPr>
            <w:tcW w:w="1016" w:type="dxa"/>
            <w:shd w:val="clear" w:color="auto" w:fill="auto"/>
          </w:tcPr>
          <w:p w14:paraId="5AEBC6CB"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105.48</w:t>
            </w:r>
          </w:p>
        </w:tc>
        <w:tc>
          <w:tcPr>
            <w:tcW w:w="1038" w:type="dxa"/>
            <w:shd w:val="clear" w:color="auto" w:fill="auto"/>
          </w:tcPr>
          <w:p w14:paraId="223630D1"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-411.06</w:t>
            </w:r>
          </w:p>
        </w:tc>
        <w:tc>
          <w:tcPr>
            <w:tcW w:w="1141" w:type="dxa"/>
            <w:shd w:val="clear" w:color="auto" w:fill="auto"/>
            <w:noWrap/>
          </w:tcPr>
          <w:p w14:paraId="13FB77F4"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-5,957.25</w:t>
            </w:r>
          </w:p>
        </w:tc>
        <w:tc>
          <w:tcPr>
            <w:tcW w:w="1188" w:type="dxa"/>
            <w:shd w:val="clear" w:color="auto" w:fill="auto"/>
          </w:tcPr>
          <w:p w14:paraId="31357DB2"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-29,056.63</w:t>
            </w:r>
          </w:p>
        </w:tc>
        <w:tc>
          <w:tcPr>
            <w:tcW w:w="1188" w:type="dxa"/>
            <w:shd w:val="clear" w:color="auto" w:fill="auto"/>
          </w:tcPr>
          <w:p w14:paraId="6C23D606"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B6709D">
              <w:rPr>
                <w:sz w:val="16"/>
                <w:szCs w:val="16"/>
              </w:rPr>
              <w:t>-5,363.55</w:t>
            </w:r>
          </w:p>
        </w:tc>
      </w:tr>
      <w:tr w:rsidR="005659DC" w:rsidRPr="006157F1" w14:paraId="6B9F8D26" w14:textId="77777777" w:rsidTr="00817658">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val="restart"/>
            <w:tcBorders>
              <w:left w:val="none" w:sz="0" w:space="0" w:color="auto"/>
            </w:tcBorders>
            <w:shd w:val="clear" w:color="auto" w:fill="auto"/>
            <w:noWrap/>
            <w:hideMark/>
          </w:tcPr>
          <w:p w14:paraId="0698337D" w14:textId="77777777" w:rsidR="005659DC" w:rsidRPr="006157F1" w:rsidRDefault="005659DC" w:rsidP="00CE710E">
            <w:pPr>
              <w:spacing w:before="0" w:after="0" w:line="240" w:lineRule="auto"/>
              <w:jc w:val="center"/>
              <w:rPr>
                <w:rFonts w:cs="Calibri"/>
                <w:kern w:val="0"/>
                <w:sz w:val="16"/>
                <w:szCs w:val="16"/>
              </w:rPr>
            </w:pPr>
            <w:r w:rsidRPr="006157F1">
              <w:rPr>
                <w:rFonts w:cs="Calibri"/>
                <w:kern w:val="0"/>
                <w:sz w:val="16"/>
                <w:szCs w:val="16"/>
              </w:rPr>
              <w:t>North Lagoon (Pelican Point southward)</w:t>
            </w:r>
          </w:p>
        </w:tc>
        <w:tc>
          <w:tcPr>
            <w:tcW w:w="1401" w:type="dxa"/>
            <w:shd w:val="clear" w:color="auto" w:fill="auto"/>
            <w:noWrap/>
          </w:tcPr>
          <w:p w14:paraId="17FBEBEC" w14:textId="77777777" w:rsidR="005659DC" w:rsidRPr="006157F1"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rFonts w:cs="Calibri"/>
                <w:kern w:val="0"/>
                <w:sz w:val="16"/>
                <w:szCs w:val="16"/>
              </w:rPr>
              <w:t>Base</w:t>
            </w:r>
            <w:r>
              <w:rPr>
                <w:rFonts w:cs="Calibri"/>
                <w:kern w:val="0"/>
                <w:sz w:val="16"/>
                <w:szCs w:val="16"/>
              </w:rPr>
              <w:t>-</w:t>
            </w:r>
            <w:r w:rsidRPr="006157F1">
              <w:rPr>
                <w:rFonts w:cs="Calibri"/>
                <w:kern w:val="0"/>
                <w:sz w:val="16"/>
                <w:szCs w:val="16"/>
              </w:rPr>
              <w:t>case</w:t>
            </w:r>
          </w:p>
        </w:tc>
        <w:tc>
          <w:tcPr>
            <w:tcW w:w="985" w:type="dxa"/>
            <w:shd w:val="clear" w:color="auto" w:fill="auto"/>
          </w:tcPr>
          <w:p w14:paraId="36968857"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83.15</w:t>
            </w:r>
          </w:p>
        </w:tc>
        <w:tc>
          <w:tcPr>
            <w:tcW w:w="1015" w:type="dxa"/>
            <w:shd w:val="clear" w:color="auto" w:fill="auto"/>
          </w:tcPr>
          <w:p w14:paraId="47F92FA5"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98.83</w:t>
            </w:r>
          </w:p>
        </w:tc>
        <w:tc>
          <w:tcPr>
            <w:tcW w:w="1016" w:type="dxa"/>
            <w:shd w:val="clear" w:color="auto" w:fill="auto"/>
          </w:tcPr>
          <w:p w14:paraId="3DA5B611"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104.62</w:t>
            </w:r>
          </w:p>
        </w:tc>
        <w:tc>
          <w:tcPr>
            <w:tcW w:w="1038" w:type="dxa"/>
            <w:shd w:val="clear" w:color="auto" w:fill="auto"/>
          </w:tcPr>
          <w:p w14:paraId="19467DF3"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130.32</w:t>
            </w:r>
          </w:p>
        </w:tc>
        <w:tc>
          <w:tcPr>
            <w:tcW w:w="1141" w:type="dxa"/>
            <w:shd w:val="clear" w:color="auto" w:fill="auto"/>
            <w:noWrap/>
          </w:tcPr>
          <w:p w14:paraId="405A899A"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150.94</w:t>
            </w:r>
          </w:p>
        </w:tc>
        <w:tc>
          <w:tcPr>
            <w:tcW w:w="1188" w:type="dxa"/>
            <w:shd w:val="clear" w:color="auto" w:fill="auto"/>
          </w:tcPr>
          <w:p w14:paraId="6C5DA6DE"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102.14</w:t>
            </w:r>
          </w:p>
        </w:tc>
        <w:tc>
          <w:tcPr>
            <w:tcW w:w="1188" w:type="dxa"/>
            <w:shd w:val="clear" w:color="auto" w:fill="auto"/>
          </w:tcPr>
          <w:p w14:paraId="5FD78F41"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B6709D">
              <w:rPr>
                <w:sz w:val="16"/>
                <w:szCs w:val="16"/>
              </w:rPr>
              <w:t>-144.22</w:t>
            </w:r>
          </w:p>
        </w:tc>
      </w:tr>
      <w:tr w:rsidR="005659DC" w:rsidRPr="006157F1" w14:paraId="499DD06F" w14:textId="77777777" w:rsidTr="00817658">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62F6D128" w14:textId="77777777" w:rsidR="005659DC" w:rsidRPr="006157F1" w:rsidRDefault="005659DC" w:rsidP="00CE710E">
            <w:pPr>
              <w:spacing w:before="0" w:after="0" w:line="240" w:lineRule="auto"/>
              <w:jc w:val="center"/>
              <w:rPr>
                <w:rFonts w:cs="Calibri"/>
                <w:kern w:val="0"/>
                <w:sz w:val="16"/>
                <w:szCs w:val="16"/>
              </w:rPr>
            </w:pPr>
          </w:p>
        </w:tc>
        <w:tc>
          <w:tcPr>
            <w:tcW w:w="1401" w:type="dxa"/>
            <w:shd w:val="clear" w:color="auto" w:fill="auto"/>
            <w:noWrap/>
          </w:tcPr>
          <w:p w14:paraId="31C2CA2B" w14:textId="77777777" w:rsidR="005659DC" w:rsidRPr="006157F1"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rFonts w:cs="Calibri"/>
                <w:kern w:val="0"/>
                <w:sz w:val="16"/>
                <w:szCs w:val="16"/>
              </w:rPr>
              <w:t>NC1</w:t>
            </w:r>
          </w:p>
        </w:tc>
        <w:tc>
          <w:tcPr>
            <w:tcW w:w="985" w:type="dxa"/>
            <w:shd w:val="clear" w:color="auto" w:fill="auto"/>
          </w:tcPr>
          <w:p w14:paraId="18D296E9"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015" w:type="dxa"/>
            <w:shd w:val="clear" w:color="auto" w:fill="auto"/>
          </w:tcPr>
          <w:p w14:paraId="61F42077"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016" w:type="dxa"/>
            <w:shd w:val="clear" w:color="auto" w:fill="auto"/>
          </w:tcPr>
          <w:p w14:paraId="6D8E5B6E"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038" w:type="dxa"/>
            <w:shd w:val="clear" w:color="auto" w:fill="auto"/>
          </w:tcPr>
          <w:p w14:paraId="095681E0"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141" w:type="dxa"/>
            <w:shd w:val="clear" w:color="auto" w:fill="auto"/>
            <w:noWrap/>
          </w:tcPr>
          <w:p w14:paraId="56C12C0A"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188" w:type="dxa"/>
            <w:shd w:val="clear" w:color="auto" w:fill="auto"/>
          </w:tcPr>
          <w:p w14:paraId="4BC36847"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98.76</w:t>
            </w:r>
          </w:p>
        </w:tc>
        <w:tc>
          <w:tcPr>
            <w:tcW w:w="1188" w:type="dxa"/>
            <w:shd w:val="clear" w:color="auto" w:fill="auto"/>
          </w:tcPr>
          <w:p w14:paraId="2284542C"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B6709D">
              <w:rPr>
                <w:sz w:val="16"/>
                <w:szCs w:val="16"/>
              </w:rPr>
              <w:t>-148.67</w:t>
            </w:r>
          </w:p>
        </w:tc>
      </w:tr>
      <w:tr w:rsidR="005659DC" w:rsidRPr="006157F1" w14:paraId="5FF5E950" w14:textId="77777777" w:rsidTr="00817658">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465211DC" w14:textId="77777777" w:rsidR="005659DC" w:rsidRPr="006157F1" w:rsidRDefault="005659DC" w:rsidP="00CE710E">
            <w:pPr>
              <w:spacing w:before="0" w:after="0" w:line="240" w:lineRule="auto"/>
              <w:jc w:val="center"/>
              <w:rPr>
                <w:rFonts w:cs="Calibri"/>
                <w:kern w:val="0"/>
                <w:sz w:val="16"/>
                <w:szCs w:val="16"/>
              </w:rPr>
            </w:pPr>
          </w:p>
        </w:tc>
        <w:tc>
          <w:tcPr>
            <w:tcW w:w="1401" w:type="dxa"/>
            <w:shd w:val="clear" w:color="auto" w:fill="auto"/>
            <w:noWrap/>
          </w:tcPr>
          <w:p w14:paraId="5583EF1A" w14:textId="77777777" w:rsidR="005659DC" w:rsidRPr="006157F1"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rFonts w:cs="Calibri"/>
                <w:kern w:val="0"/>
                <w:sz w:val="16"/>
                <w:szCs w:val="16"/>
              </w:rPr>
              <w:t>NE1</w:t>
            </w:r>
          </w:p>
        </w:tc>
        <w:tc>
          <w:tcPr>
            <w:tcW w:w="985" w:type="dxa"/>
            <w:shd w:val="clear" w:color="auto" w:fill="auto"/>
          </w:tcPr>
          <w:p w14:paraId="41788B8B"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015" w:type="dxa"/>
            <w:shd w:val="clear" w:color="auto" w:fill="auto"/>
          </w:tcPr>
          <w:p w14:paraId="488E17D5"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016" w:type="dxa"/>
            <w:shd w:val="clear" w:color="auto" w:fill="auto"/>
          </w:tcPr>
          <w:p w14:paraId="0E351309"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038" w:type="dxa"/>
            <w:shd w:val="clear" w:color="auto" w:fill="auto"/>
          </w:tcPr>
          <w:p w14:paraId="2527ECC7"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141" w:type="dxa"/>
            <w:shd w:val="clear" w:color="auto" w:fill="auto"/>
            <w:noWrap/>
          </w:tcPr>
          <w:p w14:paraId="07B36417"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188" w:type="dxa"/>
            <w:shd w:val="clear" w:color="auto" w:fill="auto"/>
          </w:tcPr>
          <w:p w14:paraId="08137903"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94.11</w:t>
            </w:r>
          </w:p>
        </w:tc>
        <w:tc>
          <w:tcPr>
            <w:tcW w:w="1188" w:type="dxa"/>
            <w:shd w:val="clear" w:color="auto" w:fill="auto"/>
          </w:tcPr>
          <w:p w14:paraId="6E161379"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B6709D">
              <w:rPr>
                <w:sz w:val="16"/>
                <w:szCs w:val="16"/>
              </w:rPr>
              <w:t>-158.83</w:t>
            </w:r>
          </w:p>
        </w:tc>
      </w:tr>
      <w:tr w:rsidR="005659DC" w:rsidRPr="006157F1" w14:paraId="4C2F26D7" w14:textId="77777777" w:rsidTr="00817658">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780492AD" w14:textId="77777777" w:rsidR="005659DC" w:rsidRPr="006157F1" w:rsidRDefault="005659DC" w:rsidP="00CE710E">
            <w:pPr>
              <w:spacing w:before="0" w:after="0" w:line="240" w:lineRule="auto"/>
              <w:jc w:val="center"/>
              <w:rPr>
                <w:rFonts w:cs="Calibri"/>
                <w:kern w:val="0"/>
                <w:sz w:val="16"/>
                <w:szCs w:val="16"/>
              </w:rPr>
            </w:pPr>
          </w:p>
        </w:tc>
        <w:tc>
          <w:tcPr>
            <w:tcW w:w="1401" w:type="dxa"/>
            <w:shd w:val="clear" w:color="auto" w:fill="auto"/>
            <w:noWrap/>
          </w:tcPr>
          <w:p w14:paraId="627BF746" w14:textId="77777777" w:rsidR="005659DC" w:rsidRPr="006157F1"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rFonts w:cs="Calibri"/>
                <w:kern w:val="0"/>
                <w:sz w:val="16"/>
                <w:szCs w:val="16"/>
              </w:rPr>
              <w:t>NC</w:t>
            </w:r>
            <w:r>
              <w:rPr>
                <w:rFonts w:cs="Calibri"/>
                <w:kern w:val="0"/>
                <w:sz w:val="16"/>
                <w:szCs w:val="16"/>
              </w:rPr>
              <w:t>7</w:t>
            </w:r>
          </w:p>
        </w:tc>
        <w:tc>
          <w:tcPr>
            <w:tcW w:w="985" w:type="dxa"/>
            <w:shd w:val="clear" w:color="auto" w:fill="auto"/>
          </w:tcPr>
          <w:p w14:paraId="48CA1F28"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20.20</w:t>
            </w:r>
          </w:p>
        </w:tc>
        <w:tc>
          <w:tcPr>
            <w:tcW w:w="1015" w:type="dxa"/>
            <w:shd w:val="clear" w:color="auto" w:fill="auto"/>
          </w:tcPr>
          <w:p w14:paraId="0D1A1C7F"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37.12</w:t>
            </w:r>
          </w:p>
        </w:tc>
        <w:tc>
          <w:tcPr>
            <w:tcW w:w="1016" w:type="dxa"/>
            <w:shd w:val="clear" w:color="auto" w:fill="auto"/>
          </w:tcPr>
          <w:p w14:paraId="3DC3FB3E"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92.94</w:t>
            </w:r>
          </w:p>
        </w:tc>
        <w:tc>
          <w:tcPr>
            <w:tcW w:w="1038" w:type="dxa"/>
            <w:shd w:val="clear" w:color="auto" w:fill="auto"/>
          </w:tcPr>
          <w:p w14:paraId="228A61D3"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69.29</w:t>
            </w:r>
          </w:p>
        </w:tc>
        <w:tc>
          <w:tcPr>
            <w:tcW w:w="1141" w:type="dxa"/>
            <w:shd w:val="clear" w:color="auto" w:fill="auto"/>
            <w:noWrap/>
          </w:tcPr>
          <w:p w14:paraId="31D7AF80"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170.62</w:t>
            </w:r>
          </w:p>
        </w:tc>
        <w:tc>
          <w:tcPr>
            <w:tcW w:w="1188" w:type="dxa"/>
            <w:shd w:val="clear" w:color="auto" w:fill="auto"/>
          </w:tcPr>
          <w:p w14:paraId="3A747ECB"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111.00</w:t>
            </w:r>
          </w:p>
        </w:tc>
        <w:tc>
          <w:tcPr>
            <w:tcW w:w="1188" w:type="dxa"/>
            <w:shd w:val="clear" w:color="auto" w:fill="auto"/>
          </w:tcPr>
          <w:p w14:paraId="2230FB8D"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B6709D">
              <w:rPr>
                <w:sz w:val="16"/>
                <w:szCs w:val="16"/>
              </w:rPr>
              <w:t>-121.07</w:t>
            </w:r>
          </w:p>
        </w:tc>
      </w:tr>
      <w:tr w:rsidR="005659DC" w:rsidRPr="006157F1" w14:paraId="3B699F81" w14:textId="77777777" w:rsidTr="00817658">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47F1DF0C" w14:textId="77777777" w:rsidR="005659DC" w:rsidRPr="006157F1" w:rsidRDefault="005659DC" w:rsidP="00CE710E">
            <w:pPr>
              <w:spacing w:before="0" w:after="0" w:line="240" w:lineRule="auto"/>
              <w:jc w:val="center"/>
              <w:rPr>
                <w:rFonts w:cs="Calibri"/>
                <w:kern w:val="0"/>
                <w:sz w:val="16"/>
                <w:szCs w:val="16"/>
              </w:rPr>
            </w:pPr>
          </w:p>
        </w:tc>
        <w:tc>
          <w:tcPr>
            <w:tcW w:w="1401" w:type="dxa"/>
            <w:shd w:val="clear" w:color="auto" w:fill="auto"/>
            <w:noWrap/>
          </w:tcPr>
          <w:p w14:paraId="25069A24" w14:textId="77777777" w:rsidR="005659DC" w:rsidRPr="006157F1"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rFonts w:cs="Calibri"/>
                <w:kern w:val="0"/>
                <w:sz w:val="16"/>
                <w:szCs w:val="16"/>
              </w:rPr>
              <w:t>NE</w:t>
            </w:r>
            <w:r>
              <w:rPr>
                <w:rFonts w:cs="Calibri"/>
                <w:kern w:val="0"/>
                <w:sz w:val="16"/>
                <w:szCs w:val="16"/>
              </w:rPr>
              <w:t>7</w:t>
            </w:r>
          </w:p>
        </w:tc>
        <w:tc>
          <w:tcPr>
            <w:tcW w:w="985" w:type="dxa"/>
            <w:shd w:val="clear" w:color="auto" w:fill="auto"/>
          </w:tcPr>
          <w:p w14:paraId="09541533"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17.22</w:t>
            </w:r>
          </w:p>
        </w:tc>
        <w:tc>
          <w:tcPr>
            <w:tcW w:w="1015" w:type="dxa"/>
            <w:shd w:val="clear" w:color="auto" w:fill="auto"/>
          </w:tcPr>
          <w:p w14:paraId="79BDE8E4"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37.45</w:t>
            </w:r>
          </w:p>
        </w:tc>
        <w:tc>
          <w:tcPr>
            <w:tcW w:w="1016" w:type="dxa"/>
            <w:shd w:val="clear" w:color="auto" w:fill="auto"/>
          </w:tcPr>
          <w:p w14:paraId="059C68D8"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92.98</w:t>
            </w:r>
          </w:p>
        </w:tc>
        <w:tc>
          <w:tcPr>
            <w:tcW w:w="1038" w:type="dxa"/>
            <w:shd w:val="clear" w:color="auto" w:fill="auto"/>
          </w:tcPr>
          <w:p w14:paraId="5C6EDD3D"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68.50</w:t>
            </w:r>
          </w:p>
        </w:tc>
        <w:tc>
          <w:tcPr>
            <w:tcW w:w="1141" w:type="dxa"/>
            <w:shd w:val="clear" w:color="auto" w:fill="auto"/>
            <w:noWrap/>
          </w:tcPr>
          <w:p w14:paraId="242A64E6"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168.81</w:t>
            </w:r>
          </w:p>
        </w:tc>
        <w:tc>
          <w:tcPr>
            <w:tcW w:w="1188" w:type="dxa"/>
            <w:shd w:val="clear" w:color="auto" w:fill="auto"/>
          </w:tcPr>
          <w:p w14:paraId="096D8913"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109.13</w:t>
            </w:r>
          </w:p>
        </w:tc>
        <w:tc>
          <w:tcPr>
            <w:tcW w:w="1188" w:type="dxa"/>
            <w:shd w:val="clear" w:color="auto" w:fill="auto"/>
          </w:tcPr>
          <w:p w14:paraId="4A305640"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B6709D">
              <w:rPr>
                <w:sz w:val="16"/>
                <w:szCs w:val="16"/>
              </w:rPr>
              <w:t>-125.42</w:t>
            </w:r>
          </w:p>
        </w:tc>
      </w:tr>
      <w:tr w:rsidR="005659DC" w:rsidRPr="006157F1" w14:paraId="4DEE0A00" w14:textId="77777777" w:rsidTr="00817658">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val="restart"/>
            <w:tcBorders>
              <w:left w:val="none" w:sz="0" w:space="0" w:color="auto"/>
            </w:tcBorders>
            <w:shd w:val="clear" w:color="auto" w:fill="auto"/>
            <w:noWrap/>
            <w:hideMark/>
          </w:tcPr>
          <w:p w14:paraId="5E18F1ED" w14:textId="77777777" w:rsidR="005659DC" w:rsidRPr="006157F1" w:rsidRDefault="005659DC" w:rsidP="00CE710E">
            <w:pPr>
              <w:spacing w:before="0" w:after="0" w:line="240" w:lineRule="auto"/>
              <w:jc w:val="center"/>
              <w:rPr>
                <w:rFonts w:cs="Calibri"/>
                <w:kern w:val="0"/>
                <w:sz w:val="16"/>
                <w:szCs w:val="16"/>
              </w:rPr>
            </w:pPr>
            <w:r w:rsidRPr="006157F1">
              <w:rPr>
                <w:rFonts w:cs="Calibri"/>
                <w:kern w:val="0"/>
                <w:sz w:val="16"/>
                <w:szCs w:val="16"/>
              </w:rPr>
              <w:t>South Lagoon (Parnka Point southward)</w:t>
            </w:r>
          </w:p>
        </w:tc>
        <w:tc>
          <w:tcPr>
            <w:tcW w:w="1401" w:type="dxa"/>
            <w:shd w:val="clear" w:color="auto" w:fill="auto"/>
            <w:noWrap/>
          </w:tcPr>
          <w:p w14:paraId="7E05F7AC" w14:textId="77777777" w:rsidR="005659DC" w:rsidRPr="006157F1"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rFonts w:cs="Calibri"/>
                <w:kern w:val="0"/>
                <w:sz w:val="16"/>
                <w:szCs w:val="16"/>
              </w:rPr>
              <w:t>Base</w:t>
            </w:r>
            <w:r>
              <w:rPr>
                <w:rFonts w:cs="Calibri"/>
                <w:kern w:val="0"/>
                <w:sz w:val="16"/>
                <w:szCs w:val="16"/>
              </w:rPr>
              <w:t>-</w:t>
            </w:r>
            <w:r w:rsidRPr="006157F1">
              <w:rPr>
                <w:rFonts w:cs="Calibri"/>
                <w:kern w:val="0"/>
                <w:sz w:val="16"/>
                <w:szCs w:val="16"/>
              </w:rPr>
              <w:t>case</w:t>
            </w:r>
          </w:p>
        </w:tc>
        <w:tc>
          <w:tcPr>
            <w:tcW w:w="985" w:type="dxa"/>
            <w:shd w:val="clear" w:color="auto" w:fill="auto"/>
          </w:tcPr>
          <w:p w14:paraId="45FB74E0"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49.74</w:t>
            </w:r>
          </w:p>
        </w:tc>
        <w:tc>
          <w:tcPr>
            <w:tcW w:w="1015" w:type="dxa"/>
            <w:shd w:val="clear" w:color="auto" w:fill="auto"/>
          </w:tcPr>
          <w:p w14:paraId="5ABF84B9"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82.60</w:t>
            </w:r>
          </w:p>
        </w:tc>
        <w:tc>
          <w:tcPr>
            <w:tcW w:w="1016" w:type="dxa"/>
            <w:shd w:val="clear" w:color="auto" w:fill="auto"/>
          </w:tcPr>
          <w:p w14:paraId="005394C3"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69.62</w:t>
            </w:r>
          </w:p>
        </w:tc>
        <w:tc>
          <w:tcPr>
            <w:tcW w:w="1038" w:type="dxa"/>
            <w:shd w:val="clear" w:color="auto" w:fill="auto"/>
          </w:tcPr>
          <w:p w14:paraId="217EB15E"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153.92</w:t>
            </w:r>
          </w:p>
        </w:tc>
        <w:tc>
          <w:tcPr>
            <w:tcW w:w="1141" w:type="dxa"/>
            <w:shd w:val="clear" w:color="auto" w:fill="auto"/>
            <w:noWrap/>
          </w:tcPr>
          <w:p w14:paraId="1467234B"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67.00</w:t>
            </w:r>
          </w:p>
        </w:tc>
        <w:tc>
          <w:tcPr>
            <w:tcW w:w="1188" w:type="dxa"/>
            <w:shd w:val="clear" w:color="auto" w:fill="auto"/>
          </w:tcPr>
          <w:p w14:paraId="53C1A253"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-90.72</w:t>
            </w:r>
          </w:p>
        </w:tc>
        <w:tc>
          <w:tcPr>
            <w:tcW w:w="1188" w:type="dxa"/>
            <w:shd w:val="clear" w:color="auto" w:fill="auto"/>
          </w:tcPr>
          <w:p w14:paraId="467D3F31"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B6709D">
              <w:rPr>
                <w:sz w:val="16"/>
                <w:szCs w:val="16"/>
              </w:rPr>
              <w:t>38.81</w:t>
            </w:r>
          </w:p>
        </w:tc>
      </w:tr>
      <w:tr w:rsidR="005659DC" w:rsidRPr="006157F1" w14:paraId="0FC60F3C" w14:textId="77777777" w:rsidTr="00817658">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40027B9D" w14:textId="77777777" w:rsidR="005659DC" w:rsidRPr="006157F1" w:rsidRDefault="005659DC" w:rsidP="00CE710E">
            <w:pPr>
              <w:spacing w:before="0" w:after="0" w:line="240" w:lineRule="auto"/>
              <w:jc w:val="right"/>
              <w:rPr>
                <w:rFonts w:cs="Calibri"/>
                <w:kern w:val="0"/>
                <w:sz w:val="16"/>
                <w:szCs w:val="16"/>
              </w:rPr>
            </w:pPr>
          </w:p>
        </w:tc>
        <w:tc>
          <w:tcPr>
            <w:tcW w:w="1401" w:type="dxa"/>
            <w:shd w:val="clear" w:color="auto" w:fill="auto"/>
            <w:noWrap/>
          </w:tcPr>
          <w:p w14:paraId="3A4D192A" w14:textId="77777777" w:rsidR="005659DC" w:rsidRPr="006157F1"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rFonts w:cs="Calibri"/>
                <w:kern w:val="0"/>
                <w:sz w:val="16"/>
                <w:szCs w:val="16"/>
              </w:rPr>
              <w:t>NC1</w:t>
            </w:r>
          </w:p>
        </w:tc>
        <w:tc>
          <w:tcPr>
            <w:tcW w:w="985" w:type="dxa"/>
            <w:shd w:val="clear" w:color="auto" w:fill="auto"/>
          </w:tcPr>
          <w:p w14:paraId="3ACB4603"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015" w:type="dxa"/>
            <w:shd w:val="clear" w:color="auto" w:fill="auto"/>
          </w:tcPr>
          <w:p w14:paraId="2349AE31"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016" w:type="dxa"/>
            <w:shd w:val="clear" w:color="auto" w:fill="auto"/>
          </w:tcPr>
          <w:p w14:paraId="5CAC641E"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038" w:type="dxa"/>
            <w:shd w:val="clear" w:color="auto" w:fill="auto"/>
          </w:tcPr>
          <w:p w14:paraId="5C89B654"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141" w:type="dxa"/>
            <w:shd w:val="clear" w:color="auto" w:fill="auto"/>
            <w:noWrap/>
          </w:tcPr>
          <w:p w14:paraId="2A248FC8"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w:t>
            </w:r>
          </w:p>
        </w:tc>
        <w:tc>
          <w:tcPr>
            <w:tcW w:w="1188" w:type="dxa"/>
            <w:shd w:val="clear" w:color="auto" w:fill="auto"/>
          </w:tcPr>
          <w:p w14:paraId="57ACA846"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-94.30</w:t>
            </w:r>
          </w:p>
        </w:tc>
        <w:tc>
          <w:tcPr>
            <w:tcW w:w="1188" w:type="dxa"/>
            <w:shd w:val="clear" w:color="auto" w:fill="auto"/>
          </w:tcPr>
          <w:p w14:paraId="15C05D40"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B6709D">
              <w:rPr>
                <w:sz w:val="16"/>
                <w:szCs w:val="16"/>
              </w:rPr>
              <w:t>32.40</w:t>
            </w:r>
          </w:p>
        </w:tc>
      </w:tr>
      <w:tr w:rsidR="005659DC" w:rsidRPr="006157F1" w14:paraId="560213C2" w14:textId="77777777" w:rsidTr="00817658">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3C432001" w14:textId="77777777" w:rsidR="005659DC" w:rsidRPr="006157F1" w:rsidRDefault="005659DC" w:rsidP="00CE710E">
            <w:pPr>
              <w:spacing w:before="0" w:after="0" w:line="240" w:lineRule="auto"/>
              <w:jc w:val="right"/>
              <w:rPr>
                <w:rFonts w:cs="Calibri"/>
                <w:kern w:val="0"/>
                <w:sz w:val="16"/>
                <w:szCs w:val="16"/>
              </w:rPr>
            </w:pPr>
          </w:p>
        </w:tc>
        <w:tc>
          <w:tcPr>
            <w:tcW w:w="1401" w:type="dxa"/>
            <w:shd w:val="clear" w:color="auto" w:fill="auto"/>
            <w:noWrap/>
          </w:tcPr>
          <w:p w14:paraId="762F8A78" w14:textId="77777777" w:rsidR="005659DC" w:rsidRPr="006157F1"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rFonts w:cs="Calibri"/>
                <w:kern w:val="0"/>
                <w:sz w:val="16"/>
                <w:szCs w:val="16"/>
              </w:rPr>
              <w:t>NE1</w:t>
            </w:r>
          </w:p>
        </w:tc>
        <w:tc>
          <w:tcPr>
            <w:tcW w:w="985" w:type="dxa"/>
            <w:shd w:val="clear" w:color="auto" w:fill="auto"/>
          </w:tcPr>
          <w:p w14:paraId="18E02212"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015" w:type="dxa"/>
            <w:shd w:val="clear" w:color="auto" w:fill="auto"/>
          </w:tcPr>
          <w:p w14:paraId="6987C568"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016" w:type="dxa"/>
            <w:shd w:val="clear" w:color="auto" w:fill="auto"/>
          </w:tcPr>
          <w:p w14:paraId="18AD21D1"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038" w:type="dxa"/>
            <w:shd w:val="clear" w:color="auto" w:fill="auto"/>
          </w:tcPr>
          <w:p w14:paraId="44F70C24"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141" w:type="dxa"/>
            <w:shd w:val="clear" w:color="auto" w:fill="auto"/>
            <w:noWrap/>
          </w:tcPr>
          <w:p w14:paraId="5499AA47"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w:t>
            </w:r>
          </w:p>
        </w:tc>
        <w:tc>
          <w:tcPr>
            <w:tcW w:w="1188" w:type="dxa"/>
            <w:shd w:val="clear" w:color="auto" w:fill="auto"/>
          </w:tcPr>
          <w:p w14:paraId="26264088"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-97.20</w:t>
            </w:r>
          </w:p>
        </w:tc>
        <w:tc>
          <w:tcPr>
            <w:tcW w:w="1188" w:type="dxa"/>
            <w:shd w:val="clear" w:color="auto" w:fill="auto"/>
          </w:tcPr>
          <w:p w14:paraId="248679F9"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B6709D">
              <w:rPr>
                <w:sz w:val="16"/>
                <w:szCs w:val="16"/>
              </w:rPr>
              <w:t>25.46</w:t>
            </w:r>
          </w:p>
        </w:tc>
      </w:tr>
      <w:tr w:rsidR="005659DC" w:rsidRPr="006157F1" w14:paraId="719D3A5E" w14:textId="77777777" w:rsidTr="00817658">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tcBorders>
            <w:shd w:val="clear" w:color="auto" w:fill="auto"/>
            <w:noWrap/>
            <w:hideMark/>
          </w:tcPr>
          <w:p w14:paraId="28BCCC33" w14:textId="77777777" w:rsidR="005659DC" w:rsidRPr="006157F1" w:rsidRDefault="005659DC" w:rsidP="00CE710E">
            <w:pPr>
              <w:spacing w:before="0" w:after="0" w:line="240" w:lineRule="auto"/>
              <w:jc w:val="right"/>
              <w:rPr>
                <w:rFonts w:cs="Calibri"/>
                <w:kern w:val="0"/>
                <w:sz w:val="16"/>
                <w:szCs w:val="16"/>
              </w:rPr>
            </w:pPr>
          </w:p>
        </w:tc>
        <w:tc>
          <w:tcPr>
            <w:tcW w:w="1401" w:type="dxa"/>
            <w:shd w:val="clear" w:color="auto" w:fill="auto"/>
            <w:noWrap/>
          </w:tcPr>
          <w:p w14:paraId="6DF28862" w14:textId="77777777" w:rsidR="005659DC" w:rsidRPr="006157F1" w:rsidRDefault="005659DC" w:rsidP="00CE710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rFonts w:cs="Calibri"/>
                <w:kern w:val="0"/>
                <w:sz w:val="16"/>
                <w:szCs w:val="16"/>
              </w:rPr>
              <w:t>NC</w:t>
            </w:r>
            <w:r>
              <w:rPr>
                <w:rFonts w:cs="Calibri"/>
                <w:kern w:val="0"/>
                <w:sz w:val="16"/>
                <w:szCs w:val="16"/>
              </w:rPr>
              <w:t>7</w:t>
            </w:r>
          </w:p>
        </w:tc>
        <w:tc>
          <w:tcPr>
            <w:tcW w:w="985" w:type="dxa"/>
            <w:shd w:val="clear" w:color="auto" w:fill="auto"/>
          </w:tcPr>
          <w:p w14:paraId="0C66F8DD"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15.46</w:t>
            </w:r>
          </w:p>
        </w:tc>
        <w:tc>
          <w:tcPr>
            <w:tcW w:w="1015" w:type="dxa"/>
            <w:shd w:val="clear" w:color="auto" w:fill="auto"/>
          </w:tcPr>
          <w:p w14:paraId="6565E111"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38.66</w:t>
            </w:r>
          </w:p>
        </w:tc>
        <w:tc>
          <w:tcPr>
            <w:tcW w:w="1016" w:type="dxa"/>
            <w:shd w:val="clear" w:color="auto" w:fill="auto"/>
          </w:tcPr>
          <w:p w14:paraId="10783E84"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44.32</w:t>
            </w:r>
          </w:p>
        </w:tc>
        <w:tc>
          <w:tcPr>
            <w:tcW w:w="1038" w:type="dxa"/>
            <w:shd w:val="clear" w:color="auto" w:fill="auto"/>
          </w:tcPr>
          <w:p w14:paraId="700312A9"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119.99</w:t>
            </w:r>
          </w:p>
        </w:tc>
        <w:tc>
          <w:tcPr>
            <w:tcW w:w="1141" w:type="dxa"/>
            <w:shd w:val="clear" w:color="auto" w:fill="auto"/>
            <w:noWrap/>
          </w:tcPr>
          <w:p w14:paraId="40EFCCE3"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64.21</w:t>
            </w:r>
          </w:p>
        </w:tc>
        <w:tc>
          <w:tcPr>
            <w:tcW w:w="1188" w:type="dxa"/>
            <w:shd w:val="clear" w:color="auto" w:fill="auto"/>
          </w:tcPr>
          <w:p w14:paraId="4A940518"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cs="Calibri"/>
                <w:kern w:val="0"/>
                <w:sz w:val="16"/>
                <w:szCs w:val="16"/>
              </w:rPr>
            </w:pPr>
            <w:r w:rsidRPr="006157F1">
              <w:rPr>
                <w:sz w:val="16"/>
                <w:szCs w:val="16"/>
              </w:rPr>
              <w:t>-63.13</w:t>
            </w:r>
          </w:p>
        </w:tc>
        <w:tc>
          <w:tcPr>
            <w:tcW w:w="1188" w:type="dxa"/>
            <w:shd w:val="clear" w:color="auto" w:fill="auto"/>
          </w:tcPr>
          <w:p w14:paraId="2B944163" w14:textId="77777777" w:rsidR="005659DC" w:rsidRPr="006157F1" w:rsidRDefault="005659DC" w:rsidP="00CE710E">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B6709D">
              <w:rPr>
                <w:sz w:val="16"/>
                <w:szCs w:val="16"/>
              </w:rPr>
              <w:t>37.34</w:t>
            </w:r>
          </w:p>
        </w:tc>
      </w:tr>
      <w:tr w:rsidR="005659DC" w:rsidRPr="006157F1" w14:paraId="2BDA18B3" w14:textId="77777777" w:rsidTr="00817658">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2812" w:type="dxa"/>
            <w:vMerge/>
            <w:tcBorders>
              <w:left w:val="none" w:sz="0" w:space="0" w:color="auto"/>
              <w:bottom w:val="none" w:sz="0" w:space="0" w:color="auto"/>
            </w:tcBorders>
            <w:shd w:val="clear" w:color="auto" w:fill="auto"/>
            <w:noWrap/>
            <w:hideMark/>
          </w:tcPr>
          <w:p w14:paraId="37D52C53" w14:textId="77777777" w:rsidR="005659DC" w:rsidRPr="006157F1" w:rsidRDefault="005659DC" w:rsidP="00CE710E">
            <w:pPr>
              <w:spacing w:before="0" w:after="0" w:line="240" w:lineRule="auto"/>
              <w:jc w:val="right"/>
              <w:rPr>
                <w:rFonts w:cs="Calibri"/>
                <w:kern w:val="0"/>
                <w:sz w:val="16"/>
                <w:szCs w:val="16"/>
              </w:rPr>
            </w:pPr>
          </w:p>
        </w:tc>
        <w:tc>
          <w:tcPr>
            <w:tcW w:w="1401" w:type="dxa"/>
            <w:shd w:val="clear" w:color="auto" w:fill="auto"/>
            <w:noWrap/>
          </w:tcPr>
          <w:p w14:paraId="08122F84" w14:textId="77777777" w:rsidR="005659DC" w:rsidRPr="006157F1" w:rsidRDefault="005659DC" w:rsidP="00CE710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rFonts w:cs="Calibri"/>
                <w:kern w:val="0"/>
                <w:sz w:val="16"/>
                <w:szCs w:val="16"/>
              </w:rPr>
              <w:t>NE</w:t>
            </w:r>
            <w:r>
              <w:rPr>
                <w:rFonts w:cs="Calibri"/>
                <w:kern w:val="0"/>
                <w:sz w:val="16"/>
                <w:szCs w:val="16"/>
              </w:rPr>
              <w:t>7</w:t>
            </w:r>
          </w:p>
        </w:tc>
        <w:tc>
          <w:tcPr>
            <w:tcW w:w="985" w:type="dxa"/>
            <w:shd w:val="clear" w:color="auto" w:fill="auto"/>
          </w:tcPr>
          <w:p w14:paraId="3CB599BE"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13.39</w:t>
            </w:r>
          </w:p>
        </w:tc>
        <w:tc>
          <w:tcPr>
            <w:tcW w:w="1015" w:type="dxa"/>
            <w:shd w:val="clear" w:color="auto" w:fill="auto"/>
          </w:tcPr>
          <w:p w14:paraId="1DD7F01B"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38.47</w:t>
            </w:r>
          </w:p>
        </w:tc>
        <w:tc>
          <w:tcPr>
            <w:tcW w:w="1016" w:type="dxa"/>
            <w:shd w:val="clear" w:color="auto" w:fill="auto"/>
          </w:tcPr>
          <w:p w14:paraId="00230CBC"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44.54</w:t>
            </w:r>
          </w:p>
        </w:tc>
        <w:tc>
          <w:tcPr>
            <w:tcW w:w="1038" w:type="dxa"/>
            <w:shd w:val="clear" w:color="auto" w:fill="auto"/>
          </w:tcPr>
          <w:p w14:paraId="5BAC425D"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118.88</w:t>
            </w:r>
          </w:p>
        </w:tc>
        <w:tc>
          <w:tcPr>
            <w:tcW w:w="1141" w:type="dxa"/>
            <w:shd w:val="clear" w:color="auto" w:fill="auto"/>
            <w:noWrap/>
          </w:tcPr>
          <w:p w14:paraId="7A7AE138"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60.52</w:t>
            </w:r>
          </w:p>
        </w:tc>
        <w:tc>
          <w:tcPr>
            <w:tcW w:w="1188" w:type="dxa"/>
            <w:shd w:val="clear" w:color="auto" w:fill="auto"/>
          </w:tcPr>
          <w:p w14:paraId="571F1E19"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cs="Calibri"/>
                <w:kern w:val="0"/>
                <w:sz w:val="16"/>
                <w:szCs w:val="16"/>
              </w:rPr>
            </w:pPr>
            <w:r w:rsidRPr="006157F1">
              <w:rPr>
                <w:sz w:val="16"/>
                <w:szCs w:val="16"/>
              </w:rPr>
              <w:t>-63.28</w:t>
            </w:r>
          </w:p>
        </w:tc>
        <w:tc>
          <w:tcPr>
            <w:tcW w:w="1188" w:type="dxa"/>
            <w:shd w:val="clear" w:color="auto" w:fill="auto"/>
          </w:tcPr>
          <w:p w14:paraId="5FD28F8E" w14:textId="77777777" w:rsidR="005659DC" w:rsidRPr="006157F1" w:rsidRDefault="005659DC" w:rsidP="00CE710E">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B6709D">
              <w:rPr>
                <w:sz w:val="16"/>
                <w:szCs w:val="16"/>
              </w:rPr>
              <w:t>32.30</w:t>
            </w:r>
          </w:p>
        </w:tc>
      </w:tr>
    </w:tbl>
    <w:p w14:paraId="68F243E5" w14:textId="77777777" w:rsidR="005659DC" w:rsidRPr="00514118" w:rsidRDefault="005659DC" w:rsidP="005659DC">
      <w:pPr>
        <w:spacing w:before="0" w:after="160" w:line="259" w:lineRule="auto"/>
        <w:jc w:val="left"/>
        <w:rPr>
          <w:rFonts w:ascii="Calibri" w:eastAsia="DengXian" w:hAnsi="Calibri"/>
          <w:color w:val="auto"/>
          <w:kern w:val="0"/>
          <w:sz w:val="22"/>
          <w:szCs w:val="22"/>
          <w:lang w:eastAsia="zh-CN"/>
        </w:rPr>
        <w:sectPr w:rsidR="005659DC" w:rsidRPr="00514118" w:rsidSect="005659DC">
          <w:pgSz w:w="16838" w:h="11906" w:orient="landscape"/>
          <w:pgMar w:top="1440" w:right="1440" w:bottom="1440" w:left="1440" w:header="708" w:footer="708" w:gutter="0"/>
          <w:cols w:space="708"/>
          <w:docGrid w:linePitch="360"/>
        </w:sectPr>
      </w:pPr>
    </w:p>
    <w:p w14:paraId="3123A33A" w14:textId="77777777" w:rsidR="005659DC" w:rsidRDefault="005659DC" w:rsidP="005659DC">
      <w:pPr>
        <w:pStyle w:val="Heading3"/>
      </w:pPr>
      <w:bookmarkStart w:id="275" w:name="_Hlk127291284"/>
      <w:r>
        <w:lastRenderedPageBreak/>
        <w:t>Evaluation</w:t>
      </w:r>
    </w:p>
    <w:p w14:paraId="3F39A549" w14:textId="69127D60" w:rsidR="005659DC" w:rsidRDefault="005659DC" w:rsidP="005659DC">
      <w:r>
        <w:t xml:space="preserve">The evaluation approach is described in the evaluation section for Hydraulic Regime (Section </w:t>
      </w:r>
      <w:r>
        <w:fldChar w:fldCharType="begin"/>
      </w:r>
      <w:r>
        <w:instrText xml:space="preserve"> REF _Ref35872226 \r \h  \* MERGEFORMAT </w:instrText>
      </w:r>
      <w:r>
        <w:fldChar w:fldCharType="separate"/>
      </w:r>
      <w:r w:rsidR="00102828">
        <w:t>2.1</w:t>
      </w:r>
      <w:r>
        <w:fldChar w:fldCharType="end"/>
      </w:r>
      <w:r>
        <w:t>).</w:t>
      </w:r>
      <w:r w:rsidRPr="0073431B">
        <w:t xml:space="preserve"> </w:t>
      </w:r>
      <w:r>
        <w:t>Additional assessment criteria are presented in the footnote**.</w:t>
      </w:r>
    </w:p>
    <w:p w14:paraId="2186CAB9" w14:textId="7EF76501" w:rsidR="005659DC" w:rsidRDefault="005659DC" w:rsidP="00605FB2">
      <w:pPr>
        <w:pStyle w:val="Captions"/>
      </w:pPr>
      <w:bookmarkStart w:id="276" w:name="_Ref185607419"/>
      <w:bookmarkStart w:id="277" w:name="_Toc59032080"/>
      <w:bookmarkStart w:id="278" w:name="_Toc101963866"/>
      <w:bookmarkStart w:id="279" w:name="_Toc152860309"/>
      <w:bookmarkStart w:id="280" w:name="_Toc200464534"/>
      <w:r>
        <w:t xml:space="preserve">Table </w:t>
      </w:r>
      <w:r>
        <w:fldChar w:fldCharType="begin"/>
      </w:r>
      <w:r>
        <w:instrText xml:space="preserve"> SEQ Table \* ARABIC </w:instrText>
      </w:r>
      <w:r>
        <w:fldChar w:fldCharType="separate"/>
      </w:r>
      <w:r w:rsidR="00102828">
        <w:rPr>
          <w:noProof/>
        </w:rPr>
        <w:t>10</w:t>
      </w:r>
      <w:r>
        <w:rPr>
          <w:noProof/>
        </w:rPr>
        <w:fldChar w:fldCharType="end"/>
      </w:r>
      <w:bookmarkEnd w:id="276"/>
      <w:r>
        <w:t xml:space="preserve">. Matter Transport evaluation questions and answers. </w:t>
      </w:r>
      <w:bookmarkStart w:id="281" w:name="_Hlk125494494"/>
      <w:r>
        <w:t>CEW = Commonwealth environmental water.</w:t>
      </w:r>
      <w:bookmarkEnd w:id="277"/>
      <w:bookmarkEnd w:id="278"/>
      <w:bookmarkEnd w:id="279"/>
      <w:bookmarkEnd w:id="280"/>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le displaying matter transport evaluation questions and answers per year."/>
      </w:tblPr>
      <w:tblGrid>
        <w:gridCol w:w="1130"/>
        <w:gridCol w:w="2282"/>
        <w:gridCol w:w="979"/>
        <w:gridCol w:w="1149"/>
        <w:gridCol w:w="943"/>
        <w:gridCol w:w="1060"/>
        <w:gridCol w:w="1102"/>
        <w:gridCol w:w="1135"/>
        <w:gridCol w:w="1135"/>
        <w:gridCol w:w="988"/>
        <w:gridCol w:w="993"/>
        <w:gridCol w:w="1052"/>
      </w:tblGrid>
      <w:tr w:rsidR="005659DC" w:rsidRPr="004561A6" w14:paraId="211EFDF7" w14:textId="77777777" w:rsidTr="00CE710E">
        <w:trPr>
          <w:cantSplit/>
          <w:trHeight w:val="20"/>
          <w:tblHeader/>
        </w:trPr>
        <w:tc>
          <w:tcPr>
            <w:tcW w:w="1223" w:type="pct"/>
            <w:gridSpan w:val="2"/>
            <w:vMerge w:val="restart"/>
            <w:tcBorders>
              <w:top w:val="single" w:sz="4" w:space="0" w:color="auto"/>
              <w:left w:val="single" w:sz="4" w:space="0" w:color="auto"/>
              <w:bottom w:val="single" w:sz="4" w:space="0" w:color="auto"/>
              <w:right w:val="single" w:sz="4" w:space="0" w:color="auto"/>
            </w:tcBorders>
            <w:hideMark/>
          </w:tcPr>
          <w:bookmarkEnd w:id="281"/>
          <w:p w14:paraId="4B1BCF95" w14:textId="77777777" w:rsidR="005659DC" w:rsidRPr="004561A6" w:rsidRDefault="005659DC" w:rsidP="00CE710E">
            <w:pPr>
              <w:jc w:val="center"/>
              <w:rPr>
                <w:rFonts w:cs="Arial"/>
                <w:b/>
                <w:sz w:val="18"/>
                <w:szCs w:val="18"/>
              </w:rPr>
            </w:pPr>
            <w:r>
              <w:rPr>
                <w:rFonts w:cs="Arial"/>
                <w:b/>
                <w:sz w:val="18"/>
                <w:szCs w:val="18"/>
              </w:rPr>
              <w:t>CEWH</w:t>
            </w:r>
            <w:r w:rsidRPr="004561A6">
              <w:rPr>
                <w:rFonts w:cs="Arial"/>
                <w:b/>
                <w:sz w:val="18"/>
                <w:szCs w:val="18"/>
              </w:rPr>
              <w:t xml:space="preserve"> evaluation questions </w:t>
            </w:r>
          </w:p>
        </w:tc>
        <w:tc>
          <w:tcPr>
            <w:tcW w:w="3777" w:type="pct"/>
            <w:gridSpan w:val="10"/>
            <w:tcBorders>
              <w:top w:val="single" w:sz="4" w:space="0" w:color="auto"/>
              <w:left w:val="single" w:sz="4" w:space="0" w:color="auto"/>
              <w:bottom w:val="single" w:sz="4" w:space="0" w:color="auto"/>
              <w:right w:val="single" w:sz="4" w:space="0" w:color="auto"/>
            </w:tcBorders>
            <w:vAlign w:val="bottom"/>
            <w:hideMark/>
          </w:tcPr>
          <w:p w14:paraId="04F75FB3" w14:textId="77777777" w:rsidR="005659DC" w:rsidRPr="004561A6" w:rsidRDefault="005659DC" w:rsidP="00CE710E">
            <w:pPr>
              <w:jc w:val="center"/>
              <w:rPr>
                <w:rFonts w:cs="Arial"/>
                <w:b/>
                <w:sz w:val="18"/>
                <w:szCs w:val="18"/>
              </w:rPr>
            </w:pPr>
            <w:r w:rsidRPr="004561A6">
              <w:rPr>
                <w:rFonts w:cs="Arial"/>
                <w:b/>
                <w:sz w:val="18"/>
                <w:szCs w:val="18"/>
              </w:rPr>
              <w:t>Outcomes of CEW delivery</w:t>
            </w:r>
            <w:r>
              <w:rPr>
                <w:rFonts w:cs="Arial"/>
                <w:b/>
                <w:sz w:val="18"/>
                <w:szCs w:val="18"/>
              </w:rPr>
              <w:t>*</w:t>
            </w:r>
          </w:p>
        </w:tc>
      </w:tr>
      <w:tr w:rsidR="005659DC" w:rsidRPr="004561A6" w14:paraId="65C19237" w14:textId="77777777" w:rsidTr="00CE710E">
        <w:trPr>
          <w:cantSplit/>
          <w:trHeight w:val="20"/>
          <w:tblHeader/>
        </w:trPr>
        <w:tc>
          <w:tcPr>
            <w:tcW w:w="1223" w:type="pct"/>
            <w:gridSpan w:val="2"/>
            <w:vMerge/>
            <w:tcBorders>
              <w:top w:val="single" w:sz="4" w:space="0" w:color="auto"/>
              <w:left w:val="single" w:sz="4" w:space="0" w:color="auto"/>
              <w:bottom w:val="single" w:sz="4" w:space="0" w:color="auto"/>
              <w:right w:val="single" w:sz="4" w:space="0" w:color="auto"/>
            </w:tcBorders>
            <w:vAlign w:val="center"/>
            <w:hideMark/>
          </w:tcPr>
          <w:p w14:paraId="3D01BF74" w14:textId="77777777" w:rsidR="005659DC" w:rsidRPr="004561A6" w:rsidRDefault="005659DC" w:rsidP="00CE710E">
            <w:pPr>
              <w:spacing w:before="0" w:after="0" w:line="256" w:lineRule="auto"/>
              <w:jc w:val="left"/>
              <w:rPr>
                <w:rFonts w:cs="Arial"/>
                <w:b/>
                <w:sz w:val="18"/>
                <w:szCs w:val="18"/>
              </w:rPr>
            </w:pPr>
          </w:p>
        </w:tc>
        <w:tc>
          <w:tcPr>
            <w:tcW w:w="351" w:type="pct"/>
            <w:tcBorders>
              <w:top w:val="single" w:sz="4" w:space="0" w:color="auto"/>
              <w:left w:val="single" w:sz="4" w:space="0" w:color="auto"/>
              <w:bottom w:val="single" w:sz="4" w:space="0" w:color="auto"/>
              <w:right w:val="single" w:sz="4" w:space="0" w:color="auto"/>
            </w:tcBorders>
            <w:vAlign w:val="bottom"/>
            <w:hideMark/>
          </w:tcPr>
          <w:p w14:paraId="071A8D00" w14:textId="77777777" w:rsidR="005659DC" w:rsidRPr="004561A6" w:rsidRDefault="005659DC" w:rsidP="00CE710E">
            <w:pPr>
              <w:jc w:val="center"/>
              <w:rPr>
                <w:rFonts w:cs="Arial"/>
                <w:b/>
                <w:sz w:val="18"/>
                <w:szCs w:val="18"/>
              </w:rPr>
            </w:pPr>
            <w:r w:rsidRPr="004561A6">
              <w:rPr>
                <w:rFonts w:cs="Arial"/>
                <w:b/>
                <w:sz w:val="18"/>
                <w:szCs w:val="18"/>
              </w:rPr>
              <w:t>14-15</w:t>
            </w:r>
          </w:p>
        </w:tc>
        <w:tc>
          <w:tcPr>
            <w:tcW w:w="412" w:type="pct"/>
            <w:tcBorders>
              <w:top w:val="single" w:sz="4" w:space="0" w:color="auto"/>
              <w:left w:val="single" w:sz="4" w:space="0" w:color="auto"/>
              <w:bottom w:val="single" w:sz="4" w:space="0" w:color="auto"/>
              <w:right w:val="single" w:sz="4" w:space="0" w:color="auto"/>
            </w:tcBorders>
            <w:vAlign w:val="bottom"/>
            <w:hideMark/>
          </w:tcPr>
          <w:p w14:paraId="209FF3E5" w14:textId="77777777" w:rsidR="005659DC" w:rsidRPr="004561A6" w:rsidRDefault="005659DC" w:rsidP="00CE710E">
            <w:pPr>
              <w:jc w:val="center"/>
              <w:rPr>
                <w:rFonts w:cs="Arial"/>
                <w:b/>
                <w:sz w:val="18"/>
                <w:szCs w:val="18"/>
              </w:rPr>
            </w:pPr>
            <w:r w:rsidRPr="004561A6">
              <w:rPr>
                <w:rFonts w:cs="Arial"/>
                <w:b/>
                <w:sz w:val="18"/>
                <w:szCs w:val="18"/>
              </w:rPr>
              <w:t>15-16</w:t>
            </w:r>
          </w:p>
        </w:tc>
        <w:tc>
          <w:tcPr>
            <w:tcW w:w="338" w:type="pct"/>
            <w:tcBorders>
              <w:top w:val="single" w:sz="4" w:space="0" w:color="auto"/>
              <w:left w:val="single" w:sz="4" w:space="0" w:color="auto"/>
              <w:bottom w:val="single" w:sz="4" w:space="0" w:color="auto"/>
              <w:right w:val="single" w:sz="4" w:space="0" w:color="auto"/>
            </w:tcBorders>
            <w:vAlign w:val="bottom"/>
            <w:hideMark/>
          </w:tcPr>
          <w:p w14:paraId="335C6931" w14:textId="77777777" w:rsidR="005659DC" w:rsidRPr="004561A6" w:rsidRDefault="005659DC" w:rsidP="00CE710E">
            <w:pPr>
              <w:jc w:val="center"/>
              <w:rPr>
                <w:rFonts w:cs="Arial"/>
                <w:b/>
                <w:sz w:val="18"/>
                <w:szCs w:val="18"/>
              </w:rPr>
            </w:pPr>
            <w:r w:rsidRPr="004561A6">
              <w:rPr>
                <w:rFonts w:cs="Arial"/>
                <w:b/>
                <w:sz w:val="18"/>
                <w:szCs w:val="18"/>
              </w:rPr>
              <w:t>16-17</w:t>
            </w:r>
          </w:p>
        </w:tc>
        <w:tc>
          <w:tcPr>
            <w:tcW w:w="380" w:type="pct"/>
            <w:tcBorders>
              <w:top w:val="single" w:sz="4" w:space="0" w:color="auto"/>
              <w:left w:val="single" w:sz="4" w:space="0" w:color="auto"/>
              <w:bottom w:val="single" w:sz="4" w:space="0" w:color="auto"/>
              <w:right w:val="single" w:sz="4" w:space="0" w:color="auto"/>
            </w:tcBorders>
            <w:vAlign w:val="bottom"/>
            <w:hideMark/>
          </w:tcPr>
          <w:p w14:paraId="7B3C3DD6" w14:textId="77777777" w:rsidR="005659DC" w:rsidRPr="004561A6" w:rsidRDefault="005659DC" w:rsidP="00CE710E">
            <w:pPr>
              <w:jc w:val="center"/>
              <w:rPr>
                <w:rFonts w:cs="Arial"/>
                <w:b/>
                <w:sz w:val="18"/>
                <w:szCs w:val="18"/>
              </w:rPr>
            </w:pPr>
            <w:r w:rsidRPr="004561A6">
              <w:rPr>
                <w:rFonts w:cs="Arial"/>
                <w:b/>
                <w:sz w:val="18"/>
                <w:szCs w:val="18"/>
              </w:rPr>
              <w:t>17-18</w:t>
            </w:r>
          </w:p>
        </w:tc>
        <w:tc>
          <w:tcPr>
            <w:tcW w:w="395" w:type="pct"/>
            <w:tcBorders>
              <w:top w:val="single" w:sz="4" w:space="0" w:color="auto"/>
              <w:left w:val="single" w:sz="4" w:space="0" w:color="auto"/>
              <w:bottom w:val="single" w:sz="4" w:space="0" w:color="auto"/>
              <w:right w:val="single" w:sz="4" w:space="0" w:color="auto"/>
            </w:tcBorders>
            <w:vAlign w:val="bottom"/>
            <w:hideMark/>
          </w:tcPr>
          <w:p w14:paraId="511D2E0E" w14:textId="77777777" w:rsidR="005659DC" w:rsidRPr="004561A6" w:rsidRDefault="005659DC" w:rsidP="00CE710E">
            <w:pPr>
              <w:jc w:val="center"/>
              <w:rPr>
                <w:rFonts w:cs="Arial"/>
                <w:b/>
                <w:sz w:val="18"/>
                <w:szCs w:val="18"/>
              </w:rPr>
            </w:pPr>
            <w:r w:rsidRPr="004561A6">
              <w:rPr>
                <w:rFonts w:cs="Arial"/>
                <w:b/>
                <w:sz w:val="18"/>
                <w:szCs w:val="18"/>
              </w:rPr>
              <w:t>18-19</w:t>
            </w:r>
          </w:p>
        </w:tc>
        <w:tc>
          <w:tcPr>
            <w:tcW w:w="407" w:type="pct"/>
            <w:tcBorders>
              <w:top w:val="single" w:sz="4" w:space="0" w:color="auto"/>
              <w:left w:val="single" w:sz="4" w:space="0" w:color="auto"/>
              <w:bottom w:val="single" w:sz="4" w:space="0" w:color="auto"/>
              <w:right w:val="single" w:sz="4" w:space="0" w:color="auto"/>
            </w:tcBorders>
            <w:hideMark/>
          </w:tcPr>
          <w:p w14:paraId="677CBDE7" w14:textId="77777777" w:rsidR="005659DC" w:rsidRPr="004561A6" w:rsidRDefault="005659DC" w:rsidP="00CE710E">
            <w:pPr>
              <w:jc w:val="center"/>
              <w:rPr>
                <w:rFonts w:cs="Arial"/>
                <w:b/>
                <w:sz w:val="18"/>
                <w:szCs w:val="18"/>
              </w:rPr>
            </w:pPr>
            <w:r w:rsidRPr="004561A6">
              <w:rPr>
                <w:rFonts w:cs="Arial"/>
                <w:b/>
                <w:sz w:val="18"/>
                <w:szCs w:val="18"/>
              </w:rPr>
              <w:t>19-20</w:t>
            </w:r>
          </w:p>
        </w:tc>
        <w:tc>
          <w:tcPr>
            <w:tcW w:w="407" w:type="pct"/>
            <w:tcBorders>
              <w:top w:val="single" w:sz="4" w:space="0" w:color="auto"/>
              <w:left w:val="single" w:sz="4" w:space="0" w:color="auto"/>
              <w:bottom w:val="single" w:sz="4" w:space="0" w:color="auto"/>
              <w:right w:val="single" w:sz="4" w:space="0" w:color="auto"/>
            </w:tcBorders>
          </w:tcPr>
          <w:p w14:paraId="378E398F" w14:textId="77777777" w:rsidR="005659DC" w:rsidRPr="004561A6" w:rsidRDefault="005659DC" w:rsidP="00CE710E">
            <w:pPr>
              <w:jc w:val="center"/>
              <w:rPr>
                <w:rFonts w:cs="Arial"/>
                <w:b/>
                <w:sz w:val="18"/>
                <w:szCs w:val="18"/>
              </w:rPr>
            </w:pPr>
            <w:r w:rsidRPr="004561A6">
              <w:rPr>
                <w:rFonts w:cs="Arial"/>
                <w:b/>
                <w:sz w:val="18"/>
                <w:szCs w:val="18"/>
              </w:rPr>
              <w:t>20-21</w:t>
            </w:r>
          </w:p>
        </w:tc>
        <w:tc>
          <w:tcPr>
            <w:tcW w:w="354" w:type="pct"/>
            <w:tcBorders>
              <w:top w:val="single" w:sz="4" w:space="0" w:color="auto"/>
              <w:left w:val="single" w:sz="4" w:space="0" w:color="auto"/>
              <w:bottom w:val="single" w:sz="4" w:space="0" w:color="auto"/>
              <w:right w:val="single" w:sz="4" w:space="0" w:color="auto"/>
            </w:tcBorders>
          </w:tcPr>
          <w:p w14:paraId="6642F957" w14:textId="77777777" w:rsidR="005659DC" w:rsidRPr="004561A6" w:rsidRDefault="005659DC" w:rsidP="00CE710E">
            <w:pPr>
              <w:jc w:val="center"/>
              <w:rPr>
                <w:rFonts w:cs="Arial"/>
                <w:b/>
                <w:sz w:val="18"/>
                <w:szCs w:val="18"/>
              </w:rPr>
            </w:pPr>
            <w:r w:rsidRPr="004561A6">
              <w:rPr>
                <w:rFonts w:cs="Arial"/>
                <w:b/>
                <w:sz w:val="18"/>
                <w:szCs w:val="18"/>
              </w:rPr>
              <w:t>21-22</w:t>
            </w:r>
          </w:p>
        </w:tc>
        <w:tc>
          <w:tcPr>
            <w:tcW w:w="356" w:type="pct"/>
            <w:tcBorders>
              <w:top w:val="single" w:sz="4" w:space="0" w:color="auto"/>
              <w:left w:val="single" w:sz="4" w:space="0" w:color="auto"/>
              <w:bottom w:val="single" w:sz="4" w:space="0" w:color="auto"/>
              <w:right w:val="single" w:sz="4" w:space="0" w:color="auto"/>
            </w:tcBorders>
          </w:tcPr>
          <w:p w14:paraId="32646901" w14:textId="77777777" w:rsidR="005659DC" w:rsidRPr="004561A6" w:rsidRDefault="005659DC" w:rsidP="00CE710E">
            <w:pPr>
              <w:jc w:val="center"/>
              <w:rPr>
                <w:rFonts w:cs="Arial"/>
                <w:b/>
                <w:sz w:val="18"/>
                <w:szCs w:val="18"/>
              </w:rPr>
            </w:pPr>
            <w:r>
              <w:rPr>
                <w:rFonts w:cs="Arial"/>
                <w:b/>
                <w:sz w:val="18"/>
                <w:szCs w:val="18"/>
              </w:rPr>
              <w:t>22-23</w:t>
            </w:r>
          </w:p>
        </w:tc>
        <w:tc>
          <w:tcPr>
            <w:tcW w:w="377" w:type="pct"/>
            <w:tcBorders>
              <w:top w:val="single" w:sz="4" w:space="0" w:color="auto"/>
              <w:left w:val="single" w:sz="4" w:space="0" w:color="auto"/>
              <w:bottom w:val="single" w:sz="4" w:space="0" w:color="auto"/>
              <w:right w:val="single" w:sz="4" w:space="0" w:color="auto"/>
            </w:tcBorders>
          </w:tcPr>
          <w:p w14:paraId="511D2281" w14:textId="77777777" w:rsidR="005659DC" w:rsidRDefault="005659DC" w:rsidP="00CE710E">
            <w:pPr>
              <w:jc w:val="center"/>
              <w:rPr>
                <w:rFonts w:cs="Arial"/>
                <w:b/>
                <w:sz w:val="18"/>
                <w:szCs w:val="18"/>
              </w:rPr>
            </w:pPr>
            <w:r>
              <w:rPr>
                <w:rFonts w:cs="Arial"/>
                <w:b/>
                <w:sz w:val="18"/>
                <w:szCs w:val="18"/>
              </w:rPr>
              <w:t>23-24</w:t>
            </w:r>
          </w:p>
        </w:tc>
      </w:tr>
      <w:tr w:rsidR="00A53F23" w:rsidRPr="004561A6" w14:paraId="1FF6906A" w14:textId="77777777" w:rsidTr="00471D83">
        <w:trPr>
          <w:cantSplit/>
          <w:trHeight w:val="20"/>
        </w:trPr>
        <w:tc>
          <w:tcPr>
            <w:tcW w:w="405" w:type="pct"/>
            <w:vMerge w:val="restart"/>
            <w:tcBorders>
              <w:top w:val="single" w:sz="4" w:space="0" w:color="auto"/>
              <w:left w:val="single" w:sz="4" w:space="0" w:color="auto"/>
              <w:bottom w:val="nil"/>
              <w:right w:val="single" w:sz="4" w:space="0" w:color="auto"/>
            </w:tcBorders>
          </w:tcPr>
          <w:p w14:paraId="4E1342A3" w14:textId="77777777" w:rsidR="005659DC" w:rsidRPr="004561A6" w:rsidRDefault="005659DC" w:rsidP="00CE710E">
            <w:pPr>
              <w:contextualSpacing/>
              <w:jc w:val="left"/>
              <w:rPr>
                <w:rFonts w:cs="Arial"/>
                <w:color w:val="auto"/>
                <w:sz w:val="18"/>
                <w:szCs w:val="18"/>
              </w:rPr>
            </w:pPr>
            <w:r w:rsidRPr="004561A6">
              <w:rPr>
                <w:sz w:val="18"/>
                <w:szCs w:val="18"/>
              </w:rPr>
              <w:t>What did CEW contribute to salinity:</w:t>
            </w:r>
          </w:p>
          <w:p w14:paraId="53F04E51" w14:textId="77777777" w:rsidR="005659DC" w:rsidRPr="004561A6" w:rsidRDefault="005659DC" w:rsidP="00CE710E">
            <w:pPr>
              <w:contextualSpacing/>
              <w:jc w:val="left"/>
              <w:rPr>
                <w:rFonts w:cs="Arial"/>
                <w:color w:val="auto"/>
                <w:sz w:val="18"/>
                <w:szCs w:val="18"/>
              </w:rPr>
            </w:pPr>
          </w:p>
        </w:tc>
        <w:tc>
          <w:tcPr>
            <w:tcW w:w="818" w:type="pct"/>
            <w:tcBorders>
              <w:top w:val="single" w:sz="4" w:space="0" w:color="auto"/>
              <w:left w:val="single" w:sz="4" w:space="0" w:color="auto"/>
              <w:bottom w:val="single" w:sz="4" w:space="0" w:color="auto"/>
              <w:right w:val="single" w:sz="4" w:space="0" w:color="auto"/>
            </w:tcBorders>
          </w:tcPr>
          <w:p w14:paraId="44F950DE" w14:textId="77777777" w:rsidR="005659DC" w:rsidRPr="004561A6" w:rsidRDefault="005659DC" w:rsidP="00CE710E">
            <w:pPr>
              <w:contextualSpacing/>
              <w:jc w:val="right"/>
              <w:rPr>
                <w:rFonts w:cs="Arial"/>
                <w:color w:val="auto"/>
                <w:sz w:val="18"/>
                <w:szCs w:val="18"/>
              </w:rPr>
            </w:pPr>
            <w:r w:rsidRPr="004561A6">
              <w:rPr>
                <w:rFonts w:cs="Arial"/>
                <w:color w:val="auto"/>
                <w:sz w:val="18"/>
                <w:szCs w:val="18"/>
              </w:rPr>
              <w:t>Levels?</w:t>
            </w:r>
          </w:p>
          <w:p w14:paraId="2BA02D84" w14:textId="77777777" w:rsidR="005659DC" w:rsidRPr="004561A6" w:rsidRDefault="005659DC" w:rsidP="00CE710E">
            <w:pPr>
              <w:contextualSpacing/>
              <w:jc w:val="right"/>
              <w:rPr>
                <w:rFonts w:cs="Arial"/>
                <w:color w:val="auto"/>
                <w:sz w:val="18"/>
                <w:szCs w:val="18"/>
              </w:rPr>
            </w:pPr>
            <w:r w:rsidRPr="004561A6">
              <w:rPr>
                <w:rFonts w:cs="Arial"/>
                <w:color w:val="auto"/>
                <w:sz w:val="18"/>
                <w:szCs w:val="18"/>
              </w:rPr>
              <w:t xml:space="preserve">Reduction due to CEW (Median salinity presented, </w:t>
            </w:r>
            <w:r>
              <w:rPr>
                <w:rFonts w:cs="Arial"/>
                <w:color w:val="auto"/>
                <w:sz w:val="18"/>
                <w:szCs w:val="18"/>
              </w:rPr>
              <w:t>PSU</w:t>
            </w:r>
            <w:r w:rsidRPr="004561A6">
              <w:rPr>
                <w:rFonts w:cs="Arial"/>
                <w:color w:val="auto"/>
                <w:sz w:val="18"/>
                <w:szCs w:val="18"/>
              </w:rPr>
              <w:t xml:space="preserve">) </w:t>
            </w:r>
          </w:p>
          <w:p w14:paraId="3AFEE4C4" w14:textId="77777777" w:rsidR="005659DC" w:rsidRPr="004561A6" w:rsidRDefault="005659DC" w:rsidP="00CE710E">
            <w:pPr>
              <w:contextualSpacing/>
              <w:jc w:val="right"/>
              <w:rPr>
                <w:rFonts w:cs="Arial"/>
                <w:color w:val="auto"/>
                <w:sz w:val="18"/>
                <w:szCs w:val="18"/>
              </w:rPr>
            </w:pPr>
            <w:r>
              <w:rPr>
                <w:rFonts w:cs="Arial"/>
                <w:color w:val="auto"/>
                <w:sz w:val="18"/>
                <w:szCs w:val="18"/>
              </w:rPr>
              <w:t>a</w:t>
            </w:r>
            <w:r w:rsidRPr="004561A6">
              <w:rPr>
                <w:rFonts w:cs="Arial"/>
                <w:color w:val="auto"/>
                <w:sz w:val="18"/>
                <w:szCs w:val="18"/>
              </w:rPr>
              <w:t>t the Murray Mouth</w:t>
            </w:r>
          </w:p>
        </w:tc>
        <w:tc>
          <w:tcPr>
            <w:tcW w:w="351" w:type="pct"/>
            <w:tcBorders>
              <w:top w:val="single" w:sz="4" w:space="0" w:color="auto"/>
              <w:left w:val="single" w:sz="4" w:space="0" w:color="auto"/>
              <w:bottom w:val="single" w:sz="4" w:space="0" w:color="auto"/>
              <w:right w:val="single" w:sz="4" w:space="0" w:color="auto"/>
            </w:tcBorders>
            <w:shd w:val="clear" w:color="auto" w:fill="70AD47" w:themeFill="accent6"/>
            <w:hideMark/>
          </w:tcPr>
          <w:p w14:paraId="5F9AF570" w14:textId="77777777" w:rsidR="005659DC" w:rsidRPr="004561A6" w:rsidRDefault="005659DC" w:rsidP="00CE710E">
            <w:pPr>
              <w:contextualSpacing/>
              <w:jc w:val="left"/>
              <w:rPr>
                <w:rFonts w:cs="Arial"/>
                <w:color w:val="auto"/>
                <w:sz w:val="18"/>
                <w:szCs w:val="18"/>
              </w:rPr>
            </w:pPr>
            <w:r w:rsidRPr="004561A6">
              <w:rPr>
                <w:rFonts w:cs="Arial"/>
                <w:sz w:val="18"/>
                <w:szCs w:val="18"/>
              </w:rPr>
              <w:t xml:space="preserve">From 34.6 to 24.0 </w:t>
            </w:r>
          </w:p>
        </w:tc>
        <w:tc>
          <w:tcPr>
            <w:tcW w:w="412" w:type="pct"/>
            <w:tcBorders>
              <w:top w:val="single" w:sz="4" w:space="0" w:color="auto"/>
              <w:left w:val="single" w:sz="4" w:space="0" w:color="auto"/>
              <w:bottom w:val="single" w:sz="4" w:space="0" w:color="auto"/>
              <w:right w:val="single" w:sz="4" w:space="0" w:color="auto"/>
            </w:tcBorders>
            <w:shd w:val="clear" w:color="auto" w:fill="A8D08D"/>
            <w:hideMark/>
          </w:tcPr>
          <w:p w14:paraId="56C6B968" w14:textId="77777777" w:rsidR="005659DC" w:rsidRPr="004561A6" w:rsidRDefault="005659DC" w:rsidP="00CE710E">
            <w:pPr>
              <w:contextualSpacing/>
              <w:jc w:val="left"/>
              <w:rPr>
                <w:rFonts w:cs="Arial"/>
                <w:color w:val="auto"/>
                <w:sz w:val="18"/>
                <w:szCs w:val="18"/>
              </w:rPr>
            </w:pPr>
            <w:r w:rsidRPr="004561A6">
              <w:rPr>
                <w:rFonts w:cs="Arial"/>
                <w:sz w:val="18"/>
                <w:szCs w:val="18"/>
              </w:rPr>
              <w:t xml:space="preserve">From 35.1 to 29.7 </w:t>
            </w:r>
          </w:p>
        </w:tc>
        <w:tc>
          <w:tcPr>
            <w:tcW w:w="338" w:type="pct"/>
            <w:tcBorders>
              <w:top w:val="single" w:sz="4" w:space="0" w:color="auto"/>
              <w:left w:val="single" w:sz="4" w:space="0" w:color="auto"/>
              <w:bottom w:val="single" w:sz="4" w:space="0" w:color="auto"/>
              <w:right w:val="single" w:sz="4" w:space="0" w:color="auto"/>
            </w:tcBorders>
            <w:shd w:val="clear" w:color="auto" w:fill="70AD47" w:themeFill="accent6"/>
            <w:hideMark/>
          </w:tcPr>
          <w:p w14:paraId="20C39DF4" w14:textId="77777777" w:rsidR="005659DC" w:rsidRPr="004561A6" w:rsidRDefault="005659DC" w:rsidP="00CE710E">
            <w:pPr>
              <w:contextualSpacing/>
              <w:jc w:val="left"/>
              <w:rPr>
                <w:rFonts w:cs="Arial"/>
                <w:color w:val="auto"/>
                <w:sz w:val="18"/>
                <w:szCs w:val="18"/>
              </w:rPr>
            </w:pPr>
            <w:r w:rsidRPr="004561A6">
              <w:rPr>
                <w:rFonts w:cs="Arial"/>
                <w:sz w:val="18"/>
                <w:szCs w:val="18"/>
              </w:rPr>
              <w:t xml:space="preserve">From 21.6 to 11.3 </w:t>
            </w:r>
          </w:p>
        </w:tc>
        <w:tc>
          <w:tcPr>
            <w:tcW w:w="380" w:type="pct"/>
            <w:tcBorders>
              <w:top w:val="single" w:sz="4" w:space="0" w:color="auto"/>
              <w:left w:val="single" w:sz="4" w:space="0" w:color="auto"/>
              <w:bottom w:val="single" w:sz="4" w:space="0" w:color="auto"/>
              <w:right w:val="single" w:sz="4" w:space="0" w:color="auto"/>
            </w:tcBorders>
            <w:shd w:val="clear" w:color="auto" w:fill="70AD47" w:themeFill="accent6"/>
            <w:hideMark/>
          </w:tcPr>
          <w:p w14:paraId="0B8F64F2" w14:textId="3D380671" w:rsidR="005659DC" w:rsidRPr="00DD294D" w:rsidRDefault="005659DC" w:rsidP="00CE710E">
            <w:pPr>
              <w:contextualSpacing/>
              <w:jc w:val="left"/>
              <w:rPr>
                <w:rFonts w:cs="Arial"/>
                <w:color w:val="auto"/>
                <w:sz w:val="18"/>
                <w:szCs w:val="18"/>
              </w:rPr>
            </w:pPr>
            <w:r w:rsidRPr="00DD294D">
              <w:rPr>
                <w:rFonts w:cs="Arial"/>
                <w:color w:val="auto"/>
                <w:sz w:val="18"/>
                <w:szCs w:val="18"/>
              </w:rPr>
              <w:t xml:space="preserve">From </w:t>
            </w:r>
            <w:r w:rsidR="005A38C7" w:rsidRPr="00DD294D">
              <w:rPr>
                <w:rFonts w:cs="Arial"/>
                <w:color w:val="auto"/>
                <w:sz w:val="18"/>
                <w:szCs w:val="18"/>
              </w:rPr>
              <w:t>3</w:t>
            </w:r>
            <w:r w:rsidR="005A38C7" w:rsidRPr="007154B9">
              <w:rPr>
                <w:rFonts w:cs="Arial"/>
                <w:color w:val="auto"/>
                <w:sz w:val="18"/>
                <w:szCs w:val="18"/>
              </w:rPr>
              <w:t>4</w:t>
            </w:r>
            <w:r w:rsidRPr="00DD294D">
              <w:rPr>
                <w:rFonts w:cs="Arial"/>
                <w:color w:val="auto"/>
                <w:sz w:val="18"/>
                <w:szCs w:val="18"/>
              </w:rPr>
              <w:t>.</w:t>
            </w:r>
            <w:r w:rsidR="005A38C7" w:rsidRPr="007154B9">
              <w:rPr>
                <w:rFonts w:cs="Arial"/>
                <w:color w:val="auto"/>
                <w:sz w:val="18"/>
                <w:szCs w:val="18"/>
              </w:rPr>
              <w:t>7</w:t>
            </w:r>
            <w:r w:rsidR="005A38C7" w:rsidRPr="00DD294D">
              <w:rPr>
                <w:rFonts w:cs="Arial"/>
                <w:color w:val="auto"/>
                <w:sz w:val="18"/>
                <w:szCs w:val="18"/>
              </w:rPr>
              <w:t xml:space="preserve"> </w:t>
            </w:r>
            <w:r w:rsidRPr="00DD294D">
              <w:rPr>
                <w:rFonts w:cs="Arial"/>
                <w:color w:val="auto"/>
                <w:sz w:val="18"/>
                <w:szCs w:val="18"/>
              </w:rPr>
              <w:t xml:space="preserve">to </w:t>
            </w:r>
            <w:r w:rsidR="005A38C7" w:rsidRPr="007154B9">
              <w:rPr>
                <w:rFonts w:cs="Arial"/>
                <w:color w:val="auto"/>
                <w:sz w:val="18"/>
                <w:szCs w:val="18"/>
              </w:rPr>
              <w:t>20</w:t>
            </w:r>
            <w:r w:rsidRPr="00DD294D">
              <w:rPr>
                <w:rFonts w:cs="Arial"/>
                <w:color w:val="auto"/>
                <w:sz w:val="18"/>
                <w:szCs w:val="18"/>
              </w:rPr>
              <w:t>.0</w:t>
            </w:r>
            <w:r w:rsidRPr="00DD294D">
              <w:rPr>
                <w:rFonts w:cs="Arial"/>
                <w:sz w:val="18"/>
                <w:szCs w:val="18"/>
              </w:rPr>
              <w:t xml:space="preserve"> </w:t>
            </w:r>
            <w:r w:rsidRPr="00DD294D">
              <w:rPr>
                <w:rFonts w:cs="Arial"/>
                <w:color w:val="auto"/>
                <w:sz w:val="18"/>
                <w:szCs w:val="18"/>
              </w:rPr>
              <w:t xml:space="preserve"> </w:t>
            </w:r>
          </w:p>
        </w:tc>
        <w:tc>
          <w:tcPr>
            <w:tcW w:w="395" w:type="pct"/>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7206073" w14:textId="73BADF15" w:rsidR="005659DC" w:rsidRPr="00CE2265" w:rsidRDefault="005659DC" w:rsidP="00CE710E">
            <w:pPr>
              <w:contextualSpacing/>
              <w:jc w:val="left"/>
              <w:rPr>
                <w:rFonts w:cs="Arial"/>
                <w:color w:val="auto"/>
                <w:sz w:val="18"/>
                <w:szCs w:val="18"/>
              </w:rPr>
            </w:pPr>
            <w:r w:rsidRPr="00CE2265">
              <w:rPr>
                <w:rFonts w:cs="Arial"/>
                <w:color w:val="auto"/>
                <w:sz w:val="18"/>
                <w:szCs w:val="18"/>
              </w:rPr>
              <w:t>From 35.</w:t>
            </w:r>
            <w:r w:rsidR="00D8475E" w:rsidRPr="007154B9">
              <w:rPr>
                <w:rFonts w:cs="Arial"/>
                <w:color w:val="auto"/>
                <w:sz w:val="18"/>
                <w:szCs w:val="18"/>
              </w:rPr>
              <w:t>2</w:t>
            </w:r>
            <w:r w:rsidRPr="00CE2265">
              <w:rPr>
                <w:rFonts w:cs="Arial"/>
                <w:color w:val="auto"/>
                <w:sz w:val="18"/>
                <w:szCs w:val="18"/>
              </w:rPr>
              <w:t xml:space="preserve"> to </w:t>
            </w:r>
            <w:r w:rsidR="00D8475E" w:rsidRPr="007154B9">
              <w:rPr>
                <w:rFonts w:cs="Arial"/>
                <w:color w:val="auto"/>
                <w:sz w:val="18"/>
                <w:szCs w:val="18"/>
              </w:rPr>
              <w:t>27</w:t>
            </w:r>
            <w:r w:rsidRPr="00CE2265">
              <w:rPr>
                <w:rFonts w:cs="Arial"/>
                <w:color w:val="auto"/>
                <w:sz w:val="18"/>
                <w:szCs w:val="18"/>
              </w:rPr>
              <w:t>.</w:t>
            </w:r>
            <w:r w:rsidR="00D8475E" w:rsidRPr="007154B9">
              <w:rPr>
                <w:rFonts w:cs="Arial"/>
                <w:color w:val="auto"/>
                <w:sz w:val="18"/>
                <w:szCs w:val="18"/>
              </w:rPr>
              <w:t>4</w:t>
            </w:r>
            <w:r w:rsidRPr="00CE2265">
              <w:rPr>
                <w:rFonts w:cs="Arial"/>
                <w:sz w:val="18"/>
                <w:szCs w:val="18"/>
              </w:rPr>
              <w:t xml:space="preserve"> </w:t>
            </w:r>
            <w:r w:rsidRPr="00CE2265">
              <w:rPr>
                <w:rFonts w:cs="Arial"/>
                <w:color w:val="auto"/>
                <w:sz w:val="18"/>
                <w:szCs w:val="18"/>
              </w:rPr>
              <w:t xml:space="preserve">  </w:t>
            </w:r>
          </w:p>
        </w:tc>
        <w:tc>
          <w:tcPr>
            <w:tcW w:w="407" w:type="pct"/>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020C8A9" w14:textId="0433F8E3" w:rsidR="005659DC" w:rsidRPr="00CE2265" w:rsidRDefault="005659DC" w:rsidP="00CE710E">
            <w:pPr>
              <w:contextualSpacing/>
              <w:jc w:val="left"/>
              <w:rPr>
                <w:rFonts w:cs="Arial"/>
                <w:color w:val="auto"/>
                <w:sz w:val="18"/>
                <w:szCs w:val="18"/>
              </w:rPr>
            </w:pPr>
            <w:r w:rsidRPr="00CE2265">
              <w:rPr>
                <w:rFonts w:cs="Arial"/>
                <w:color w:val="auto"/>
                <w:sz w:val="18"/>
                <w:szCs w:val="18"/>
              </w:rPr>
              <w:t>From 35.</w:t>
            </w:r>
            <w:r w:rsidR="00F36126" w:rsidRPr="007154B9">
              <w:rPr>
                <w:rFonts w:cs="Arial"/>
                <w:color w:val="auto"/>
                <w:sz w:val="18"/>
                <w:szCs w:val="18"/>
              </w:rPr>
              <w:t>1</w:t>
            </w:r>
            <w:r w:rsidR="00F36126" w:rsidRPr="00CE2265">
              <w:rPr>
                <w:rFonts w:cs="Arial"/>
                <w:color w:val="auto"/>
                <w:sz w:val="18"/>
                <w:szCs w:val="18"/>
              </w:rPr>
              <w:t xml:space="preserve"> </w:t>
            </w:r>
            <w:r w:rsidRPr="00CE2265">
              <w:rPr>
                <w:rFonts w:cs="Arial"/>
                <w:color w:val="auto"/>
                <w:sz w:val="18"/>
                <w:szCs w:val="18"/>
              </w:rPr>
              <w:t xml:space="preserve">to </w:t>
            </w:r>
            <w:r w:rsidR="00F36126" w:rsidRPr="00CE2265">
              <w:rPr>
                <w:rFonts w:cs="Arial"/>
                <w:color w:val="auto"/>
                <w:sz w:val="18"/>
                <w:szCs w:val="18"/>
              </w:rPr>
              <w:t>2</w:t>
            </w:r>
            <w:r w:rsidR="00F36126" w:rsidRPr="007154B9">
              <w:rPr>
                <w:rFonts w:cs="Arial"/>
                <w:color w:val="auto"/>
                <w:sz w:val="18"/>
                <w:szCs w:val="18"/>
              </w:rPr>
              <w:t>7</w:t>
            </w:r>
            <w:r w:rsidRPr="00CE2265">
              <w:rPr>
                <w:rFonts w:cs="Arial"/>
                <w:color w:val="auto"/>
                <w:sz w:val="18"/>
                <w:szCs w:val="18"/>
              </w:rPr>
              <w:t>.</w:t>
            </w:r>
            <w:r w:rsidR="00F36126" w:rsidRPr="007154B9">
              <w:rPr>
                <w:rFonts w:cs="Arial"/>
                <w:color w:val="auto"/>
                <w:sz w:val="18"/>
                <w:szCs w:val="18"/>
              </w:rPr>
              <w:t>4</w:t>
            </w:r>
            <w:r w:rsidR="00F36126" w:rsidRPr="00CE2265">
              <w:rPr>
                <w:rFonts w:cs="Arial"/>
                <w:sz w:val="18"/>
                <w:szCs w:val="18"/>
              </w:rPr>
              <w:t xml:space="preserve"> </w:t>
            </w:r>
            <w:r w:rsidR="00F36126" w:rsidRPr="00CE2265">
              <w:rPr>
                <w:rFonts w:cs="Arial"/>
                <w:color w:val="auto"/>
                <w:sz w:val="18"/>
                <w:szCs w:val="18"/>
              </w:rPr>
              <w:t xml:space="preserve"> </w:t>
            </w:r>
          </w:p>
        </w:tc>
        <w:tc>
          <w:tcPr>
            <w:tcW w:w="407" w:type="pct"/>
            <w:tcBorders>
              <w:top w:val="single" w:sz="4" w:space="0" w:color="auto"/>
              <w:left w:val="single" w:sz="4" w:space="0" w:color="auto"/>
              <w:bottom w:val="single" w:sz="4" w:space="0" w:color="auto"/>
              <w:right w:val="single" w:sz="4" w:space="0" w:color="auto"/>
            </w:tcBorders>
            <w:shd w:val="clear" w:color="auto" w:fill="5B9BD5"/>
          </w:tcPr>
          <w:p w14:paraId="14BECDAB" w14:textId="0895C76A" w:rsidR="005659DC" w:rsidRPr="00CE2265" w:rsidRDefault="005659DC" w:rsidP="00CE710E">
            <w:pPr>
              <w:contextualSpacing/>
              <w:jc w:val="left"/>
              <w:rPr>
                <w:rFonts w:cs="Arial"/>
                <w:color w:val="auto"/>
                <w:sz w:val="18"/>
                <w:szCs w:val="18"/>
              </w:rPr>
            </w:pPr>
            <w:r w:rsidRPr="00CE2265">
              <w:rPr>
                <w:rFonts w:cs="Arial"/>
                <w:color w:val="auto"/>
                <w:sz w:val="18"/>
                <w:szCs w:val="18"/>
              </w:rPr>
              <w:t xml:space="preserve">From </w:t>
            </w:r>
            <w:r w:rsidR="00DB69E5" w:rsidRPr="00CE2265">
              <w:rPr>
                <w:rFonts w:cs="Arial"/>
                <w:color w:val="auto"/>
                <w:sz w:val="18"/>
                <w:szCs w:val="18"/>
              </w:rPr>
              <w:t>3</w:t>
            </w:r>
            <w:r w:rsidR="00DB69E5" w:rsidRPr="007154B9">
              <w:rPr>
                <w:rFonts w:cs="Arial"/>
                <w:color w:val="auto"/>
                <w:sz w:val="18"/>
                <w:szCs w:val="18"/>
              </w:rPr>
              <w:t>4</w:t>
            </w:r>
            <w:r w:rsidRPr="00CE2265">
              <w:rPr>
                <w:rFonts w:cs="Arial"/>
                <w:color w:val="auto"/>
                <w:sz w:val="18"/>
                <w:szCs w:val="18"/>
              </w:rPr>
              <w:t>.</w:t>
            </w:r>
            <w:r w:rsidR="00DB69E5" w:rsidRPr="007154B9">
              <w:rPr>
                <w:rFonts w:cs="Arial"/>
                <w:color w:val="auto"/>
                <w:sz w:val="18"/>
                <w:szCs w:val="18"/>
              </w:rPr>
              <w:t>7</w:t>
            </w:r>
            <w:r w:rsidR="00DB69E5" w:rsidRPr="00CE2265">
              <w:rPr>
                <w:rFonts w:cs="Arial"/>
                <w:color w:val="auto"/>
                <w:sz w:val="18"/>
                <w:szCs w:val="18"/>
              </w:rPr>
              <w:t xml:space="preserve"> </w:t>
            </w:r>
            <w:r w:rsidRPr="00CE2265">
              <w:rPr>
                <w:rFonts w:cs="Arial"/>
                <w:color w:val="auto"/>
                <w:sz w:val="18"/>
                <w:szCs w:val="18"/>
              </w:rPr>
              <w:t>to 1</w:t>
            </w:r>
            <w:r w:rsidR="00DB69E5" w:rsidRPr="007154B9">
              <w:rPr>
                <w:rFonts w:cs="Arial"/>
                <w:color w:val="auto"/>
                <w:sz w:val="18"/>
                <w:szCs w:val="18"/>
              </w:rPr>
              <w:t>9</w:t>
            </w:r>
            <w:r w:rsidRPr="00CE2265">
              <w:rPr>
                <w:rFonts w:cs="Arial"/>
                <w:color w:val="auto"/>
                <w:sz w:val="18"/>
                <w:szCs w:val="18"/>
              </w:rPr>
              <w:t>.2</w:t>
            </w:r>
            <w:r w:rsidRPr="00CE2265">
              <w:rPr>
                <w:rFonts w:cs="Arial"/>
                <w:sz w:val="18"/>
                <w:szCs w:val="18"/>
              </w:rPr>
              <w:t xml:space="preserve"> </w:t>
            </w:r>
          </w:p>
        </w:tc>
        <w:tc>
          <w:tcPr>
            <w:tcW w:w="354"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6E4DD87" w14:textId="23475051" w:rsidR="005659DC" w:rsidRPr="005A38C7" w:rsidRDefault="005659DC" w:rsidP="00CE710E">
            <w:pPr>
              <w:contextualSpacing/>
              <w:jc w:val="left"/>
              <w:rPr>
                <w:sz w:val="18"/>
                <w:szCs w:val="18"/>
              </w:rPr>
            </w:pPr>
            <w:r w:rsidRPr="005A38C7">
              <w:rPr>
                <w:sz w:val="18"/>
                <w:szCs w:val="18"/>
              </w:rPr>
              <w:t xml:space="preserve">From </w:t>
            </w:r>
            <w:r w:rsidR="005B4AFC" w:rsidRPr="007154B9">
              <w:rPr>
                <w:sz w:val="18"/>
                <w:szCs w:val="18"/>
              </w:rPr>
              <w:t>1</w:t>
            </w:r>
            <w:r w:rsidRPr="005A38C7">
              <w:rPr>
                <w:sz w:val="18"/>
                <w:szCs w:val="18"/>
              </w:rPr>
              <w:t>.</w:t>
            </w:r>
            <w:r w:rsidR="005B4AFC" w:rsidRPr="007154B9">
              <w:rPr>
                <w:sz w:val="18"/>
                <w:szCs w:val="18"/>
              </w:rPr>
              <w:t>2</w:t>
            </w:r>
            <w:r w:rsidR="005B4AFC" w:rsidRPr="005A38C7">
              <w:rPr>
                <w:sz w:val="18"/>
                <w:szCs w:val="18"/>
              </w:rPr>
              <w:t xml:space="preserve"> </w:t>
            </w:r>
            <w:r w:rsidRPr="005A38C7">
              <w:rPr>
                <w:sz w:val="18"/>
                <w:szCs w:val="18"/>
              </w:rPr>
              <w:t>to 0.</w:t>
            </w:r>
            <w:r w:rsidR="005B4AFC" w:rsidRPr="007154B9">
              <w:rPr>
                <w:sz w:val="18"/>
                <w:szCs w:val="18"/>
              </w:rPr>
              <w:t>7</w:t>
            </w:r>
            <w:r w:rsidR="005B4AFC" w:rsidRPr="005A38C7">
              <w:rPr>
                <w:sz w:val="18"/>
                <w:szCs w:val="18"/>
              </w:rPr>
              <w:t xml:space="preserve"> </w:t>
            </w:r>
          </w:p>
        </w:tc>
        <w:tc>
          <w:tcPr>
            <w:tcW w:w="356"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5137E07" w14:textId="77777777" w:rsidR="005659DC" w:rsidRPr="004561A6" w:rsidRDefault="005659DC" w:rsidP="00CE710E">
            <w:pPr>
              <w:contextualSpacing/>
              <w:jc w:val="left"/>
              <w:rPr>
                <w:sz w:val="18"/>
                <w:szCs w:val="18"/>
              </w:rPr>
            </w:pPr>
            <w:r w:rsidRPr="004561A6">
              <w:rPr>
                <w:sz w:val="18"/>
                <w:szCs w:val="18"/>
              </w:rPr>
              <w:t>From 0.</w:t>
            </w:r>
            <w:r>
              <w:rPr>
                <w:sz w:val="18"/>
                <w:szCs w:val="18"/>
              </w:rPr>
              <w:t>220</w:t>
            </w:r>
            <w:r w:rsidRPr="004561A6">
              <w:rPr>
                <w:sz w:val="18"/>
                <w:szCs w:val="18"/>
              </w:rPr>
              <w:t xml:space="preserve"> to 0.</w:t>
            </w:r>
            <w:r>
              <w:rPr>
                <w:sz w:val="18"/>
                <w:szCs w:val="18"/>
              </w:rPr>
              <w:t>218</w:t>
            </w:r>
            <w:r w:rsidRPr="004561A6">
              <w:rPr>
                <w:sz w:val="18"/>
                <w:szCs w:val="18"/>
              </w:rPr>
              <w:t xml:space="preserve"> </w:t>
            </w:r>
          </w:p>
        </w:tc>
        <w:tc>
          <w:tcPr>
            <w:tcW w:w="377"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7D6A14C" w14:textId="77777777" w:rsidR="005659DC" w:rsidRPr="004561A6" w:rsidRDefault="005659DC" w:rsidP="00CE710E">
            <w:pPr>
              <w:contextualSpacing/>
              <w:jc w:val="left"/>
              <w:rPr>
                <w:sz w:val="18"/>
                <w:szCs w:val="18"/>
              </w:rPr>
            </w:pPr>
            <w:r w:rsidRPr="004561A6">
              <w:rPr>
                <w:sz w:val="18"/>
                <w:szCs w:val="18"/>
              </w:rPr>
              <w:t xml:space="preserve">From </w:t>
            </w:r>
            <w:r>
              <w:rPr>
                <w:sz w:val="18"/>
                <w:szCs w:val="18"/>
              </w:rPr>
              <w:t>5.8</w:t>
            </w:r>
            <w:r w:rsidRPr="004561A6">
              <w:rPr>
                <w:sz w:val="18"/>
                <w:szCs w:val="18"/>
              </w:rPr>
              <w:t xml:space="preserve"> to </w:t>
            </w:r>
            <w:r>
              <w:rPr>
                <w:sz w:val="18"/>
                <w:szCs w:val="18"/>
              </w:rPr>
              <w:t>1.9</w:t>
            </w:r>
          </w:p>
        </w:tc>
      </w:tr>
      <w:tr w:rsidR="00A53F23" w:rsidRPr="004561A6" w14:paraId="56BA9680" w14:textId="77777777" w:rsidTr="00704AF0">
        <w:trPr>
          <w:cantSplit/>
          <w:trHeight w:val="20"/>
        </w:trPr>
        <w:tc>
          <w:tcPr>
            <w:tcW w:w="405" w:type="pct"/>
            <w:vMerge/>
            <w:tcBorders>
              <w:top w:val="nil"/>
              <w:left w:val="single" w:sz="4" w:space="0" w:color="auto"/>
              <w:bottom w:val="nil"/>
              <w:right w:val="single" w:sz="4" w:space="0" w:color="auto"/>
            </w:tcBorders>
          </w:tcPr>
          <w:p w14:paraId="510F0800" w14:textId="77777777" w:rsidR="005659DC" w:rsidRPr="004561A6" w:rsidRDefault="005659DC" w:rsidP="00CE710E">
            <w:pPr>
              <w:contextualSpacing/>
              <w:jc w:val="left"/>
              <w:rPr>
                <w:sz w:val="18"/>
                <w:szCs w:val="18"/>
              </w:rPr>
            </w:pPr>
          </w:p>
        </w:tc>
        <w:tc>
          <w:tcPr>
            <w:tcW w:w="818" w:type="pct"/>
            <w:tcBorders>
              <w:top w:val="single" w:sz="4" w:space="0" w:color="auto"/>
              <w:left w:val="single" w:sz="4" w:space="0" w:color="auto"/>
              <w:bottom w:val="single" w:sz="4" w:space="0" w:color="auto"/>
              <w:right w:val="single" w:sz="4" w:space="0" w:color="auto"/>
            </w:tcBorders>
          </w:tcPr>
          <w:p w14:paraId="48B2CB81" w14:textId="77777777" w:rsidR="005659DC" w:rsidRPr="004561A6" w:rsidRDefault="005659DC" w:rsidP="00CE710E">
            <w:pPr>
              <w:contextualSpacing/>
              <w:jc w:val="right"/>
              <w:rPr>
                <w:rFonts w:cs="Arial"/>
                <w:color w:val="auto"/>
                <w:sz w:val="18"/>
                <w:szCs w:val="18"/>
              </w:rPr>
            </w:pPr>
            <w:r w:rsidRPr="004561A6">
              <w:rPr>
                <w:rFonts w:cs="Arial"/>
                <w:color w:val="auto"/>
                <w:sz w:val="18"/>
                <w:szCs w:val="18"/>
              </w:rPr>
              <w:t>In the North Lagoon (Long Point</w:t>
            </w:r>
            <w:r>
              <w:rPr>
                <w:rFonts w:cs="Arial"/>
                <w:color w:val="auto"/>
                <w:sz w:val="18"/>
                <w:szCs w:val="18"/>
              </w:rPr>
              <w:t>, LP</w:t>
            </w:r>
            <w:r w:rsidRPr="004561A6">
              <w:rPr>
                <w:rFonts w:cs="Arial"/>
                <w:color w:val="auto"/>
                <w:sz w:val="18"/>
                <w:szCs w:val="18"/>
              </w:rPr>
              <w:t>)</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35F619" w14:textId="77777777" w:rsidR="005659DC" w:rsidRPr="00331F78" w:rsidRDefault="005659DC" w:rsidP="00CE710E">
            <w:pPr>
              <w:contextualSpacing/>
              <w:jc w:val="left"/>
              <w:rPr>
                <w:rFonts w:cs="Arial"/>
                <w:sz w:val="18"/>
                <w:szCs w:val="18"/>
                <w:highlight w:val="lightGray"/>
              </w:rPr>
            </w:pPr>
          </w:p>
        </w:tc>
        <w:tc>
          <w:tcPr>
            <w:tcW w:w="41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2ED594" w14:textId="77777777" w:rsidR="005659DC" w:rsidRPr="00331F78" w:rsidRDefault="005659DC" w:rsidP="00CE710E">
            <w:pPr>
              <w:contextualSpacing/>
              <w:jc w:val="left"/>
              <w:rPr>
                <w:rFonts w:cs="Arial"/>
                <w:sz w:val="18"/>
                <w:szCs w:val="18"/>
                <w:highlight w:val="lightGray"/>
              </w:rPr>
            </w:pPr>
          </w:p>
        </w:tc>
        <w:tc>
          <w:tcPr>
            <w:tcW w:w="3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C466F4" w14:textId="77777777" w:rsidR="005659DC" w:rsidRPr="00331F78" w:rsidRDefault="005659DC" w:rsidP="00CE710E">
            <w:pPr>
              <w:contextualSpacing/>
              <w:jc w:val="left"/>
              <w:rPr>
                <w:rFonts w:cs="Arial"/>
                <w:sz w:val="18"/>
                <w:szCs w:val="18"/>
                <w:highlight w:val="lightGray"/>
              </w:rPr>
            </w:pPr>
          </w:p>
        </w:tc>
        <w:tc>
          <w:tcPr>
            <w:tcW w:w="380" w:type="pct"/>
            <w:tcBorders>
              <w:top w:val="single" w:sz="4" w:space="0" w:color="auto"/>
              <w:left w:val="single" w:sz="4" w:space="0" w:color="auto"/>
              <w:bottom w:val="single" w:sz="4" w:space="0" w:color="auto"/>
              <w:right w:val="single" w:sz="4" w:space="0" w:color="auto"/>
            </w:tcBorders>
            <w:shd w:val="clear" w:color="auto" w:fill="5B9BD5"/>
          </w:tcPr>
          <w:p w14:paraId="0BAE96D4" w14:textId="33A5F3CC" w:rsidR="005659DC" w:rsidRPr="007154B9" w:rsidRDefault="005659DC" w:rsidP="00CE710E">
            <w:pPr>
              <w:contextualSpacing/>
              <w:jc w:val="left"/>
              <w:rPr>
                <w:rFonts w:cs="Arial"/>
                <w:sz w:val="18"/>
                <w:szCs w:val="18"/>
              </w:rPr>
            </w:pPr>
            <w:r w:rsidRPr="00DD294D">
              <w:rPr>
                <w:rFonts w:cs="Arial"/>
                <w:color w:val="auto"/>
                <w:sz w:val="18"/>
                <w:szCs w:val="18"/>
              </w:rPr>
              <w:t xml:space="preserve">From </w:t>
            </w:r>
            <w:r w:rsidR="001D76EF">
              <w:rPr>
                <w:rFonts w:cs="Arial"/>
                <w:color w:val="auto"/>
                <w:sz w:val="18"/>
                <w:szCs w:val="18"/>
              </w:rPr>
              <w:br/>
            </w:r>
            <w:r w:rsidR="005A38C7" w:rsidRPr="007154B9">
              <w:rPr>
                <w:rFonts w:cs="Arial"/>
                <w:color w:val="auto"/>
                <w:sz w:val="18"/>
                <w:szCs w:val="18"/>
              </w:rPr>
              <w:t>39</w:t>
            </w:r>
            <w:r w:rsidRPr="00DD294D">
              <w:rPr>
                <w:rFonts w:cs="Arial"/>
                <w:color w:val="auto"/>
                <w:sz w:val="18"/>
                <w:szCs w:val="18"/>
              </w:rPr>
              <w:t>.</w:t>
            </w:r>
            <w:r w:rsidR="005A38C7" w:rsidRPr="007154B9">
              <w:rPr>
                <w:rFonts w:cs="Arial"/>
                <w:color w:val="auto"/>
                <w:sz w:val="18"/>
                <w:szCs w:val="18"/>
              </w:rPr>
              <w:t>0</w:t>
            </w:r>
            <w:r w:rsidR="005A38C7" w:rsidRPr="00DD294D">
              <w:rPr>
                <w:rFonts w:cs="Arial"/>
                <w:color w:val="auto"/>
                <w:sz w:val="18"/>
                <w:szCs w:val="18"/>
              </w:rPr>
              <w:t xml:space="preserve"> </w:t>
            </w:r>
            <w:r w:rsidRPr="00DD294D">
              <w:rPr>
                <w:rFonts w:cs="Arial"/>
                <w:color w:val="auto"/>
                <w:sz w:val="18"/>
                <w:szCs w:val="18"/>
              </w:rPr>
              <w:t xml:space="preserve">to </w:t>
            </w:r>
            <w:r w:rsidR="005A38C7" w:rsidRPr="00DD294D">
              <w:rPr>
                <w:rFonts w:cs="Arial"/>
                <w:color w:val="auto"/>
                <w:sz w:val="18"/>
                <w:szCs w:val="18"/>
              </w:rPr>
              <w:t>2</w:t>
            </w:r>
            <w:r w:rsidR="005A38C7" w:rsidRPr="007154B9">
              <w:rPr>
                <w:rFonts w:cs="Arial"/>
                <w:color w:val="auto"/>
                <w:sz w:val="18"/>
                <w:szCs w:val="18"/>
              </w:rPr>
              <w:t>4</w:t>
            </w:r>
            <w:r w:rsidRPr="00DD294D">
              <w:rPr>
                <w:rFonts w:cs="Arial"/>
                <w:color w:val="auto"/>
                <w:sz w:val="18"/>
                <w:szCs w:val="18"/>
              </w:rPr>
              <w:t>.</w:t>
            </w:r>
            <w:r w:rsidR="005A38C7" w:rsidRPr="007154B9">
              <w:rPr>
                <w:rFonts w:cs="Arial"/>
                <w:color w:val="auto"/>
                <w:sz w:val="18"/>
                <w:szCs w:val="18"/>
              </w:rPr>
              <w:t>9</w:t>
            </w:r>
          </w:p>
        </w:tc>
        <w:tc>
          <w:tcPr>
            <w:tcW w:w="395" w:type="pct"/>
            <w:tcBorders>
              <w:top w:val="single" w:sz="4" w:space="0" w:color="auto"/>
              <w:left w:val="single" w:sz="4" w:space="0" w:color="auto"/>
              <w:bottom w:val="single" w:sz="4" w:space="0" w:color="auto"/>
              <w:right w:val="single" w:sz="4" w:space="0" w:color="auto"/>
            </w:tcBorders>
            <w:shd w:val="clear" w:color="auto" w:fill="5B9BD5"/>
          </w:tcPr>
          <w:p w14:paraId="43DD03FB" w14:textId="283BFD87" w:rsidR="005659DC" w:rsidRPr="007154B9" w:rsidRDefault="005659DC" w:rsidP="00CE710E">
            <w:pPr>
              <w:contextualSpacing/>
              <w:jc w:val="left"/>
              <w:rPr>
                <w:rFonts w:cs="Arial"/>
                <w:sz w:val="18"/>
                <w:szCs w:val="18"/>
              </w:rPr>
            </w:pPr>
            <w:r w:rsidRPr="00CE2265">
              <w:rPr>
                <w:rFonts w:cs="Arial"/>
                <w:color w:val="auto"/>
                <w:sz w:val="18"/>
                <w:szCs w:val="18"/>
              </w:rPr>
              <w:t xml:space="preserve">From </w:t>
            </w:r>
            <w:r w:rsidR="001D76EF">
              <w:rPr>
                <w:rFonts w:cs="Arial"/>
                <w:color w:val="auto"/>
                <w:sz w:val="18"/>
                <w:szCs w:val="18"/>
              </w:rPr>
              <w:br/>
            </w:r>
            <w:r w:rsidRPr="00CE2265">
              <w:rPr>
                <w:rFonts w:cs="Arial"/>
                <w:color w:val="auto"/>
                <w:sz w:val="18"/>
                <w:szCs w:val="18"/>
              </w:rPr>
              <w:t>4</w:t>
            </w:r>
            <w:r w:rsidR="005607E3" w:rsidRPr="007154B9">
              <w:rPr>
                <w:rFonts w:cs="Arial"/>
                <w:color w:val="auto"/>
                <w:sz w:val="18"/>
                <w:szCs w:val="18"/>
              </w:rPr>
              <w:t>1</w:t>
            </w:r>
            <w:r w:rsidRPr="00CE2265">
              <w:rPr>
                <w:rFonts w:cs="Arial"/>
                <w:color w:val="auto"/>
                <w:sz w:val="18"/>
                <w:szCs w:val="18"/>
              </w:rPr>
              <w:t>.</w:t>
            </w:r>
            <w:r w:rsidR="005607E3" w:rsidRPr="007154B9">
              <w:rPr>
                <w:rFonts w:cs="Arial"/>
                <w:color w:val="auto"/>
                <w:sz w:val="18"/>
                <w:szCs w:val="18"/>
              </w:rPr>
              <w:t>0</w:t>
            </w:r>
            <w:r w:rsidRPr="00CE2265">
              <w:rPr>
                <w:rFonts w:cs="Arial"/>
                <w:color w:val="auto"/>
                <w:sz w:val="18"/>
                <w:szCs w:val="18"/>
              </w:rPr>
              <w:t xml:space="preserve"> to 2</w:t>
            </w:r>
            <w:r w:rsidR="005607E3" w:rsidRPr="007154B9">
              <w:rPr>
                <w:rFonts w:cs="Arial"/>
                <w:color w:val="auto"/>
                <w:sz w:val="18"/>
                <w:szCs w:val="18"/>
              </w:rPr>
              <w:t>9</w:t>
            </w:r>
            <w:r w:rsidRPr="00CE2265">
              <w:rPr>
                <w:rFonts w:cs="Arial"/>
                <w:color w:val="auto"/>
                <w:sz w:val="18"/>
                <w:szCs w:val="18"/>
              </w:rPr>
              <w:t>.</w:t>
            </w:r>
            <w:r w:rsidR="005607E3" w:rsidRPr="007154B9">
              <w:rPr>
                <w:rFonts w:cs="Arial"/>
                <w:color w:val="auto"/>
                <w:sz w:val="18"/>
                <w:szCs w:val="18"/>
              </w:rPr>
              <w:t>5</w:t>
            </w:r>
          </w:p>
        </w:tc>
        <w:tc>
          <w:tcPr>
            <w:tcW w:w="407" w:type="pct"/>
            <w:tcBorders>
              <w:top w:val="single" w:sz="4" w:space="0" w:color="auto"/>
              <w:left w:val="single" w:sz="4" w:space="0" w:color="auto"/>
              <w:bottom w:val="single" w:sz="4" w:space="0" w:color="auto"/>
              <w:right w:val="single" w:sz="4" w:space="0" w:color="auto"/>
            </w:tcBorders>
            <w:shd w:val="clear" w:color="auto" w:fill="5B9BD5" w:themeFill="accent1"/>
          </w:tcPr>
          <w:p w14:paraId="10EE7A2B" w14:textId="7898D809" w:rsidR="005659DC" w:rsidRPr="007154B9" w:rsidRDefault="005659DC" w:rsidP="00CE710E">
            <w:pPr>
              <w:contextualSpacing/>
              <w:jc w:val="left"/>
              <w:rPr>
                <w:rFonts w:cs="Arial"/>
                <w:color w:val="auto"/>
                <w:sz w:val="18"/>
                <w:szCs w:val="18"/>
              </w:rPr>
            </w:pPr>
            <w:r w:rsidRPr="00CE2265">
              <w:rPr>
                <w:rFonts w:cs="Arial"/>
                <w:color w:val="auto"/>
                <w:sz w:val="18"/>
                <w:szCs w:val="18"/>
              </w:rPr>
              <w:t xml:space="preserve">From </w:t>
            </w:r>
            <w:r w:rsidR="001D76EF">
              <w:rPr>
                <w:rFonts w:cs="Arial"/>
                <w:color w:val="auto"/>
                <w:sz w:val="18"/>
                <w:szCs w:val="18"/>
              </w:rPr>
              <w:br/>
            </w:r>
            <w:r w:rsidR="00F36126" w:rsidRPr="007154B9">
              <w:rPr>
                <w:rFonts w:cs="Arial"/>
                <w:color w:val="auto"/>
                <w:sz w:val="18"/>
                <w:szCs w:val="18"/>
              </w:rPr>
              <w:t>40</w:t>
            </w:r>
            <w:r w:rsidRPr="00CE2265">
              <w:rPr>
                <w:rFonts w:cs="Arial"/>
                <w:color w:val="auto"/>
                <w:sz w:val="18"/>
                <w:szCs w:val="18"/>
              </w:rPr>
              <w:t>.</w:t>
            </w:r>
            <w:r w:rsidR="00F36126" w:rsidRPr="007154B9">
              <w:rPr>
                <w:rFonts w:cs="Arial"/>
                <w:color w:val="auto"/>
                <w:sz w:val="18"/>
                <w:szCs w:val="18"/>
              </w:rPr>
              <w:t>5</w:t>
            </w:r>
            <w:r w:rsidR="00F36126" w:rsidRPr="00CE2265">
              <w:rPr>
                <w:rFonts w:cs="Arial"/>
                <w:color w:val="auto"/>
                <w:sz w:val="18"/>
                <w:szCs w:val="18"/>
              </w:rPr>
              <w:t xml:space="preserve"> </w:t>
            </w:r>
            <w:r w:rsidRPr="00CE2265">
              <w:rPr>
                <w:rFonts w:cs="Arial"/>
                <w:color w:val="auto"/>
                <w:sz w:val="18"/>
                <w:szCs w:val="18"/>
              </w:rPr>
              <w:t xml:space="preserve">to </w:t>
            </w:r>
            <w:r w:rsidR="00F36126" w:rsidRPr="007154B9">
              <w:rPr>
                <w:rFonts w:cs="Arial"/>
                <w:color w:val="auto"/>
                <w:sz w:val="18"/>
                <w:szCs w:val="18"/>
              </w:rPr>
              <w:t>30</w:t>
            </w:r>
            <w:r w:rsidRPr="00CE2265">
              <w:rPr>
                <w:rFonts w:cs="Arial"/>
                <w:color w:val="auto"/>
                <w:sz w:val="18"/>
                <w:szCs w:val="18"/>
              </w:rPr>
              <w:t>.4</w:t>
            </w:r>
          </w:p>
        </w:tc>
        <w:tc>
          <w:tcPr>
            <w:tcW w:w="407" w:type="pct"/>
            <w:tcBorders>
              <w:top w:val="single" w:sz="4" w:space="0" w:color="auto"/>
              <w:left w:val="single" w:sz="4" w:space="0" w:color="auto"/>
              <w:bottom w:val="single" w:sz="4" w:space="0" w:color="auto"/>
              <w:right w:val="single" w:sz="4" w:space="0" w:color="auto"/>
            </w:tcBorders>
            <w:shd w:val="clear" w:color="auto" w:fill="5B9BD5"/>
          </w:tcPr>
          <w:p w14:paraId="27D19020" w14:textId="4CF2A4AE" w:rsidR="005659DC" w:rsidRPr="00CE2265" w:rsidRDefault="005659DC" w:rsidP="00CE710E">
            <w:pPr>
              <w:contextualSpacing/>
              <w:jc w:val="left"/>
              <w:rPr>
                <w:rFonts w:cs="Arial"/>
                <w:color w:val="auto"/>
                <w:sz w:val="18"/>
                <w:szCs w:val="18"/>
              </w:rPr>
            </w:pPr>
            <w:r w:rsidRPr="00CE2265">
              <w:rPr>
                <w:rFonts w:cs="Arial"/>
                <w:color w:val="auto"/>
                <w:sz w:val="18"/>
                <w:szCs w:val="18"/>
              </w:rPr>
              <w:t xml:space="preserve">From </w:t>
            </w:r>
            <w:r w:rsidR="001D76EF">
              <w:rPr>
                <w:rFonts w:cs="Arial"/>
                <w:color w:val="auto"/>
                <w:sz w:val="18"/>
                <w:szCs w:val="18"/>
              </w:rPr>
              <w:br/>
            </w:r>
            <w:r w:rsidRPr="00CE2265">
              <w:rPr>
                <w:rFonts w:cs="Arial"/>
                <w:color w:val="auto"/>
                <w:sz w:val="18"/>
                <w:szCs w:val="18"/>
              </w:rPr>
              <w:t>3</w:t>
            </w:r>
            <w:r w:rsidR="00DB69E5" w:rsidRPr="007154B9">
              <w:rPr>
                <w:rFonts w:cs="Arial"/>
                <w:color w:val="auto"/>
                <w:sz w:val="18"/>
                <w:szCs w:val="18"/>
              </w:rPr>
              <w:t>9</w:t>
            </w:r>
            <w:r w:rsidRPr="00CE2265">
              <w:rPr>
                <w:rFonts w:cs="Arial"/>
                <w:color w:val="auto"/>
                <w:sz w:val="18"/>
                <w:szCs w:val="18"/>
              </w:rPr>
              <w:t>.</w:t>
            </w:r>
            <w:r w:rsidR="00DB69E5" w:rsidRPr="007154B9">
              <w:rPr>
                <w:rFonts w:cs="Arial"/>
                <w:color w:val="auto"/>
                <w:sz w:val="18"/>
                <w:szCs w:val="18"/>
              </w:rPr>
              <w:t>2</w:t>
            </w:r>
            <w:r w:rsidRPr="00CE2265">
              <w:rPr>
                <w:rFonts w:cs="Arial"/>
                <w:color w:val="auto"/>
                <w:sz w:val="18"/>
                <w:szCs w:val="18"/>
              </w:rPr>
              <w:t xml:space="preserve"> to </w:t>
            </w:r>
            <w:r w:rsidR="00DB69E5" w:rsidRPr="007154B9">
              <w:rPr>
                <w:rFonts w:cs="Arial"/>
                <w:color w:val="auto"/>
                <w:sz w:val="18"/>
                <w:szCs w:val="18"/>
              </w:rPr>
              <w:t>23</w:t>
            </w:r>
            <w:r w:rsidRPr="00CE2265">
              <w:rPr>
                <w:rFonts w:cs="Arial"/>
                <w:color w:val="auto"/>
                <w:sz w:val="18"/>
                <w:szCs w:val="18"/>
              </w:rPr>
              <w:t>.</w:t>
            </w:r>
            <w:r w:rsidR="00DB69E5" w:rsidRPr="007154B9">
              <w:rPr>
                <w:rFonts w:cs="Arial"/>
                <w:color w:val="auto"/>
                <w:sz w:val="18"/>
                <w:szCs w:val="18"/>
              </w:rPr>
              <w:t>6</w:t>
            </w:r>
            <w:r w:rsidRPr="00CE2265">
              <w:rPr>
                <w:rFonts w:cs="Arial"/>
                <w:sz w:val="18"/>
                <w:szCs w:val="18"/>
              </w:rPr>
              <w:t xml:space="preserve"> </w:t>
            </w:r>
          </w:p>
        </w:tc>
        <w:tc>
          <w:tcPr>
            <w:tcW w:w="354" w:type="pct"/>
            <w:tcBorders>
              <w:top w:val="single" w:sz="4" w:space="0" w:color="auto"/>
              <w:left w:val="single" w:sz="4" w:space="0" w:color="auto"/>
              <w:bottom w:val="single" w:sz="4" w:space="0" w:color="auto"/>
              <w:right w:val="single" w:sz="4" w:space="0" w:color="auto"/>
            </w:tcBorders>
            <w:shd w:val="clear" w:color="auto" w:fill="70AD47" w:themeFill="accent6"/>
          </w:tcPr>
          <w:p w14:paraId="2D92E08F" w14:textId="12FC6823" w:rsidR="005659DC" w:rsidRPr="005A38C7" w:rsidRDefault="005659DC" w:rsidP="00CE710E">
            <w:pPr>
              <w:contextualSpacing/>
              <w:jc w:val="left"/>
              <w:rPr>
                <w:sz w:val="18"/>
                <w:szCs w:val="18"/>
              </w:rPr>
            </w:pPr>
            <w:r w:rsidRPr="005A38C7">
              <w:rPr>
                <w:sz w:val="18"/>
                <w:szCs w:val="18"/>
              </w:rPr>
              <w:t xml:space="preserve">From </w:t>
            </w:r>
            <w:r w:rsidR="005B4AFC" w:rsidRPr="007154B9">
              <w:rPr>
                <w:sz w:val="18"/>
                <w:szCs w:val="18"/>
              </w:rPr>
              <w:t>20</w:t>
            </w:r>
            <w:r w:rsidRPr="005A38C7">
              <w:rPr>
                <w:sz w:val="18"/>
                <w:szCs w:val="18"/>
              </w:rPr>
              <w:t>.</w:t>
            </w:r>
            <w:r w:rsidR="005B4AFC" w:rsidRPr="007154B9">
              <w:rPr>
                <w:sz w:val="18"/>
                <w:szCs w:val="18"/>
              </w:rPr>
              <w:t>4</w:t>
            </w:r>
            <w:r w:rsidR="005B4AFC" w:rsidRPr="005A38C7">
              <w:rPr>
                <w:sz w:val="18"/>
                <w:szCs w:val="18"/>
              </w:rPr>
              <w:t xml:space="preserve"> </w:t>
            </w:r>
            <w:r w:rsidRPr="005A38C7">
              <w:rPr>
                <w:sz w:val="18"/>
                <w:szCs w:val="18"/>
              </w:rPr>
              <w:t xml:space="preserve">to </w:t>
            </w:r>
            <w:r w:rsidR="005B4AFC" w:rsidRPr="007154B9">
              <w:rPr>
                <w:sz w:val="18"/>
                <w:szCs w:val="18"/>
              </w:rPr>
              <w:t>15</w:t>
            </w:r>
            <w:r w:rsidRPr="005A38C7">
              <w:rPr>
                <w:sz w:val="18"/>
                <w:szCs w:val="18"/>
              </w:rPr>
              <w:t>.3</w:t>
            </w:r>
            <w:r w:rsidRPr="005A38C7">
              <w:rPr>
                <w:rFonts w:cs="Arial"/>
                <w:sz w:val="18"/>
                <w:szCs w:val="18"/>
              </w:rPr>
              <w:t xml:space="preserve"> </w:t>
            </w:r>
            <w:r w:rsidRPr="005A38C7">
              <w:rPr>
                <w:sz w:val="18"/>
                <w:szCs w:val="18"/>
              </w:rPr>
              <w:t xml:space="preserve"> </w:t>
            </w:r>
          </w:p>
        </w:tc>
        <w:tc>
          <w:tcPr>
            <w:tcW w:w="356"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6BDABFB" w14:textId="1B60423C" w:rsidR="005659DC" w:rsidRPr="004561A6" w:rsidRDefault="005659DC" w:rsidP="00CE710E">
            <w:pPr>
              <w:contextualSpacing/>
              <w:jc w:val="left"/>
              <w:rPr>
                <w:sz w:val="18"/>
                <w:szCs w:val="18"/>
              </w:rPr>
            </w:pPr>
            <w:r w:rsidRPr="004561A6">
              <w:rPr>
                <w:sz w:val="18"/>
                <w:szCs w:val="18"/>
              </w:rPr>
              <w:t xml:space="preserve">From </w:t>
            </w:r>
            <w:r w:rsidR="00D275E8">
              <w:rPr>
                <w:sz w:val="18"/>
                <w:szCs w:val="18"/>
              </w:rPr>
              <w:t>12</w:t>
            </w:r>
            <w:r w:rsidRPr="004561A6">
              <w:rPr>
                <w:sz w:val="18"/>
                <w:szCs w:val="18"/>
              </w:rPr>
              <w:t>.</w:t>
            </w:r>
            <w:r w:rsidR="00D275E8">
              <w:rPr>
                <w:sz w:val="18"/>
                <w:szCs w:val="18"/>
              </w:rPr>
              <w:t>3</w:t>
            </w:r>
            <w:r w:rsidR="00D275E8" w:rsidRPr="004561A6">
              <w:rPr>
                <w:sz w:val="18"/>
                <w:szCs w:val="18"/>
              </w:rPr>
              <w:t xml:space="preserve"> </w:t>
            </w:r>
            <w:r w:rsidRPr="004561A6">
              <w:rPr>
                <w:sz w:val="18"/>
                <w:szCs w:val="18"/>
              </w:rPr>
              <w:t xml:space="preserve">to </w:t>
            </w:r>
            <w:r w:rsidR="00D275E8">
              <w:rPr>
                <w:sz w:val="18"/>
                <w:szCs w:val="18"/>
              </w:rPr>
              <w:t>12</w:t>
            </w:r>
            <w:r w:rsidRPr="004561A6">
              <w:rPr>
                <w:sz w:val="18"/>
                <w:szCs w:val="18"/>
              </w:rPr>
              <w:t>.</w:t>
            </w:r>
            <w:r w:rsidR="00D275E8">
              <w:rPr>
                <w:sz w:val="18"/>
                <w:szCs w:val="18"/>
              </w:rPr>
              <w:t>0</w:t>
            </w:r>
            <w:r w:rsidR="00D275E8" w:rsidRPr="004561A6">
              <w:rPr>
                <w:sz w:val="18"/>
                <w:szCs w:val="18"/>
              </w:rPr>
              <w:t xml:space="preserve"> </w:t>
            </w:r>
          </w:p>
        </w:tc>
        <w:tc>
          <w:tcPr>
            <w:tcW w:w="377"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57BBACF" w14:textId="13B2657C" w:rsidR="005659DC" w:rsidRPr="004561A6" w:rsidRDefault="005659DC" w:rsidP="00CE710E">
            <w:pPr>
              <w:contextualSpacing/>
              <w:jc w:val="left"/>
              <w:rPr>
                <w:sz w:val="18"/>
                <w:szCs w:val="18"/>
              </w:rPr>
            </w:pPr>
            <w:r w:rsidRPr="004561A6">
              <w:rPr>
                <w:sz w:val="18"/>
                <w:szCs w:val="18"/>
              </w:rPr>
              <w:t xml:space="preserve">From </w:t>
            </w:r>
            <w:r w:rsidR="001D76EF">
              <w:rPr>
                <w:sz w:val="18"/>
                <w:szCs w:val="18"/>
              </w:rPr>
              <w:br/>
            </w:r>
            <w:r>
              <w:rPr>
                <w:sz w:val="18"/>
                <w:szCs w:val="18"/>
              </w:rPr>
              <w:t>31.8</w:t>
            </w:r>
            <w:r w:rsidRPr="004561A6">
              <w:rPr>
                <w:sz w:val="18"/>
                <w:szCs w:val="18"/>
              </w:rPr>
              <w:t xml:space="preserve"> to </w:t>
            </w:r>
            <w:r>
              <w:rPr>
                <w:sz w:val="18"/>
                <w:szCs w:val="18"/>
              </w:rPr>
              <w:t>27.8</w:t>
            </w:r>
          </w:p>
        </w:tc>
      </w:tr>
      <w:tr w:rsidR="00A53F23" w:rsidRPr="004561A6" w14:paraId="33A326B7" w14:textId="77777777" w:rsidTr="00B6229E">
        <w:trPr>
          <w:cantSplit/>
          <w:trHeight w:val="20"/>
        </w:trPr>
        <w:tc>
          <w:tcPr>
            <w:tcW w:w="405" w:type="pct"/>
            <w:vMerge/>
            <w:tcBorders>
              <w:top w:val="nil"/>
              <w:left w:val="single" w:sz="4" w:space="0" w:color="auto"/>
              <w:bottom w:val="nil"/>
              <w:right w:val="single" w:sz="4" w:space="0" w:color="auto"/>
            </w:tcBorders>
          </w:tcPr>
          <w:p w14:paraId="4F2C9DA4" w14:textId="77777777" w:rsidR="005659DC" w:rsidRPr="004561A6" w:rsidRDefault="005659DC" w:rsidP="00CE710E">
            <w:pPr>
              <w:contextualSpacing/>
              <w:jc w:val="left"/>
              <w:rPr>
                <w:sz w:val="18"/>
                <w:szCs w:val="18"/>
              </w:rPr>
            </w:pPr>
          </w:p>
        </w:tc>
        <w:tc>
          <w:tcPr>
            <w:tcW w:w="818" w:type="pct"/>
            <w:tcBorders>
              <w:top w:val="single" w:sz="4" w:space="0" w:color="auto"/>
              <w:left w:val="single" w:sz="4" w:space="0" w:color="auto"/>
              <w:bottom w:val="single" w:sz="4" w:space="0" w:color="auto"/>
              <w:right w:val="single" w:sz="4" w:space="0" w:color="auto"/>
            </w:tcBorders>
          </w:tcPr>
          <w:p w14:paraId="7DA8810E" w14:textId="77777777" w:rsidR="005659DC" w:rsidRPr="004561A6" w:rsidRDefault="005659DC" w:rsidP="00CE710E">
            <w:pPr>
              <w:contextualSpacing/>
              <w:jc w:val="right"/>
              <w:rPr>
                <w:rFonts w:cs="Arial"/>
                <w:color w:val="auto"/>
                <w:sz w:val="18"/>
                <w:szCs w:val="18"/>
              </w:rPr>
            </w:pPr>
            <w:r w:rsidRPr="004561A6">
              <w:rPr>
                <w:rFonts w:cs="Arial"/>
                <w:color w:val="auto"/>
                <w:sz w:val="18"/>
                <w:szCs w:val="18"/>
              </w:rPr>
              <w:t>In the South Lagoon (Woods Well</w:t>
            </w:r>
            <w:r>
              <w:rPr>
                <w:rFonts w:cs="Arial"/>
                <w:color w:val="auto"/>
                <w:sz w:val="18"/>
                <w:szCs w:val="18"/>
              </w:rPr>
              <w:t>, WW</w:t>
            </w:r>
            <w:r w:rsidRPr="004561A6">
              <w:rPr>
                <w:rFonts w:cs="Arial"/>
                <w:color w:val="auto"/>
                <w:sz w:val="18"/>
                <w:szCs w:val="18"/>
              </w:rPr>
              <w:t>)</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6BE62E" w14:textId="77777777" w:rsidR="005659DC" w:rsidRPr="00331F78" w:rsidRDefault="005659DC" w:rsidP="00CE710E">
            <w:pPr>
              <w:contextualSpacing/>
              <w:jc w:val="left"/>
              <w:rPr>
                <w:rFonts w:cs="Arial"/>
                <w:sz w:val="18"/>
                <w:szCs w:val="18"/>
                <w:highlight w:val="lightGray"/>
              </w:rPr>
            </w:pPr>
          </w:p>
        </w:tc>
        <w:tc>
          <w:tcPr>
            <w:tcW w:w="41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6A425B" w14:textId="77777777" w:rsidR="005659DC" w:rsidRPr="00331F78" w:rsidRDefault="005659DC" w:rsidP="00CE710E">
            <w:pPr>
              <w:contextualSpacing/>
              <w:jc w:val="left"/>
              <w:rPr>
                <w:rFonts w:cs="Arial"/>
                <w:sz w:val="18"/>
                <w:szCs w:val="18"/>
                <w:highlight w:val="lightGray"/>
              </w:rPr>
            </w:pPr>
          </w:p>
        </w:tc>
        <w:tc>
          <w:tcPr>
            <w:tcW w:w="3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80A07B" w14:textId="77777777" w:rsidR="005659DC" w:rsidRPr="00331F78" w:rsidRDefault="005659DC" w:rsidP="00CE710E">
            <w:pPr>
              <w:contextualSpacing/>
              <w:jc w:val="left"/>
              <w:rPr>
                <w:rFonts w:cs="Arial"/>
                <w:sz w:val="18"/>
                <w:szCs w:val="18"/>
                <w:highlight w:val="lightGray"/>
              </w:rPr>
            </w:pPr>
          </w:p>
        </w:tc>
        <w:tc>
          <w:tcPr>
            <w:tcW w:w="380" w:type="pct"/>
            <w:tcBorders>
              <w:top w:val="single" w:sz="4" w:space="0" w:color="auto"/>
              <w:left w:val="single" w:sz="4" w:space="0" w:color="auto"/>
              <w:bottom w:val="single" w:sz="4" w:space="0" w:color="auto"/>
              <w:right w:val="single" w:sz="4" w:space="0" w:color="auto"/>
            </w:tcBorders>
            <w:shd w:val="clear" w:color="auto" w:fill="70AD47"/>
          </w:tcPr>
          <w:p w14:paraId="36997F9A" w14:textId="375FB5A8" w:rsidR="005659DC" w:rsidRPr="007154B9" w:rsidRDefault="005659DC" w:rsidP="00CE710E">
            <w:pPr>
              <w:contextualSpacing/>
              <w:jc w:val="left"/>
              <w:rPr>
                <w:rFonts w:cs="Arial"/>
                <w:sz w:val="18"/>
                <w:szCs w:val="18"/>
              </w:rPr>
            </w:pPr>
            <w:r w:rsidRPr="00DD294D">
              <w:rPr>
                <w:rFonts w:cs="Arial"/>
                <w:color w:val="auto"/>
                <w:sz w:val="18"/>
                <w:szCs w:val="18"/>
              </w:rPr>
              <w:t xml:space="preserve">From </w:t>
            </w:r>
            <w:r w:rsidR="001D76EF">
              <w:rPr>
                <w:rFonts w:cs="Arial"/>
                <w:color w:val="auto"/>
                <w:sz w:val="18"/>
                <w:szCs w:val="18"/>
              </w:rPr>
              <w:br/>
            </w:r>
            <w:r w:rsidR="00C941CC" w:rsidRPr="007154B9">
              <w:rPr>
                <w:rFonts w:cs="Arial"/>
                <w:color w:val="auto"/>
                <w:sz w:val="18"/>
                <w:szCs w:val="18"/>
              </w:rPr>
              <w:t>75</w:t>
            </w:r>
            <w:r w:rsidRPr="00DD294D">
              <w:rPr>
                <w:rFonts w:cs="Arial"/>
                <w:color w:val="auto"/>
                <w:sz w:val="18"/>
                <w:szCs w:val="18"/>
              </w:rPr>
              <w:t>.</w:t>
            </w:r>
            <w:r w:rsidR="00C941CC" w:rsidRPr="007154B9">
              <w:rPr>
                <w:rFonts w:cs="Arial"/>
                <w:color w:val="auto"/>
                <w:sz w:val="18"/>
                <w:szCs w:val="18"/>
              </w:rPr>
              <w:t>7</w:t>
            </w:r>
            <w:r w:rsidRPr="00DD294D">
              <w:rPr>
                <w:rFonts w:cs="Arial"/>
                <w:color w:val="auto"/>
                <w:sz w:val="18"/>
                <w:szCs w:val="18"/>
              </w:rPr>
              <w:t xml:space="preserve"> to </w:t>
            </w:r>
            <w:r w:rsidR="00C941CC" w:rsidRPr="00DD294D">
              <w:rPr>
                <w:rFonts w:cs="Arial"/>
                <w:color w:val="auto"/>
                <w:sz w:val="18"/>
                <w:szCs w:val="18"/>
              </w:rPr>
              <w:t>7</w:t>
            </w:r>
            <w:r w:rsidR="00C941CC" w:rsidRPr="007154B9">
              <w:rPr>
                <w:rFonts w:cs="Arial"/>
                <w:color w:val="auto"/>
                <w:sz w:val="18"/>
                <w:szCs w:val="18"/>
              </w:rPr>
              <w:t>0</w:t>
            </w:r>
            <w:r w:rsidRPr="00DD294D">
              <w:rPr>
                <w:rFonts w:cs="Arial"/>
                <w:color w:val="auto"/>
                <w:sz w:val="18"/>
                <w:szCs w:val="18"/>
              </w:rPr>
              <w:t>.</w:t>
            </w:r>
            <w:r w:rsidR="00C941CC" w:rsidRPr="007154B9">
              <w:rPr>
                <w:rFonts w:cs="Arial"/>
                <w:color w:val="auto"/>
                <w:sz w:val="18"/>
                <w:szCs w:val="18"/>
              </w:rPr>
              <w:t>9</w:t>
            </w:r>
          </w:p>
        </w:tc>
        <w:tc>
          <w:tcPr>
            <w:tcW w:w="395" w:type="pct"/>
            <w:tcBorders>
              <w:top w:val="single" w:sz="4" w:space="0" w:color="auto"/>
              <w:left w:val="single" w:sz="4" w:space="0" w:color="auto"/>
              <w:bottom w:val="single" w:sz="4" w:space="0" w:color="auto"/>
              <w:right w:val="single" w:sz="4" w:space="0" w:color="auto"/>
            </w:tcBorders>
            <w:shd w:val="clear" w:color="auto" w:fill="70AD47" w:themeFill="accent6"/>
          </w:tcPr>
          <w:p w14:paraId="39C10685" w14:textId="1CB95C12" w:rsidR="005659DC" w:rsidRPr="007154B9" w:rsidRDefault="005659DC" w:rsidP="00CE710E">
            <w:pPr>
              <w:contextualSpacing/>
              <w:jc w:val="left"/>
              <w:rPr>
                <w:rFonts w:cs="Arial"/>
                <w:sz w:val="18"/>
                <w:szCs w:val="18"/>
              </w:rPr>
            </w:pPr>
            <w:r w:rsidRPr="00CE2265">
              <w:rPr>
                <w:rFonts w:cs="Arial"/>
                <w:color w:val="auto"/>
                <w:sz w:val="18"/>
                <w:szCs w:val="18"/>
              </w:rPr>
              <w:t xml:space="preserve">From </w:t>
            </w:r>
            <w:r w:rsidR="001D76EF">
              <w:rPr>
                <w:rFonts w:cs="Arial"/>
                <w:color w:val="auto"/>
                <w:sz w:val="18"/>
                <w:szCs w:val="18"/>
              </w:rPr>
              <w:br/>
            </w:r>
            <w:r w:rsidR="005607E3" w:rsidRPr="007154B9">
              <w:rPr>
                <w:rFonts w:cs="Arial"/>
                <w:color w:val="auto"/>
                <w:sz w:val="18"/>
                <w:szCs w:val="18"/>
              </w:rPr>
              <w:t>78</w:t>
            </w:r>
            <w:r w:rsidRPr="00CE2265">
              <w:rPr>
                <w:rFonts w:cs="Arial"/>
                <w:color w:val="auto"/>
                <w:sz w:val="18"/>
                <w:szCs w:val="18"/>
              </w:rPr>
              <w:t>.</w:t>
            </w:r>
            <w:r w:rsidR="005607E3" w:rsidRPr="007154B9">
              <w:rPr>
                <w:rFonts w:cs="Arial"/>
                <w:color w:val="auto"/>
                <w:sz w:val="18"/>
                <w:szCs w:val="18"/>
              </w:rPr>
              <w:t>6</w:t>
            </w:r>
            <w:r w:rsidRPr="00CE2265">
              <w:rPr>
                <w:rFonts w:cs="Arial"/>
                <w:color w:val="auto"/>
                <w:sz w:val="18"/>
                <w:szCs w:val="18"/>
              </w:rPr>
              <w:t xml:space="preserve"> to </w:t>
            </w:r>
            <w:r w:rsidR="005607E3" w:rsidRPr="007154B9">
              <w:rPr>
                <w:rFonts w:cs="Arial"/>
                <w:color w:val="auto"/>
                <w:sz w:val="18"/>
                <w:szCs w:val="18"/>
              </w:rPr>
              <w:t>74</w:t>
            </w:r>
            <w:r w:rsidRPr="00CE2265">
              <w:rPr>
                <w:rFonts w:cs="Arial"/>
                <w:color w:val="auto"/>
                <w:sz w:val="18"/>
                <w:szCs w:val="18"/>
              </w:rPr>
              <w:t>.</w:t>
            </w:r>
            <w:r w:rsidR="005607E3" w:rsidRPr="007154B9">
              <w:rPr>
                <w:rFonts w:cs="Arial"/>
                <w:color w:val="auto"/>
                <w:sz w:val="18"/>
                <w:szCs w:val="18"/>
              </w:rPr>
              <w:t>9</w:t>
            </w:r>
          </w:p>
        </w:tc>
        <w:tc>
          <w:tcPr>
            <w:tcW w:w="407" w:type="pct"/>
            <w:tcBorders>
              <w:top w:val="single" w:sz="4" w:space="0" w:color="auto"/>
              <w:left w:val="single" w:sz="4" w:space="0" w:color="auto"/>
              <w:bottom w:val="single" w:sz="4" w:space="0" w:color="auto"/>
              <w:right w:val="single" w:sz="4" w:space="0" w:color="auto"/>
            </w:tcBorders>
            <w:shd w:val="clear" w:color="auto" w:fill="5B9BD5" w:themeFill="accent1"/>
          </w:tcPr>
          <w:p w14:paraId="3D23F269" w14:textId="5FFF2FB7" w:rsidR="005659DC" w:rsidRPr="007154B9" w:rsidRDefault="005659DC" w:rsidP="00CE710E">
            <w:pPr>
              <w:contextualSpacing/>
              <w:jc w:val="left"/>
              <w:rPr>
                <w:rFonts w:cs="Arial"/>
                <w:color w:val="auto"/>
                <w:sz w:val="18"/>
                <w:szCs w:val="18"/>
              </w:rPr>
            </w:pPr>
            <w:r w:rsidRPr="00CE2265">
              <w:rPr>
                <w:rFonts w:cs="Arial"/>
                <w:color w:val="auto"/>
                <w:sz w:val="18"/>
                <w:szCs w:val="18"/>
              </w:rPr>
              <w:t xml:space="preserve">From </w:t>
            </w:r>
            <w:r w:rsidR="001D76EF">
              <w:rPr>
                <w:rFonts w:cs="Arial"/>
                <w:color w:val="auto"/>
                <w:sz w:val="18"/>
                <w:szCs w:val="18"/>
              </w:rPr>
              <w:br/>
            </w:r>
            <w:r w:rsidR="00F36126" w:rsidRPr="007154B9">
              <w:rPr>
                <w:rFonts w:cs="Arial"/>
                <w:color w:val="auto"/>
                <w:sz w:val="18"/>
                <w:szCs w:val="18"/>
              </w:rPr>
              <w:t>88</w:t>
            </w:r>
            <w:r w:rsidRPr="00CE2265">
              <w:rPr>
                <w:rFonts w:cs="Arial"/>
                <w:color w:val="auto"/>
                <w:sz w:val="18"/>
                <w:szCs w:val="18"/>
              </w:rPr>
              <w:t>.</w:t>
            </w:r>
            <w:r w:rsidR="00F36126" w:rsidRPr="007154B9">
              <w:rPr>
                <w:rFonts w:cs="Arial"/>
                <w:color w:val="auto"/>
                <w:sz w:val="18"/>
                <w:szCs w:val="18"/>
              </w:rPr>
              <w:t>3</w:t>
            </w:r>
            <w:r w:rsidR="00F36126" w:rsidRPr="00CE2265">
              <w:rPr>
                <w:rFonts w:cs="Arial"/>
                <w:color w:val="auto"/>
                <w:sz w:val="18"/>
                <w:szCs w:val="18"/>
              </w:rPr>
              <w:t xml:space="preserve"> </w:t>
            </w:r>
            <w:r w:rsidRPr="00CE2265">
              <w:rPr>
                <w:rFonts w:cs="Arial"/>
                <w:color w:val="auto"/>
                <w:sz w:val="18"/>
                <w:szCs w:val="18"/>
              </w:rPr>
              <w:t xml:space="preserve">to </w:t>
            </w:r>
            <w:r w:rsidR="00F36126" w:rsidRPr="00CE2265">
              <w:rPr>
                <w:rFonts w:cs="Arial"/>
                <w:color w:val="auto"/>
                <w:sz w:val="18"/>
                <w:szCs w:val="18"/>
              </w:rPr>
              <w:t>8</w:t>
            </w:r>
            <w:r w:rsidR="00F36126" w:rsidRPr="007154B9">
              <w:rPr>
                <w:rFonts w:cs="Arial"/>
                <w:color w:val="auto"/>
                <w:sz w:val="18"/>
                <w:szCs w:val="18"/>
              </w:rPr>
              <w:t>2</w:t>
            </w:r>
            <w:r w:rsidRPr="00CE2265">
              <w:rPr>
                <w:rFonts w:cs="Arial"/>
                <w:color w:val="auto"/>
                <w:sz w:val="18"/>
                <w:szCs w:val="18"/>
              </w:rPr>
              <w:t>.</w:t>
            </w:r>
            <w:r w:rsidR="00F36126" w:rsidRPr="007154B9">
              <w:rPr>
                <w:rFonts w:cs="Arial"/>
                <w:color w:val="auto"/>
                <w:sz w:val="18"/>
                <w:szCs w:val="18"/>
              </w:rPr>
              <w:t>0</w:t>
            </w:r>
          </w:p>
        </w:tc>
        <w:tc>
          <w:tcPr>
            <w:tcW w:w="407" w:type="pct"/>
            <w:tcBorders>
              <w:top w:val="single" w:sz="4" w:space="0" w:color="auto"/>
              <w:left w:val="single" w:sz="4" w:space="0" w:color="auto"/>
              <w:bottom w:val="single" w:sz="4" w:space="0" w:color="auto"/>
              <w:right w:val="single" w:sz="4" w:space="0" w:color="auto"/>
            </w:tcBorders>
            <w:shd w:val="clear" w:color="auto" w:fill="70AD47" w:themeFill="accent6"/>
          </w:tcPr>
          <w:p w14:paraId="271774AC" w14:textId="6E428FE1" w:rsidR="005659DC" w:rsidRPr="00CE2265" w:rsidRDefault="005659DC" w:rsidP="00CE710E">
            <w:pPr>
              <w:contextualSpacing/>
              <w:jc w:val="left"/>
              <w:rPr>
                <w:rFonts w:cs="Arial"/>
                <w:color w:val="auto"/>
                <w:sz w:val="18"/>
                <w:szCs w:val="18"/>
              </w:rPr>
            </w:pPr>
            <w:r w:rsidRPr="00CE2265">
              <w:rPr>
                <w:rFonts w:cs="Arial"/>
                <w:color w:val="auto"/>
                <w:sz w:val="18"/>
                <w:szCs w:val="18"/>
              </w:rPr>
              <w:t xml:space="preserve">From </w:t>
            </w:r>
            <w:r w:rsidR="001D76EF">
              <w:rPr>
                <w:rFonts w:cs="Arial"/>
                <w:color w:val="auto"/>
                <w:sz w:val="18"/>
                <w:szCs w:val="18"/>
              </w:rPr>
              <w:br/>
            </w:r>
            <w:r w:rsidR="00DB69E5" w:rsidRPr="007154B9">
              <w:rPr>
                <w:rFonts w:cs="Arial"/>
                <w:color w:val="auto"/>
                <w:sz w:val="18"/>
                <w:szCs w:val="18"/>
              </w:rPr>
              <w:t>97.4</w:t>
            </w:r>
            <w:r w:rsidRPr="00CE2265">
              <w:rPr>
                <w:rFonts w:cs="Arial"/>
                <w:color w:val="auto"/>
                <w:sz w:val="18"/>
                <w:szCs w:val="18"/>
              </w:rPr>
              <w:t xml:space="preserve"> to </w:t>
            </w:r>
            <w:r w:rsidR="00DB69E5" w:rsidRPr="00CE2265">
              <w:rPr>
                <w:rFonts w:cs="Arial"/>
                <w:color w:val="auto"/>
                <w:sz w:val="18"/>
                <w:szCs w:val="18"/>
              </w:rPr>
              <w:t>9</w:t>
            </w:r>
            <w:r w:rsidR="00DB69E5" w:rsidRPr="007154B9">
              <w:rPr>
                <w:rFonts w:cs="Arial"/>
                <w:color w:val="auto"/>
                <w:sz w:val="18"/>
                <w:szCs w:val="18"/>
              </w:rPr>
              <w:t>2</w:t>
            </w:r>
            <w:r w:rsidRPr="00CE2265">
              <w:rPr>
                <w:rFonts w:cs="Arial"/>
                <w:color w:val="auto"/>
                <w:sz w:val="18"/>
                <w:szCs w:val="18"/>
              </w:rPr>
              <w:t>.</w:t>
            </w:r>
            <w:r w:rsidR="00DB69E5" w:rsidRPr="007154B9">
              <w:rPr>
                <w:rFonts w:cs="Arial"/>
                <w:color w:val="auto"/>
                <w:sz w:val="18"/>
                <w:szCs w:val="18"/>
              </w:rPr>
              <w:t>9</w:t>
            </w:r>
            <w:r w:rsidRPr="00CE2265">
              <w:rPr>
                <w:rFonts w:cs="Arial"/>
                <w:sz w:val="18"/>
                <w:szCs w:val="18"/>
              </w:rPr>
              <w:t xml:space="preserve"> </w:t>
            </w:r>
            <w:r w:rsidRPr="00CE2265">
              <w:rPr>
                <w:rFonts w:cs="Arial"/>
                <w:color w:val="auto"/>
                <w:sz w:val="18"/>
                <w:szCs w:val="18"/>
              </w:rPr>
              <w:t xml:space="preserve"> </w:t>
            </w:r>
          </w:p>
        </w:tc>
        <w:tc>
          <w:tcPr>
            <w:tcW w:w="354"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9E3ABBF" w14:textId="2B0CC110" w:rsidR="005659DC" w:rsidRPr="005A38C7" w:rsidRDefault="005659DC" w:rsidP="00CE710E">
            <w:pPr>
              <w:rPr>
                <w:sz w:val="18"/>
                <w:szCs w:val="18"/>
              </w:rPr>
            </w:pPr>
            <w:r w:rsidRPr="005A38C7">
              <w:rPr>
                <w:sz w:val="18"/>
                <w:szCs w:val="18"/>
              </w:rPr>
              <w:t xml:space="preserve">From </w:t>
            </w:r>
            <w:r w:rsidR="005B4AFC" w:rsidRPr="005A38C7">
              <w:rPr>
                <w:sz w:val="18"/>
                <w:szCs w:val="18"/>
              </w:rPr>
              <w:t>8</w:t>
            </w:r>
            <w:r w:rsidR="005B4AFC" w:rsidRPr="007154B9">
              <w:rPr>
                <w:sz w:val="18"/>
                <w:szCs w:val="18"/>
              </w:rPr>
              <w:t>5</w:t>
            </w:r>
            <w:r w:rsidRPr="005A38C7">
              <w:rPr>
                <w:sz w:val="18"/>
                <w:szCs w:val="18"/>
              </w:rPr>
              <w:t>.</w:t>
            </w:r>
            <w:r w:rsidR="005B4AFC" w:rsidRPr="007154B9">
              <w:rPr>
                <w:sz w:val="18"/>
                <w:szCs w:val="18"/>
              </w:rPr>
              <w:t>6</w:t>
            </w:r>
            <w:r w:rsidR="005B4AFC" w:rsidRPr="005A38C7">
              <w:rPr>
                <w:sz w:val="18"/>
                <w:szCs w:val="18"/>
              </w:rPr>
              <w:t xml:space="preserve"> </w:t>
            </w:r>
            <w:r w:rsidRPr="005A38C7">
              <w:rPr>
                <w:sz w:val="18"/>
                <w:szCs w:val="18"/>
              </w:rPr>
              <w:t>to 85.</w:t>
            </w:r>
            <w:r w:rsidR="005B4AFC" w:rsidRPr="007154B9">
              <w:rPr>
                <w:sz w:val="18"/>
                <w:szCs w:val="18"/>
              </w:rPr>
              <w:t>1</w:t>
            </w:r>
            <w:r w:rsidR="005B4AFC" w:rsidRPr="005A38C7">
              <w:rPr>
                <w:rFonts w:cs="Arial"/>
                <w:sz w:val="18"/>
                <w:szCs w:val="18"/>
              </w:rPr>
              <w:t xml:space="preserve"> </w:t>
            </w:r>
            <w:r w:rsidR="005B4AFC" w:rsidRPr="005A38C7">
              <w:rPr>
                <w:sz w:val="18"/>
                <w:szCs w:val="18"/>
              </w:rPr>
              <w:t xml:space="preserve"> </w:t>
            </w:r>
          </w:p>
        </w:tc>
        <w:tc>
          <w:tcPr>
            <w:tcW w:w="356"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E40A03E" w14:textId="3BAB377D" w:rsidR="005659DC" w:rsidRPr="004561A6" w:rsidRDefault="005659DC" w:rsidP="00CE710E">
            <w:pPr>
              <w:contextualSpacing/>
              <w:jc w:val="left"/>
              <w:rPr>
                <w:sz w:val="18"/>
                <w:szCs w:val="18"/>
              </w:rPr>
            </w:pPr>
            <w:r w:rsidRPr="004561A6">
              <w:rPr>
                <w:sz w:val="18"/>
                <w:szCs w:val="18"/>
              </w:rPr>
              <w:t xml:space="preserve">From </w:t>
            </w:r>
            <w:r w:rsidR="00FC7DA9">
              <w:rPr>
                <w:sz w:val="18"/>
                <w:szCs w:val="18"/>
              </w:rPr>
              <w:t>67</w:t>
            </w:r>
            <w:r>
              <w:rPr>
                <w:sz w:val="18"/>
                <w:szCs w:val="18"/>
              </w:rPr>
              <w:t>.</w:t>
            </w:r>
            <w:r w:rsidR="00FC7DA9">
              <w:rPr>
                <w:sz w:val="18"/>
                <w:szCs w:val="18"/>
              </w:rPr>
              <w:t>6</w:t>
            </w:r>
            <w:r w:rsidR="00FC7DA9" w:rsidRPr="004561A6">
              <w:rPr>
                <w:sz w:val="18"/>
                <w:szCs w:val="18"/>
              </w:rPr>
              <w:t xml:space="preserve"> </w:t>
            </w:r>
            <w:r w:rsidRPr="004561A6">
              <w:rPr>
                <w:sz w:val="18"/>
                <w:szCs w:val="18"/>
              </w:rPr>
              <w:t xml:space="preserve">to </w:t>
            </w:r>
            <w:r w:rsidR="00FC7DA9">
              <w:rPr>
                <w:sz w:val="18"/>
                <w:szCs w:val="18"/>
              </w:rPr>
              <w:t>67</w:t>
            </w:r>
            <w:r>
              <w:rPr>
                <w:sz w:val="18"/>
                <w:szCs w:val="18"/>
              </w:rPr>
              <w:t>.4</w:t>
            </w:r>
            <w:r w:rsidRPr="004561A6">
              <w:rPr>
                <w:sz w:val="18"/>
                <w:szCs w:val="18"/>
              </w:rPr>
              <w:t xml:space="preserve"> </w:t>
            </w:r>
          </w:p>
        </w:tc>
        <w:tc>
          <w:tcPr>
            <w:tcW w:w="377"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0504CE7" w14:textId="543BEC89" w:rsidR="005659DC" w:rsidRPr="004561A6" w:rsidRDefault="005659DC" w:rsidP="00CE710E">
            <w:pPr>
              <w:contextualSpacing/>
              <w:jc w:val="left"/>
              <w:rPr>
                <w:sz w:val="18"/>
                <w:szCs w:val="18"/>
              </w:rPr>
            </w:pPr>
            <w:r w:rsidRPr="004561A6">
              <w:rPr>
                <w:sz w:val="18"/>
                <w:szCs w:val="18"/>
              </w:rPr>
              <w:t xml:space="preserve">From </w:t>
            </w:r>
            <w:r w:rsidR="001D76EF">
              <w:rPr>
                <w:sz w:val="18"/>
                <w:szCs w:val="18"/>
              </w:rPr>
              <w:br/>
            </w:r>
            <w:r>
              <w:rPr>
                <w:sz w:val="18"/>
                <w:szCs w:val="18"/>
              </w:rPr>
              <w:t>60.2</w:t>
            </w:r>
            <w:r w:rsidRPr="004561A6">
              <w:rPr>
                <w:sz w:val="18"/>
                <w:szCs w:val="18"/>
              </w:rPr>
              <w:t xml:space="preserve"> to </w:t>
            </w:r>
            <w:r>
              <w:rPr>
                <w:sz w:val="18"/>
                <w:szCs w:val="18"/>
              </w:rPr>
              <w:t>59.6</w:t>
            </w:r>
          </w:p>
        </w:tc>
      </w:tr>
      <w:tr w:rsidR="00A53F23" w:rsidRPr="004561A6" w14:paraId="6643193E" w14:textId="77777777" w:rsidTr="00204B44">
        <w:trPr>
          <w:cantSplit/>
          <w:trHeight w:val="20"/>
        </w:trPr>
        <w:tc>
          <w:tcPr>
            <w:tcW w:w="405" w:type="pct"/>
            <w:vMerge/>
            <w:tcBorders>
              <w:top w:val="nil"/>
              <w:left w:val="single" w:sz="4" w:space="0" w:color="auto"/>
              <w:bottom w:val="nil"/>
              <w:right w:val="single" w:sz="4" w:space="0" w:color="auto"/>
            </w:tcBorders>
            <w:vAlign w:val="center"/>
            <w:hideMark/>
          </w:tcPr>
          <w:p w14:paraId="15110A6F" w14:textId="77777777" w:rsidR="005659DC" w:rsidRPr="004561A6" w:rsidRDefault="005659DC" w:rsidP="00CE710E">
            <w:pPr>
              <w:spacing w:before="0" w:after="0" w:line="256" w:lineRule="auto"/>
              <w:contextualSpacing/>
              <w:jc w:val="left"/>
              <w:rPr>
                <w:rFonts w:cs="Arial"/>
                <w:color w:val="auto"/>
                <w:sz w:val="18"/>
                <w:szCs w:val="18"/>
              </w:rPr>
            </w:pPr>
          </w:p>
        </w:tc>
        <w:tc>
          <w:tcPr>
            <w:tcW w:w="818" w:type="pct"/>
            <w:tcBorders>
              <w:top w:val="single" w:sz="4" w:space="0" w:color="auto"/>
              <w:left w:val="single" w:sz="4" w:space="0" w:color="auto"/>
              <w:bottom w:val="single" w:sz="4" w:space="0" w:color="auto"/>
              <w:right w:val="single" w:sz="4" w:space="0" w:color="auto"/>
            </w:tcBorders>
            <w:hideMark/>
          </w:tcPr>
          <w:p w14:paraId="49C9F088" w14:textId="77777777" w:rsidR="005659DC" w:rsidRPr="004561A6" w:rsidRDefault="005659DC" w:rsidP="00CE710E">
            <w:pPr>
              <w:contextualSpacing/>
              <w:jc w:val="right"/>
              <w:rPr>
                <w:rFonts w:cs="Arial"/>
                <w:color w:val="auto"/>
                <w:sz w:val="18"/>
                <w:szCs w:val="18"/>
              </w:rPr>
            </w:pPr>
            <w:r w:rsidRPr="004561A6">
              <w:rPr>
                <w:rFonts w:cs="Arial"/>
                <w:color w:val="auto"/>
                <w:sz w:val="18"/>
                <w:szCs w:val="18"/>
              </w:rPr>
              <w:t>Transport?</w:t>
            </w:r>
          </w:p>
          <w:p w14:paraId="631D71B0" w14:textId="77777777" w:rsidR="005659DC" w:rsidRPr="004561A6" w:rsidRDefault="005659DC" w:rsidP="00CE710E">
            <w:pPr>
              <w:contextualSpacing/>
              <w:jc w:val="right"/>
              <w:rPr>
                <w:rFonts w:cs="Arial"/>
                <w:color w:val="auto"/>
                <w:sz w:val="18"/>
                <w:szCs w:val="18"/>
              </w:rPr>
            </w:pPr>
            <w:r w:rsidRPr="004561A6">
              <w:rPr>
                <w:rFonts w:cs="Arial"/>
                <w:color w:val="auto"/>
                <w:sz w:val="18"/>
                <w:szCs w:val="18"/>
              </w:rPr>
              <w:t>(</w:t>
            </w:r>
            <w:r>
              <w:rPr>
                <w:rFonts w:cs="Arial"/>
                <w:color w:val="auto"/>
                <w:sz w:val="18"/>
                <w:szCs w:val="18"/>
              </w:rPr>
              <w:t xml:space="preserve">tonnes </w:t>
            </w:r>
            <w:r w:rsidRPr="004561A6">
              <w:rPr>
                <w:rFonts w:cs="Arial"/>
                <w:color w:val="auto"/>
                <w:sz w:val="18"/>
                <w:szCs w:val="18"/>
              </w:rPr>
              <w:t>salt per year) Additional export through the barrages due to CEW</w:t>
            </w:r>
          </w:p>
          <w:p w14:paraId="7B9F566F" w14:textId="77777777" w:rsidR="005659DC" w:rsidRPr="004561A6" w:rsidRDefault="005659DC" w:rsidP="00CE710E">
            <w:pPr>
              <w:contextualSpacing/>
              <w:jc w:val="right"/>
              <w:rPr>
                <w:rFonts w:cs="Arial"/>
                <w:color w:val="auto"/>
                <w:sz w:val="18"/>
                <w:szCs w:val="18"/>
              </w:rPr>
            </w:pPr>
            <w:r w:rsidRPr="004561A6">
              <w:rPr>
                <w:rFonts w:cs="Arial"/>
                <w:color w:val="auto"/>
                <w:sz w:val="18"/>
                <w:szCs w:val="18"/>
              </w:rPr>
              <w:t xml:space="preserve">(% of total salt export)  </w:t>
            </w:r>
          </w:p>
        </w:tc>
        <w:tc>
          <w:tcPr>
            <w:tcW w:w="351" w:type="pct"/>
            <w:tcBorders>
              <w:top w:val="single" w:sz="4" w:space="0" w:color="auto"/>
              <w:left w:val="single" w:sz="4" w:space="0" w:color="auto"/>
              <w:bottom w:val="single" w:sz="4" w:space="0" w:color="auto"/>
              <w:right w:val="single" w:sz="4" w:space="0" w:color="auto"/>
            </w:tcBorders>
            <w:shd w:val="clear" w:color="auto" w:fill="5B9BD5" w:themeFill="accent1"/>
            <w:hideMark/>
          </w:tcPr>
          <w:p w14:paraId="2AC3D6F0" w14:textId="77777777" w:rsidR="005659DC" w:rsidRPr="004561A6" w:rsidRDefault="005659DC" w:rsidP="00CE710E">
            <w:pPr>
              <w:contextualSpacing/>
              <w:jc w:val="left"/>
              <w:rPr>
                <w:rFonts w:cs="Arial"/>
                <w:sz w:val="18"/>
                <w:szCs w:val="18"/>
              </w:rPr>
            </w:pPr>
            <w:r w:rsidRPr="004561A6">
              <w:rPr>
                <w:rFonts w:cs="Arial"/>
                <w:sz w:val="18"/>
                <w:szCs w:val="18"/>
              </w:rPr>
              <w:t>285,064</w:t>
            </w:r>
          </w:p>
          <w:p w14:paraId="36197D58" w14:textId="77777777" w:rsidR="005659DC" w:rsidRPr="004561A6" w:rsidRDefault="005659DC" w:rsidP="00CE710E">
            <w:pPr>
              <w:contextualSpacing/>
              <w:jc w:val="left"/>
              <w:rPr>
                <w:rFonts w:cs="Arial"/>
                <w:color w:val="auto"/>
                <w:sz w:val="18"/>
                <w:szCs w:val="18"/>
              </w:rPr>
            </w:pPr>
            <w:r w:rsidRPr="004561A6">
              <w:rPr>
                <w:rFonts w:cs="Arial"/>
                <w:sz w:val="18"/>
                <w:szCs w:val="18"/>
              </w:rPr>
              <w:t>(64%)</w:t>
            </w:r>
          </w:p>
        </w:tc>
        <w:tc>
          <w:tcPr>
            <w:tcW w:w="412" w:type="pct"/>
            <w:tcBorders>
              <w:top w:val="single" w:sz="4" w:space="0" w:color="auto"/>
              <w:left w:val="single" w:sz="4" w:space="0" w:color="auto"/>
              <w:bottom w:val="single" w:sz="4" w:space="0" w:color="auto"/>
              <w:right w:val="single" w:sz="4" w:space="0" w:color="auto"/>
            </w:tcBorders>
            <w:shd w:val="clear" w:color="auto" w:fill="5B9BD5" w:themeFill="accent1"/>
            <w:hideMark/>
          </w:tcPr>
          <w:p w14:paraId="0AEA6FBD" w14:textId="77777777" w:rsidR="005659DC" w:rsidRPr="004561A6" w:rsidRDefault="005659DC" w:rsidP="00CE710E">
            <w:pPr>
              <w:contextualSpacing/>
              <w:jc w:val="left"/>
              <w:rPr>
                <w:rFonts w:cs="Arial"/>
                <w:sz w:val="18"/>
                <w:szCs w:val="18"/>
              </w:rPr>
            </w:pPr>
            <w:r w:rsidRPr="004561A6">
              <w:rPr>
                <w:rFonts w:cs="Arial"/>
                <w:sz w:val="18"/>
                <w:szCs w:val="18"/>
              </w:rPr>
              <w:t>251,632</w:t>
            </w:r>
          </w:p>
          <w:p w14:paraId="5ECD662C" w14:textId="77777777" w:rsidR="005659DC" w:rsidRPr="004561A6" w:rsidRDefault="005659DC" w:rsidP="00CE710E">
            <w:pPr>
              <w:contextualSpacing/>
              <w:jc w:val="left"/>
              <w:rPr>
                <w:rFonts w:cs="Arial"/>
                <w:color w:val="auto"/>
                <w:sz w:val="18"/>
                <w:szCs w:val="18"/>
              </w:rPr>
            </w:pPr>
            <w:r w:rsidRPr="004561A6">
              <w:rPr>
                <w:rFonts w:cs="Arial"/>
                <w:sz w:val="18"/>
                <w:szCs w:val="18"/>
              </w:rPr>
              <w:t>(87%)</w:t>
            </w:r>
          </w:p>
        </w:tc>
        <w:tc>
          <w:tcPr>
            <w:tcW w:w="338" w:type="pct"/>
            <w:tcBorders>
              <w:top w:val="single" w:sz="4" w:space="0" w:color="auto"/>
              <w:left w:val="single" w:sz="4" w:space="0" w:color="auto"/>
              <w:bottom w:val="single" w:sz="4" w:space="0" w:color="auto"/>
              <w:right w:val="single" w:sz="4" w:space="0" w:color="auto"/>
            </w:tcBorders>
            <w:shd w:val="clear" w:color="auto" w:fill="A8D08D"/>
            <w:hideMark/>
          </w:tcPr>
          <w:p w14:paraId="08D58EE3" w14:textId="77777777" w:rsidR="005659DC" w:rsidRPr="004561A6" w:rsidRDefault="005659DC" w:rsidP="00CE710E">
            <w:pPr>
              <w:contextualSpacing/>
              <w:jc w:val="left"/>
              <w:rPr>
                <w:rFonts w:cs="Arial"/>
                <w:sz w:val="18"/>
                <w:szCs w:val="18"/>
              </w:rPr>
            </w:pPr>
            <w:r w:rsidRPr="004561A6">
              <w:rPr>
                <w:rFonts w:cs="Arial"/>
                <w:sz w:val="18"/>
                <w:szCs w:val="18"/>
              </w:rPr>
              <w:t>120,867</w:t>
            </w:r>
          </w:p>
          <w:p w14:paraId="03D75955" w14:textId="77777777" w:rsidR="005659DC" w:rsidRPr="004561A6" w:rsidRDefault="005659DC" w:rsidP="00CE710E">
            <w:pPr>
              <w:contextualSpacing/>
              <w:jc w:val="left"/>
              <w:rPr>
                <w:rFonts w:cs="Arial"/>
                <w:color w:val="auto"/>
                <w:sz w:val="18"/>
                <w:szCs w:val="18"/>
              </w:rPr>
            </w:pPr>
            <w:r w:rsidRPr="004561A6">
              <w:rPr>
                <w:rFonts w:cs="Arial"/>
                <w:sz w:val="18"/>
                <w:szCs w:val="18"/>
              </w:rPr>
              <w:t>(8%)</w:t>
            </w:r>
          </w:p>
        </w:tc>
        <w:tc>
          <w:tcPr>
            <w:tcW w:w="380" w:type="pct"/>
            <w:tcBorders>
              <w:top w:val="single" w:sz="4" w:space="0" w:color="auto"/>
              <w:left w:val="single" w:sz="4" w:space="0" w:color="auto"/>
              <w:bottom w:val="single" w:sz="4" w:space="0" w:color="auto"/>
              <w:right w:val="single" w:sz="4" w:space="0" w:color="auto"/>
            </w:tcBorders>
            <w:shd w:val="clear" w:color="auto" w:fill="5B9BD5" w:themeFill="accent1"/>
            <w:hideMark/>
          </w:tcPr>
          <w:p w14:paraId="778AD490" w14:textId="6FDC173D" w:rsidR="005659DC" w:rsidRPr="004561A6" w:rsidRDefault="005659DC" w:rsidP="00CE710E">
            <w:pPr>
              <w:contextualSpacing/>
              <w:jc w:val="left"/>
              <w:rPr>
                <w:rFonts w:cs="Arial"/>
                <w:sz w:val="18"/>
                <w:szCs w:val="18"/>
              </w:rPr>
            </w:pPr>
            <w:r>
              <w:rPr>
                <w:rFonts w:cs="Arial"/>
                <w:sz w:val="18"/>
                <w:szCs w:val="18"/>
              </w:rPr>
              <w:t>397</w:t>
            </w:r>
            <w:r w:rsidRPr="004561A6">
              <w:rPr>
                <w:rFonts w:cs="Arial"/>
                <w:sz w:val="18"/>
                <w:szCs w:val="18"/>
              </w:rPr>
              <w:t>,</w:t>
            </w:r>
            <w:r>
              <w:rPr>
                <w:rFonts w:cs="Arial"/>
                <w:sz w:val="18"/>
                <w:szCs w:val="18"/>
              </w:rPr>
              <w:t>084</w:t>
            </w:r>
          </w:p>
          <w:p w14:paraId="24098B7B" w14:textId="77777777" w:rsidR="005659DC" w:rsidRPr="004561A6" w:rsidRDefault="005659DC" w:rsidP="00CE710E">
            <w:pPr>
              <w:contextualSpacing/>
              <w:jc w:val="left"/>
              <w:rPr>
                <w:rFonts w:cs="Arial"/>
                <w:sz w:val="18"/>
                <w:szCs w:val="18"/>
              </w:rPr>
            </w:pPr>
            <w:r w:rsidRPr="004561A6">
              <w:rPr>
                <w:rFonts w:cs="Arial"/>
                <w:sz w:val="18"/>
                <w:szCs w:val="18"/>
              </w:rPr>
              <w:t>(90%)</w:t>
            </w:r>
          </w:p>
          <w:p w14:paraId="1D38A834" w14:textId="77777777" w:rsidR="005659DC" w:rsidRPr="004561A6" w:rsidRDefault="005659DC" w:rsidP="00CE710E">
            <w:pPr>
              <w:contextualSpacing/>
              <w:jc w:val="left"/>
              <w:rPr>
                <w:rFonts w:cs="Arial"/>
                <w:color w:val="auto"/>
                <w:sz w:val="18"/>
                <w:szCs w:val="18"/>
              </w:rPr>
            </w:pPr>
          </w:p>
        </w:tc>
        <w:tc>
          <w:tcPr>
            <w:tcW w:w="395" w:type="pct"/>
            <w:tcBorders>
              <w:top w:val="single" w:sz="4" w:space="0" w:color="auto"/>
              <w:left w:val="single" w:sz="4" w:space="0" w:color="auto"/>
              <w:bottom w:val="single" w:sz="4" w:space="0" w:color="auto"/>
              <w:right w:val="single" w:sz="4" w:space="0" w:color="auto"/>
            </w:tcBorders>
            <w:shd w:val="clear" w:color="auto" w:fill="5B9BD5" w:themeFill="accent1"/>
            <w:hideMark/>
          </w:tcPr>
          <w:p w14:paraId="2199A769" w14:textId="32EE1FA3" w:rsidR="005659DC" w:rsidRPr="004561A6" w:rsidRDefault="005659DC" w:rsidP="00CE710E">
            <w:pPr>
              <w:contextualSpacing/>
              <w:jc w:val="left"/>
              <w:rPr>
                <w:rFonts w:cs="Arial"/>
                <w:color w:val="auto"/>
                <w:sz w:val="18"/>
                <w:szCs w:val="18"/>
              </w:rPr>
            </w:pPr>
            <w:r>
              <w:rPr>
                <w:rFonts w:cs="Arial"/>
                <w:sz w:val="18"/>
                <w:szCs w:val="18"/>
              </w:rPr>
              <w:t>338</w:t>
            </w:r>
            <w:r w:rsidRPr="004561A6">
              <w:rPr>
                <w:rFonts w:cs="Arial"/>
                <w:sz w:val="18"/>
                <w:szCs w:val="18"/>
              </w:rPr>
              <w:t>,</w:t>
            </w:r>
            <w:r>
              <w:rPr>
                <w:rFonts w:cs="Arial"/>
                <w:sz w:val="18"/>
                <w:szCs w:val="18"/>
              </w:rPr>
              <w:t>428</w:t>
            </w:r>
          </w:p>
          <w:p w14:paraId="1EB83CCA" w14:textId="77777777" w:rsidR="005659DC" w:rsidRPr="004561A6" w:rsidRDefault="005659DC" w:rsidP="00CE710E">
            <w:pPr>
              <w:contextualSpacing/>
              <w:jc w:val="left"/>
              <w:rPr>
                <w:rFonts w:cs="Arial"/>
                <w:color w:val="auto"/>
                <w:sz w:val="18"/>
                <w:szCs w:val="18"/>
              </w:rPr>
            </w:pPr>
            <w:r w:rsidRPr="004561A6">
              <w:rPr>
                <w:rFonts w:cs="Arial"/>
                <w:color w:val="auto"/>
                <w:sz w:val="18"/>
                <w:szCs w:val="18"/>
              </w:rPr>
              <w:t>(100%)</w:t>
            </w:r>
          </w:p>
        </w:tc>
        <w:tc>
          <w:tcPr>
            <w:tcW w:w="407" w:type="pct"/>
            <w:tcBorders>
              <w:top w:val="single" w:sz="4" w:space="0" w:color="auto"/>
              <w:left w:val="single" w:sz="4" w:space="0" w:color="auto"/>
              <w:bottom w:val="single" w:sz="4" w:space="0" w:color="auto"/>
              <w:right w:val="single" w:sz="4" w:space="0" w:color="auto"/>
            </w:tcBorders>
            <w:shd w:val="clear" w:color="auto" w:fill="5B9BD5" w:themeFill="accent1"/>
            <w:hideMark/>
          </w:tcPr>
          <w:p w14:paraId="1D00DC77" w14:textId="69DAB9D1" w:rsidR="005659DC" w:rsidRPr="004561A6" w:rsidRDefault="005659DC" w:rsidP="00CE710E">
            <w:pPr>
              <w:contextualSpacing/>
              <w:jc w:val="left"/>
              <w:rPr>
                <w:rFonts w:cs="Arial"/>
                <w:color w:val="auto"/>
                <w:sz w:val="18"/>
                <w:szCs w:val="18"/>
              </w:rPr>
            </w:pPr>
            <w:r>
              <w:rPr>
                <w:rFonts w:cs="Arial"/>
                <w:color w:val="auto"/>
                <w:sz w:val="18"/>
                <w:szCs w:val="18"/>
              </w:rPr>
              <w:t>373</w:t>
            </w:r>
            <w:r w:rsidRPr="004561A6">
              <w:rPr>
                <w:rFonts w:cs="Arial"/>
                <w:color w:val="auto"/>
                <w:sz w:val="18"/>
                <w:szCs w:val="18"/>
              </w:rPr>
              <w:t>,</w:t>
            </w:r>
            <w:r>
              <w:rPr>
                <w:rFonts w:cs="Arial"/>
                <w:color w:val="auto"/>
                <w:sz w:val="18"/>
                <w:szCs w:val="18"/>
              </w:rPr>
              <w:t>797</w:t>
            </w:r>
          </w:p>
          <w:p w14:paraId="451674DB" w14:textId="77777777" w:rsidR="005659DC" w:rsidRPr="004561A6" w:rsidRDefault="005659DC" w:rsidP="00CE710E">
            <w:pPr>
              <w:contextualSpacing/>
              <w:jc w:val="left"/>
              <w:rPr>
                <w:rFonts w:cs="Arial"/>
                <w:color w:val="auto"/>
                <w:sz w:val="18"/>
                <w:szCs w:val="18"/>
              </w:rPr>
            </w:pPr>
            <w:r w:rsidRPr="004561A6">
              <w:rPr>
                <w:rFonts w:cs="Arial"/>
                <w:color w:val="auto"/>
                <w:sz w:val="18"/>
                <w:szCs w:val="18"/>
              </w:rPr>
              <w:t>(100%)</w:t>
            </w:r>
          </w:p>
        </w:tc>
        <w:tc>
          <w:tcPr>
            <w:tcW w:w="407" w:type="pct"/>
            <w:tcBorders>
              <w:top w:val="single" w:sz="4" w:space="0" w:color="auto"/>
              <w:left w:val="single" w:sz="4" w:space="0" w:color="auto"/>
              <w:bottom w:val="single" w:sz="4" w:space="0" w:color="auto"/>
              <w:right w:val="single" w:sz="4" w:space="0" w:color="auto"/>
            </w:tcBorders>
            <w:shd w:val="clear" w:color="auto" w:fill="5B9BD5" w:themeFill="accent1"/>
          </w:tcPr>
          <w:p w14:paraId="098DD52C" w14:textId="2BBC1944" w:rsidR="005659DC" w:rsidRPr="004561A6" w:rsidRDefault="005659DC" w:rsidP="00CE710E">
            <w:pPr>
              <w:contextualSpacing/>
              <w:jc w:val="left"/>
              <w:rPr>
                <w:rFonts w:cs="Arial"/>
                <w:color w:val="auto"/>
                <w:sz w:val="18"/>
                <w:szCs w:val="18"/>
              </w:rPr>
            </w:pPr>
            <w:r>
              <w:rPr>
                <w:rFonts w:cs="Arial"/>
                <w:color w:val="auto"/>
                <w:sz w:val="18"/>
                <w:szCs w:val="18"/>
              </w:rPr>
              <w:t>372</w:t>
            </w:r>
            <w:r w:rsidRPr="004561A6">
              <w:rPr>
                <w:rFonts w:cs="Arial"/>
                <w:color w:val="auto"/>
                <w:sz w:val="18"/>
                <w:szCs w:val="18"/>
              </w:rPr>
              <w:t>,</w:t>
            </w:r>
            <w:r>
              <w:rPr>
                <w:rFonts w:cs="Arial"/>
                <w:color w:val="auto"/>
                <w:sz w:val="18"/>
                <w:szCs w:val="18"/>
              </w:rPr>
              <w:t>787</w:t>
            </w:r>
          </w:p>
          <w:p w14:paraId="2137A3C5" w14:textId="6A2217BF" w:rsidR="005659DC" w:rsidRPr="004561A6" w:rsidRDefault="005659DC" w:rsidP="00CE710E">
            <w:pPr>
              <w:contextualSpacing/>
              <w:jc w:val="left"/>
              <w:rPr>
                <w:rFonts w:cs="Arial"/>
                <w:color w:val="auto"/>
                <w:sz w:val="18"/>
                <w:szCs w:val="18"/>
              </w:rPr>
            </w:pPr>
            <w:r w:rsidRPr="004561A6">
              <w:rPr>
                <w:rFonts w:cs="Arial"/>
                <w:color w:val="auto"/>
                <w:sz w:val="18"/>
                <w:szCs w:val="18"/>
              </w:rPr>
              <w:t>(6</w:t>
            </w:r>
            <w:r>
              <w:rPr>
                <w:rFonts w:cs="Arial"/>
                <w:color w:val="auto"/>
                <w:sz w:val="18"/>
                <w:szCs w:val="18"/>
              </w:rPr>
              <w:t>4</w:t>
            </w:r>
            <w:r w:rsidRPr="004561A6">
              <w:rPr>
                <w:rFonts w:cs="Arial"/>
                <w:color w:val="auto"/>
                <w:sz w:val="18"/>
                <w:szCs w:val="18"/>
              </w:rPr>
              <w:t>%)</w:t>
            </w:r>
          </w:p>
        </w:tc>
        <w:tc>
          <w:tcPr>
            <w:tcW w:w="354" w:type="pct"/>
            <w:tcBorders>
              <w:top w:val="single" w:sz="4" w:space="0" w:color="auto"/>
              <w:left w:val="single" w:sz="4" w:space="0" w:color="auto"/>
              <w:bottom w:val="single" w:sz="4" w:space="0" w:color="auto"/>
              <w:right w:val="single" w:sz="4" w:space="0" w:color="auto"/>
            </w:tcBorders>
            <w:shd w:val="clear" w:color="auto" w:fill="A9D08D"/>
          </w:tcPr>
          <w:p w14:paraId="6E928B8A" w14:textId="4F02EB62" w:rsidR="005659DC" w:rsidRPr="004561A6" w:rsidRDefault="005659DC" w:rsidP="00CE710E">
            <w:pPr>
              <w:contextualSpacing/>
              <w:jc w:val="left"/>
              <w:rPr>
                <w:rFonts w:cs="Arial"/>
                <w:color w:val="auto"/>
                <w:sz w:val="18"/>
                <w:szCs w:val="18"/>
              </w:rPr>
            </w:pPr>
            <w:r>
              <w:rPr>
                <w:rFonts w:cs="Arial"/>
                <w:color w:val="auto"/>
                <w:sz w:val="18"/>
                <w:szCs w:val="18"/>
              </w:rPr>
              <w:t>280</w:t>
            </w:r>
            <w:r w:rsidRPr="004561A6">
              <w:rPr>
                <w:rFonts w:cs="Arial"/>
                <w:color w:val="auto"/>
                <w:sz w:val="18"/>
                <w:szCs w:val="18"/>
              </w:rPr>
              <w:t>,</w:t>
            </w:r>
            <w:r>
              <w:rPr>
                <w:rFonts w:cs="Arial"/>
                <w:color w:val="auto"/>
                <w:sz w:val="18"/>
                <w:szCs w:val="18"/>
              </w:rPr>
              <w:t>844</w:t>
            </w:r>
          </w:p>
          <w:p w14:paraId="07001836" w14:textId="3E0CDC3A" w:rsidR="005659DC" w:rsidRPr="004561A6" w:rsidRDefault="005659DC" w:rsidP="00CE710E">
            <w:pPr>
              <w:contextualSpacing/>
              <w:jc w:val="left"/>
              <w:rPr>
                <w:rFonts w:cs="Arial"/>
                <w:color w:val="auto"/>
                <w:sz w:val="18"/>
                <w:szCs w:val="18"/>
              </w:rPr>
            </w:pPr>
            <w:r w:rsidRPr="004561A6">
              <w:rPr>
                <w:rFonts w:cs="Arial"/>
                <w:color w:val="auto"/>
                <w:sz w:val="18"/>
                <w:szCs w:val="18"/>
              </w:rPr>
              <w:t>(1</w:t>
            </w:r>
            <w:r>
              <w:rPr>
                <w:rFonts w:cs="Arial"/>
                <w:color w:val="auto"/>
                <w:sz w:val="18"/>
                <w:szCs w:val="18"/>
              </w:rPr>
              <w:t>5</w:t>
            </w:r>
            <w:r w:rsidRPr="004561A6">
              <w:rPr>
                <w:rFonts w:cs="Arial"/>
                <w:color w:val="auto"/>
                <w:sz w:val="18"/>
                <w:szCs w:val="18"/>
              </w:rPr>
              <w:t>%)</w:t>
            </w:r>
          </w:p>
        </w:tc>
        <w:tc>
          <w:tcPr>
            <w:tcW w:w="356" w:type="pct"/>
            <w:tcBorders>
              <w:top w:val="single" w:sz="4" w:space="0" w:color="auto"/>
              <w:left w:val="single" w:sz="4" w:space="0" w:color="auto"/>
              <w:bottom w:val="single" w:sz="4" w:space="0" w:color="auto"/>
              <w:right w:val="single" w:sz="4" w:space="0" w:color="auto"/>
            </w:tcBorders>
            <w:shd w:val="clear" w:color="auto" w:fill="A8D08D"/>
          </w:tcPr>
          <w:p w14:paraId="29AD7276" w14:textId="77777777" w:rsidR="005659DC" w:rsidRDefault="005659DC" w:rsidP="00CE710E">
            <w:pPr>
              <w:contextualSpacing/>
              <w:jc w:val="left"/>
              <w:rPr>
                <w:rFonts w:cs="Arial"/>
                <w:color w:val="auto"/>
                <w:sz w:val="18"/>
                <w:szCs w:val="18"/>
              </w:rPr>
            </w:pPr>
            <w:r>
              <w:rPr>
                <w:rFonts w:cs="Arial"/>
                <w:color w:val="auto"/>
                <w:sz w:val="18"/>
                <w:szCs w:val="18"/>
              </w:rPr>
              <w:t>151,252</w:t>
            </w:r>
          </w:p>
          <w:p w14:paraId="7E0CDE19" w14:textId="0E697DCE" w:rsidR="005659DC" w:rsidRPr="004561A6" w:rsidRDefault="005659DC" w:rsidP="00CE710E">
            <w:pPr>
              <w:rPr>
                <w:rFonts w:cs="Arial"/>
                <w:color w:val="auto"/>
                <w:sz w:val="18"/>
                <w:szCs w:val="18"/>
              </w:rPr>
            </w:pPr>
            <w:r>
              <w:rPr>
                <w:rFonts w:cs="Arial"/>
                <w:color w:val="auto"/>
                <w:sz w:val="18"/>
                <w:szCs w:val="18"/>
              </w:rPr>
              <w:t>(5%)</w:t>
            </w:r>
          </w:p>
        </w:tc>
        <w:tc>
          <w:tcPr>
            <w:tcW w:w="377" w:type="pct"/>
            <w:tcBorders>
              <w:top w:val="single" w:sz="4" w:space="0" w:color="auto"/>
              <w:left w:val="single" w:sz="4" w:space="0" w:color="auto"/>
              <w:bottom w:val="single" w:sz="4" w:space="0" w:color="auto"/>
              <w:right w:val="single" w:sz="4" w:space="0" w:color="auto"/>
            </w:tcBorders>
            <w:shd w:val="clear" w:color="auto" w:fill="A8D08D"/>
          </w:tcPr>
          <w:p w14:paraId="4EB15EFD" w14:textId="77777777" w:rsidR="005659DC" w:rsidRDefault="005659DC" w:rsidP="00CE710E">
            <w:pPr>
              <w:contextualSpacing/>
              <w:jc w:val="left"/>
              <w:rPr>
                <w:rFonts w:cs="Arial"/>
                <w:color w:val="auto"/>
                <w:sz w:val="18"/>
                <w:szCs w:val="18"/>
              </w:rPr>
            </w:pPr>
            <w:r>
              <w:rPr>
                <w:rFonts w:cs="Arial"/>
                <w:color w:val="auto"/>
                <w:sz w:val="18"/>
                <w:szCs w:val="18"/>
              </w:rPr>
              <w:t>221,272</w:t>
            </w:r>
          </w:p>
          <w:p w14:paraId="0595FE22" w14:textId="000C0E6C" w:rsidR="005659DC" w:rsidRDefault="005659DC" w:rsidP="00CE710E">
            <w:pPr>
              <w:contextualSpacing/>
              <w:jc w:val="left"/>
              <w:rPr>
                <w:rFonts w:cs="Arial"/>
                <w:color w:val="auto"/>
                <w:sz w:val="18"/>
                <w:szCs w:val="18"/>
              </w:rPr>
            </w:pPr>
            <w:r>
              <w:rPr>
                <w:rFonts w:cs="Arial"/>
                <w:color w:val="auto"/>
                <w:sz w:val="18"/>
                <w:szCs w:val="18"/>
              </w:rPr>
              <w:t>(18%)</w:t>
            </w:r>
          </w:p>
        </w:tc>
      </w:tr>
      <w:tr w:rsidR="00A53F23" w:rsidRPr="004561A6" w14:paraId="2B013384" w14:textId="77777777" w:rsidTr="002504D2">
        <w:trPr>
          <w:cantSplit/>
          <w:trHeight w:val="20"/>
        </w:trPr>
        <w:tc>
          <w:tcPr>
            <w:tcW w:w="405" w:type="pct"/>
            <w:tcBorders>
              <w:top w:val="nil"/>
              <w:left w:val="single" w:sz="4" w:space="0" w:color="auto"/>
              <w:bottom w:val="nil"/>
              <w:right w:val="single" w:sz="4" w:space="0" w:color="auto"/>
            </w:tcBorders>
            <w:vAlign w:val="center"/>
          </w:tcPr>
          <w:p w14:paraId="372C56E3" w14:textId="77777777" w:rsidR="005659DC" w:rsidRPr="004561A6" w:rsidRDefault="005659DC" w:rsidP="00CE710E">
            <w:pPr>
              <w:spacing w:before="0" w:after="0" w:line="256" w:lineRule="auto"/>
              <w:contextualSpacing/>
              <w:jc w:val="left"/>
              <w:rPr>
                <w:rFonts w:cs="Arial"/>
                <w:color w:val="auto"/>
                <w:sz w:val="18"/>
                <w:szCs w:val="18"/>
              </w:rPr>
            </w:pPr>
          </w:p>
        </w:tc>
        <w:tc>
          <w:tcPr>
            <w:tcW w:w="818" w:type="pct"/>
            <w:tcBorders>
              <w:top w:val="single" w:sz="4" w:space="0" w:color="auto"/>
              <w:left w:val="single" w:sz="4" w:space="0" w:color="auto"/>
              <w:bottom w:val="single" w:sz="4" w:space="0" w:color="auto"/>
              <w:right w:val="single" w:sz="4" w:space="0" w:color="auto"/>
            </w:tcBorders>
          </w:tcPr>
          <w:p w14:paraId="3B0E0381" w14:textId="77777777" w:rsidR="005659DC" w:rsidRPr="004561A6" w:rsidRDefault="005659DC" w:rsidP="00CE710E">
            <w:pPr>
              <w:contextualSpacing/>
              <w:jc w:val="right"/>
              <w:rPr>
                <w:rFonts w:cs="Arial"/>
                <w:color w:val="auto"/>
                <w:sz w:val="18"/>
                <w:szCs w:val="18"/>
              </w:rPr>
            </w:pPr>
            <w:r w:rsidRPr="004561A6">
              <w:rPr>
                <w:rFonts w:cs="Arial"/>
                <w:color w:val="auto"/>
                <w:sz w:val="18"/>
                <w:szCs w:val="18"/>
              </w:rPr>
              <w:t>Reduction of salt import at the Murray Mouth</w:t>
            </w:r>
          </w:p>
        </w:tc>
        <w:tc>
          <w:tcPr>
            <w:tcW w:w="351" w:type="pct"/>
            <w:tcBorders>
              <w:top w:val="single" w:sz="4" w:space="0" w:color="auto"/>
              <w:left w:val="single" w:sz="4" w:space="0" w:color="auto"/>
              <w:bottom w:val="single" w:sz="4" w:space="0" w:color="auto"/>
              <w:right w:val="single" w:sz="4" w:space="0" w:color="auto"/>
            </w:tcBorders>
            <w:shd w:val="clear" w:color="auto" w:fill="5B9BD5" w:themeFill="accent1"/>
          </w:tcPr>
          <w:p w14:paraId="23A938D1" w14:textId="77777777" w:rsidR="005659DC" w:rsidRPr="004561A6" w:rsidRDefault="005659DC" w:rsidP="00CE710E">
            <w:pPr>
              <w:contextualSpacing/>
              <w:jc w:val="left"/>
              <w:rPr>
                <w:rFonts w:cs="Arial"/>
                <w:sz w:val="18"/>
                <w:szCs w:val="18"/>
              </w:rPr>
            </w:pPr>
            <w:r w:rsidRPr="004561A6">
              <w:rPr>
                <w:rFonts w:cs="Arial"/>
                <w:sz w:val="18"/>
                <w:szCs w:val="18"/>
              </w:rPr>
              <w:t>3,044,7</w:t>
            </w:r>
            <w:r>
              <w:rPr>
                <w:rFonts w:cs="Arial"/>
                <w:sz w:val="18"/>
                <w:szCs w:val="18"/>
              </w:rPr>
              <w:t>0</w:t>
            </w:r>
          </w:p>
        </w:tc>
        <w:tc>
          <w:tcPr>
            <w:tcW w:w="412" w:type="pct"/>
            <w:tcBorders>
              <w:top w:val="single" w:sz="4" w:space="0" w:color="auto"/>
              <w:left w:val="single" w:sz="4" w:space="0" w:color="auto"/>
              <w:bottom w:val="single" w:sz="4" w:space="0" w:color="auto"/>
              <w:right w:val="single" w:sz="4" w:space="0" w:color="auto"/>
            </w:tcBorders>
            <w:shd w:val="clear" w:color="auto" w:fill="5B9BD5" w:themeFill="accent1"/>
          </w:tcPr>
          <w:p w14:paraId="2DF5724F" w14:textId="77777777" w:rsidR="005659DC" w:rsidRPr="004561A6" w:rsidRDefault="005659DC" w:rsidP="00CE710E">
            <w:pPr>
              <w:contextualSpacing/>
              <w:jc w:val="left"/>
              <w:rPr>
                <w:rFonts w:cs="Arial"/>
                <w:sz w:val="18"/>
                <w:szCs w:val="18"/>
              </w:rPr>
            </w:pPr>
            <w:r w:rsidRPr="004561A6">
              <w:rPr>
                <w:rFonts w:cs="Arial"/>
                <w:sz w:val="18"/>
                <w:szCs w:val="18"/>
              </w:rPr>
              <w:t>4,591,269</w:t>
            </w:r>
          </w:p>
        </w:tc>
        <w:tc>
          <w:tcPr>
            <w:tcW w:w="338"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C2F0602" w14:textId="77777777" w:rsidR="005659DC" w:rsidRPr="004561A6" w:rsidRDefault="005659DC" w:rsidP="00CE710E">
            <w:pPr>
              <w:contextualSpacing/>
              <w:jc w:val="left"/>
              <w:rPr>
                <w:rFonts w:cs="Arial"/>
                <w:sz w:val="18"/>
                <w:szCs w:val="18"/>
              </w:rPr>
            </w:pPr>
            <w:r w:rsidRPr="004561A6">
              <w:rPr>
                <w:rFonts w:cs="Arial"/>
                <w:sz w:val="18"/>
                <w:szCs w:val="18"/>
              </w:rPr>
              <w:t>519,292</w:t>
            </w:r>
          </w:p>
        </w:tc>
        <w:tc>
          <w:tcPr>
            <w:tcW w:w="380" w:type="pct"/>
            <w:tcBorders>
              <w:top w:val="single" w:sz="4" w:space="0" w:color="auto"/>
              <w:left w:val="single" w:sz="4" w:space="0" w:color="auto"/>
              <w:bottom w:val="single" w:sz="4" w:space="0" w:color="auto"/>
              <w:right w:val="single" w:sz="4" w:space="0" w:color="auto"/>
            </w:tcBorders>
            <w:shd w:val="clear" w:color="auto" w:fill="5B9BD5"/>
          </w:tcPr>
          <w:p w14:paraId="7306553D" w14:textId="5EB39581" w:rsidR="005659DC" w:rsidRPr="004561A6" w:rsidRDefault="005659DC" w:rsidP="00CE710E">
            <w:pPr>
              <w:contextualSpacing/>
              <w:jc w:val="left"/>
              <w:rPr>
                <w:rFonts w:cs="Arial"/>
                <w:sz w:val="18"/>
                <w:szCs w:val="18"/>
              </w:rPr>
            </w:pPr>
            <w:r>
              <w:rPr>
                <w:rFonts w:cs="Arial"/>
                <w:sz w:val="18"/>
                <w:szCs w:val="18"/>
              </w:rPr>
              <w:t>4</w:t>
            </w:r>
            <w:r w:rsidRPr="004561A6">
              <w:rPr>
                <w:rFonts w:cs="Arial"/>
                <w:sz w:val="18"/>
                <w:szCs w:val="18"/>
              </w:rPr>
              <w:t>,</w:t>
            </w:r>
            <w:r>
              <w:rPr>
                <w:rFonts w:cs="Arial"/>
                <w:sz w:val="18"/>
                <w:szCs w:val="18"/>
              </w:rPr>
              <w:t>015</w:t>
            </w:r>
            <w:r w:rsidRPr="004561A6">
              <w:rPr>
                <w:rFonts w:cs="Arial"/>
                <w:sz w:val="18"/>
                <w:szCs w:val="18"/>
              </w:rPr>
              <w:t>,</w:t>
            </w:r>
            <w:r>
              <w:rPr>
                <w:rFonts w:cs="Arial"/>
                <w:sz w:val="18"/>
                <w:szCs w:val="18"/>
              </w:rPr>
              <w:t>981</w:t>
            </w:r>
          </w:p>
        </w:tc>
        <w:tc>
          <w:tcPr>
            <w:tcW w:w="395" w:type="pct"/>
            <w:tcBorders>
              <w:top w:val="single" w:sz="4" w:space="0" w:color="auto"/>
              <w:left w:val="single" w:sz="4" w:space="0" w:color="auto"/>
              <w:bottom w:val="single" w:sz="4" w:space="0" w:color="auto"/>
              <w:right w:val="single" w:sz="4" w:space="0" w:color="auto"/>
            </w:tcBorders>
            <w:shd w:val="clear" w:color="auto" w:fill="5B9BD5"/>
          </w:tcPr>
          <w:p w14:paraId="5500EF2F" w14:textId="2BABFF5A" w:rsidR="005659DC" w:rsidRPr="004561A6" w:rsidRDefault="005659DC" w:rsidP="00CE710E">
            <w:pPr>
              <w:contextualSpacing/>
              <w:jc w:val="left"/>
              <w:rPr>
                <w:rFonts w:cs="Arial"/>
                <w:sz w:val="18"/>
                <w:szCs w:val="18"/>
              </w:rPr>
            </w:pPr>
            <w:r>
              <w:rPr>
                <w:rFonts w:cs="Arial"/>
                <w:sz w:val="18"/>
                <w:szCs w:val="18"/>
              </w:rPr>
              <w:t>4</w:t>
            </w:r>
            <w:r w:rsidRPr="004561A6">
              <w:rPr>
                <w:rFonts w:cs="Arial"/>
                <w:sz w:val="18"/>
                <w:szCs w:val="18"/>
              </w:rPr>
              <w:t>,</w:t>
            </w:r>
            <w:r>
              <w:rPr>
                <w:rFonts w:cs="Arial"/>
                <w:sz w:val="18"/>
                <w:szCs w:val="18"/>
              </w:rPr>
              <w:t>269</w:t>
            </w:r>
            <w:r w:rsidRPr="004561A6">
              <w:rPr>
                <w:rFonts w:cs="Arial"/>
                <w:sz w:val="18"/>
                <w:szCs w:val="18"/>
              </w:rPr>
              <w:t>,6</w:t>
            </w:r>
            <w:r>
              <w:rPr>
                <w:rFonts w:cs="Arial"/>
                <w:sz w:val="18"/>
                <w:szCs w:val="18"/>
              </w:rPr>
              <w:t>43</w:t>
            </w:r>
          </w:p>
        </w:tc>
        <w:tc>
          <w:tcPr>
            <w:tcW w:w="407" w:type="pct"/>
            <w:tcBorders>
              <w:top w:val="single" w:sz="4" w:space="0" w:color="auto"/>
              <w:left w:val="single" w:sz="4" w:space="0" w:color="auto"/>
              <w:bottom w:val="single" w:sz="4" w:space="0" w:color="auto"/>
              <w:right w:val="single" w:sz="4" w:space="0" w:color="auto"/>
            </w:tcBorders>
            <w:shd w:val="clear" w:color="auto" w:fill="5B9BD5"/>
          </w:tcPr>
          <w:p w14:paraId="1FE4B8D1" w14:textId="2250D415" w:rsidR="005659DC" w:rsidRPr="004561A6" w:rsidRDefault="002E26CD" w:rsidP="00CE710E">
            <w:pPr>
              <w:contextualSpacing/>
              <w:jc w:val="left"/>
              <w:rPr>
                <w:rFonts w:cs="Arial"/>
                <w:color w:val="auto"/>
                <w:sz w:val="18"/>
                <w:szCs w:val="18"/>
              </w:rPr>
            </w:pPr>
            <w:r>
              <w:rPr>
                <w:rFonts w:cs="Arial"/>
                <w:color w:val="auto"/>
                <w:sz w:val="18"/>
                <w:szCs w:val="18"/>
              </w:rPr>
              <w:t>3</w:t>
            </w:r>
            <w:r w:rsidR="005659DC" w:rsidRPr="004561A6">
              <w:rPr>
                <w:rFonts w:cs="Arial"/>
                <w:color w:val="auto"/>
                <w:sz w:val="18"/>
                <w:szCs w:val="18"/>
              </w:rPr>
              <w:t>,</w:t>
            </w:r>
            <w:r>
              <w:rPr>
                <w:rFonts w:cs="Arial"/>
                <w:color w:val="auto"/>
                <w:sz w:val="18"/>
                <w:szCs w:val="18"/>
              </w:rPr>
              <w:t>803</w:t>
            </w:r>
            <w:r w:rsidR="005659DC" w:rsidRPr="004561A6">
              <w:rPr>
                <w:rFonts w:cs="Arial"/>
                <w:color w:val="auto"/>
                <w:sz w:val="18"/>
                <w:szCs w:val="18"/>
              </w:rPr>
              <w:t>,</w:t>
            </w:r>
            <w:r>
              <w:rPr>
                <w:rFonts w:cs="Arial"/>
                <w:color w:val="auto"/>
                <w:sz w:val="18"/>
                <w:szCs w:val="18"/>
              </w:rPr>
              <w:t>660</w:t>
            </w:r>
          </w:p>
        </w:tc>
        <w:tc>
          <w:tcPr>
            <w:tcW w:w="407" w:type="pct"/>
            <w:tcBorders>
              <w:top w:val="single" w:sz="4" w:space="0" w:color="auto"/>
              <w:left w:val="single" w:sz="4" w:space="0" w:color="auto"/>
              <w:bottom w:val="single" w:sz="4" w:space="0" w:color="auto"/>
              <w:right w:val="single" w:sz="4" w:space="0" w:color="auto"/>
            </w:tcBorders>
            <w:shd w:val="clear" w:color="auto" w:fill="5B9BD5"/>
          </w:tcPr>
          <w:p w14:paraId="2492DC21" w14:textId="173F013D" w:rsidR="005659DC" w:rsidRPr="004561A6" w:rsidRDefault="005659DC" w:rsidP="00CE710E">
            <w:pPr>
              <w:contextualSpacing/>
              <w:jc w:val="left"/>
              <w:rPr>
                <w:rFonts w:cs="Arial"/>
                <w:color w:val="auto"/>
                <w:sz w:val="18"/>
                <w:szCs w:val="18"/>
              </w:rPr>
            </w:pPr>
            <w:r w:rsidRPr="004561A6">
              <w:rPr>
                <w:rFonts w:cs="Arial"/>
                <w:color w:val="auto"/>
                <w:sz w:val="18"/>
                <w:szCs w:val="18"/>
              </w:rPr>
              <w:t>4,</w:t>
            </w:r>
            <w:r>
              <w:rPr>
                <w:rFonts w:cs="Arial"/>
                <w:color w:val="auto"/>
                <w:sz w:val="18"/>
                <w:szCs w:val="18"/>
              </w:rPr>
              <w:t>111</w:t>
            </w:r>
            <w:r w:rsidRPr="004561A6">
              <w:rPr>
                <w:rFonts w:cs="Arial"/>
                <w:color w:val="auto"/>
                <w:sz w:val="18"/>
                <w:szCs w:val="18"/>
              </w:rPr>
              <w:t>,</w:t>
            </w:r>
            <w:r>
              <w:rPr>
                <w:rFonts w:cs="Arial"/>
                <w:color w:val="auto"/>
                <w:sz w:val="18"/>
                <w:szCs w:val="18"/>
              </w:rPr>
              <w:t>887</w:t>
            </w:r>
          </w:p>
        </w:tc>
        <w:tc>
          <w:tcPr>
            <w:tcW w:w="354"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113AC4A" w14:textId="337DDF86" w:rsidR="005659DC" w:rsidRPr="004561A6" w:rsidRDefault="005659DC" w:rsidP="00CE710E">
            <w:pPr>
              <w:contextualSpacing/>
              <w:jc w:val="left"/>
              <w:rPr>
                <w:rFonts w:cs="Arial"/>
                <w:color w:val="auto"/>
                <w:sz w:val="18"/>
                <w:szCs w:val="18"/>
              </w:rPr>
            </w:pPr>
            <w:r>
              <w:rPr>
                <w:rFonts w:cs="Arial"/>
                <w:color w:val="auto"/>
                <w:sz w:val="18"/>
                <w:szCs w:val="18"/>
              </w:rPr>
              <w:t>159</w:t>
            </w:r>
            <w:r w:rsidRPr="004561A6">
              <w:rPr>
                <w:rFonts w:cs="Arial"/>
                <w:color w:val="auto"/>
                <w:sz w:val="18"/>
                <w:szCs w:val="18"/>
              </w:rPr>
              <w:t>,</w:t>
            </w:r>
            <w:r>
              <w:rPr>
                <w:rFonts w:cs="Arial"/>
                <w:color w:val="auto"/>
                <w:sz w:val="18"/>
                <w:szCs w:val="18"/>
              </w:rPr>
              <w:t>256</w:t>
            </w:r>
          </w:p>
        </w:tc>
        <w:tc>
          <w:tcPr>
            <w:tcW w:w="356"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AC5659A" w14:textId="1701C00F" w:rsidR="005659DC" w:rsidRPr="004561A6" w:rsidRDefault="005659DC" w:rsidP="00CE710E">
            <w:pPr>
              <w:contextualSpacing/>
              <w:jc w:val="left"/>
              <w:rPr>
                <w:rFonts w:cs="Arial"/>
                <w:color w:val="auto"/>
                <w:sz w:val="18"/>
                <w:szCs w:val="18"/>
              </w:rPr>
            </w:pPr>
            <w:r>
              <w:rPr>
                <w:rFonts w:cs="Arial"/>
                <w:color w:val="auto"/>
                <w:sz w:val="18"/>
                <w:szCs w:val="18"/>
              </w:rPr>
              <w:t>116,514</w:t>
            </w:r>
          </w:p>
        </w:tc>
        <w:tc>
          <w:tcPr>
            <w:tcW w:w="377" w:type="pct"/>
            <w:tcBorders>
              <w:top w:val="single" w:sz="4" w:space="0" w:color="auto"/>
              <w:left w:val="single" w:sz="4" w:space="0" w:color="auto"/>
              <w:bottom w:val="single" w:sz="4" w:space="0" w:color="auto"/>
              <w:right w:val="single" w:sz="4" w:space="0" w:color="auto"/>
            </w:tcBorders>
            <w:shd w:val="clear" w:color="auto" w:fill="70AD47"/>
          </w:tcPr>
          <w:p w14:paraId="61D7B32A" w14:textId="77777777" w:rsidR="005659DC" w:rsidRDefault="005659DC" w:rsidP="00CE710E">
            <w:pPr>
              <w:contextualSpacing/>
              <w:jc w:val="left"/>
              <w:rPr>
                <w:rFonts w:cs="Arial"/>
                <w:color w:val="auto"/>
                <w:sz w:val="18"/>
                <w:szCs w:val="18"/>
              </w:rPr>
            </w:pPr>
            <w:r>
              <w:rPr>
                <w:rFonts w:cs="Arial"/>
                <w:color w:val="auto"/>
                <w:sz w:val="18"/>
                <w:szCs w:val="18"/>
              </w:rPr>
              <w:t>2,854,965</w:t>
            </w:r>
          </w:p>
        </w:tc>
      </w:tr>
      <w:tr w:rsidR="00A53F23" w:rsidRPr="004561A6" w14:paraId="6D43CC4B" w14:textId="77777777" w:rsidTr="002504D2">
        <w:trPr>
          <w:cantSplit/>
          <w:trHeight w:val="20"/>
        </w:trPr>
        <w:tc>
          <w:tcPr>
            <w:tcW w:w="405" w:type="pct"/>
            <w:tcBorders>
              <w:top w:val="nil"/>
              <w:left w:val="single" w:sz="4" w:space="0" w:color="auto"/>
              <w:bottom w:val="nil"/>
              <w:right w:val="single" w:sz="4" w:space="0" w:color="auto"/>
            </w:tcBorders>
            <w:vAlign w:val="center"/>
          </w:tcPr>
          <w:p w14:paraId="68221FF3" w14:textId="77777777" w:rsidR="005659DC" w:rsidRPr="004561A6" w:rsidRDefault="005659DC" w:rsidP="00CE710E">
            <w:pPr>
              <w:spacing w:before="0" w:after="0" w:line="256" w:lineRule="auto"/>
              <w:contextualSpacing/>
              <w:jc w:val="left"/>
              <w:rPr>
                <w:rFonts w:cs="Arial"/>
                <w:color w:val="auto"/>
                <w:sz w:val="18"/>
                <w:szCs w:val="18"/>
              </w:rPr>
            </w:pPr>
          </w:p>
        </w:tc>
        <w:tc>
          <w:tcPr>
            <w:tcW w:w="818" w:type="pct"/>
            <w:tcBorders>
              <w:top w:val="single" w:sz="4" w:space="0" w:color="auto"/>
              <w:left w:val="single" w:sz="4" w:space="0" w:color="auto"/>
              <w:bottom w:val="single" w:sz="4" w:space="0" w:color="auto"/>
              <w:right w:val="single" w:sz="4" w:space="0" w:color="auto"/>
            </w:tcBorders>
          </w:tcPr>
          <w:p w14:paraId="003094AF" w14:textId="77777777" w:rsidR="005659DC" w:rsidRPr="004561A6" w:rsidRDefault="005659DC" w:rsidP="00CE710E">
            <w:pPr>
              <w:contextualSpacing/>
              <w:jc w:val="right"/>
              <w:rPr>
                <w:rFonts w:cs="Arial"/>
                <w:color w:val="auto"/>
                <w:sz w:val="18"/>
                <w:szCs w:val="18"/>
              </w:rPr>
            </w:pPr>
            <w:r w:rsidRPr="004561A6">
              <w:rPr>
                <w:rFonts w:cs="Arial"/>
                <w:color w:val="auto"/>
                <w:sz w:val="18"/>
                <w:szCs w:val="18"/>
              </w:rPr>
              <w:t xml:space="preserve">Reduction of southward salt flux </w:t>
            </w:r>
            <w:r>
              <w:rPr>
                <w:rFonts w:cs="Arial"/>
                <w:color w:val="auto"/>
                <w:sz w:val="18"/>
                <w:szCs w:val="18"/>
              </w:rPr>
              <w:t>into</w:t>
            </w:r>
            <w:r w:rsidRPr="004561A6">
              <w:rPr>
                <w:rFonts w:cs="Arial"/>
                <w:color w:val="auto"/>
                <w:sz w:val="18"/>
                <w:szCs w:val="18"/>
              </w:rPr>
              <w:t xml:space="preserve"> the North Lagoon (</w:t>
            </w:r>
            <w:r>
              <w:rPr>
                <w:rFonts w:cs="Arial"/>
                <w:color w:val="auto"/>
                <w:sz w:val="18"/>
                <w:szCs w:val="18"/>
              </w:rPr>
              <w:t xml:space="preserve">Pelican </w:t>
            </w:r>
            <w:r w:rsidRPr="004561A6">
              <w:rPr>
                <w:rFonts w:cs="Arial"/>
                <w:color w:val="auto"/>
                <w:sz w:val="18"/>
                <w:szCs w:val="18"/>
              </w:rPr>
              <w:t>P</w:t>
            </w:r>
            <w:r>
              <w:rPr>
                <w:rFonts w:cs="Arial"/>
                <w:color w:val="auto"/>
                <w:sz w:val="18"/>
                <w:szCs w:val="18"/>
              </w:rPr>
              <w:t>oint</w:t>
            </w:r>
            <w:r w:rsidRPr="004561A6">
              <w:rPr>
                <w:rFonts w:cs="Arial"/>
                <w:color w:val="auto"/>
                <w:sz w:val="18"/>
                <w:szCs w:val="18"/>
              </w:rPr>
              <w:t>)</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C4A429" w14:textId="77777777" w:rsidR="005659DC" w:rsidRPr="004561A6" w:rsidRDefault="005659DC" w:rsidP="00CE710E">
            <w:pPr>
              <w:contextualSpacing/>
              <w:jc w:val="left"/>
              <w:rPr>
                <w:rFonts w:cs="Arial"/>
                <w:sz w:val="18"/>
                <w:szCs w:val="18"/>
              </w:rPr>
            </w:pPr>
          </w:p>
        </w:tc>
        <w:tc>
          <w:tcPr>
            <w:tcW w:w="41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DAA7A4" w14:textId="77777777" w:rsidR="005659DC" w:rsidRPr="004561A6" w:rsidRDefault="005659DC" w:rsidP="00CE710E">
            <w:pPr>
              <w:contextualSpacing/>
              <w:jc w:val="left"/>
              <w:rPr>
                <w:rFonts w:cs="Arial"/>
                <w:sz w:val="18"/>
                <w:szCs w:val="18"/>
              </w:rPr>
            </w:pPr>
          </w:p>
        </w:tc>
        <w:tc>
          <w:tcPr>
            <w:tcW w:w="3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5E1246" w14:textId="77777777" w:rsidR="005659DC" w:rsidRPr="004561A6" w:rsidRDefault="005659DC" w:rsidP="00CE710E">
            <w:pPr>
              <w:contextualSpacing/>
              <w:jc w:val="left"/>
              <w:rPr>
                <w:rFonts w:cs="Arial"/>
                <w:sz w:val="18"/>
                <w:szCs w:val="18"/>
              </w:rPr>
            </w:pPr>
          </w:p>
        </w:tc>
        <w:tc>
          <w:tcPr>
            <w:tcW w:w="380" w:type="pct"/>
            <w:tcBorders>
              <w:top w:val="single" w:sz="4" w:space="0" w:color="auto"/>
              <w:left w:val="single" w:sz="4" w:space="0" w:color="auto"/>
              <w:bottom w:val="single" w:sz="4" w:space="0" w:color="auto"/>
              <w:right w:val="single" w:sz="4" w:space="0" w:color="auto"/>
            </w:tcBorders>
            <w:shd w:val="clear" w:color="auto" w:fill="5B9BD5" w:themeFill="accent1"/>
          </w:tcPr>
          <w:p w14:paraId="42EFDD26" w14:textId="036DFC30" w:rsidR="005659DC" w:rsidRPr="004561A6" w:rsidRDefault="005659DC" w:rsidP="00CE710E">
            <w:pPr>
              <w:contextualSpacing/>
              <w:jc w:val="left"/>
              <w:rPr>
                <w:rFonts w:cs="Arial"/>
                <w:sz w:val="18"/>
                <w:szCs w:val="18"/>
              </w:rPr>
            </w:pPr>
            <w:r>
              <w:rPr>
                <w:rFonts w:cs="Arial"/>
                <w:sz w:val="18"/>
                <w:szCs w:val="18"/>
              </w:rPr>
              <w:t>3</w:t>
            </w:r>
            <w:r w:rsidRPr="004561A6">
              <w:rPr>
                <w:rFonts w:cs="Arial"/>
                <w:sz w:val="18"/>
                <w:szCs w:val="18"/>
              </w:rPr>
              <w:t>,</w:t>
            </w:r>
            <w:r>
              <w:rPr>
                <w:rFonts w:cs="Arial"/>
                <w:sz w:val="18"/>
                <w:szCs w:val="18"/>
              </w:rPr>
              <w:t>466</w:t>
            </w:r>
            <w:r w:rsidRPr="004561A6">
              <w:rPr>
                <w:rFonts w:cs="Arial"/>
                <w:sz w:val="18"/>
                <w:szCs w:val="18"/>
              </w:rPr>
              <w:t>,</w:t>
            </w:r>
            <w:r>
              <w:rPr>
                <w:rFonts w:cs="Arial"/>
                <w:sz w:val="18"/>
                <w:szCs w:val="18"/>
              </w:rPr>
              <w:t>493</w:t>
            </w:r>
          </w:p>
        </w:tc>
        <w:tc>
          <w:tcPr>
            <w:tcW w:w="395" w:type="pct"/>
            <w:tcBorders>
              <w:top w:val="single" w:sz="4" w:space="0" w:color="auto"/>
              <w:left w:val="single" w:sz="4" w:space="0" w:color="auto"/>
              <w:bottom w:val="single" w:sz="4" w:space="0" w:color="auto"/>
              <w:right w:val="single" w:sz="4" w:space="0" w:color="auto"/>
            </w:tcBorders>
            <w:shd w:val="clear" w:color="auto" w:fill="5B9BD5" w:themeFill="accent1"/>
          </w:tcPr>
          <w:p w14:paraId="0703CCDB" w14:textId="4436C9D1" w:rsidR="005659DC" w:rsidRPr="004561A6" w:rsidRDefault="005659DC" w:rsidP="00CE710E">
            <w:pPr>
              <w:contextualSpacing/>
              <w:jc w:val="left"/>
              <w:rPr>
                <w:rFonts w:cs="Arial"/>
                <w:sz w:val="18"/>
                <w:szCs w:val="18"/>
              </w:rPr>
            </w:pPr>
            <w:r w:rsidRPr="004561A6">
              <w:rPr>
                <w:rFonts w:cs="Arial"/>
                <w:sz w:val="18"/>
                <w:szCs w:val="18"/>
              </w:rPr>
              <w:t>3,</w:t>
            </w:r>
            <w:r>
              <w:rPr>
                <w:rFonts w:cs="Arial"/>
                <w:sz w:val="18"/>
                <w:szCs w:val="18"/>
              </w:rPr>
              <w:t>644</w:t>
            </w:r>
            <w:r w:rsidRPr="004561A6">
              <w:rPr>
                <w:rFonts w:cs="Arial"/>
                <w:sz w:val="18"/>
                <w:szCs w:val="18"/>
              </w:rPr>
              <w:t>,</w:t>
            </w:r>
            <w:r>
              <w:rPr>
                <w:rFonts w:cs="Arial"/>
                <w:sz w:val="18"/>
                <w:szCs w:val="18"/>
              </w:rPr>
              <w:t>23</w:t>
            </w:r>
            <w:r w:rsidR="00095BD7">
              <w:rPr>
                <w:rFonts w:cs="Arial"/>
                <w:sz w:val="18"/>
                <w:szCs w:val="18"/>
              </w:rPr>
              <w:t>3</w:t>
            </w:r>
          </w:p>
        </w:tc>
        <w:tc>
          <w:tcPr>
            <w:tcW w:w="407" w:type="pct"/>
            <w:tcBorders>
              <w:top w:val="single" w:sz="4" w:space="0" w:color="auto"/>
              <w:left w:val="single" w:sz="4" w:space="0" w:color="auto"/>
              <w:bottom w:val="single" w:sz="4" w:space="0" w:color="auto"/>
              <w:right w:val="single" w:sz="4" w:space="0" w:color="auto"/>
            </w:tcBorders>
            <w:shd w:val="clear" w:color="auto" w:fill="5B9BD5" w:themeFill="accent1"/>
          </w:tcPr>
          <w:p w14:paraId="37D69D10" w14:textId="404125FB" w:rsidR="005659DC" w:rsidRPr="004561A6" w:rsidRDefault="00904A94" w:rsidP="00CE710E">
            <w:pPr>
              <w:contextualSpacing/>
              <w:jc w:val="left"/>
              <w:rPr>
                <w:rFonts w:cs="Arial"/>
                <w:color w:val="auto"/>
                <w:sz w:val="18"/>
                <w:szCs w:val="18"/>
              </w:rPr>
            </w:pPr>
            <w:r>
              <w:rPr>
                <w:color w:val="auto"/>
                <w:sz w:val="18"/>
                <w:szCs w:val="18"/>
              </w:rPr>
              <w:t>2</w:t>
            </w:r>
            <w:r w:rsidR="005659DC" w:rsidRPr="004561A6">
              <w:rPr>
                <w:color w:val="auto"/>
                <w:sz w:val="18"/>
                <w:szCs w:val="18"/>
              </w:rPr>
              <w:t>,</w:t>
            </w:r>
            <w:r>
              <w:rPr>
                <w:color w:val="auto"/>
                <w:sz w:val="18"/>
                <w:szCs w:val="18"/>
              </w:rPr>
              <w:t>985</w:t>
            </w:r>
            <w:r w:rsidR="005659DC" w:rsidRPr="004561A6">
              <w:rPr>
                <w:color w:val="auto"/>
                <w:sz w:val="18"/>
                <w:szCs w:val="18"/>
              </w:rPr>
              <w:t>,</w:t>
            </w:r>
            <w:r>
              <w:rPr>
                <w:color w:val="auto"/>
                <w:sz w:val="18"/>
                <w:szCs w:val="18"/>
              </w:rPr>
              <w:t>534</w:t>
            </w:r>
          </w:p>
        </w:tc>
        <w:tc>
          <w:tcPr>
            <w:tcW w:w="407" w:type="pct"/>
            <w:tcBorders>
              <w:top w:val="single" w:sz="4" w:space="0" w:color="auto"/>
              <w:left w:val="single" w:sz="4" w:space="0" w:color="auto"/>
              <w:bottom w:val="single" w:sz="4" w:space="0" w:color="auto"/>
              <w:right w:val="single" w:sz="4" w:space="0" w:color="auto"/>
            </w:tcBorders>
            <w:shd w:val="clear" w:color="auto" w:fill="5B9BD5" w:themeFill="accent1"/>
          </w:tcPr>
          <w:p w14:paraId="3F544ECC" w14:textId="1F282F81" w:rsidR="005659DC" w:rsidRPr="004561A6" w:rsidRDefault="005659DC" w:rsidP="00CE710E">
            <w:pPr>
              <w:contextualSpacing/>
              <w:jc w:val="left"/>
              <w:rPr>
                <w:rFonts w:cs="Arial"/>
                <w:color w:val="auto"/>
                <w:sz w:val="18"/>
                <w:szCs w:val="18"/>
              </w:rPr>
            </w:pPr>
            <w:r w:rsidRPr="004561A6">
              <w:rPr>
                <w:rFonts w:cs="Arial"/>
                <w:color w:val="auto"/>
                <w:sz w:val="18"/>
                <w:szCs w:val="18"/>
              </w:rPr>
              <w:t>3,</w:t>
            </w:r>
            <w:r>
              <w:rPr>
                <w:rFonts w:cs="Arial"/>
                <w:color w:val="auto"/>
                <w:sz w:val="18"/>
                <w:szCs w:val="18"/>
              </w:rPr>
              <w:t>474</w:t>
            </w:r>
            <w:r w:rsidRPr="004561A6">
              <w:rPr>
                <w:rFonts w:cs="Arial"/>
                <w:color w:val="auto"/>
                <w:sz w:val="18"/>
                <w:szCs w:val="18"/>
              </w:rPr>
              <w:t>,</w:t>
            </w:r>
            <w:r>
              <w:rPr>
                <w:rFonts w:cs="Arial"/>
                <w:color w:val="auto"/>
                <w:sz w:val="18"/>
                <w:szCs w:val="18"/>
              </w:rPr>
              <w:t>241</w:t>
            </w:r>
          </w:p>
        </w:tc>
        <w:tc>
          <w:tcPr>
            <w:tcW w:w="354" w:type="pct"/>
            <w:tcBorders>
              <w:top w:val="single" w:sz="4" w:space="0" w:color="auto"/>
              <w:left w:val="single" w:sz="4" w:space="0" w:color="auto"/>
              <w:bottom w:val="single" w:sz="4" w:space="0" w:color="auto"/>
              <w:right w:val="single" w:sz="4" w:space="0" w:color="auto"/>
            </w:tcBorders>
            <w:shd w:val="clear" w:color="auto" w:fill="E2EFD9"/>
          </w:tcPr>
          <w:p w14:paraId="205FB5BD" w14:textId="029E8E42" w:rsidR="005659DC" w:rsidRPr="004561A6" w:rsidRDefault="005659DC" w:rsidP="00CE710E">
            <w:pPr>
              <w:contextualSpacing/>
              <w:jc w:val="left"/>
              <w:rPr>
                <w:rFonts w:cs="Arial"/>
                <w:color w:val="auto"/>
                <w:sz w:val="18"/>
                <w:szCs w:val="18"/>
              </w:rPr>
            </w:pPr>
            <w:r>
              <w:rPr>
                <w:rFonts w:cs="Arial"/>
                <w:color w:val="auto"/>
                <w:sz w:val="18"/>
                <w:szCs w:val="18"/>
              </w:rPr>
              <w:t>-139</w:t>
            </w:r>
            <w:r w:rsidRPr="004561A6">
              <w:rPr>
                <w:rFonts w:cs="Arial"/>
                <w:color w:val="auto"/>
                <w:sz w:val="18"/>
                <w:szCs w:val="18"/>
              </w:rPr>
              <w:t>,</w:t>
            </w:r>
            <w:r>
              <w:rPr>
                <w:rFonts w:cs="Arial"/>
                <w:color w:val="auto"/>
                <w:sz w:val="18"/>
                <w:szCs w:val="18"/>
              </w:rPr>
              <w:t>5</w:t>
            </w:r>
            <w:r w:rsidR="00095BD7">
              <w:rPr>
                <w:rFonts w:cs="Arial"/>
                <w:color w:val="auto"/>
                <w:sz w:val="18"/>
                <w:szCs w:val="18"/>
              </w:rPr>
              <w:t>70</w:t>
            </w:r>
          </w:p>
        </w:tc>
        <w:tc>
          <w:tcPr>
            <w:tcW w:w="356"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2CBCE08" w14:textId="17C41B06" w:rsidR="005659DC" w:rsidRPr="004561A6" w:rsidRDefault="005659DC" w:rsidP="00CE710E">
            <w:pPr>
              <w:contextualSpacing/>
              <w:jc w:val="left"/>
              <w:rPr>
                <w:rFonts w:cs="Arial"/>
                <w:color w:val="auto"/>
                <w:sz w:val="18"/>
                <w:szCs w:val="18"/>
              </w:rPr>
            </w:pPr>
            <w:r>
              <w:rPr>
                <w:rFonts w:cs="Arial"/>
                <w:color w:val="auto"/>
                <w:sz w:val="18"/>
                <w:szCs w:val="18"/>
              </w:rPr>
              <w:t>-49,21</w:t>
            </w:r>
            <w:r w:rsidR="00095BD7">
              <w:rPr>
                <w:rFonts w:cs="Arial"/>
                <w:color w:val="auto"/>
                <w:sz w:val="18"/>
                <w:szCs w:val="18"/>
              </w:rPr>
              <w:t>1</w:t>
            </w:r>
          </w:p>
        </w:tc>
        <w:tc>
          <w:tcPr>
            <w:tcW w:w="377" w:type="pct"/>
            <w:tcBorders>
              <w:top w:val="single" w:sz="4" w:space="0" w:color="auto"/>
              <w:left w:val="single" w:sz="4" w:space="0" w:color="auto"/>
              <w:bottom w:val="single" w:sz="4" w:space="0" w:color="auto"/>
              <w:right w:val="single" w:sz="4" w:space="0" w:color="auto"/>
            </w:tcBorders>
            <w:shd w:val="clear" w:color="auto" w:fill="5B9BD5" w:themeFill="accent1"/>
          </w:tcPr>
          <w:p w14:paraId="2FABCF7D" w14:textId="77777777" w:rsidR="005659DC" w:rsidRDefault="005659DC" w:rsidP="00CE710E">
            <w:pPr>
              <w:contextualSpacing/>
              <w:jc w:val="left"/>
              <w:rPr>
                <w:rFonts w:cs="Arial"/>
                <w:color w:val="auto"/>
                <w:sz w:val="18"/>
                <w:szCs w:val="18"/>
              </w:rPr>
            </w:pPr>
            <w:r>
              <w:rPr>
                <w:rFonts w:cs="Arial"/>
                <w:color w:val="auto"/>
                <w:sz w:val="18"/>
                <w:szCs w:val="18"/>
              </w:rPr>
              <w:t>2,441,021</w:t>
            </w:r>
          </w:p>
        </w:tc>
      </w:tr>
      <w:tr w:rsidR="005659DC" w:rsidRPr="004561A6" w14:paraId="6F414E41" w14:textId="77777777" w:rsidTr="00CE710E">
        <w:trPr>
          <w:cantSplit/>
          <w:trHeight w:val="20"/>
        </w:trPr>
        <w:tc>
          <w:tcPr>
            <w:tcW w:w="405" w:type="pct"/>
            <w:tcBorders>
              <w:top w:val="nil"/>
              <w:left w:val="single" w:sz="4" w:space="0" w:color="auto"/>
              <w:bottom w:val="single" w:sz="4" w:space="0" w:color="auto"/>
              <w:right w:val="single" w:sz="4" w:space="0" w:color="auto"/>
            </w:tcBorders>
            <w:vAlign w:val="center"/>
          </w:tcPr>
          <w:p w14:paraId="5D0149F0" w14:textId="77777777" w:rsidR="005659DC" w:rsidRPr="004561A6" w:rsidRDefault="005659DC" w:rsidP="00CE710E">
            <w:pPr>
              <w:spacing w:before="0" w:after="0" w:line="256" w:lineRule="auto"/>
              <w:contextualSpacing/>
              <w:jc w:val="left"/>
              <w:rPr>
                <w:rFonts w:cs="Arial"/>
                <w:color w:val="auto"/>
                <w:sz w:val="18"/>
                <w:szCs w:val="18"/>
              </w:rPr>
            </w:pPr>
          </w:p>
        </w:tc>
        <w:tc>
          <w:tcPr>
            <w:tcW w:w="818" w:type="pct"/>
            <w:tcBorders>
              <w:top w:val="single" w:sz="4" w:space="0" w:color="auto"/>
              <w:left w:val="single" w:sz="4" w:space="0" w:color="auto"/>
              <w:bottom w:val="single" w:sz="4" w:space="0" w:color="auto"/>
              <w:right w:val="single" w:sz="4" w:space="0" w:color="auto"/>
            </w:tcBorders>
          </w:tcPr>
          <w:p w14:paraId="157E5D39" w14:textId="77777777" w:rsidR="005659DC" w:rsidRDefault="005659DC" w:rsidP="00CE710E">
            <w:pPr>
              <w:contextualSpacing/>
              <w:jc w:val="right"/>
              <w:rPr>
                <w:rFonts w:cs="Arial"/>
                <w:color w:val="auto"/>
                <w:sz w:val="18"/>
                <w:szCs w:val="18"/>
              </w:rPr>
            </w:pPr>
            <w:r w:rsidRPr="004561A6">
              <w:rPr>
                <w:rFonts w:cs="Arial"/>
                <w:color w:val="auto"/>
                <w:sz w:val="18"/>
                <w:szCs w:val="18"/>
              </w:rPr>
              <w:t xml:space="preserve">Reduction of southward salt flux </w:t>
            </w:r>
            <w:r>
              <w:rPr>
                <w:rFonts w:cs="Arial"/>
                <w:color w:val="auto"/>
                <w:sz w:val="18"/>
                <w:szCs w:val="18"/>
              </w:rPr>
              <w:t>into the</w:t>
            </w:r>
            <w:r w:rsidRPr="004561A6">
              <w:rPr>
                <w:rFonts w:cs="Arial"/>
                <w:color w:val="auto"/>
                <w:sz w:val="18"/>
                <w:szCs w:val="18"/>
              </w:rPr>
              <w:t xml:space="preserve"> South Lagoon </w:t>
            </w:r>
          </w:p>
          <w:p w14:paraId="2BCB0FCD" w14:textId="77777777" w:rsidR="005659DC" w:rsidRPr="004561A6" w:rsidRDefault="005659DC" w:rsidP="00CE710E">
            <w:pPr>
              <w:contextualSpacing/>
              <w:jc w:val="right"/>
              <w:rPr>
                <w:rFonts w:cs="Arial"/>
                <w:color w:val="auto"/>
                <w:sz w:val="18"/>
                <w:szCs w:val="18"/>
              </w:rPr>
            </w:pPr>
            <w:r w:rsidRPr="004561A6">
              <w:rPr>
                <w:rFonts w:cs="Arial"/>
                <w:color w:val="auto"/>
                <w:sz w:val="18"/>
                <w:szCs w:val="18"/>
              </w:rPr>
              <w:t>(P</w:t>
            </w:r>
            <w:r>
              <w:rPr>
                <w:rFonts w:cs="Arial"/>
                <w:color w:val="auto"/>
                <w:sz w:val="18"/>
                <w:szCs w:val="18"/>
              </w:rPr>
              <w:t xml:space="preserve">arnka </w:t>
            </w:r>
            <w:r w:rsidRPr="004561A6">
              <w:rPr>
                <w:rFonts w:cs="Arial"/>
                <w:color w:val="auto"/>
                <w:sz w:val="18"/>
                <w:szCs w:val="18"/>
              </w:rPr>
              <w:t>P</w:t>
            </w:r>
            <w:r>
              <w:rPr>
                <w:rFonts w:cs="Arial"/>
                <w:color w:val="auto"/>
                <w:sz w:val="18"/>
                <w:szCs w:val="18"/>
              </w:rPr>
              <w:t>oint</w:t>
            </w:r>
            <w:r w:rsidRPr="004561A6">
              <w:rPr>
                <w:rFonts w:cs="Arial"/>
                <w:color w:val="auto"/>
                <w:sz w:val="18"/>
                <w:szCs w:val="18"/>
              </w:rPr>
              <w:t>)</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F8E0" w14:textId="77777777" w:rsidR="005659DC" w:rsidRPr="004561A6" w:rsidRDefault="005659DC" w:rsidP="00CE710E">
            <w:pPr>
              <w:contextualSpacing/>
              <w:jc w:val="left"/>
              <w:rPr>
                <w:rFonts w:cs="Arial"/>
                <w:sz w:val="18"/>
                <w:szCs w:val="18"/>
              </w:rPr>
            </w:pPr>
          </w:p>
        </w:tc>
        <w:tc>
          <w:tcPr>
            <w:tcW w:w="41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3D7533" w14:textId="77777777" w:rsidR="005659DC" w:rsidRPr="004561A6" w:rsidRDefault="005659DC" w:rsidP="00CE710E">
            <w:pPr>
              <w:contextualSpacing/>
              <w:jc w:val="left"/>
              <w:rPr>
                <w:rFonts w:cs="Arial"/>
                <w:sz w:val="18"/>
                <w:szCs w:val="18"/>
              </w:rPr>
            </w:pPr>
          </w:p>
        </w:tc>
        <w:tc>
          <w:tcPr>
            <w:tcW w:w="3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C61ED6" w14:textId="77777777" w:rsidR="005659DC" w:rsidRPr="004561A6" w:rsidRDefault="005659DC" w:rsidP="00CE710E">
            <w:pPr>
              <w:contextualSpacing/>
              <w:jc w:val="left"/>
              <w:rPr>
                <w:rFonts w:cs="Arial"/>
                <w:sz w:val="18"/>
                <w:szCs w:val="18"/>
              </w:rPr>
            </w:pPr>
          </w:p>
        </w:tc>
        <w:tc>
          <w:tcPr>
            <w:tcW w:w="380" w:type="pct"/>
            <w:tcBorders>
              <w:top w:val="single" w:sz="4" w:space="0" w:color="auto"/>
              <w:left w:val="single" w:sz="4" w:space="0" w:color="auto"/>
              <w:bottom w:val="single" w:sz="4" w:space="0" w:color="auto"/>
              <w:right w:val="single" w:sz="4" w:space="0" w:color="auto"/>
            </w:tcBorders>
            <w:shd w:val="clear" w:color="auto" w:fill="5B9BD5" w:themeFill="accent1"/>
          </w:tcPr>
          <w:p w14:paraId="7099D493" w14:textId="2587BE38" w:rsidR="005659DC" w:rsidRPr="004561A6" w:rsidRDefault="005659DC" w:rsidP="00CE710E">
            <w:pPr>
              <w:contextualSpacing/>
              <w:jc w:val="left"/>
              <w:rPr>
                <w:rFonts w:cs="Arial"/>
                <w:sz w:val="18"/>
                <w:szCs w:val="18"/>
              </w:rPr>
            </w:pPr>
            <w:r w:rsidRPr="004561A6">
              <w:rPr>
                <w:rFonts w:cs="Arial"/>
                <w:sz w:val="18"/>
                <w:szCs w:val="18"/>
              </w:rPr>
              <w:t>1,</w:t>
            </w:r>
            <w:r>
              <w:rPr>
                <w:rFonts w:cs="Arial"/>
                <w:sz w:val="18"/>
                <w:szCs w:val="18"/>
              </w:rPr>
              <w:t>809</w:t>
            </w:r>
            <w:r w:rsidRPr="004561A6">
              <w:rPr>
                <w:rFonts w:cs="Arial"/>
                <w:sz w:val="18"/>
                <w:szCs w:val="18"/>
              </w:rPr>
              <w:t>,</w:t>
            </w:r>
            <w:r>
              <w:rPr>
                <w:rFonts w:cs="Arial"/>
                <w:sz w:val="18"/>
                <w:szCs w:val="18"/>
              </w:rPr>
              <w:t>6</w:t>
            </w:r>
            <w:r w:rsidRPr="004561A6">
              <w:rPr>
                <w:rFonts w:cs="Arial"/>
                <w:sz w:val="18"/>
                <w:szCs w:val="18"/>
              </w:rPr>
              <w:t>1</w:t>
            </w:r>
            <w:r>
              <w:rPr>
                <w:rFonts w:cs="Arial"/>
                <w:sz w:val="18"/>
                <w:szCs w:val="18"/>
              </w:rPr>
              <w:t>3</w:t>
            </w:r>
          </w:p>
        </w:tc>
        <w:tc>
          <w:tcPr>
            <w:tcW w:w="395" w:type="pct"/>
            <w:tcBorders>
              <w:top w:val="single" w:sz="4" w:space="0" w:color="auto"/>
              <w:left w:val="single" w:sz="4" w:space="0" w:color="auto"/>
              <w:bottom w:val="single" w:sz="4" w:space="0" w:color="auto"/>
              <w:right w:val="single" w:sz="4" w:space="0" w:color="auto"/>
            </w:tcBorders>
            <w:shd w:val="clear" w:color="auto" w:fill="5B9BD5" w:themeFill="accent1"/>
          </w:tcPr>
          <w:p w14:paraId="587D0DA0" w14:textId="594D6CA1" w:rsidR="005659DC" w:rsidRPr="004561A6" w:rsidRDefault="005659DC" w:rsidP="00CE710E">
            <w:pPr>
              <w:contextualSpacing/>
              <w:jc w:val="left"/>
              <w:rPr>
                <w:rFonts w:cs="Arial"/>
                <w:sz w:val="18"/>
                <w:szCs w:val="18"/>
              </w:rPr>
            </w:pPr>
            <w:r w:rsidRPr="004561A6">
              <w:rPr>
                <w:rFonts w:cs="Arial"/>
                <w:color w:val="auto"/>
                <w:sz w:val="18"/>
                <w:szCs w:val="18"/>
              </w:rPr>
              <w:t>1,</w:t>
            </w:r>
            <w:r>
              <w:rPr>
                <w:rFonts w:cs="Arial"/>
                <w:color w:val="auto"/>
                <w:sz w:val="18"/>
                <w:szCs w:val="18"/>
              </w:rPr>
              <w:t>185</w:t>
            </w:r>
            <w:r w:rsidRPr="004561A6">
              <w:rPr>
                <w:rFonts w:cs="Arial"/>
                <w:color w:val="auto"/>
                <w:sz w:val="18"/>
                <w:szCs w:val="18"/>
              </w:rPr>
              <w:t>,</w:t>
            </w:r>
            <w:r>
              <w:rPr>
                <w:rFonts w:cs="Arial"/>
                <w:color w:val="auto"/>
                <w:sz w:val="18"/>
                <w:szCs w:val="18"/>
              </w:rPr>
              <w:t>26</w:t>
            </w:r>
            <w:r w:rsidR="00095BD7">
              <w:rPr>
                <w:rFonts w:cs="Arial"/>
                <w:color w:val="auto"/>
                <w:sz w:val="18"/>
                <w:szCs w:val="18"/>
              </w:rPr>
              <w:t>7</w:t>
            </w:r>
          </w:p>
        </w:tc>
        <w:tc>
          <w:tcPr>
            <w:tcW w:w="407" w:type="pct"/>
            <w:tcBorders>
              <w:top w:val="single" w:sz="4" w:space="0" w:color="auto"/>
              <w:left w:val="single" w:sz="4" w:space="0" w:color="auto"/>
              <w:bottom w:val="single" w:sz="4" w:space="0" w:color="auto"/>
              <w:right w:val="single" w:sz="4" w:space="0" w:color="auto"/>
            </w:tcBorders>
            <w:shd w:val="clear" w:color="auto" w:fill="5B9BD5" w:themeFill="accent1"/>
          </w:tcPr>
          <w:p w14:paraId="5080A7A3" w14:textId="2715ECED" w:rsidR="005659DC" w:rsidRPr="004561A6" w:rsidRDefault="00006C89" w:rsidP="00CE710E">
            <w:pPr>
              <w:contextualSpacing/>
              <w:jc w:val="left"/>
              <w:rPr>
                <w:rFonts w:cs="Arial"/>
                <w:color w:val="auto"/>
                <w:sz w:val="18"/>
                <w:szCs w:val="18"/>
              </w:rPr>
            </w:pPr>
            <w:r>
              <w:rPr>
                <w:rFonts w:cs="Arial"/>
                <w:color w:val="auto"/>
                <w:sz w:val="18"/>
                <w:szCs w:val="18"/>
              </w:rPr>
              <w:t>1</w:t>
            </w:r>
            <w:r w:rsidR="005659DC" w:rsidRPr="004561A6">
              <w:rPr>
                <w:rFonts w:cs="Arial"/>
                <w:color w:val="auto"/>
                <w:sz w:val="18"/>
                <w:szCs w:val="18"/>
              </w:rPr>
              <w:t>,</w:t>
            </w:r>
            <w:r>
              <w:rPr>
                <w:rFonts w:cs="Arial"/>
                <w:color w:val="auto"/>
                <w:sz w:val="18"/>
                <w:szCs w:val="18"/>
              </w:rPr>
              <w:t>749</w:t>
            </w:r>
            <w:r w:rsidR="005659DC" w:rsidRPr="004561A6">
              <w:rPr>
                <w:rFonts w:cs="Arial"/>
                <w:color w:val="auto"/>
                <w:sz w:val="18"/>
                <w:szCs w:val="18"/>
              </w:rPr>
              <w:t>,</w:t>
            </w:r>
            <w:r>
              <w:rPr>
                <w:rFonts w:cs="Arial"/>
                <w:color w:val="auto"/>
                <w:sz w:val="18"/>
                <w:szCs w:val="18"/>
              </w:rPr>
              <w:t>078</w:t>
            </w:r>
          </w:p>
        </w:tc>
        <w:tc>
          <w:tcPr>
            <w:tcW w:w="407" w:type="pct"/>
            <w:tcBorders>
              <w:top w:val="single" w:sz="4" w:space="0" w:color="auto"/>
              <w:left w:val="single" w:sz="4" w:space="0" w:color="auto"/>
              <w:bottom w:val="single" w:sz="4" w:space="0" w:color="auto"/>
              <w:right w:val="single" w:sz="4" w:space="0" w:color="auto"/>
            </w:tcBorders>
            <w:shd w:val="clear" w:color="auto" w:fill="5B9BD5" w:themeFill="accent1"/>
          </w:tcPr>
          <w:p w14:paraId="72AC035C" w14:textId="0A4D36DB" w:rsidR="005659DC" w:rsidRPr="004561A6" w:rsidRDefault="005659DC" w:rsidP="00CE710E">
            <w:pPr>
              <w:contextualSpacing/>
              <w:jc w:val="left"/>
              <w:rPr>
                <w:rFonts w:cs="Arial"/>
                <w:color w:val="auto"/>
                <w:sz w:val="18"/>
                <w:szCs w:val="18"/>
              </w:rPr>
            </w:pPr>
            <w:r w:rsidRPr="004561A6">
              <w:rPr>
                <w:rFonts w:cs="Arial"/>
                <w:color w:val="auto"/>
                <w:sz w:val="18"/>
                <w:szCs w:val="18"/>
              </w:rPr>
              <w:t>1,</w:t>
            </w:r>
            <w:r>
              <w:rPr>
                <w:rFonts w:cs="Arial"/>
                <w:color w:val="auto"/>
                <w:sz w:val="18"/>
                <w:szCs w:val="18"/>
              </w:rPr>
              <w:t>602</w:t>
            </w:r>
            <w:r w:rsidRPr="004561A6">
              <w:rPr>
                <w:rFonts w:cs="Arial"/>
                <w:color w:val="auto"/>
                <w:sz w:val="18"/>
                <w:szCs w:val="18"/>
              </w:rPr>
              <w:t>,</w:t>
            </w:r>
            <w:r>
              <w:rPr>
                <w:rFonts w:cs="Arial"/>
                <w:color w:val="auto"/>
                <w:sz w:val="18"/>
                <w:szCs w:val="18"/>
              </w:rPr>
              <w:t>22</w:t>
            </w:r>
            <w:r w:rsidR="00095BD7">
              <w:rPr>
                <w:rFonts w:cs="Arial"/>
                <w:color w:val="auto"/>
                <w:sz w:val="18"/>
                <w:szCs w:val="18"/>
              </w:rPr>
              <w:t>2</w:t>
            </w:r>
          </w:p>
        </w:tc>
        <w:tc>
          <w:tcPr>
            <w:tcW w:w="354" w:type="pct"/>
            <w:tcBorders>
              <w:top w:val="single" w:sz="4" w:space="0" w:color="auto"/>
              <w:left w:val="single" w:sz="4" w:space="0" w:color="auto"/>
              <w:bottom w:val="single" w:sz="4" w:space="0" w:color="auto"/>
              <w:right w:val="single" w:sz="4" w:space="0" w:color="auto"/>
            </w:tcBorders>
            <w:shd w:val="clear" w:color="auto" w:fill="E2EFD9"/>
          </w:tcPr>
          <w:p w14:paraId="4C09D6E2" w14:textId="65E30BCB" w:rsidR="005659DC" w:rsidRPr="004561A6" w:rsidRDefault="005659DC" w:rsidP="00CE710E">
            <w:pPr>
              <w:contextualSpacing/>
              <w:jc w:val="left"/>
              <w:rPr>
                <w:rFonts w:cs="Arial"/>
                <w:color w:val="auto"/>
                <w:sz w:val="18"/>
                <w:szCs w:val="18"/>
              </w:rPr>
            </w:pPr>
            <w:r>
              <w:rPr>
                <w:rFonts w:cs="Arial"/>
                <w:color w:val="auto"/>
                <w:sz w:val="18"/>
                <w:szCs w:val="18"/>
              </w:rPr>
              <w:t>-81</w:t>
            </w:r>
            <w:r w:rsidRPr="004561A6">
              <w:rPr>
                <w:rFonts w:cs="Arial"/>
                <w:color w:val="auto"/>
                <w:sz w:val="18"/>
                <w:szCs w:val="18"/>
              </w:rPr>
              <w:t>,</w:t>
            </w:r>
            <w:r>
              <w:rPr>
                <w:rFonts w:cs="Arial"/>
                <w:color w:val="auto"/>
                <w:sz w:val="18"/>
                <w:szCs w:val="18"/>
              </w:rPr>
              <w:t>041</w:t>
            </w:r>
          </w:p>
        </w:tc>
        <w:tc>
          <w:tcPr>
            <w:tcW w:w="356"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0857CAF" w14:textId="3B1FAD48" w:rsidR="005659DC" w:rsidRPr="004561A6" w:rsidRDefault="005659DC" w:rsidP="00CE710E">
            <w:pPr>
              <w:contextualSpacing/>
              <w:jc w:val="left"/>
              <w:rPr>
                <w:rFonts w:cs="Arial"/>
                <w:color w:val="auto"/>
                <w:sz w:val="18"/>
                <w:szCs w:val="18"/>
              </w:rPr>
            </w:pPr>
            <w:r>
              <w:rPr>
                <w:rFonts w:cs="Arial"/>
                <w:color w:val="auto"/>
                <w:sz w:val="18"/>
                <w:szCs w:val="18"/>
              </w:rPr>
              <w:t>-32,340</w:t>
            </w:r>
          </w:p>
        </w:tc>
        <w:tc>
          <w:tcPr>
            <w:tcW w:w="377" w:type="pct"/>
            <w:tcBorders>
              <w:top w:val="single" w:sz="4" w:space="0" w:color="auto"/>
              <w:left w:val="single" w:sz="4" w:space="0" w:color="auto"/>
              <w:bottom w:val="single" w:sz="4" w:space="0" w:color="auto"/>
              <w:right w:val="single" w:sz="4" w:space="0" w:color="auto"/>
            </w:tcBorders>
            <w:shd w:val="clear" w:color="auto" w:fill="70AD47"/>
          </w:tcPr>
          <w:p w14:paraId="0C0D2496" w14:textId="77777777" w:rsidR="005659DC" w:rsidRDefault="005659DC" w:rsidP="00CE710E">
            <w:pPr>
              <w:contextualSpacing/>
              <w:jc w:val="left"/>
              <w:rPr>
                <w:rFonts w:cs="Arial"/>
                <w:color w:val="auto"/>
                <w:sz w:val="18"/>
                <w:szCs w:val="18"/>
              </w:rPr>
            </w:pPr>
            <w:r>
              <w:rPr>
                <w:rFonts w:cs="Arial"/>
                <w:color w:val="auto"/>
                <w:sz w:val="18"/>
                <w:szCs w:val="18"/>
              </w:rPr>
              <w:t>974,673</w:t>
            </w:r>
          </w:p>
        </w:tc>
      </w:tr>
      <w:tr w:rsidR="005659DC" w:rsidRPr="004561A6" w14:paraId="4CBCBE76" w14:textId="77777777" w:rsidTr="00CE710E">
        <w:trPr>
          <w:cantSplit/>
          <w:trHeight w:val="20"/>
        </w:trPr>
        <w:tc>
          <w:tcPr>
            <w:tcW w:w="1223" w:type="pct"/>
            <w:gridSpan w:val="2"/>
            <w:tcBorders>
              <w:top w:val="single" w:sz="4" w:space="0" w:color="auto"/>
              <w:left w:val="single" w:sz="4" w:space="0" w:color="auto"/>
              <w:bottom w:val="single" w:sz="4" w:space="0" w:color="auto"/>
              <w:right w:val="single" w:sz="4" w:space="0" w:color="auto"/>
            </w:tcBorders>
            <w:hideMark/>
          </w:tcPr>
          <w:p w14:paraId="3764038F" w14:textId="77777777" w:rsidR="005659DC" w:rsidRPr="004561A6" w:rsidRDefault="005659DC" w:rsidP="00CE710E">
            <w:pPr>
              <w:contextualSpacing/>
              <w:jc w:val="left"/>
              <w:rPr>
                <w:sz w:val="18"/>
                <w:szCs w:val="18"/>
              </w:rPr>
            </w:pPr>
            <w:r w:rsidRPr="004561A6">
              <w:rPr>
                <w:sz w:val="18"/>
                <w:szCs w:val="18"/>
              </w:rPr>
              <w:t>What did CEW contribute to the salinity regime?</w:t>
            </w:r>
          </w:p>
        </w:tc>
        <w:tc>
          <w:tcPr>
            <w:tcW w:w="3777" w:type="pct"/>
            <w:gridSpan w:val="10"/>
            <w:tcBorders>
              <w:top w:val="single" w:sz="4" w:space="0" w:color="auto"/>
              <w:left w:val="single" w:sz="4" w:space="0" w:color="auto"/>
              <w:bottom w:val="single" w:sz="4" w:space="0" w:color="auto"/>
              <w:right w:val="single" w:sz="4" w:space="0" w:color="auto"/>
            </w:tcBorders>
            <w:shd w:val="clear" w:color="auto" w:fill="5B9BD5" w:themeFill="accent1"/>
            <w:hideMark/>
          </w:tcPr>
          <w:p w14:paraId="12E946D0" w14:textId="77777777" w:rsidR="005659DC" w:rsidRPr="00B718C4" w:rsidRDefault="005659DC" w:rsidP="00CE710E">
            <w:pPr>
              <w:pStyle w:val="TableHeading"/>
              <w:spacing w:before="80" w:after="80"/>
              <w:rPr>
                <w:b w:val="0"/>
                <w:sz w:val="18"/>
                <w:szCs w:val="18"/>
              </w:rPr>
            </w:pPr>
            <w:r>
              <w:rPr>
                <w:b w:val="0"/>
                <w:sz w:val="18"/>
                <w:szCs w:val="18"/>
              </w:rPr>
              <w:t>Long-term (2017–2024) outcome = substantial.</w:t>
            </w:r>
          </w:p>
          <w:p w14:paraId="1A4E6671" w14:textId="0678928D" w:rsidR="005659DC" w:rsidRPr="00277D1A" w:rsidRDefault="005659DC" w:rsidP="00CE710E">
            <w:pPr>
              <w:pStyle w:val="TableHeading"/>
              <w:spacing w:before="80" w:after="80"/>
              <w:rPr>
                <w:b w:val="0"/>
                <w:bCs/>
                <w:sz w:val="18"/>
                <w:szCs w:val="18"/>
              </w:rPr>
            </w:pPr>
            <w:r>
              <w:rPr>
                <w:b w:val="0"/>
                <w:bCs/>
                <w:sz w:val="18"/>
                <w:szCs w:val="18"/>
              </w:rPr>
              <w:t xml:space="preserve">Overall, </w:t>
            </w:r>
            <w:r w:rsidRPr="00C362D6">
              <w:rPr>
                <w:b w:val="0"/>
                <w:bCs/>
                <w:sz w:val="18"/>
                <w:szCs w:val="18"/>
              </w:rPr>
              <w:t xml:space="preserve">CEW increased salt export through the barrages; and reduced salt intrusion into the Murray Mouth from the ocean, which reduced salinity in the Coorong. </w:t>
            </w:r>
            <w:r>
              <w:rPr>
                <w:b w:val="0"/>
                <w:bCs/>
                <w:sz w:val="18"/>
                <w:szCs w:val="18"/>
              </w:rPr>
              <w:t xml:space="preserve">The contribution of </w:t>
            </w:r>
            <w:r w:rsidRPr="00C362D6">
              <w:rPr>
                <w:b w:val="0"/>
                <w:bCs/>
                <w:sz w:val="18"/>
                <w:szCs w:val="18"/>
              </w:rPr>
              <w:t xml:space="preserve">CEW </w:t>
            </w:r>
            <w:r>
              <w:rPr>
                <w:b w:val="0"/>
                <w:bCs/>
                <w:sz w:val="18"/>
                <w:szCs w:val="18"/>
              </w:rPr>
              <w:t xml:space="preserve">to the inflows </w:t>
            </w:r>
            <w:r w:rsidRPr="00C362D6">
              <w:rPr>
                <w:b w:val="0"/>
                <w:bCs/>
                <w:sz w:val="18"/>
                <w:szCs w:val="18"/>
              </w:rPr>
              <w:t xml:space="preserve">to the Coorong </w:t>
            </w:r>
            <w:r>
              <w:rPr>
                <w:b w:val="0"/>
                <w:bCs/>
                <w:sz w:val="18"/>
                <w:szCs w:val="18"/>
              </w:rPr>
              <w:t xml:space="preserve">was significant during dry years </w:t>
            </w:r>
            <w:r w:rsidRPr="00C362D6">
              <w:rPr>
                <w:b w:val="0"/>
                <w:bCs/>
                <w:sz w:val="18"/>
                <w:szCs w:val="18"/>
              </w:rPr>
              <w:t xml:space="preserve">from July 2017 to June 2021, </w:t>
            </w:r>
            <w:r>
              <w:rPr>
                <w:b w:val="0"/>
                <w:bCs/>
                <w:sz w:val="18"/>
                <w:szCs w:val="18"/>
              </w:rPr>
              <w:t xml:space="preserve">for example, with 100% of barrage releases being CEW in </w:t>
            </w:r>
            <w:r w:rsidRPr="00C362D6">
              <w:rPr>
                <w:b w:val="0"/>
                <w:bCs/>
                <w:sz w:val="18"/>
                <w:szCs w:val="18"/>
              </w:rPr>
              <w:t xml:space="preserve">2018-19 and 2019-20. </w:t>
            </w:r>
            <w:r>
              <w:rPr>
                <w:b w:val="0"/>
                <w:bCs/>
                <w:sz w:val="18"/>
                <w:szCs w:val="18"/>
              </w:rPr>
              <w:t>S</w:t>
            </w:r>
            <w:r w:rsidRPr="00C362D6">
              <w:rPr>
                <w:b w:val="0"/>
                <w:bCs/>
                <w:sz w:val="18"/>
                <w:szCs w:val="18"/>
              </w:rPr>
              <w:t xml:space="preserve">alt export remains below the Basin Plan target of 2 million tonnes per year except for 2022-23 (estimated ~3.1 million tonnes). In 2023-24, unregulated water dominated the barrage flows, and CEW contributed to </w:t>
            </w:r>
            <w:r w:rsidRPr="00C362D6">
              <w:rPr>
                <w:b w:val="0"/>
                <w:bCs/>
                <w:color w:val="auto"/>
                <w:sz w:val="18"/>
                <w:szCs w:val="18"/>
              </w:rPr>
              <w:t>221,27</w:t>
            </w:r>
            <w:r>
              <w:rPr>
                <w:b w:val="0"/>
                <w:bCs/>
                <w:color w:val="auto"/>
                <w:sz w:val="18"/>
                <w:szCs w:val="18"/>
              </w:rPr>
              <w:t>2</w:t>
            </w:r>
            <w:r w:rsidRPr="00C362D6">
              <w:rPr>
                <w:b w:val="0"/>
                <w:bCs/>
                <w:sz w:val="18"/>
                <w:szCs w:val="18"/>
              </w:rPr>
              <w:t xml:space="preserve"> tonnes of salt export through the barrages which was 17.8% of all salt exported</w:t>
            </w:r>
            <w:r w:rsidR="00CE2265">
              <w:rPr>
                <w:b w:val="0"/>
                <w:bCs/>
                <w:sz w:val="18"/>
                <w:szCs w:val="18"/>
              </w:rPr>
              <w:t xml:space="preserve"> in that water year</w:t>
            </w:r>
            <w:r w:rsidRPr="00C362D6">
              <w:rPr>
                <w:b w:val="0"/>
                <w:bCs/>
                <w:sz w:val="18"/>
                <w:szCs w:val="18"/>
              </w:rPr>
              <w:t xml:space="preserve">. CEW </w:t>
            </w:r>
            <w:r>
              <w:rPr>
                <w:b w:val="0"/>
                <w:bCs/>
                <w:sz w:val="18"/>
                <w:szCs w:val="18"/>
              </w:rPr>
              <w:t>reduced</w:t>
            </w:r>
            <w:r w:rsidRPr="00C362D6">
              <w:rPr>
                <w:b w:val="0"/>
                <w:bCs/>
                <w:sz w:val="18"/>
                <w:szCs w:val="18"/>
              </w:rPr>
              <w:t xml:space="preserve"> salt import through the Murray Mouth and </w:t>
            </w:r>
            <w:r>
              <w:rPr>
                <w:b w:val="0"/>
                <w:bCs/>
                <w:sz w:val="18"/>
                <w:szCs w:val="18"/>
              </w:rPr>
              <w:t>significantly reduced salt accumulation in the Coorong</w:t>
            </w:r>
            <w:r w:rsidRPr="00C362D6">
              <w:rPr>
                <w:b w:val="0"/>
                <w:bCs/>
                <w:sz w:val="18"/>
                <w:szCs w:val="18"/>
              </w:rPr>
              <w:t xml:space="preserve"> over the last seven years</w:t>
            </w:r>
            <w:r>
              <w:rPr>
                <w:b w:val="0"/>
                <w:bCs/>
                <w:sz w:val="18"/>
                <w:szCs w:val="18"/>
              </w:rPr>
              <w:t xml:space="preserve"> with less salt flux to the North Lagoon and South Lagoon by 8.81 million and 6.61 million tonnes, respectively</w:t>
            </w:r>
            <w:r w:rsidRPr="00C362D6">
              <w:rPr>
                <w:b w:val="0"/>
                <w:bCs/>
                <w:sz w:val="18"/>
                <w:szCs w:val="18"/>
              </w:rPr>
              <w:t xml:space="preserve">. </w:t>
            </w:r>
          </w:p>
        </w:tc>
      </w:tr>
    </w:tbl>
    <w:p w14:paraId="7FE3A4A8" w14:textId="37C02E34" w:rsidR="005659DC" w:rsidRPr="004561A6" w:rsidRDefault="005659DC" w:rsidP="005659DC">
      <w:pPr>
        <w:spacing w:before="0" w:line="240" w:lineRule="auto"/>
        <w:rPr>
          <w:color w:val="auto"/>
          <w:kern w:val="0"/>
          <w:sz w:val="18"/>
          <w:szCs w:val="18"/>
          <w:lang w:val="en-US" w:bidi="en-US"/>
        </w:rPr>
      </w:pPr>
      <w:bookmarkStart w:id="282" w:name="_Hlk64578781"/>
      <w:r w:rsidRPr="00315757">
        <w:rPr>
          <w:color w:val="auto"/>
          <w:kern w:val="0"/>
          <w:sz w:val="18"/>
          <w:szCs w:val="18"/>
          <w:lang w:val="en-US" w:bidi="en-US"/>
        </w:rPr>
        <w:t xml:space="preserve">* </w:t>
      </w:r>
      <w:r w:rsidRPr="004561A6">
        <w:rPr>
          <w:color w:val="auto"/>
          <w:kern w:val="0"/>
          <w:sz w:val="18"/>
          <w:szCs w:val="18"/>
          <w:lang w:val="en-US" w:bidi="en-US"/>
        </w:rPr>
        <w:t xml:space="preserve">The salt export and salinity data reported for years 2014-15 to 2016-17 are from </w:t>
      </w:r>
      <w:r w:rsidR="00C12DA5">
        <w:rPr>
          <w:color w:val="auto"/>
          <w:kern w:val="0"/>
          <w:sz w:val="18"/>
          <w:szCs w:val="18"/>
          <w:lang w:val="en-US" w:bidi="en-US"/>
        </w:rPr>
        <w:t>a</w:t>
      </w:r>
      <w:r w:rsidR="00C12DA5" w:rsidRPr="004561A6">
        <w:rPr>
          <w:color w:val="auto"/>
          <w:kern w:val="0"/>
          <w:sz w:val="18"/>
          <w:szCs w:val="18"/>
          <w:lang w:val="en-US" w:bidi="en-US"/>
        </w:rPr>
        <w:t xml:space="preserve"> </w:t>
      </w:r>
      <w:r w:rsidRPr="004561A6">
        <w:rPr>
          <w:color w:val="auto"/>
          <w:kern w:val="0"/>
          <w:sz w:val="18"/>
          <w:szCs w:val="18"/>
          <w:lang w:val="en-US" w:bidi="en-US"/>
        </w:rPr>
        <w:t>large domain model previously used in the LTIM reporting</w:t>
      </w:r>
      <w:r w:rsidR="00C12DA5">
        <w:rPr>
          <w:color w:val="auto"/>
          <w:kern w:val="0"/>
          <w:sz w:val="18"/>
          <w:szCs w:val="18"/>
          <w:lang w:val="en-US" w:bidi="en-US"/>
        </w:rPr>
        <w:t xml:space="preserve"> </w:t>
      </w:r>
      <w:r w:rsidR="00095BD7">
        <w:rPr>
          <w:color w:val="auto"/>
          <w:kern w:val="0"/>
          <w:sz w:val="18"/>
          <w:szCs w:val="18"/>
          <w:lang w:val="en-US" w:bidi="en-US"/>
        </w:rPr>
        <w:t xml:space="preserve">(Ye </w:t>
      </w:r>
      <w:r w:rsidR="00095BD7" w:rsidRPr="00095BD7">
        <w:rPr>
          <w:i/>
          <w:iCs/>
          <w:color w:val="auto"/>
          <w:kern w:val="0"/>
          <w:sz w:val="18"/>
          <w:szCs w:val="18"/>
          <w:lang w:val="en-US" w:bidi="en-US"/>
        </w:rPr>
        <w:t>et al.</w:t>
      </w:r>
      <w:r w:rsidR="00095BD7">
        <w:rPr>
          <w:color w:val="auto"/>
          <w:kern w:val="0"/>
          <w:sz w:val="18"/>
          <w:szCs w:val="18"/>
          <w:lang w:val="en-US" w:bidi="en-US"/>
        </w:rPr>
        <w:t xml:space="preserve"> 2020) </w:t>
      </w:r>
      <w:r w:rsidR="00C12DA5">
        <w:rPr>
          <w:color w:val="auto"/>
          <w:kern w:val="0"/>
          <w:sz w:val="18"/>
          <w:szCs w:val="18"/>
          <w:lang w:val="en-US" w:bidi="en-US"/>
        </w:rPr>
        <w:t>that has since been superseded by the improved CDM platform</w:t>
      </w:r>
      <w:r w:rsidRPr="004561A6">
        <w:rPr>
          <w:color w:val="auto"/>
          <w:kern w:val="0"/>
          <w:sz w:val="18"/>
          <w:szCs w:val="18"/>
          <w:lang w:val="en-US" w:bidi="en-US"/>
        </w:rPr>
        <w:t xml:space="preserve">. </w:t>
      </w:r>
      <w:r>
        <w:rPr>
          <w:color w:val="auto"/>
          <w:kern w:val="0"/>
          <w:sz w:val="18"/>
          <w:szCs w:val="18"/>
          <w:lang w:val="en-US" w:bidi="en-US"/>
        </w:rPr>
        <w:t>T</w:t>
      </w:r>
      <w:r w:rsidRPr="004561A6">
        <w:rPr>
          <w:color w:val="auto"/>
          <w:kern w:val="0"/>
          <w:sz w:val="18"/>
          <w:szCs w:val="18"/>
          <w:lang w:val="en-US" w:bidi="en-US"/>
        </w:rPr>
        <w:t xml:space="preserve">he </w:t>
      </w:r>
      <w:r>
        <w:rPr>
          <w:color w:val="auto"/>
          <w:kern w:val="0"/>
          <w:sz w:val="18"/>
          <w:szCs w:val="18"/>
          <w:lang w:val="en-US" w:bidi="en-US"/>
        </w:rPr>
        <w:t xml:space="preserve">numbers presented </w:t>
      </w:r>
      <w:r w:rsidR="00095BD7">
        <w:rPr>
          <w:color w:val="auto"/>
          <w:kern w:val="0"/>
          <w:sz w:val="18"/>
          <w:szCs w:val="18"/>
          <w:lang w:val="en-US" w:bidi="en-US"/>
        </w:rPr>
        <w:t xml:space="preserve">for the period from 2017-18 to 2023-24 </w:t>
      </w:r>
      <w:r>
        <w:rPr>
          <w:color w:val="auto"/>
          <w:kern w:val="0"/>
          <w:sz w:val="18"/>
          <w:szCs w:val="18"/>
          <w:lang w:val="en-US" w:bidi="en-US"/>
        </w:rPr>
        <w:t xml:space="preserve">are from the </w:t>
      </w:r>
      <w:r w:rsidR="00C12DA5">
        <w:rPr>
          <w:color w:val="auto"/>
          <w:kern w:val="0"/>
          <w:sz w:val="18"/>
          <w:szCs w:val="18"/>
          <w:lang w:val="en-US" w:bidi="en-US"/>
        </w:rPr>
        <w:t xml:space="preserve">latest calibrated </w:t>
      </w:r>
      <w:r>
        <w:rPr>
          <w:color w:val="auto"/>
          <w:kern w:val="0"/>
          <w:sz w:val="18"/>
          <w:szCs w:val="18"/>
          <w:lang w:val="en-US" w:bidi="en-US"/>
        </w:rPr>
        <w:t xml:space="preserve">model by comparing the ‘All Water’ scenario to the ‘No CEW 1 year’ scenario for </w:t>
      </w:r>
      <w:r w:rsidR="00095BD7">
        <w:rPr>
          <w:color w:val="auto"/>
          <w:kern w:val="0"/>
          <w:sz w:val="18"/>
          <w:szCs w:val="18"/>
          <w:lang w:val="en-US" w:bidi="en-US"/>
        </w:rPr>
        <w:t xml:space="preserve">each </w:t>
      </w:r>
      <w:r>
        <w:rPr>
          <w:color w:val="auto"/>
          <w:kern w:val="0"/>
          <w:sz w:val="18"/>
          <w:szCs w:val="18"/>
          <w:lang w:val="en-US" w:bidi="en-US"/>
        </w:rPr>
        <w:t>reporting year (denoted NC1 in Table 6).</w:t>
      </w:r>
      <w:r>
        <w:t xml:space="preserve"> </w:t>
      </w:r>
      <w:r w:rsidRPr="5BA6CD32">
        <w:rPr>
          <w:color w:val="auto"/>
          <w:sz w:val="18"/>
          <w:szCs w:val="18"/>
          <w:lang w:val="en-US" w:bidi="en-US"/>
        </w:rPr>
        <w:t xml:space="preserve">The yearly counterfactual simulations enable </w:t>
      </w:r>
      <w:r w:rsidR="00D42EC6">
        <w:rPr>
          <w:color w:val="auto"/>
          <w:sz w:val="18"/>
          <w:szCs w:val="18"/>
          <w:lang w:val="en-US" w:bidi="en-US"/>
        </w:rPr>
        <w:t>quantification</w:t>
      </w:r>
      <w:r w:rsidR="00D42EC6" w:rsidRPr="5BA6CD32">
        <w:rPr>
          <w:color w:val="auto"/>
          <w:sz w:val="18"/>
          <w:szCs w:val="18"/>
          <w:lang w:val="en-US" w:bidi="en-US"/>
        </w:rPr>
        <w:t xml:space="preserve"> </w:t>
      </w:r>
      <w:r w:rsidRPr="5BA6CD32">
        <w:rPr>
          <w:color w:val="auto"/>
          <w:sz w:val="18"/>
          <w:szCs w:val="18"/>
          <w:lang w:val="en-US" w:bidi="en-US"/>
        </w:rPr>
        <w:t xml:space="preserve">of the contribution of </w:t>
      </w:r>
      <w:r w:rsidR="007F5597">
        <w:rPr>
          <w:color w:val="auto"/>
          <w:sz w:val="18"/>
          <w:szCs w:val="18"/>
          <w:lang w:val="en-US" w:bidi="en-US"/>
        </w:rPr>
        <w:t>CEW</w:t>
      </w:r>
      <w:r w:rsidRPr="5BA6CD32">
        <w:rPr>
          <w:color w:val="auto"/>
          <w:sz w:val="18"/>
          <w:szCs w:val="18"/>
          <w:lang w:val="en-US" w:bidi="en-US"/>
        </w:rPr>
        <w:t xml:space="preserve"> to increased export through the barrages and changes to transport within the Coorong</w:t>
      </w:r>
      <w:r>
        <w:rPr>
          <w:color w:val="auto"/>
          <w:sz w:val="18"/>
          <w:szCs w:val="18"/>
          <w:lang w:val="en-US" w:bidi="en-US"/>
        </w:rPr>
        <w:t xml:space="preserve"> for that year</w:t>
      </w:r>
      <w:r w:rsidR="00030234">
        <w:rPr>
          <w:color w:val="auto"/>
          <w:sz w:val="18"/>
          <w:szCs w:val="18"/>
          <w:lang w:val="en-US" w:bidi="en-US"/>
        </w:rPr>
        <w:t>’</w:t>
      </w:r>
      <w:r>
        <w:rPr>
          <w:color w:val="auto"/>
          <w:sz w:val="18"/>
          <w:szCs w:val="18"/>
          <w:lang w:val="en-US" w:bidi="en-US"/>
        </w:rPr>
        <w:t>s water</w:t>
      </w:r>
      <w:r w:rsidRPr="5BA6CD32">
        <w:rPr>
          <w:color w:val="auto"/>
          <w:sz w:val="18"/>
          <w:szCs w:val="18"/>
          <w:lang w:val="en-US" w:bidi="en-US"/>
        </w:rPr>
        <w:t xml:space="preserve">. Table 7 </w:t>
      </w:r>
      <w:r>
        <w:rPr>
          <w:color w:val="auto"/>
          <w:sz w:val="18"/>
          <w:szCs w:val="18"/>
          <w:lang w:val="en-US" w:bidi="en-US"/>
        </w:rPr>
        <w:t xml:space="preserve">also </w:t>
      </w:r>
      <w:r w:rsidRPr="5BA6CD32">
        <w:rPr>
          <w:color w:val="auto"/>
          <w:sz w:val="18"/>
          <w:szCs w:val="18"/>
          <w:lang w:val="en-US" w:bidi="en-US"/>
        </w:rPr>
        <w:t xml:space="preserve">presents results from </w:t>
      </w:r>
      <w:r w:rsidR="00D42EC6">
        <w:rPr>
          <w:color w:val="auto"/>
          <w:sz w:val="18"/>
          <w:szCs w:val="18"/>
          <w:lang w:val="en-US" w:bidi="en-US"/>
        </w:rPr>
        <w:t>the</w:t>
      </w:r>
      <w:r w:rsidR="00D42EC6" w:rsidRPr="5BA6CD32">
        <w:rPr>
          <w:color w:val="auto"/>
          <w:sz w:val="18"/>
          <w:szCs w:val="18"/>
          <w:lang w:val="en-US" w:bidi="en-US"/>
        </w:rPr>
        <w:t xml:space="preserve"> </w:t>
      </w:r>
      <w:r w:rsidRPr="5BA6CD32">
        <w:rPr>
          <w:color w:val="auto"/>
          <w:sz w:val="18"/>
          <w:szCs w:val="18"/>
          <w:lang w:val="en-US" w:bidi="en-US"/>
        </w:rPr>
        <w:t>continuous model</w:t>
      </w:r>
      <w:r w:rsidR="00D42EC6">
        <w:rPr>
          <w:color w:val="auto"/>
          <w:sz w:val="18"/>
          <w:szCs w:val="18"/>
          <w:lang w:val="en-US" w:bidi="en-US"/>
        </w:rPr>
        <w:t xml:space="preserve"> (NC7/NE7)</w:t>
      </w:r>
      <w:r w:rsidRPr="5BA6CD32">
        <w:rPr>
          <w:color w:val="auto"/>
          <w:sz w:val="18"/>
          <w:szCs w:val="18"/>
          <w:lang w:val="en-US" w:bidi="en-US"/>
        </w:rPr>
        <w:t xml:space="preserve"> that reflects an accumulated impact </w:t>
      </w:r>
      <w:r>
        <w:rPr>
          <w:color w:val="auto"/>
          <w:sz w:val="18"/>
          <w:szCs w:val="18"/>
          <w:lang w:val="en-US" w:bidi="en-US"/>
        </w:rPr>
        <w:t>of CEW</w:t>
      </w:r>
      <w:r w:rsidR="007F5597">
        <w:rPr>
          <w:color w:val="auto"/>
          <w:sz w:val="18"/>
          <w:szCs w:val="18"/>
          <w:lang w:val="en-US" w:bidi="en-US"/>
        </w:rPr>
        <w:t xml:space="preserve"> and eW</w:t>
      </w:r>
      <w:r>
        <w:rPr>
          <w:color w:val="auto"/>
          <w:sz w:val="18"/>
          <w:szCs w:val="18"/>
          <w:lang w:val="en-US" w:bidi="en-US"/>
        </w:rPr>
        <w:t>ater</w:t>
      </w:r>
      <w:r w:rsidRPr="5BA6CD32">
        <w:rPr>
          <w:color w:val="auto"/>
          <w:sz w:val="18"/>
          <w:szCs w:val="18"/>
          <w:lang w:val="en-US" w:bidi="en-US"/>
        </w:rPr>
        <w:t>.</w:t>
      </w:r>
      <w:r w:rsidR="00E46EE3">
        <w:rPr>
          <w:color w:val="auto"/>
          <w:sz w:val="18"/>
          <w:szCs w:val="18"/>
          <w:lang w:val="en-US" w:bidi="en-US"/>
        </w:rPr>
        <w:t xml:space="preserve"> Note that </w:t>
      </w:r>
      <w:r w:rsidR="003379BF">
        <w:rPr>
          <w:color w:val="auto"/>
          <w:sz w:val="18"/>
          <w:szCs w:val="18"/>
          <w:lang w:val="en-US" w:bidi="en-US"/>
        </w:rPr>
        <w:t xml:space="preserve">an </w:t>
      </w:r>
      <w:r w:rsidR="00E46EE3">
        <w:rPr>
          <w:color w:val="auto"/>
          <w:sz w:val="18"/>
          <w:szCs w:val="18"/>
          <w:lang w:val="en-US" w:bidi="en-US"/>
        </w:rPr>
        <w:t xml:space="preserve">annual </w:t>
      </w:r>
      <w:r w:rsidR="00A06752">
        <w:rPr>
          <w:color w:val="auto"/>
          <w:sz w:val="18"/>
          <w:szCs w:val="18"/>
          <w:lang w:val="en-US" w:bidi="en-US"/>
        </w:rPr>
        <w:t>improvement</w:t>
      </w:r>
      <w:r w:rsidR="00E46EE3">
        <w:rPr>
          <w:color w:val="auto"/>
          <w:sz w:val="18"/>
          <w:szCs w:val="18"/>
          <w:lang w:val="en-US" w:bidi="en-US"/>
        </w:rPr>
        <w:t xml:space="preserve"> in the model’s calibration due to </w:t>
      </w:r>
      <w:r w:rsidR="00A06752">
        <w:rPr>
          <w:color w:val="auto"/>
          <w:sz w:val="18"/>
          <w:szCs w:val="18"/>
          <w:lang w:val="en-US" w:bidi="en-US"/>
        </w:rPr>
        <w:t>additional monitoring and improvement in barrage flow estimates means that the above numbers for some water years are different from what w</w:t>
      </w:r>
      <w:r w:rsidR="002D749E">
        <w:rPr>
          <w:color w:val="auto"/>
          <w:sz w:val="18"/>
          <w:szCs w:val="18"/>
          <w:lang w:val="en-US" w:bidi="en-US"/>
        </w:rPr>
        <w:t>ere</w:t>
      </w:r>
      <w:r w:rsidR="00A06752">
        <w:rPr>
          <w:color w:val="auto"/>
          <w:sz w:val="18"/>
          <w:szCs w:val="18"/>
          <w:lang w:val="en-US" w:bidi="en-US"/>
        </w:rPr>
        <w:t xml:space="preserve"> previously reported (see Table C2 in Appendix C).</w:t>
      </w:r>
      <w:r w:rsidR="003379BF">
        <w:rPr>
          <w:color w:val="auto"/>
          <w:sz w:val="18"/>
          <w:szCs w:val="18"/>
          <w:lang w:val="en-US" w:bidi="en-US"/>
        </w:rPr>
        <w:t xml:space="preserve"> The numbers presented in this table are the result of the best overall cal</w:t>
      </w:r>
      <w:r w:rsidR="007F5597">
        <w:rPr>
          <w:color w:val="auto"/>
          <w:sz w:val="18"/>
          <w:szCs w:val="18"/>
          <w:lang w:val="en-US" w:bidi="en-US"/>
        </w:rPr>
        <w:t>i</w:t>
      </w:r>
      <w:r w:rsidR="003379BF">
        <w:rPr>
          <w:color w:val="auto"/>
          <w:sz w:val="18"/>
          <w:szCs w:val="18"/>
          <w:lang w:val="en-US" w:bidi="en-US"/>
        </w:rPr>
        <w:t>bration when assessing the model against 7-years of observed Coorong monitoring data compiled for the period from 2017</w:t>
      </w:r>
      <w:r w:rsidR="007F5597">
        <w:rPr>
          <w:rFonts w:ascii="Calibri" w:hAnsi="Calibri" w:cs="Calibri"/>
          <w:color w:val="auto"/>
          <w:sz w:val="18"/>
          <w:szCs w:val="18"/>
          <w:lang w:val="en-US" w:bidi="en-US"/>
        </w:rPr>
        <w:t>‒</w:t>
      </w:r>
      <w:r w:rsidR="003379BF">
        <w:rPr>
          <w:color w:val="auto"/>
          <w:sz w:val="18"/>
          <w:szCs w:val="18"/>
          <w:lang w:val="en-US" w:bidi="en-US"/>
        </w:rPr>
        <w:t>2024.</w:t>
      </w:r>
      <w:r w:rsidR="00A06752">
        <w:rPr>
          <w:color w:val="auto"/>
          <w:sz w:val="18"/>
          <w:szCs w:val="18"/>
          <w:lang w:val="en-US" w:bidi="en-US"/>
        </w:rPr>
        <w:t xml:space="preserve"> </w:t>
      </w:r>
    </w:p>
    <w:bookmarkEnd w:id="282"/>
    <w:p w14:paraId="5B30C188" w14:textId="77777777" w:rsidR="005659DC" w:rsidRPr="004561A6" w:rsidRDefault="005659DC" w:rsidP="005659DC">
      <w:pPr>
        <w:spacing w:before="0" w:after="0" w:line="240" w:lineRule="auto"/>
        <w:rPr>
          <w:color w:val="auto"/>
          <w:kern w:val="0"/>
          <w:sz w:val="18"/>
          <w:szCs w:val="18"/>
          <w:lang w:val="en-US" w:bidi="en-US"/>
        </w:rPr>
      </w:pPr>
      <w:r>
        <w:rPr>
          <w:color w:val="auto"/>
          <w:kern w:val="0"/>
          <w:sz w:val="18"/>
          <w:szCs w:val="18"/>
          <w:lang w:val="en-US" w:bidi="en-US"/>
        </w:rPr>
        <w:t>**</w:t>
      </w:r>
      <w:r w:rsidRPr="004561A6">
        <w:rPr>
          <w:color w:val="auto"/>
          <w:kern w:val="0"/>
          <w:sz w:val="18"/>
          <w:szCs w:val="18"/>
          <w:lang w:val="en-US" w:bidi="en-US"/>
        </w:rPr>
        <w:t xml:space="preserve">Contribution (to what extent CEW contributed towards the outcome, with the significance of the outcome considered). For salinity levels, substantial, moderate, minor and negligible contributions, respectively, were considered to be reductions of: ≥15, 10–14, 5–9 and &lt;5 </w:t>
      </w:r>
      <w:r>
        <w:rPr>
          <w:color w:val="auto"/>
          <w:kern w:val="0"/>
          <w:sz w:val="18"/>
          <w:szCs w:val="18"/>
          <w:lang w:val="en-US" w:bidi="en-US"/>
        </w:rPr>
        <w:t>PSU</w:t>
      </w:r>
      <w:r w:rsidRPr="004561A6">
        <w:rPr>
          <w:color w:val="auto"/>
          <w:kern w:val="0"/>
          <w:sz w:val="18"/>
          <w:szCs w:val="18"/>
          <w:lang w:val="en-US" w:bidi="en-US"/>
        </w:rPr>
        <w:t xml:space="preserve"> for the Murray Mouth; ≥10, 5–9, 2–4, and &lt;2 </w:t>
      </w:r>
      <w:r>
        <w:rPr>
          <w:color w:val="auto"/>
          <w:kern w:val="0"/>
          <w:sz w:val="18"/>
          <w:szCs w:val="18"/>
          <w:lang w:val="en-US" w:bidi="en-US"/>
        </w:rPr>
        <w:t>PSU</w:t>
      </w:r>
      <w:r w:rsidRPr="004561A6">
        <w:rPr>
          <w:color w:val="auto"/>
          <w:kern w:val="0"/>
          <w:sz w:val="18"/>
          <w:szCs w:val="18"/>
          <w:lang w:val="en-US" w:bidi="en-US"/>
        </w:rPr>
        <w:t xml:space="preserve"> at the North Lagoon; and ≥5, 3–4, 1–2, and &lt;1 </w:t>
      </w:r>
      <w:r>
        <w:rPr>
          <w:color w:val="auto"/>
          <w:kern w:val="0"/>
          <w:sz w:val="18"/>
          <w:szCs w:val="18"/>
          <w:lang w:val="en-US" w:bidi="en-US"/>
        </w:rPr>
        <w:t>PSU</w:t>
      </w:r>
      <w:r w:rsidRPr="004561A6">
        <w:rPr>
          <w:color w:val="auto"/>
          <w:kern w:val="0"/>
          <w:sz w:val="18"/>
          <w:szCs w:val="18"/>
          <w:lang w:val="en-US" w:bidi="en-US"/>
        </w:rPr>
        <w:t xml:space="preserve"> at the South Lagoon. For salt transport, contribution scores were based on the annual sal</w:t>
      </w:r>
      <w:r>
        <w:rPr>
          <w:color w:val="auto"/>
          <w:kern w:val="0"/>
          <w:sz w:val="18"/>
          <w:szCs w:val="18"/>
          <w:lang w:val="en-US" w:bidi="en-US"/>
        </w:rPr>
        <w:t>t</w:t>
      </w:r>
      <w:r w:rsidRPr="004561A6">
        <w:rPr>
          <w:color w:val="auto"/>
          <w:kern w:val="0"/>
          <w:sz w:val="18"/>
          <w:szCs w:val="18"/>
          <w:lang w:val="en-US" w:bidi="en-US"/>
        </w:rPr>
        <w:t xml:space="preserve"> export target of 2 million </w:t>
      </w:r>
      <w:r>
        <w:rPr>
          <w:color w:val="auto"/>
          <w:kern w:val="0"/>
          <w:sz w:val="18"/>
          <w:szCs w:val="18"/>
          <w:lang w:val="en-US" w:bidi="en-US"/>
        </w:rPr>
        <w:t>t</w:t>
      </w:r>
      <w:r w:rsidRPr="004561A6">
        <w:rPr>
          <w:color w:val="auto"/>
          <w:kern w:val="0"/>
          <w:sz w:val="18"/>
          <w:szCs w:val="18"/>
          <w:lang w:val="en-US" w:bidi="en-US"/>
        </w:rPr>
        <w:t>: substantial = ≥500,000 (25%), moderate = 300,000–499,999, minor = 100,000–299,999 and negligible = &lt;100,000</w:t>
      </w:r>
      <w:r>
        <w:rPr>
          <w:color w:val="auto"/>
          <w:kern w:val="0"/>
          <w:sz w:val="18"/>
          <w:szCs w:val="18"/>
          <w:lang w:val="en-US" w:bidi="en-US"/>
        </w:rPr>
        <w:t xml:space="preserve"> tonnes.</w:t>
      </w:r>
      <w:r w:rsidRPr="004561A6">
        <w:rPr>
          <w:color w:val="auto"/>
          <w:kern w:val="0"/>
          <w:sz w:val="18"/>
          <w:szCs w:val="18"/>
          <w:lang w:val="en-US" w:bidi="en-US"/>
        </w:rPr>
        <w:t xml:space="preserve"> Substantial contributions were also considered if CEW contributed &gt;50% of total barrage flow. For reduction of salt import/southward flux, substantial, moderate, minor and negligible contributions, respectively, were considered to be reductions of: ≥3, 1–2.99, 0.5–0.99 and &lt;0.5 million</w:t>
      </w:r>
      <w:r>
        <w:rPr>
          <w:color w:val="auto"/>
          <w:kern w:val="0"/>
          <w:sz w:val="18"/>
          <w:szCs w:val="18"/>
          <w:lang w:val="en-US" w:bidi="en-US"/>
        </w:rPr>
        <w:t xml:space="preserve"> tonnes </w:t>
      </w:r>
      <w:r w:rsidRPr="004561A6">
        <w:rPr>
          <w:color w:val="auto"/>
          <w:kern w:val="0"/>
          <w:sz w:val="18"/>
          <w:szCs w:val="18"/>
          <w:lang w:val="en-US" w:bidi="en-US"/>
        </w:rPr>
        <w:t>for the Murray Mouth; ≥2, 0.8–1.99, 0.2–0.79, and &lt;0.2 million</w:t>
      </w:r>
      <w:r>
        <w:rPr>
          <w:color w:val="auto"/>
          <w:kern w:val="0"/>
          <w:sz w:val="18"/>
          <w:szCs w:val="18"/>
          <w:lang w:val="en-US" w:bidi="en-US"/>
        </w:rPr>
        <w:t xml:space="preserve"> tonnes </w:t>
      </w:r>
      <w:r w:rsidRPr="004561A6">
        <w:rPr>
          <w:color w:val="auto"/>
          <w:kern w:val="0"/>
          <w:sz w:val="18"/>
          <w:szCs w:val="18"/>
          <w:lang w:val="en-US" w:bidi="en-US"/>
        </w:rPr>
        <w:t>at the North Lagoon; and ≥1, 0.5–0.99, 0.1–0.49, and &lt;0.1 million</w:t>
      </w:r>
      <w:r>
        <w:rPr>
          <w:color w:val="auto"/>
          <w:kern w:val="0"/>
          <w:sz w:val="18"/>
          <w:szCs w:val="18"/>
          <w:lang w:val="en-US" w:bidi="en-US"/>
        </w:rPr>
        <w:t xml:space="preserve"> tonnes </w:t>
      </w:r>
      <w:r w:rsidRPr="004561A6">
        <w:rPr>
          <w:color w:val="auto"/>
          <w:kern w:val="0"/>
          <w:sz w:val="18"/>
          <w:szCs w:val="18"/>
          <w:lang w:val="en-US" w:bidi="en-US"/>
        </w:rPr>
        <w:t>at the South Lagoon</w:t>
      </w:r>
      <w:r>
        <w:rPr>
          <w:color w:val="auto"/>
          <w:kern w:val="0"/>
          <w:sz w:val="18"/>
          <w:szCs w:val="18"/>
          <w:lang w:val="en-US" w:bidi="en-US"/>
        </w:rPr>
        <w:t>:</w:t>
      </w:r>
      <w:r w:rsidRPr="004561A6">
        <w:rPr>
          <w:color w:val="auto"/>
          <w:kern w:val="0"/>
          <w:sz w:val="18"/>
          <w:szCs w:val="18"/>
          <w:lang w:val="en-US" w:bidi="en-US"/>
        </w:rPr>
        <w:t xml:space="preserve">          </w:t>
      </w:r>
    </w:p>
    <w:tbl>
      <w:tblPr>
        <w:tblW w:w="6961" w:type="dxa"/>
        <w:tblLook w:val="04A0" w:firstRow="1" w:lastRow="0" w:firstColumn="1" w:lastColumn="0" w:noHBand="0" w:noVBand="1"/>
      </w:tblPr>
      <w:tblGrid>
        <w:gridCol w:w="222"/>
        <w:gridCol w:w="1066"/>
        <w:gridCol w:w="222"/>
        <w:gridCol w:w="1704"/>
        <w:gridCol w:w="222"/>
        <w:gridCol w:w="727"/>
        <w:gridCol w:w="222"/>
        <w:gridCol w:w="1144"/>
        <w:gridCol w:w="222"/>
        <w:gridCol w:w="1210"/>
      </w:tblGrid>
      <w:tr w:rsidR="005659DC" w:rsidRPr="004561A6" w14:paraId="19F58BD2" w14:textId="77777777" w:rsidTr="00CE710E">
        <w:tc>
          <w:tcPr>
            <w:tcW w:w="222" w:type="dxa"/>
            <w:shd w:val="clear" w:color="auto" w:fill="D9D9D9" w:themeFill="background1" w:themeFillShade="D9"/>
          </w:tcPr>
          <w:p w14:paraId="787D6C06" w14:textId="77777777" w:rsidR="005659DC" w:rsidRPr="004561A6" w:rsidRDefault="005659DC" w:rsidP="00CE710E">
            <w:pPr>
              <w:rPr>
                <w:sz w:val="18"/>
                <w:szCs w:val="18"/>
              </w:rPr>
            </w:pPr>
          </w:p>
        </w:tc>
        <w:tc>
          <w:tcPr>
            <w:tcW w:w="1066" w:type="dxa"/>
            <w:vAlign w:val="center"/>
            <w:hideMark/>
          </w:tcPr>
          <w:p w14:paraId="7EA6186A" w14:textId="77777777" w:rsidR="005659DC" w:rsidRPr="004561A6" w:rsidRDefault="005659DC" w:rsidP="00CE710E">
            <w:pPr>
              <w:rPr>
                <w:sz w:val="18"/>
                <w:szCs w:val="18"/>
              </w:rPr>
            </w:pPr>
            <w:r w:rsidRPr="004561A6">
              <w:rPr>
                <w:sz w:val="18"/>
                <w:szCs w:val="18"/>
              </w:rPr>
              <w:t>Unknown</w:t>
            </w:r>
          </w:p>
        </w:tc>
        <w:tc>
          <w:tcPr>
            <w:tcW w:w="222" w:type="dxa"/>
            <w:shd w:val="clear" w:color="auto" w:fill="E2EFD9" w:themeFill="accent6" w:themeFillTint="33"/>
            <w:vAlign w:val="center"/>
          </w:tcPr>
          <w:p w14:paraId="45038CA0" w14:textId="77777777" w:rsidR="005659DC" w:rsidRPr="004561A6" w:rsidRDefault="005659DC" w:rsidP="00CE710E">
            <w:pPr>
              <w:rPr>
                <w:sz w:val="18"/>
                <w:szCs w:val="18"/>
              </w:rPr>
            </w:pPr>
          </w:p>
        </w:tc>
        <w:tc>
          <w:tcPr>
            <w:tcW w:w="1704" w:type="dxa"/>
            <w:vAlign w:val="center"/>
            <w:hideMark/>
          </w:tcPr>
          <w:p w14:paraId="3436A22E" w14:textId="77777777" w:rsidR="005659DC" w:rsidRPr="004561A6" w:rsidRDefault="005659DC" w:rsidP="00CE710E">
            <w:pPr>
              <w:rPr>
                <w:sz w:val="18"/>
                <w:szCs w:val="18"/>
              </w:rPr>
            </w:pPr>
            <w:r w:rsidRPr="004561A6">
              <w:rPr>
                <w:sz w:val="18"/>
                <w:szCs w:val="18"/>
              </w:rPr>
              <w:t>None/negligible</w:t>
            </w:r>
          </w:p>
        </w:tc>
        <w:tc>
          <w:tcPr>
            <w:tcW w:w="222" w:type="dxa"/>
            <w:shd w:val="clear" w:color="auto" w:fill="A8D08D" w:themeFill="accent6" w:themeFillTint="99"/>
            <w:vAlign w:val="center"/>
          </w:tcPr>
          <w:p w14:paraId="2EF88033" w14:textId="77777777" w:rsidR="005659DC" w:rsidRPr="004561A6" w:rsidRDefault="005659DC" w:rsidP="00CE710E">
            <w:pPr>
              <w:rPr>
                <w:sz w:val="18"/>
                <w:szCs w:val="18"/>
              </w:rPr>
            </w:pPr>
          </w:p>
        </w:tc>
        <w:tc>
          <w:tcPr>
            <w:tcW w:w="727" w:type="dxa"/>
            <w:vAlign w:val="center"/>
            <w:hideMark/>
          </w:tcPr>
          <w:p w14:paraId="0E5AF4EE" w14:textId="77777777" w:rsidR="005659DC" w:rsidRPr="004561A6" w:rsidRDefault="005659DC" w:rsidP="00CE710E">
            <w:pPr>
              <w:rPr>
                <w:sz w:val="18"/>
                <w:szCs w:val="18"/>
              </w:rPr>
            </w:pPr>
            <w:r w:rsidRPr="004561A6">
              <w:rPr>
                <w:sz w:val="18"/>
                <w:szCs w:val="18"/>
              </w:rPr>
              <w:t>Minor</w:t>
            </w:r>
          </w:p>
        </w:tc>
        <w:tc>
          <w:tcPr>
            <w:tcW w:w="222" w:type="dxa"/>
            <w:shd w:val="clear" w:color="auto" w:fill="70AD47" w:themeFill="accent6"/>
            <w:vAlign w:val="center"/>
          </w:tcPr>
          <w:p w14:paraId="5272FE1D" w14:textId="77777777" w:rsidR="005659DC" w:rsidRPr="004561A6" w:rsidRDefault="005659DC" w:rsidP="00CE710E">
            <w:pPr>
              <w:rPr>
                <w:sz w:val="18"/>
                <w:szCs w:val="18"/>
              </w:rPr>
            </w:pPr>
          </w:p>
        </w:tc>
        <w:tc>
          <w:tcPr>
            <w:tcW w:w="1144" w:type="dxa"/>
            <w:vAlign w:val="center"/>
            <w:hideMark/>
          </w:tcPr>
          <w:p w14:paraId="208B8C75" w14:textId="77777777" w:rsidR="005659DC" w:rsidRPr="004561A6" w:rsidRDefault="005659DC" w:rsidP="00CE710E">
            <w:pPr>
              <w:rPr>
                <w:sz w:val="18"/>
                <w:szCs w:val="18"/>
              </w:rPr>
            </w:pPr>
            <w:r w:rsidRPr="004561A6">
              <w:rPr>
                <w:sz w:val="18"/>
                <w:szCs w:val="18"/>
              </w:rPr>
              <w:t>Moderate</w:t>
            </w:r>
          </w:p>
        </w:tc>
        <w:tc>
          <w:tcPr>
            <w:tcW w:w="222" w:type="dxa"/>
            <w:shd w:val="clear" w:color="auto" w:fill="5B9BD5" w:themeFill="accent1"/>
          </w:tcPr>
          <w:p w14:paraId="249829E4" w14:textId="77777777" w:rsidR="005659DC" w:rsidRPr="004561A6" w:rsidRDefault="005659DC" w:rsidP="00CE710E">
            <w:pPr>
              <w:rPr>
                <w:sz w:val="18"/>
                <w:szCs w:val="18"/>
              </w:rPr>
            </w:pPr>
          </w:p>
        </w:tc>
        <w:tc>
          <w:tcPr>
            <w:tcW w:w="1210" w:type="dxa"/>
            <w:vAlign w:val="center"/>
            <w:hideMark/>
          </w:tcPr>
          <w:p w14:paraId="7C8BCAF1" w14:textId="77777777" w:rsidR="005659DC" w:rsidRPr="004561A6" w:rsidRDefault="005659DC" w:rsidP="00CE710E">
            <w:pPr>
              <w:jc w:val="left"/>
              <w:rPr>
                <w:sz w:val="18"/>
                <w:szCs w:val="18"/>
              </w:rPr>
            </w:pPr>
            <w:r w:rsidRPr="004561A6">
              <w:rPr>
                <w:sz w:val="18"/>
                <w:szCs w:val="18"/>
              </w:rPr>
              <w:t>Substantial</w:t>
            </w:r>
          </w:p>
        </w:tc>
      </w:tr>
    </w:tbl>
    <w:p w14:paraId="7C01ABF6" w14:textId="77777777" w:rsidR="005659DC" w:rsidRDefault="005659DC" w:rsidP="005659DC">
      <w:pPr>
        <w:sectPr w:rsidR="005659DC" w:rsidSect="005659DC">
          <w:pgSz w:w="16838" w:h="11906" w:orient="landscape"/>
          <w:pgMar w:top="1440" w:right="1440" w:bottom="1440" w:left="1440" w:header="709" w:footer="709" w:gutter="0"/>
          <w:cols w:space="720"/>
        </w:sectPr>
      </w:pPr>
    </w:p>
    <w:bookmarkEnd w:id="275"/>
    <w:p w14:paraId="672EF0CE" w14:textId="77777777" w:rsidR="005659DC" w:rsidRDefault="005659DC" w:rsidP="005659DC">
      <w:pPr>
        <w:pStyle w:val="Heading3"/>
      </w:pPr>
      <w:r>
        <w:lastRenderedPageBreak/>
        <w:t>Discussion</w:t>
      </w:r>
    </w:p>
    <w:p w14:paraId="0ED8F32B" w14:textId="77777777" w:rsidR="005659DC" w:rsidRDefault="005659DC" w:rsidP="005659DC">
      <w:pPr>
        <w:rPr>
          <w:i/>
          <w:u w:val="single"/>
        </w:rPr>
      </w:pPr>
      <w:r>
        <w:rPr>
          <w:i/>
          <w:u w:val="single"/>
        </w:rPr>
        <w:t>Salinity</w:t>
      </w:r>
    </w:p>
    <w:p w14:paraId="33F5746A" w14:textId="6D432DB3" w:rsidR="005659DC" w:rsidRDefault="005659DC" w:rsidP="005659DC">
      <w:r>
        <w:t>Commonwealth environmental water accounted for 65</w:t>
      </w:r>
      <w:r>
        <w:rPr>
          <w:rFonts w:ascii="Calibri" w:hAnsi="Calibri" w:cs="Calibri"/>
        </w:rPr>
        <w:t>–</w:t>
      </w:r>
      <w:r>
        <w:t>100% of total annual flow through the barrages during the dry years (between 2017-18 and 2020-21). The years 2021-22 to 2023-24 were wet with unregulated flow comprising a larger proportion of the total Murray River flow. In 2023-24 the Commonwealth environmental water account</w:t>
      </w:r>
      <w:r w:rsidR="00B63C50">
        <w:t>ed</w:t>
      </w:r>
      <w:r>
        <w:t xml:space="preserve"> for 19.2% of the annual barrage flow</w:t>
      </w:r>
      <w:r w:rsidR="002D749E">
        <w:t xml:space="preserve"> (MDBA modelled data)</w:t>
      </w:r>
      <w:r>
        <w:t>.</w:t>
      </w:r>
      <w:r w:rsidRPr="007A5C3C">
        <w:t xml:space="preserve"> </w:t>
      </w:r>
      <w:r>
        <w:t xml:space="preserve">Environmental water during the dry years was a major contributor to salt export from the Basin, </w:t>
      </w:r>
      <w:r w:rsidR="00B63C50">
        <w:t xml:space="preserve">and </w:t>
      </w:r>
      <w:r>
        <w:t xml:space="preserve">fresher conditions at the Murray Mouth </w:t>
      </w:r>
      <w:r w:rsidR="00B63C50">
        <w:t xml:space="preserve">acted as </w:t>
      </w:r>
      <w:r>
        <w:t xml:space="preserve">a barrier to influx of salt from the Southern Ocean to the Coorong, </w:t>
      </w:r>
      <w:r w:rsidR="00B63C50">
        <w:t>serving to prevent hyper-salinisation</w:t>
      </w:r>
      <w:r>
        <w:t xml:space="preserve">. </w:t>
      </w:r>
      <w:r w:rsidR="00B63C50">
        <w:t>I</w:t>
      </w:r>
      <w:r>
        <w:t>n high flow years, unregulated flows dominated the barrage flows and the contribution from Commonwealth environmental water to salt export was relatively small</w:t>
      </w:r>
      <w:r w:rsidR="00B63C50">
        <w:t xml:space="preserve">, but nonetheless the legacy effect of sustained water delivery in the previous years continues to keep salinity within a </w:t>
      </w:r>
      <w:r w:rsidR="00437B1E">
        <w:t xml:space="preserve">lower </w:t>
      </w:r>
      <w:r w:rsidR="00B63C50">
        <w:t>range.</w:t>
      </w:r>
      <w:r>
        <w:t xml:space="preserve"> </w:t>
      </w:r>
    </w:p>
    <w:p w14:paraId="6A7FDE65" w14:textId="72F02B87" w:rsidR="005659DC" w:rsidRDefault="005659DC" w:rsidP="005659DC">
      <w:r>
        <w:t>Salinity in the Coorong is primarily a function of riverine inflows through barrages and tidal movement. When barrage flows are low, seawater enters the Murray Mouth and more salt is then transported to the Coorong where it concentrates subject to evapo-concentration. Environmental water through the barrages reduced the salt load into the North and South lagoons, measured as salt flux southward</w:t>
      </w:r>
      <w:r w:rsidRPr="00681AB7">
        <w:t xml:space="preserve"> </w:t>
      </w:r>
      <w:r>
        <w:t>which varies with the barrage flow rates, sea levels, and salinity gradient from Goolwa to the South Lagoon. It is evident that environmental water flowing through the barrages is required in every year to reduce excessive salt accumulation within the Coorong, especially in dry years. If Commonwealth environmental water had not been delivered from 2017–2024, more than 6.5 million tonnes of additional salt would have accumulated in the South Lagoon. This would have been higher without considerable freshening due to the large flood late in this period.</w:t>
      </w:r>
    </w:p>
    <w:p w14:paraId="4683CB5E" w14:textId="10296C5C" w:rsidR="005659DC" w:rsidRDefault="005659DC" w:rsidP="005659DC">
      <w:r>
        <w:t xml:space="preserve">During the Millennium Drought, and particularly from 2007-08 to 2009-10, flow through the barrages ceased and the import of salt into the Coorong resulted in salinity in the South Lagoon that was five times seawater, and demise of much of the aquatic life (Brookes </w:t>
      </w:r>
      <w:r w:rsidRPr="000F2105">
        <w:rPr>
          <w:i/>
        </w:rPr>
        <w:t>et al.</w:t>
      </w:r>
      <w:r>
        <w:t xml:space="preserve"> 2009). Water through the barrages provides freshening flows but also acts to inhibit seawater intrusions, thereby maintaining more appropriate salinity conditions for estuarine biota in the Coorong. Given that barrage releases almost entirely (up to 100%) depend on Commonwealth environmental water in dry years, environmental water is critical for limiting salt flux to the North and South lagoons. Even one year without barrage flow can result in a large flux of salt southwards in these dry years. The high barrage flow during July 2021–June 2024 flushed the Coorong lagoons and reduced the salinity concentration. The median salinity in the South Lagoon reduced from 92.9 PSU in 2020-21 to 59.</w:t>
      </w:r>
      <w:r w:rsidR="002509BB">
        <w:t>6</w:t>
      </w:r>
      <w:r>
        <w:t xml:space="preserve"> PSU in 2023-24. Interestingly, the </w:t>
      </w:r>
      <w:r w:rsidR="00CC08A2">
        <w:t xml:space="preserve">benefit of cumulative </w:t>
      </w:r>
      <w:r w:rsidR="00E50710">
        <w:t xml:space="preserve">Commonwealth environmental </w:t>
      </w:r>
      <w:r w:rsidR="00CC08A2">
        <w:t xml:space="preserve">water delivery on the </w:t>
      </w:r>
      <w:r>
        <w:t xml:space="preserve">median South Lagoon salinity </w:t>
      </w:r>
      <w:r w:rsidR="00CC08A2">
        <w:t xml:space="preserve">(i.e. comparing </w:t>
      </w:r>
      <w:r>
        <w:t>the ‘No CEW 7 years’ and ‘All Water’ scenario</w:t>
      </w:r>
      <w:r w:rsidR="00CC08A2">
        <w:t>)</w:t>
      </w:r>
      <w:r>
        <w:t xml:space="preserve"> </w:t>
      </w:r>
      <w:r w:rsidR="00CC08A2">
        <w:t xml:space="preserve">only </w:t>
      </w:r>
      <w:r>
        <w:t xml:space="preserve">reduced from </w:t>
      </w:r>
      <w:r w:rsidR="00CC08A2">
        <w:t>4</w:t>
      </w:r>
      <w:r w:rsidR="00104187">
        <w:t>0</w:t>
      </w:r>
      <w:r>
        <w:t>.</w:t>
      </w:r>
      <w:r w:rsidR="00104187">
        <w:t>8</w:t>
      </w:r>
      <w:r w:rsidR="00CC08A2">
        <w:t xml:space="preserve"> </w:t>
      </w:r>
      <w:r>
        <w:t xml:space="preserve">PSU in 2020-21 to </w:t>
      </w:r>
      <w:r w:rsidR="00CC08A2">
        <w:t>28</w:t>
      </w:r>
      <w:r>
        <w:t>.</w:t>
      </w:r>
      <w:r w:rsidR="00104187">
        <w:t>2</w:t>
      </w:r>
      <w:r w:rsidR="00CC08A2">
        <w:t xml:space="preserve"> </w:t>
      </w:r>
      <w:r>
        <w:t xml:space="preserve">PSU in 2022-23, indicating the high </w:t>
      </w:r>
      <w:r w:rsidR="00F75D71">
        <w:t xml:space="preserve">unregulated </w:t>
      </w:r>
      <w:r>
        <w:t>barrage flow</w:t>
      </w:r>
      <w:r w:rsidR="00F75D71">
        <w:t>s</w:t>
      </w:r>
      <w:r>
        <w:t xml:space="preserve"> in </w:t>
      </w:r>
      <w:r w:rsidR="00E50710">
        <w:t xml:space="preserve">2021-22 and 2022-23 </w:t>
      </w:r>
      <w:r w:rsidR="00B03D1A">
        <w:t>d</w:t>
      </w:r>
      <w:r w:rsidR="00E50710">
        <w:t>id</w:t>
      </w:r>
      <w:r w:rsidR="00B03D1A">
        <w:t xml:space="preserve"> not “reset” the system and highlight</w:t>
      </w:r>
      <w:r w:rsidR="00611BD0">
        <w:t>ing</w:t>
      </w:r>
      <w:r w:rsidR="00006A63">
        <w:t xml:space="preserve"> </w:t>
      </w:r>
      <w:r w:rsidR="00E50710">
        <w:t xml:space="preserve">the importance of </w:t>
      </w:r>
      <w:r>
        <w:t xml:space="preserve">the cumulative impacts of Commonwealth environmental water on salt </w:t>
      </w:r>
      <w:r w:rsidR="00AE3982">
        <w:t>concentrations</w:t>
      </w:r>
      <w:r w:rsidR="00E50710">
        <w:t xml:space="preserve"> in the </w:t>
      </w:r>
      <w:r w:rsidR="00301636">
        <w:t>South Lagoon</w:t>
      </w:r>
      <w:r>
        <w:t xml:space="preserve">. </w:t>
      </w:r>
      <w:r w:rsidR="00C745CE">
        <w:t>As s</w:t>
      </w:r>
      <w:r>
        <w:t xml:space="preserve">alinity is a key determinant of </w:t>
      </w:r>
      <w:r>
        <w:rPr>
          <w:i/>
        </w:rPr>
        <w:t>Ruppia tuberosa</w:t>
      </w:r>
      <w:r>
        <w:t xml:space="preserve"> and fish habitat</w:t>
      </w:r>
      <w:r w:rsidR="00C745CE">
        <w:t>, this is explored further</w:t>
      </w:r>
      <w:r>
        <w:t xml:space="preserve"> in Section </w:t>
      </w:r>
      <w:r>
        <w:fldChar w:fldCharType="begin"/>
      </w:r>
      <w:r>
        <w:instrText xml:space="preserve"> REF _Ref127183862 \r \h </w:instrText>
      </w:r>
      <w:r>
        <w:fldChar w:fldCharType="separate"/>
      </w:r>
      <w:r w:rsidR="00102828">
        <w:t>2.3</w:t>
      </w:r>
      <w:r>
        <w:fldChar w:fldCharType="end"/>
      </w:r>
      <w:r>
        <w:t>.2.</w:t>
      </w:r>
    </w:p>
    <w:p w14:paraId="276154FB" w14:textId="77777777" w:rsidR="00771E18" w:rsidRDefault="00771E18">
      <w:pPr>
        <w:spacing w:before="0" w:after="160" w:line="259" w:lineRule="auto"/>
        <w:jc w:val="left"/>
        <w:rPr>
          <w:i/>
          <w:u w:val="single"/>
        </w:rPr>
      </w:pPr>
      <w:r>
        <w:rPr>
          <w:i/>
          <w:u w:val="single"/>
        </w:rPr>
        <w:br w:type="page"/>
      </w:r>
    </w:p>
    <w:p w14:paraId="491DA698" w14:textId="0DFFBF7A" w:rsidR="005659DC" w:rsidRDefault="005659DC" w:rsidP="005659DC">
      <w:pPr>
        <w:rPr>
          <w:i/>
          <w:u w:val="single"/>
        </w:rPr>
      </w:pPr>
      <w:r>
        <w:rPr>
          <w:i/>
          <w:u w:val="single"/>
        </w:rPr>
        <w:lastRenderedPageBreak/>
        <w:t>Nutrients</w:t>
      </w:r>
    </w:p>
    <w:p w14:paraId="118D0012" w14:textId="77777777" w:rsidR="005659DC" w:rsidRDefault="005659DC" w:rsidP="005659DC">
      <w:r>
        <w:t xml:space="preserve">Environmental water contributed considerably to the transport of nutrients from the Murray River to the Coorong and export to sea, and this was primarily due to additional water volume delivered by the environmental water rather than a change in the nutrient concentrations within the Coorong. The median concentrations of nitrogen and phosphorus did not vary considerably with or without environmental water in 2023-24. Unlike salt concentration, which is only subjected to water transportation and mixing, nutrient concentrations in the Coorong are also strongly affected by biogeochemical activities such as assimilation by phytoplankton and settling/release at the water-sediment interface (Huang </w:t>
      </w:r>
      <w:r w:rsidRPr="000F2105">
        <w:rPr>
          <w:i/>
          <w:iCs/>
        </w:rPr>
        <w:t>et al.</w:t>
      </w:r>
      <w:r>
        <w:t xml:space="preserve"> 2024). However, the flushing effect brought by the high flows reduced the nutrient and phytoplankton concentrations in the South Lagoon.</w:t>
      </w:r>
    </w:p>
    <w:p w14:paraId="694866C3" w14:textId="77777777" w:rsidR="005659DC" w:rsidRDefault="005659DC" w:rsidP="005659DC">
      <w:pPr>
        <w:pStyle w:val="Heading3"/>
      </w:pPr>
      <w:r>
        <w:t>Management implications</w:t>
      </w:r>
    </w:p>
    <w:p w14:paraId="199B37D6" w14:textId="77777777" w:rsidR="005659DC" w:rsidRDefault="005659DC" w:rsidP="005659DC">
      <w:r>
        <w:t>There are approximately 10</w:t>
      </w:r>
      <w:r>
        <w:rPr>
          <w:szCs w:val="22"/>
          <w:vertAlign w:val="superscript"/>
        </w:rPr>
        <w:t>11</w:t>
      </w:r>
      <w:r>
        <w:t xml:space="preserve"> tonnes of salt in groundwater in the MDB and an additional 1.5 million tonnes of salt is deposited in the Basin each year by rainfall (Herczeg </w:t>
      </w:r>
      <w:r w:rsidRPr="000F2105">
        <w:rPr>
          <w:i/>
        </w:rPr>
        <w:t>et al.</w:t>
      </w:r>
      <w:r>
        <w:t xml:space="preserve"> 2001). Unless salt is exported from the Basin with flow, there will be a net accumulation of salt within the Basin. The Basin Plan sets out a salt export objective (Section 9.09) to ensure adequate flushing of salt from the Murray River system into the Southern Ocean. The Basin Plan’s indicative target for salt export from the Basin is 2 million tonnes per year. The last seven years of salt export modelling enables the contribution of environmental flows to salt export to be scrutinised. </w:t>
      </w:r>
    </w:p>
    <w:p w14:paraId="72B9BCEB" w14:textId="2E8F4210" w:rsidR="005659DC" w:rsidRDefault="005659DC" w:rsidP="005659DC">
      <w:bookmarkStart w:id="283" w:name="_Hlk127282601"/>
      <w:r>
        <w:t>Commonwealth environmental water played a key role in salt export from the Basin to the Coorong and Southern Ocean during the dry years, accounting for 6</w:t>
      </w:r>
      <w:r w:rsidR="000A5981">
        <w:t>4</w:t>
      </w:r>
      <w:r>
        <w:t>–100% o</w:t>
      </w:r>
      <w:bookmarkEnd w:id="283"/>
      <w:r>
        <w:t xml:space="preserve">f total salt export in July 2017–June 2021, depending on the volume of unregulated flows and other environmental water. In the high flow years (2021-22, 2022-23 and 2023-24), 1.82, 3.11 and 1.24 million tonnes were exported and Commonwealth environmental water contributed 15%, </w:t>
      </w:r>
      <w:r w:rsidR="000A5981">
        <w:t>5</w:t>
      </w:r>
      <w:r>
        <w:t xml:space="preserve">%, and 18% of the salt exported, respectively (Table </w:t>
      </w:r>
      <w:r w:rsidR="000A5981">
        <w:t>10</w:t>
      </w:r>
      <w:r>
        <w:t>).</w:t>
      </w:r>
    </w:p>
    <w:p w14:paraId="5A917BB4" w14:textId="77777777" w:rsidR="005659DC" w:rsidRDefault="005659DC" w:rsidP="005659DC">
      <w:r>
        <w:t xml:space="preserve">It is generally accepted that elevated nutrients in the South Lagoon of the Coorong are contributing to the formation and persistence of algal mats (Mosley </w:t>
      </w:r>
      <w:r w:rsidRPr="000F2105">
        <w:rPr>
          <w:i/>
          <w:iCs/>
        </w:rPr>
        <w:t>et al.</w:t>
      </w:r>
      <w:r>
        <w:t xml:space="preserve"> 2022). In fact, the legacy nutrients in the sediments are contributing to this issue (Huang </w:t>
      </w:r>
      <w:r w:rsidRPr="000F2105">
        <w:rPr>
          <w:i/>
          <w:iCs/>
        </w:rPr>
        <w:t xml:space="preserve">et al. </w:t>
      </w:r>
      <w:r>
        <w:t xml:space="preserve">2022; Priestley </w:t>
      </w:r>
      <w:r w:rsidRPr="000F2105">
        <w:rPr>
          <w:i/>
          <w:iCs/>
        </w:rPr>
        <w:t>et al.</w:t>
      </w:r>
      <w:r>
        <w:t xml:space="preserve"> 2022), whereas it is evident nutrients delivered by environmental flows do not alter nutrient concentrations significantly. On the other hand, environmental flows played an important role in the nutrient loading through barrages and export through the Murray Mouth to the ocean during the dry years. Maximum exports of matter from the Murray Mouth are likely to be achieved by delivering environmental water during periods of low oceanic water levels (e.g. summer). In contrast, environmental water delivery from the Murray River at times of high oceanic water levels, which peak in the Austral winter, is likely to increase the exchange of water and associated nutrients and salt through the Coorong, rather than predominately through the Murray Mouth. Targeted barrage discharges during high tide, swell and appropriate wind direction events are important to improve water quality in the Coorong and particularly in the South Lagoon. If fresher river water is discharged through southern barrages (i.e. Tauwitchere/Ewe Island barrages), then the wind and tide can force this fresher water south, reducing the salinity in the South Lagoon. The Coorong Dynamic Model could be used to test these scenarios. Alternatively, or additionally, targeted field investigation of trial releases could be employed to determine the impact of such releases on salinity in the South Lagoon.</w:t>
      </w:r>
    </w:p>
    <w:p w14:paraId="1A439DCE" w14:textId="77777777" w:rsidR="005659DC" w:rsidRDefault="005659DC" w:rsidP="005659DC">
      <w:pPr>
        <w:pStyle w:val="Heading3"/>
      </w:pPr>
      <w:r w:rsidRPr="00DF4BD5">
        <w:lastRenderedPageBreak/>
        <w:t>Conclusion</w:t>
      </w:r>
      <w:r>
        <w:t xml:space="preserve"> </w:t>
      </w:r>
    </w:p>
    <w:p w14:paraId="5233E0FF" w14:textId="59C29D04" w:rsidR="00620A12" w:rsidRDefault="005659DC" w:rsidP="005659DC">
      <w:r>
        <w:t xml:space="preserve">The main conclusions from the current study remain similar to previous LTIM findings (Ye </w:t>
      </w:r>
      <w:r w:rsidRPr="5509274E">
        <w:rPr>
          <w:i/>
          <w:iCs/>
        </w:rPr>
        <w:t>et al.</w:t>
      </w:r>
      <w:r>
        <w:t xml:space="preserve"> 2020a), that the contributions of environmental water have significantly increased the export of salt from the Basin, especially during the dry years (2017–2021). During wet years, the impacts of environmental water on salt and nutrient export are relatively small due to environmental water being only a small portion of the total </w:t>
      </w:r>
      <w:r w:rsidR="006A33E4">
        <w:t xml:space="preserve">barrage </w:t>
      </w:r>
      <w:r>
        <w:t>flows (14.1% in 2021-22, 3.7% in 2022-23, and 19.2% in 2023-24</w:t>
      </w:r>
      <w:r w:rsidR="00771E18">
        <w:t>, MDBA modelled data</w:t>
      </w:r>
      <w:r>
        <w:t xml:space="preserve">). Cumulatively from 2017–2024, environmental water increased salt export from the Lower Lakes to the Coorong by 2.49 million tonnes, and decreased salt import from the Southern Ocean to the Coorong by approximately 12.67 million tonnes in seven years, most of which was attributable to Commonwealth environmental water (11.11 million tonnes). Environmental water also helped to reduce the salt flux southward to the North and South lagoons by </w:t>
      </w:r>
      <w:r w:rsidR="007F7316">
        <w:t>9</w:t>
      </w:r>
      <w:r>
        <w:t>.</w:t>
      </w:r>
      <w:r w:rsidR="007F7316">
        <w:t xml:space="preserve">64 </w:t>
      </w:r>
      <w:r>
        <w:t xml:space="preserve">million tonnes and </w:t>
      </w:r>
      <w:r w:rsidR="00D70658">
        <w:t>6</w:t>
      </w:r>
      <w:r>
        <w:t>.</w:t>
      </w:r>
      <w:r w:rsidR="00D70658">
        <w:t xml:space="preserve">71 </w:t>
      </w:r>
      <w:r>
        <w:t>million tonnes, respectively, from 2017 to 2024. Commonwealth environmental water contributed 8.81 million tonnes and 6.61 million tonnes, respectively.</w:t>
      </w:r>
      <w:r w:rsidR="00620A12">
        <w:t xml:space="preserve">   </w:t>
      </w:r>
    </w:p>
    <w:p w14:paraId="2B4B835C" w14:textId="77777777" w:rsidR="00620A12" w:rsidRDefault="00620A12" w:rsidP="00620A12">
      <w:pPr>
        <w:pStyle w:val="Heading2"/>
        <w:numPr>
          <w:ilvl w:val="0"/>
          <w:numId w:val="0"/>
        </w:numPr>
      </w:pPr>
      <w:bookmarkStart w:id="284" w:name="_Toc118459050"/>
      <w:bookmarkStart w:id="285" w:name="_Toc152860217"/>
      <w:bookmarkStart w:id="286" w:name="_Toc185607639"/>
      <w:bookmarkStart w:id="287" w:name="_Toc200467862"/>
      <w:r w:rsidRPr="003D073A">
        <w:t>2.3.2  Coorong Habitat</w:t>
      </w:r>
      <w:bookmarkEnd w:id="284"/>
      <w:bookmarkEnd w:id="285"/>
      <w:bookmarkEnd w:id="286"/>
      <w:bookmarkEnd w:id="287"/>
    </w:p>
    <w:p w14:paraId="32AF120E" w14:textId="77777777" w:rsidR="003A59D0" w:rsidRDefault="003A59D0" w:rsidP="003A59D0">
      <w:pPr>
        <w:pStyle w:val="Heading3"/>
      </w:pPr>
      <w:bookmarkStart w:id="288" w:name="_Hlk202535534"/>
      <w:r>
        <w:t>Background</w:t>
      </w:r>
    </w:p>
    <w:p w14:paraId="01546F4B" w14:textId="77777777" w:rsidR="003A59D0" w:rsidRPr="007B4ABF" w:rsidRDefault="003A59D0" w:rsidP="003A59D0">
      <w:pPr>
        <w:rPr>
          <w:rFonts w:ascii="Times New Roman" w:eastAsiaTheme="minorHAnsi" w:hAnsi="Times New Roman"/>
          <w:color w:val="auto"/>
          <w:kern w:val="0"/>
          <w:sz w:val="24"/>
          <w:szCs w:val="24"/>
          <w:lang w:eastAsia="en-AU"/>
        </w:rPr>
      </w:pPr>
      <w:r>
        <w:t xml:space="preserve">The Coorong is an estuarine lagoonal system with a natural salinity gradient ranging from freshwater to hyper-saline at the southern extremity. Freshwater flows are important in maintaining estuarine habitat and ecosystem health and preventing extreme hyper-salinity (Brookes </w:t>
      </w:r>
      <w:r w:rsidRPr="000F2105">
        <w:rPr>
          <w:i/>
          <w:iCs/>
        </w:rPr>
        <w:t>et al.</w:t>
      </w:r>
      <w:r>
        <w:t xml:space="preserve"> 2009). </w:t>
      </w:r>
      <w:r>
        <w:rPr>
          <w:i/>
          <w:iCs/>
        </w:rPr>
        <w:t>Ruppia tuberosa</w:t>
      </w:r>
      <w:r>
        <w:t xml:space="preserve"> is an important macrophyte in the Coorong that provides habitat for fish and food for herbivorous birds (Phillips and Muller 2006; Giatas </w:t>
      </w:r>
      <w:r w:rsidRPr="000F2105">
        <w:rPr>
          <w:i/>
          <w:iCs/>
        </w:rPr>
        <w:t>et al.</w:t>
      </w:r>
      <w:r w:rsidRPr="007C1DC1">
        <w:t xml:space="preserve"> </w:t>
      </w:r>
      <w:r>
        <w:t xml:space="preserve">2022). </w:t>
      </w:r>
      <w:r>
        <w:rPr>
          <w:i/>
          <w:iCs/>
        </w:rPr>
        <w:t>Ruppia tuberosa</w:t>
      </w:r>
      <w:r>
        <w:t xml:space="preserve"> can tolerate a range of salinity conditions and is the dominant macrophyte in the Coorong, particularly in the region where salinity is higher than natural seawater. The germination and growth of </w:t>
      </w:r>
      <w:r>
        <w:rPr>
          <w:i/>
          <w:iCs/>
        </w:rPr>
        <w:t>R. tuberosa</w:t>
      </w:r>
      <w:r>
        <w:t xml:space="preserve"> is known to be governed largely by changes in salinity and water level regimes, which are influenced by flows through the barrages (Kim </w:t>
      </w:r>
      <w:r w:rsidRPr="000F2105">
        <w:rPr>
          <w:i/>
          <w:iCs/>
        </w:rPr>
        <w:t>et al.</w:t>
      </w:r>
      <w:r>
        <w:t xml:space="preserve"> 2013). Other factors that influence </w:t>
      </w:r>
      <w:r>
        <w:rPr>
          <w:i/>
          <w:iCs/>
        </w:rPr>
        <w:t>R. tuberosa</w:t>
      </w:r>
      <w:r>
        <w:t xml:space="preserve"> growth include nutrient availability, water temperature, sediment quality and interactions with algae, including shading of light and interference with flowers and fruits on the surface (Collier </w:t>
      </w:r>
      <w:r w:rsidRPr="000F2105">
        <w:rPr>
          <w:i/>
          <w:iCs/>
        </w:rPr>
        <w:t>et al.</w:t>
      </w:r>
      <w:r>
        <w:t xml:space="preserve"> 2017). Flows during spring and into early summer are likely to be particularly beneficial as they delay the drop in water level in the South Lagoon and can prevent extremely high salinities emerging, thereby improving the probability that </w:t>
      </w:r>
      <w:r>
        <w:rPr>
          <w:i/>
          <w:iCs/>
        </w:rPr>
        <w:t>R. tuberosa</w:t>
      </w:r>
      <w:r w:rsidRPr="002F2ECD">
        <w:t xml:space="preserve"> </w:t>
      </w:r>
      <w:r>
        <w:t xml:space="preserve">will complete its reproductive cycle. In addition, salinity has also been identified as a key driver of fish distribution and assemblage structure by influencing the extent of estuarine fish habitat in the Coorong (Ye </w:t>
      </w:r>
      <w:r w:rsidRPr="000F2105">
        <w:rPr>
          <w:i/>
          <w:iCs/>
        </w:rPr>
        <w:t>et al</w:t>
      </w:r>
      <w:r w:rsidRPr="00317641">
        <w:rPr>
          <w:i/>
          <w:iCs/>
        </w:rPr>
        <w:t>.</w:t>
      </w:r>
      <w:r>
        <w:t xml:space="preserve"> 2011, 2016a; Bice </w:t>
      </w:r>
      <w:r w:rsidRPr="000F2105">
        <w:rPr>
          <w:i/>
          <w:iCs/>
        </w:rPr>
        <w:t>et al.</w:t>
      </w:r>
      <w:r>
        <w:t xml:space="preserve"> 2018). This sub-indicator aims to assess the benefits of environmental flows for the enhancement of </w:t>
      </w:r>
      <w:r>
        <w:rPr>
          <w:i/>
          <w:iCs/>
        </w:rPr>
        <w:t>R. tuberosa</w:t>
      </w:r>
      <w:r>
        <w:t xml:space="preserve"> habitat, particularly those that are delivered in late spring and early summer, and the improvement of estuarine fish habitat throughout the year for several key species with different salinity tolerance.</w:t>
      </w:r>
    </w:p>
    <w:p w14:paraId="1F3E394F" w14:textId="77777777" w:rsidR="003A59D0" w:rsidRDefault="003A59D0" w:rsidP="003A59D0">
      <w:pPr>
        <w:rPr>
          <w:i/>
          <w:u w:val="single"/>
        </w:rPr>
      </w:pPr>
      <w:r>
        <w:rPr>
          <w:i/>
          <w:u w:val="single"/>
        </w:rPr>
        <w:t>Major hypothesis</w:t>
      </w:r>
    </w:p>
    <w:p w14:paraId="312953DC" w14:textId="77777777" w:rsidR="003A59D0" w:rsidRDefault="003A59D0" w:rsidP="003A59D0">
      <w:r>
        <w:t xml:space="preserve">Increased freshwater flow through the barrages and into the Coorong due to environmental water delivery will prevent areas of extreme salinity and maintain water levels in the Coorong, thus expanding the extent of </w:t>
      </w:r>
      <w:r w:rsidRPr="0072624D">
        <w:rPr>
          <w:i/>
          <w:iCs/>
        </w:rPr>
        <w:t>R</w:t>
      </w:r>
      <w:r>
        <w:rPr>
          <w:i/>
          <w:iCs/>
        </w:rPr>
        <w:t xml:space="preserve">. tuberosa </w:t>
      </w:r>
      <w:r>
        <w:t>and fish habitats.</w:t>
      </w:r>
    </w:p>
    <w:p w14:paraId="1982DAD4" w14:textId="77777777" w:rsidR="003A59D0" w:rsidRDefault="003A59D0" w:rsidP="003A59D0">
      <w:pPr>
        <w:pStyle w:val="Heading3"/>
      </w:pPr>
      <w:r>
        <w:lastRenderedPageBreak/>
        <w:t>Methods</w:t>
      </w:r>
    </w:p>
    <w:p w14:paraId="4C11C62D" w14:textId="77777777" w:rsidR="003A59D0" w:rsidRDefault="003A59D0" w:rsidP="003A59D0">
      <w:pPr>
        <w:rPr>
          <w:lang w:eastAsia="en-AU"/>
        </w:rPr>
      </w:pPr>
      <w:r>
        <w:rPr>
          <w:lang w:eastAsia="en-AU"/>
        </w:rPr>
        <w:t xml:space="preserve">The habitat extent of </w:t>
      </w:r>
      <w:r>
        <w:rPr>
          <w:i/>
          <w:iCs/>
          <w:lang w:eastAsia="en-AU"/>
        </w:rPr>
        <w:t>R. tuberosa</w:t>
      </w:r>
      <w:r>
        <w:rPr>
          <w:lang w:eastAsia="en-AU"/>
        </w:rPr>
        <w:t xml:space="preserve"> and fish was estimated using previously reported environmental thresholds (Ye </w:t>
      </w:r>
      <w:r w:rsidRPr="000F2105">
        <w:rPr>
          <w:i/>
          <w:iCs/>
          <w:lang w:eastAsia="en-AU"/>
        </w:rPr>
        <w:t>et al.</w:t>
      </w:r>
      <w:r>
        <w:rPr>
          <w:lang w:eastAsia="en-AU"/>
        </w:rPr>
        <w:t xml:space="preserve"> 2016a; see </w:t>
      </w:r>
      <w:bookmarkStart w:id="289" w:name="_Hlk197537787"/>
      <w:r>
        <w:rPr>
          <w:lang w:eastAsia="en-AU"/>
        </w:rPr>
        <w:t xml:space="preserve">Zhai </w:t>
      </w:r>
      <w:r w:rsidRPr="000F2105">
        <w:rPr>
          <w:i/>
          <w:iCs/>
          <w:lang w:eastAsia="en-AU"/>
        </w:rPr>
        <w:t>et al.</w:t>
      </w:r>
      <w:r>
        <w:rPr>
          <w:lang w:eastAsia="en-AU"/>
        </w:rPr>
        <w:t xml:space="preserve"> 2025 </w:t>
      </w:r>
      <w:bookmarkEnd w:id="289"/>
      <w:r>
        <w:rPr>
          <w:lang w:eastAsia="en-AU"/>
        </w:rPr>
        <w:t xml:space="preserve">for a summary of </w:t>
      </w:r>
      <w:r w:rsidRPr="00010EC8">
        <w:rPr>
          <w:i/>
          <w:iCs/>
          <w:lang w:eastAsia="en-AU"/>
        </w:rPr>
        <w:t>R. tuberosa</w:t>
      </w:r>
      <w:r>
        <w:rPr>
          <w:lang w:eastAsia="en-AU"/>
        </w:rPr>
        <w:t xml:space="preserve"> environmental thresholds). For </w:t>
      </w:r>
      <w:r>
        <w:rPr>
          <w:i/>
          <w:iCs/>
          <w:lang w:eastAsia="en-AU"/>
        </w:rPr>
        <w:t>R. tuberosa</w:t>
      </w:r>
      <w:r>
        <w:rPr>
          <w:lang w:eastAsia="en-AU"/>
        </w:rPr>
        <w:t xml:space="preserve">, the thresholds are consistent with </w:t>
      </w:r>
      <w:r w:rsidRPr="007E78A5">
        <w:rPr>
          <w:lang w:eastAsia="en-AU"/>
        </w:rPr>
        <w:t xml:space="preserve">the Generation 2 Coorong Dynamics Model (CDM, Hipsey </w:t>
      </w:r>
      <w:r w:rsidRPr="000F2105">
        <w:rPr>
          <w:i/>
          <w:iCs/>
          <w:lang w:eastAsia="en-AU"/>
        </w:rPr>
        <w:t>et al</w:t>
      </w:r>
      <w:r w:rsidRPr="005C3C62">
        <w:rPr>
          <w:i/>
          <w:iCs/>
          <w:lang w:eastAsia="en-AU"/>
        </w:rPr>
        <w:t>.</w:t>
      </w:r>
      <w:r w:rsidRPr="007E78A5">
        <w:rPr>
          <w:lang w:eastAsia="en-AU"/>
        </w:rPr>
        <w:t xml:space="preserve"> 2022)</w:t>
      </w:r>
      <w:r w:rsidRPr="007E78A5">
        <w:t xml:space="preserve">, in which the latest findings from the </w:t>
      </w:r>
      <w:r w:rsidRPr="00985BD4">
        <w:t>HCHB Program were incorporated</w:t>
      </w:r>
      <w:r w:rsidRPr="007E78A5">
        <w:t>.</w:t>
      </w:r>
      <w:r w:rsidRPr="007E78A5">
        <w:rPr>
          <w:lang w:eastAsia="en-AU"/>
        </w:rPr>
        <w:t xml:space="preserve"> The </w:t>
      </w:r>
      <w:r>
        <w:rPr>
          <w:i/>
          <w:iCs/>
          <w:lang w:eastAsia="en-AU"/>
        </w:rPr>
        <w:t>R. tuberosa</w:t>
      </w:r>
      <w:r w:rsidRPr="007E78A5">
        <w:rPr>
          <w:i/>
          <w:iCs/>
          <w:lang w:eastAsia="en-AU"/>
        </w:rPr>
        <w:t xml:space="preserve"> </w:t>
      </w:r>
      <w:r w:rsidRPr="007E78A5">
        <w:rPr>
          <w:lang w:eastAsia="en-AU"/>
        </w:rPr>
        <w:t>ecological response model has capability to account for habita</w:t>
      </w:r>
      <w:r>
        <w:rPr>
          <w:lang w:eastAsia="en-AU"/>
        </w:rPr>
        <w:t xml:space="preserve">t suitability of critical life stages, and is designed to estimate the probability of turion survival during summer dormancy, turion sprouting, seedling development to juvenile plants, and adult plant flowering and turion formation (Zhai </w:t>
      </w:r>
      <w:r w:rsidRPr="000F2105">
        <w:rPr>
          <w:i/>
          <w:iCs/>
          <w:lang w:eastAsia="en-AU"/>
        </w:rPr>
        <w:t>et al.</w:t>
      </w:r>
      <w:r>
        <w:rPr>
          <w:lang w:eastAsia="en-AU"/>
        </w:rPr>
        <w:t xml:space="preserve"> 2025). Each stage (viability, seed, sprout, adult, flowering, turion) is assigned a habitat suitability based on cell specific light, depth, salinity, temperature and filamentous algae density, which results in a combined probability of sexual life-cycle completion, asexual life-cycle completion, or dual life-cycle where both sexual and asexual completions are possible, at the end of each calendar year (corresponding to the end of its annual life-cycle). Where the index was above 0.5, we computed a suitable area of habitat, by multiplying the habitat score by the cell area, and summing over all cells within both North and South lagoons excluding the area surrounding the Murray Mouth. </w:t>
      </w:r>
    </w:p>
    <w:p w14:paraId="60EC95A8" w14:textId="47329B74" w:rsidR="003A59D0" w:rsidRDefault="003A59D0" w:rsidP="003A59D0">
      <w:pPr>
        <w:rPr>
          <w:lang w:eastAsia="en-AU"/>
        </w:rPr>
      </w:pPr>
      <w:r>
        <w:rPr>
          <w:lang w:eastAsia="en-AU"/>
        </w:rPr>
        <w:t xml:space="preserve">The fish habitat model was implemented to calculate spatio-temporal probabilities of habitat suitability for juveniles of seven key species, </w:t>
      </w:r>
      <w:r w:rsidRPr="005747A8">
        <w:rPr>
          <w:lang w:eastAsia="en-AU"/>
        </w:rPr>
        <w:t>mulloway (</w:t>
      </w:r>
      <w:r w:rsidRPr="005747A8">
        <w:rPr>
          <w:i/>
          <w:iCs/>
          <w:lang w:eastAsia="en-AU"/>
        </w:rPr>
        <w:t>Argyrosomus japonicus</w:t>
      </w:r>
      <w:r w:rsidRPr="005747A8">
        <w:rPr>
          <w:lang w:eastAsia="en-AU"/>
        </w:rPr>
        <w:t>), black bream (</w:t>
      </w:r>
      <w:r w:rsidRPr="005747A8">
        <w:rPr>
          <w:i/>
          <w:iCs/>
          <w:lang w:eastAsia="en-AU"/>
        </w:rPr>
        <w:t>Acanthopagrus butcheri</w:t>
      </w:r>
      <w:r w:rsidRPr="005747A8">
        <w:rPr>
          <w:lang w:eastAsia="en-AU"/>
        </w:rPr>
        <w:t>), greenback flounder (</w:t>
      </w:r>
      <w:r w:rsidRPr="005747A8">
        <w:rPr>
          <w:i/>
          <w:iCs/>
          <w:lang w:eastAsia="en-AU"/>
        </w:rPr>
        <w:t>Rhombosolea tapirina</w:t>
      </w:r>
      <w:r w:rsidRPr="005747A8">
        <w:rPr>
          <w:lang w:eastAsia="en-AU"/>
        </w:rPr>
        <w:t>), yelloweye mullet (</w:t>
      </w:r>
      <w:r w:rsidRPr="005747A8">
        <w:rPr>
          <w:i/>
          <w:iCs/>
          <w:lang w:eastAsia="en-AU"/>
        </w:rPr>
        <w:t>Aldrichetta forsteri</w:t>
      </w:r>
      <w:r w:rsidRPr="005747A8">
        <w:rPr>
          <w:lang w:eastAsia="en-AU"/>
        </w:rPr>
        <w:t>), congolli (</w:t>
      </w:r>
      <w:r w:rsidRPr="005747A8">
        <w:rPr>
          <w:i/>
          <w:iCs/>
          <w:lang w:eastAsia="en-AU"/>
        </w:rPr>
        <w:t>Pseudaphritis urvillii</w:t>
      </w:r>
      <w:r w:rsidRPr="005747A8">
        <w:rPr>
          <w:lang w:eastAsia="en-AU"/>
        </w:rPr>
        <w:t>), Tamar goby (</w:t>
      </w:r>
      <w:r w:rsidRPr="005747A8">
        <w:rPr>
          <w:i/>
          <w:iCs/>
          <w:lang w:eastAsia="en-AU"/>
        </w:rPr>
        <w:t>Afurcagobius tamarensis</w:t>
      </w:r>
      <w:r w:rsidRPr="005747A8">
        <w:rPr>
          <w:lang w:eastAsia="en-AU"/>
        </w:rPr>
        <w:t>) and smallmouth hardyhead (</w:t>
      </w:r>
      <w:r w:rsidRPr="005747A8">
        <w:rPr>
          <w:i/>
          <w:iCs/>
          <w:lang w:eastAsia="en-AU"/>
        </w:rPr>
        <w:t>Atherinosoma microstoma</w:t>
      </w:r>
      <w:r w:rsidRPr="005747A8">
        <w:rPr>
          <w:lang w:eastAsia="en-AU"/>
        </w:rPr>
        <w:t>)</w:t>
      </w:r>
      <w:r>
        <w:rPr>
          <w:lang w:eastAsia="en-AU"/>
        </w:rPr>
        <w:t xml:space="preserve">, based on experiment-derived lethal concentration salinity thresholds and temperature sensitivity to the salinity thresholds (McNeil </w:t>
      </w:r>
      <w:r w:rsidRPr="000F3D37">
        <w:rPr>
          <w:i/>
          <w:iCs/>
          <w:lang w:eastAsia="en-AU"/>
        </w:rPr>
        <w:t>et al</w:t>
      </w:r>
      <w:r w:rsidRPr="00AF6025">
        <w:rPr>
          <w:i/>
          <w:iCs/>
          <w:lang w:eastAsia="en-AU"/>
        </w:rPr>
        <w:t>.</w:t>
      </w:r>
      <w:r>
        <w:rPr>
          <w:lang w:eastAsia="en-AU"/>
        </w:rPr>
        <w:t xml:space="preserve"> 2013, Table C3 </w:t>
      </w:r>
      <w:r w:rsidRPr="00E10940">
        <w:t xml:space="preserve"> </w:t>
      </w:r>
      <w:r>
        <w:t>in Appendix C</w:t>
      </w:r>
      <w:r>
        <w:rPr>
          <w:lang w:eastAsia="en-AU"/>
        </w:rPr>
        <w:t xml:space="preserve">). </w:t>
      </w:r>
      <w:r w:rsidRPr="00E10940">
        <w:rPr>
          <w:rFonts w:ascii="Helvetica" w:hAnsi="Helvetica"/>
          <w:color w:val="282828"/>
          <w:kern w:val="0"/>
          <w:sz w:val="24"/>
          <w:szCs w:val="24"/>
          <w:lang w:eastAsia="en-AU"/>
        </w:rPr>
        <w:t xml:space="preserve"> </w:t>
      </w:r>
      <w:r w:rsidRPr="00E10940">
        <w:rPr>
          <w:lang w:eastAsia="en-AU"/>
        </w:rPr>
        <w:t>The model adopts a seasonal effect by account for temperature sensitivity to the salinity thresholds (higher salinity tolerance at lower temperatures) to calculate the habitat suitability index</w:t>
      </w:r>
      <w:r>
        <w:rPr>
          <w:lang w:eastAsia="en-AU"/>
        </w:rPr>
        <w:t xml:space="preserve"> (Brookes </w:t>
      </w:r>
      <w:r w:rsidRPr="000F3D37">
        <w:rPr>
          <w:i/>
          <w:iCs/>
          <w:lang w:eastAsia="en-AU"/>
        </w:rPr>
        <w:t>et al.</w:t>
      </w:r>
      <w:r>
        <w:rPr>
          <w:lang w:eastAsia="en-AU"/>
        </w:rPr>
        <w:t xml:space="preserve"> 2022, see Table C4 for model functions). A suitable habitat area for each species in each month was calculated using the same method as </w:t>
      </w:r>
      <w:r>
        <w:rPr>
          <w:i/>
          <w:iCs/>
          <w:lang w:eastAsia="en-AU"/>
        </w:rPr>
        <w:t>R. tuberosa</w:t>
      </w:r>
      <w:r>
        <w:rPr>
          <w:lang w:eastAsia="en-AU"/>
        </w:rPr>
        <w:t xml:space="preserve"> for the North and South lagoons. The monthly area was then averaged over each water year to assess inter-annual variability.</w:t>
      </w:r>
    </w:p>
    <w:p w14:paraId="6F36465D" w14:textId="77777777" w:rsidR="003A59D0" w:rsidRDefault="003A59D0" w:rsidP="003A59D0">
      <w:pPr>
        <w:pStyle w:val="Heading3"/>
        <w:rPr>
          <w:lang w:eastAsia="en-AU"/>
        </w:rPr>
      </w:pPr>
      <w:r>
        <w:rPr>
          <w:lang w:eastAsia="en-AU"/>
        </w:rPr>
        <w:t>Results</w:t>
      </w:r>
    </w:p>
    <w:p w14:paraId="1036530D" w14:textId="15FD51A6" w:rsidR="003A59D0" w:rsidRDefault="003A59D0" w:rsidP="003A59D0">
      <w:pPr>
        <w:rPr>
          <w:lang w:eastAsia="en-AU"/>
        </w:rPr>
      </w:pPr>
      <w:r>
        <w:rPr>
          <w:lang w:eastAsia="en-AU"/>
        </w:rPr>
        <w:t xml:space="preserve">The modelled </w:t>
      </w:r>
      <w:r>
        <w:rPr>
          <w:i/>
          <w:lang w:eastAsia="en-AU"/>
        </w:rPr>
        <w:t>R. tuberosa</w:t>
      </w:r>
      <w:r>
        <w:rPr>
          <w:lang w:eastAsia="en-AU"/>
        </w:rPr>
        <w:t xml:space="preserve"> habitat areas in the Coorong from 2018–2023</w:t>
      </w:r>
      <w:r w:rsidRPr="00E15052">
        <w:rPr>
          <w:lang w:eastAsia="en-AU"/>
        </w:rPr>
        <w:t xml:space="preserve"> </w:t>
      </w:r>
      <w:r>
        <w:rPr>
          <w:lang w:eastAsia="en-AU"/>
        </w:rPr>
        <w:t xml:space="preserve">are summarised in </w:t>
      </w:r>
      <w:r>
        <w:rPr>
          <w:lang w:eastAsia="en-AU"/>
        </w:rPr>
        <w:fldChar w:fldCharType="begin"/>
      </w:r>
      <w:r>
        <w:rPr>
          <w:lang w:eastAsia="en-AU"/>
        </w:rPr>
        <w:instrText xml:space="preserve"> REF _Ref96529786 \h </w:instrText>
      </w:r>
      <w:r>
        <w:rPr>
          <w:lang w:eastAsia="en-AU"/>
        </w:rPr>
      </w:r>
      <w:r>
        <w:rPr>
          <w:lang w:eastAsia="en-AU"/>
        </w:rPr>
        <w:fldChar w:fldCharType="separate"/>
      </w:r>
      <w:r w:rsidR="00102828">
        <w:t xml:space="preserve">Figure </w:t>
      </w:r>
      <w:r w:rsidR="00102828">
        <w:rPr>
          <w:noProof/>
        </w:rPr>
        <w:t>37</w:t>
      </w:r>
      <w:r>
        <w:rPr>
          <w:lang w:eastAsia="en-AU"/>
        </w:rPr>
        <w:fldChar w:fldCharType="end"/>
      </w:r>
      <w:r>
        <w:rPr>
          <w:lang w:eastAsia="en-AU"/>
        </w:rPr>
        <w:t xml:space="preserve">, including the suitable habitat area for different life stages. The comparison of the overall area of habitat to complete a full life-cycle of sexual reproduction showed a decrease of 47% in 2023 in the ‘No CEW 7 years’ scenario when compared to the ‘All Water’ scenario </w:t>
      </w:r>
      <w:r w:rsidRPr="004F043E">
        <w:rPr>
          <w:lang w:eastAsia="en-AU"/>
        </w:rPr>
        <w:t xml:space="preserve">(i.e. </w:t>
      </w:r>
      <w:r>
        <w:rPr>
          <w:lang w:eastAsia="en-AU"/>
        </w:rPr>
        <w:t>seven</w:t>
      </w:r>
      <w:r w:rsidRPr="004F043E">
        <w:rPr>
          <w:lang w:eastAsia="en-AU"/>
        </w:rPr>
        <w:t>-year cumulative effect)</w:t>
      </w:r>
      <w:r>
        <w:rPr>
          <w:lang w:eastAsia="en-AU"/>
        </w:rPr>
        <w:t>, and this appears to be mainly limited to the area suitable for successful flowering (</w:t>
      </w:r>
      <w:r>
        <w:rPr>
          <w:lang w:eastAsia="en-AU"/>
        </w:rPr>
        <w:fldChar w:fldCharType="begin"/>
      </w:r>
      <w:r>
        <w:rPr>
          <w:lang w:eastAsia="en-AU"/>
        </w:rPr>
        <w:instrText xml:space="preserve"> REF _Ref96529786 \h </w:instrText>
      </w:r>
      <w:r>
        <w:rPr>
          <w:lang w:eastAsia="en-AU"/>
        </w:rPr>
      </w:r>
      <w:r>
        <w:rPr>
          <w:lang w:eastAsia="en-AU"/>
        </w:rPr>
        <w:fldChar w:fldCharType="separate"/>
      </w:r>
      <w:r w:rsidR="00102828">
        <w:t xml:space="preserve">Figure </w:t>
      </w:r>
      <w:r w:rsidR="00102828">
        <w:rPr>
          <w:noProof/>
        </w:rPr>
        <w:t>37</w:t>
      </w:r>
      <w:r>
        <w:rPr>
          <w:lang w:eastAsia="en-AU"/>
        </w:rPr>
        <w:fldChar w:fldCharType="end"/>
      </w:r>
      <w:r>
        <w:rPr>
          <w:lang w:eastAsia="en-AU"/>
        </w:rPr>
        <w:t xml:space="preserve"> and </w:t>
      </w:r>
      <w:r>
        <w:rPr>
          <w:lang w:eastAsia="en-AU"/>
        </w:rPr>
        <w:fldChar w:fldCharType="begin"/>
      </w:r>
      <w:r>
        <w:rPr>
          <w:lang w:eastAsia="en-AU"/>
        </w:rPr>
        <w:instrText xml:space="preserve"> REF _Ref121408350 \h </w:instrText>
      </w:r>
      <w:r>
        <w:rPr>
          <w:lang w:eastAsia="en-AU"/>
        </w:rPr>
      </w:r>
      <w:r>
        <w:rPr>
          <w:lang w:eastAsia="en-AU"/>
        </w:rPr>
        <w:fldChar w:fldCharType="separate"/>
      </w:r>
      <w:r w:rsidR="00102828">
        <w:t xml:space="preserve">Figure </w:t>
      </w:r>
      <w:r w:rsidR="00102828">
        <w:rPr>
          <w:noProof/>
        </w:rPr>
        <w:t>39</w:t>
      </w:r>
      <w:r>
        <w:rPr>
          <w:lang w:eastAsia="en-AU"/>
        </w:rPr>
        <w:fldChar w:fldCharType="end"/>
      </w:r>
      <w:r>
        <w:rPr>
          <w:lang w:eastAsia="en-AU"/>
        </w:rPr>
        <w:t>). The total suitable habitat area for asexual reproduction showed a 20% increase if there was no Commonwealth environmental water for seven years continuously. However, this was mainly driven by an increase in habitat in the northern Coorong, while most of the southern Coorong observed a decrease of suitable habitat (</w:t>
      </w:r>
      <w:r w:rsidRPr="00CF0150">
        <w:fldChar w:fldCharType="begin"/>
      </w:r>
      <w:r w:rsidRPr="00CF0150">
        <w:instrText xml:space="preserve"> REF _Ref121484925 \h </w:instrText>
      </w:r>
      <w:r>
        <w:instrText xml:space="preserve"> \* MERGEFORMAT </w:instrText>
      </w:r>
      <w:r w:rsidRPr="00CF0150">
        <w:fldChar w:fldCharType="separate"/>
      </w:r>
      <w:r w:rsidR="00102828" w:rsidRPr="009C271D">
        <w:t xml:space="preserve">Figure </w:t>
      </w:r>
      <w:r w:rsidR="00102828">
        <w:t>40</w:t>
      </w:r>
      <w:r w:rsidRPr="00CF0150">
        <w:fldChar w:fldCharType="end"/>
      </w:r>
      <w:r>
        <w:rPr>
          <w:lang w:eastAsia="en-AU"/>
        </w:rPr>
        <w:t>). Overall, habitat area suitable for both sexual and asexual reproduction (‘dual’) showed a similar response to scenarios as that of sexual reproduction (</w:t>
      </w:r>
      <w:r>
        <w:rPr>
          <w:lang w:eastAsia="en-AU"/>
        </w:rPr>
        <w:fldChar w:fldCharType="begin"/>
      </w:r>
      <w:r>
        <w:rPr>
          <w:lang w:eastAsia="en-AU"/>
        </w:rPr>
        <w:instrText xml:space="preserve"> REF _Ref121409800 \h </w:instrText>
      </w:r>
      <w:r>
        <w:rPr>
          <w:lang w:eastAsia="en-AU"/>
        </w:rPr>
      </w:r>
      <w:r>
        <w:rPr>
          <w:lang w:eastAsia="en-AU"/>
        </w:rPr>
        <w:fldChar w:fldCharType="separate"/>
      </w:r>
      <w:r w:rsidR="00102828">
        <w:t xml:space="preserve">Figure </w:t>
      </w:r>
      <w:r w:rsidR="00102828">
        <w:rPr>
          <w:noProof/>
        </w:rPr>
        <w:t>38</w:t>
      </w:r>
      <w:r>
        <w:rPr>
          <w:lang w:eastAsia="en-AU"/>
        </w:rPr>
        <w:fldChar w:fldCharType="end"/>
      </w:r>
      <w:r>
        <w:rPr>
          <w:lang w:eastAsia="en-AU"/>
        </w:rPr>
        <w:t xml:space="preserve">), with a 25% reduction in habitat area in 2023 under the ‘No CEW 7 years’ scenario. The degree of benefit from environmental </w:t>
      </w:r>
      <w:r>
        <w:rPr>
          <w:lang w:eastAsia="en-AU"/>
        </w:rPr>
        <w:lastRenderedPageBreak/>
        <w:t>water for sexual, asexual and dual reproduction varied each year across 2018–2021, and appears to be negligible between 2022–2023 (</w:t>
      </w:r>
      <w:r>
        <w:rPr>
          <w:lang w:eastAsia="en-AU"/>
        </w:rPr>
        <w:fldChar w:fldCharType="begin"/>
      </w:r>
      <w:r>
        <w:rPr>
          <w:lang w:eastAsia="en-AU"/>
        </w:rPr>
        <w:instrText xml:space="preserve"> REF _Ref127867856 \h </w:instrText>
      </w:r>
      <w:r>
        <w:rPr>
          <w:lang w:eastAsia="en-AU"/>
        </w:rPr>
      </w:r>
      <w:r>
        <w:rPr>
          <w:lang w:eastAsia="en-AU"/>
        </w:rPr>
        <w:fldChar w:fldCharType="separate"/>
      </w:r>
      <w:r w:rsidR="00102828">
        <w:t xml:space="preserve">Table </w:t>
      </w:r>
      <w:r w:rsidR="00102828">
        <w:rPr>
          <w:noProof/>
        </w:rPr>
        <w:t>11</w:t>
      </w:r>
      <w:r>
        <w:rPr>
          <w:lang w:eastAsia="en-AU"/>
        </w:rPr>
        <w:fldChar w:fldCharType="end"/>
      </w:r>
      <w:r>
        <w:rPr>
          <w:lang w:eastAsia="en-AU"/>
        </w:rPr>
        <w:t xml:space="preserve">). </w:t>
      </w:r>
    </w:p>
    <w:p w14:paraId="0F1CD78B" w14:textId="36FFF6C7" w:rsidR="003A59D0" w:rsidRDefault="003A59D0" w:rsidP="003A59D0">
      <w:pPr>
        <w:rPr>
          <w:lang w:eastAsia="en-AU"/>
        </w:rPr>
      </w:pPr>
      <w:r>
        <w:t xml:space="preserve">The modelled suitable habitat area for each fish species is presented in </w:t>
      </w:r>
      <w:r>
        <w:fldChar w:fldCharType="begin"/>
      </w:r>
      <w:r>
        <w:instrText xml:space="preserve"> REF _Ref121410055 \h </w:instrText>
      </w:r>
      <w:r>
        <w:fldChar w:fldCharType="separate"/>
      </w:r>
      <w:r w:rsidR="00102828">
        <w:t xml:space="preserve">Figure </w:t>
      </w:r>
      <w:r w:rsidR="00102828">
        <w:rPr>
          <w:noProof/>
        </w:rPr>
        <w:t>41</w:t>
      </w:r>
      <w:r>
        <w:fldChar w:fldCharType="end"/>
      </w:r>
      <w:r>
        <w:t>, which showed environmental water had led to fresher conditions in the Coorong and an expansion of suitable fish habitat area. Reductions in area of fish habitat of between 18</w:t>
      </w:r>
      <w:r>
        <w:rPr>
          <w:rFonts w:ascii="Calibri" w:hAnsi="Calibri" w:cs="Calibri"/>
        </w:rPr>
        <w:t>–</w:t>
      </w:r>
      <w:r>
        <w:t xml:space="preserve">52% (species dependent) were predicted in 2023-24 if there was no Commonwealth environmental water for seven years continuously (i.e. </w:t>
      </w:r>
      <w:r>
        <w:rPr>
          <w:lang w:eastAsia="en-AU"/>
        </w:rPr>
        <w:t xml:space="preserve">‘No CEW 7 years’ scenario, </w:t>
      </w:r>
      <w:r>
        <w:rPr>
          <w:lang w:eastAsia="en-AU"/>
        </w:rPr>
        <w:fldChar w:fldCharType="begin"/>
      </w:r>
      <w:r>
        <w:rPr>
          <w:lang w:eastAsia="en-AU"/>
        </w:rPr>
        <w:instrText xml:space="preserve"> REF _Ref121410055 \h </w:instrText>
      </w:r>
      <w:r>
        <w:rPr>
          <w:lang w:eastAsia="en-AU"/>
        </w:rPr>
      </w:r>
      <w:r>
        <w:rPr>
          <w:lang w:eastAsia="en-AU"/>
        </w:rPr>
        <w:fldChar w:fldCharType="separate"/>
      </w:r>
      <w:r w:rsidR="00102828">
        <w:t xml:space="preserve">Figure </w:t>
      </w:r>
      <w:r w:rsidR="00102828">
        <w:rPr>
          <w:noProof/>
        </w:rPr>
        <w:t>41</w:t>
      </w:r>
      <w:r>
        <w:rPr>
          <w:lang w:eastAsia="en-AU"/>
        </w:rPr>
        <w:fldChar w:fldCharType="end"/>
      </w:r>
      <w:r>
        <w:t>). The reduced area mostly occurred in the middle and southern Coorong during April–October, and in the northern Coorong as well during November–February (</w:t>
      </w:r>
      <w:r>
        <w:fldChar w:fldCharType="begin"/>
      </w:r>
      <w:r>
        <w:instrText xml:space="preserve"> REF _Ref185607137 \h </w:instrText>
      </w:r>
      <w:r>
        <w:fldChar w:fldCharType="separate"/>
      </w:r>
      <w:r w:rsidR="00102828">
        <w:t xml:space="preserve">Figure </w:t>
      </w:r>
      <w:r w:rsidR="00102828">
        <w:rPr>
          <w:noProof/>
        </w:rPr>
        <w:t>42</w:t>
      </w:r>
      <w:r>
        <w:fldChar w:fldCharType="end"/>
      </w:r>
      <w:r>
        <w:t>), showing black bream</w:t>
      </w:r>
      <w:r>
        <w:rPr>
          <w:lang w:eastAsia="en-AU"/>
        </w:rPr>
        <w:t xml:space="preserve"> </w:t>
      </w:r>
      <w:r>
        <w:t>as an example. Reductions of 0.2</w:t>
      </w:r>
      <w:r w:rsidRPr="003C6BFC">
        <w:t>–</w:t>
      </w:r>
      <w:r w:rsidR="00C87AE4">
        <w:t>22</w:t>
      </w:r>
      <w:r>
        <w:t xml:space="preserve">% </w:t>
      </w:r>
      <w:r w:rsidRPr="00642755">
        <w:t xml:space="preserve">per year </w:t>
      </w:r>
      <w:r>
        <w:t>(species and year dependent) in fish habitat area were predicted in the Coorong for each year Commonwealth environmental water was not delivered (</w:t>
      </w:r>
      <w:r>
        <w:fldChar w:fldCharType="begin"/>
      </w:r>
      <w:r>
        <w:instrText xml:space="preserve"> REF _Ref127867856 \h </w:instrText>
      </w:r>
      <w:r>
        <w:fldChar w:fldCharType="separate"/>
      </w:r>
      <w:r w:rsidR="00102828">
        <w:t xml:space="preserve">Table </w:t>
      </w:r>
      <w:r w:rsidR="00102828">
        <w:rPr>
          <w:noProof/>
        </w:rPr>
        <w:t>11</w:t>
      </w:r>
      <w:r>
        <w:fldChar w:fldCharType="end"/>
      </w:r>
      <w:r>
        <w:t xml:space="preserve">).  </w:t>
      </w:r>
    </w:p>
    <w:p w14:paraId="60859D5A" w14:textId="77777777" w:rsidR="003A59D0" w:rsidRDefault="003A59D0" w:rsidP="003A59D0">
      <w:pPr>
        <w:rPr>
          <w:lang w:eastAsia="en-AU"/>
        </w:rPr>
        <w:sectPr w:rsidR="003A59D0" w:rsidSect="003A59D0">
          <w:pgSz w:w="11906" w:h="16838"/>
          <w:pgMar w:top="1440" w:right="1440" w:bottom="1440" w:left="1440" w:header="708" w:footer="708" w:gutter="0"/>
          <w:cols w:space="720"/>
        </w:sectPr>
      </w:pPr>
    </w:p>
    <w:p w14:paraId="00F265D5" w14:textId="77777777" w:rsidR="003A59D0" w:rsidRDefault="003A59D0" w:rsidP="003A59D0">
      <w:pPr>
        <w:rPr>
          <w:lang w:eastAsia="en-AU"/>
        </w:rPr>
      </w:pPr>
    </w:p>
    <w:p w14:paraId="6E395193" w14:textId="77777777" w:rsidR="003A59D0" w:rsidRDefault="003A59D0" w:rsidP="003A59D0">
      <w:pPr>
        <w:pStyle w:val="NormalWeb"/>
        <w:spacing w:before="0" w:beforeAutospacing="0" w:after="0" w:afterAutospacing="0"/>
      </w:pPr>
      <w:r w:rsidRPr="00581374">
        <w:t xml:space="preserve"> </w:t>
      </w:r>
      <w:r w:rsidRPr="0020209F">
        <w:rPr>
          <w:noProof/>
        </w:rPr>
        <w:drawing>
          <wp:inline distT="0" distB="0" distL="0" distR="0" wp14:anchorId="3898E4D0" wp14:editId="5C8EC5E2">
            <wp:extent cx="8863330" cy="2798445"/>
            <wp:effectExtent l="0" t="0" r="0" b="1905"/>
            <wp:docPr id="1781502076" name="Picture 2" descr="Graph showing habitat area suitable for Ruppia tuberosa, comparing the base-case and NC7/NE7 scenarios from 2018–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502076" name="Picture 2" descr="Graph showing habitat area suitable for Ruppia tuberosa, comparing the base-case and NC7/NE7 scenarios from 2018–202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8863330" cy="2798445"/>
                    </a:xfrm>
                    <a:prstGeom prst="rect">
                      <a:avLst/>
                    </a:prstGeom>
                    <a:noFill/>
                    <a:ln>
                      <a:noFill/>
                    </a:ln>
                  </pic:spPr>
                </pic:pic>
              </a:graphicData>
            </a:graphic>
          </wp:inline>
        </w:drawing>
      </w:r>
    </w:p>
    <w:p w14:paraId="27FB7342" w14:textId="77777777" w:rsidR="003A59D0" w:rsidRPr="0015612E" w:rsidRDefault="003A59D0" w:rsidP="003A59D0">
      <w:pPr>
        <w:spacing w:before="0"/>
        <w:jc w:val="center"/>
        <w:rPr>
          <w:rFonts w:ascii="Arial" w:hAnsi="Arial" w:cs="Arial"/>
          <w:sz w:val="20"/>
          <w:szCs w:val="18"/>
          <w:lang w:eastAsia="en-AU"/>
        </w:rPr>
      </w:pPr>
      <w:r w:rsidRPr="0015612E">
        <w:rPr>
          <w:rFonts w:ascii="Arial" w:hAnsi="Arial" w:cs="Arial"/>
          <w:sz w:val="20"/>
          <w:szCs w:val="18"/>
        </w:rPr>
        <w:t>Year</w:t>
      </w:r>
    </w:p>
    <w:p w14:paraId="74817DEB" w14:textId="57621B8A" w:rsidR="003A59D0" w:rsidRDefault="003A59D0" w:rsidP="003A59D0">
      <w:pPr>
        <w:pStyle w:val="Caption"/>
        <w:rPr>
          <w:lang w:eastAsia="en-AU"/>
        </w:rPr>
      </w:pPr>
      <w:bookmarkStart w:id="290" w:name="_Ref96529786"/>
      <w:bookmarkStart w:id="291" w:name="_Toc64301866"/>
      <w:bookmarkStart w:id="292" w:name="_Toc103170083"/>
      <w:bookmarkStart w:id="293" w:name="_Toc152860264"/>
      <w:bookmarkStart w:id="294" w:name="_Toc200464488"/>
      <w:r>
        <w:t xml:space="preserve">Figure </w:t>
      </w:r>
      <w:r>
        <w:fldChar w:fldCharType="begin"/>
      </w:r>
      <w:r>
        <w:instrText>SEQ Figure \* ARABIC</w:instrText>
      </w:r>
      <w:r>
        <w:fldChar w:fldCharType="separate"/>
      </w:r>
      <w:r w:rsidR="00102828">
        <w:rPr>
          <w:noProof/>
        </w:rPr>
        <w:t>37</w:t>
      </w:r>
      <w:r>
        <w:fldChar w:fldCharType="end"/>
      </w:r>
      <w:bookmarkEnd w:id="290"/>
      <w:r>
        <w:t>.</w:t>
      </w:r>
      <w:r>
        <w:rPr>
          <w:lang w:eastAsia="en-AU"/>
        </w:rPr>
        <w:t xml:space="preserve"> Habitat area suitable for </w:t>
      </w:r>
      <w:r>
        <w:rPr>
          <w:i/>
          <w:lang w:eastAsia="en-AU"/>
        </w:rPr>
        <w:t>Ruppia tuberosa</w:t>
      </w:r>
      <w:r w:rsidRPr="00C86AD1">
        <w:rPr>
          <w:lang w:eastAsia="en-AU"/>
        </w:rPr>
        <w:t xml:space="preserve"> (overall </w:t>
      </w:r>
      <w:r>
        <w:rPr>
          <w:lang w:eastAsia="en-AU"/>
        </w:rPr>
        <w:t xml:space="preserve">sexual, asexual </w:t>
      </w:r>
      <w:r w:rsidRPr="00C86AD1">
        <w:rPr>
          <w:lang w:eastAsia="en-AU"/>
        </w:rPr>
        <w:t>and individual life</w:t>
      </w:r>
      <w:r>
        <w:rPr>
          <w:lang w:eastAsia="en-AU"/>
        </w:rPr>
        <w:t>-</w:t>
      </w:r>
      <w:r w:rsidRPr="00C86AD1">
        <w:rPr>
          <w:lang w:eastAsia="en-AU"/>
        </w:rPr>
        <w:t xml:space="preserve">stages), comparing the </w:t>
      </w:r>
      <w:r>
        <w:rPr>
          <w:lang w:eastAsia="en-AU"/>
        </w:rPr>
        <w:t>b</w:t>
      </w:r>
      <w:r w:rsidRPr="00C86AD1">
        <w:rPr>
          <w:lang w:eastAsia="en-AU"/>
        </w:rPr>
        <w:t xml:space="preserve">ase-case and </w:t>
      </w:r>
      <w:r>
        <w:rPr>
          <w:lang w:eastAsia="en-AU"/>
        </w:rPr>
        <w:t>NC7/NE7 scenario</w:t>
      </w:r>
      <w:bookmarkEnd w:id="291"/>
      <w:bookmarkEnd w:id="292"/>
      <w:r>
        <w:rPr>
          <w:lang w:eastAsia="en-AU"/>
        </w:rPr>
        <w:t>s from 2018–2023.</w:t>
      </w:r>
      <w:bookmarkEnd w:id="293"/>
      <w:r w:rsidRPr="00DD1309">
        <w:rPr>
          <w:lang w:eastAsia="en-AU"/>
        </w:rPr>
        <w:t xml:space="preserve"> </w:t>
      </w:r>
      <w:r>
        <w:rPr>
          <w:lang w:eastAsia="en-AU"/>
        </w:rPr>
        <w:t xml:space="preserve">Refer to </w:t>
      </w:r>
      <w:r>
        <w:rPr>
          <w:lang w:eastAsia="en-AU"/>
        </w:rPr>
        <w:fldChar w:fldCharType="begin"/>
      </w:r>
      <w:r>
        <w:rPr>
          <w:lang w:eastAsia="en-AU"/>
        </w:rPr>
        <w:instrText xml:space="preserve"> REF _Ref125016145 \h </w:instrText>
      </w:r>
      <w:r>
        <w:rPr>
          <w:lang w:eastAsia="en-AU"/>
        </w:rPr>
      </w:r>
      <w:r>
        <w:rPr>
          <w:lang w:eastAsia="en-AU"/>
        </w:rPr>
        <w:fldChar w:fldCharType="separate"/>
      </w:r>
      <w:r w:rsidR="00102828">
        <w:t xml:space="preserve">Table </w:t>
      </w:r>
      <w:r w:rsidR="00102828">
        <w:rPr>
          <w:noProof/>
        </w:rPr>
        <w:t>6</w:t>
      </w:r>
      <w:r>
        <w:rPr>
          <w:lang w:eastAsia="en-AU"/>
        </w:rPr>
        <w:fldChar w:fldCharType="end"/>
      </w:r>
      <w:r>
        <w:rPr>
          <w:lang w:eastAsia="en-AU"/>
        </w:rPr>
        <w:t xml:space="preserve"> for scenarios.</w:t>
      </w:r>
      <w:bookmarkEnd w:id="294"/>
    </w:p>
    <w:p w14:paraId="26C8A37F" w14:textId="77777777" w:rsidR="003A59D0" w:rsidRDefault="003A59D0" w:rsidP="003A59D0">
      <w:pPr>
        <w:pStyle w:val="NormalWeb"/>
        <w:spacing w:before="0" w:beforeAutospacing="0" w:after="0" w:afterAutospacing="0"/>
        <w:rPr>
          <w:lang w:eastAsia="en-AU"/>
        </w:rPr>
      </w:pPr>
    </w:p>
    <w:p w14:paraId="7A35142D" w14:textId="77777777" w:rsidR="003A59D0" w:rsidRDefault="003A59D0" w:rsidP="003A59D0">
      <w:pPr>
        <w:rPr>
          <w:lang w:eastAsia="en-AU"/>
        </w:rPr>
      </w:pPr>
    </w:p>
    <w:p w14:paraId="615408C4" w14:textId="191D40CF" w:rsidR="003A59D0" w:rsidRDefault="0042725D" w:rsidP="003A59D0">
      <w:pPr>
        <w:rPr>
          <w:lang w:eastAsia="en-AU"/>
        </w:rPr>
      </w:pPr>
      <w:r>
        <w:rPr>
          <w:noProof/>
          <w:lang w:eastAsia="en-AU"/>
        </w:rPr>
        <w:lastRenderedPageBreak/>
        <w:drawing>
          <wp:inline distT="0" distB="0" distL="0" distR="0" wp14:anchorId="124C14A0" wp14:editId="32FA54FF">
            <wp:extent cx="8863330" cy="4559300"/>
            <wp:effectExtent l="0" t="0" r="1270" b="0"/>
            <wp:docPr id="85101802" name="Picture 44" descr="Bar plots showing the average area of suitable Ruppia tuberosa habitat in the Coorong for different modelling scenari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1802" name="Picture 44" descr="Bar plots showing the average area of suitable Ruppia tuberosa habitat in the Coorong for different modelling scenarios. "/>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8863330" cy="4559300"/>
                    </a:xfrm>
                    <a:prstGeom prst="rect">
                      <a:avLst/>
                    </a:prstGeom>
                  </pic:spPr>
                </pic:pic>
              </a:graphicData>
            </a:graphic>
          </wp:inline>
        </w:drawing>
      </w:r>
    </w:p>
    <w:p w14:paraId="0351451E" w14:textId="1F57D385" w:rsidR="003A59D0" w:rsidRDefault="003A59D0" w:rsidP="003A59D0">
      <w:pPr>
        <w:pStyle w:val="Caption"/>
        <w:rPr>
          <w:lang w:eastAsia="en-AU"/>
        </w:rPr>
        <w:sectPr w:rsidR="003A59D0" w:rsidSect="003A59D0">
          <w:pgSz w:w="16838" w:h="11906" w:orient="landscape"/>
          <w:pgMar w:top="1440" w:right="1440" w:bottom="1440" w:left="1440" w:header="709" w:footer="709" w:gutter="0"/>
          <w:cols w:space="720"/>
        </w:sectPr>
      </w:pPr>
      <w:bookmarkStart w:id="295" w:name="_Ref121409800"/>
      <w:bookmarkStart w:id="296" w:name="_Toc152860265"/>
      <w:bookmarkStart w:id="297" w:name="_Toc200464489"/>
      <w:r>
        <w:t xml:space="preserve">Figure </w:t>
      </w:r>
      <w:r>
        <w:fldChar w:fldCharType="begin"/>
      </w:r>
      <w:r>
        <w:instrText>SEQ Figure \* ARABIC</w:instrText>
      </w:r>
      <w:r>
        <w:fldChar w:fldCharType="separate"/>
      </w:r>
      <w:r w:rsidR="00102828">
        <w:rPr>
          <w:noProof/>
        </w:rPr>
        <w:t>38</w:t>
      </w:r>
      <w:r>
        <w:fldChar w:fldCharType="end"/>
      </w:r>
      <w:bookmarkEnd w:id="295"/>
      <w:r>
        <w:t xml:space="preserve">. </w:t>
      </w:r>
      <w:r>
        <w:rPr>
          <w:lang w:eastAsia="en-AU"/>
        </w:rPr>
        <w:t xml:space="preserve">Habitat area suitable for </w:t>
      </w:r>
      <w:r>
        <w:rPr>
          <w:i/>
          <w:lang w:eastAsia="en-AU"/>
        </w:rPr>
        <w:t>Ruppia tuberosa</w:t>
      </w:r>
      <w:r w:rsidRPr="00C86AD1">
        <w:rPr>
          <w:lang w:eastAsia="en-AU"/>
        </w:rPr>
        <w:t xml:space="preserve"> (overall</w:t>
      </w:r>
      <w:r>
        <w:rPr>
          <w:lang w:eastAsia="en-AU"/>
        </w:rPr>
        <w:t xml:space="preserve"> sexual only, asexual only and dual life-stage</w:t>
      </w:r>
      <w:r w:rsidR="0042725D">
        <w:rPr>
          <w:lang w:eastAsia="en-AU"/>
        </w:rPr>
        <w:t xml:space="preserve"> completion</w:t>
      </w:r>
      <w:r w:rsidRPr="00C86AD1">
        <w:rPr>
          <w:lang w:eastAsia="en-AU"/>
        </w:rPr>
        <w:t xml:space="preserve">), comparing the </w:t>
      </w:r>
      <w:r>
        <w:rPr>
          <w:lang w:eastAsia="en-AU"/>
        </w:rPr>
        <w:t>b</w:t>
      </w:r>
      <w:r w:rsidRPr="00C86AD1">
        <w:rPr>
          <w:lang w:eastAsia="en-AU"/>
        </w:rPr>
        <w:t>ase</w:t>
      </w:r>
      <w:r>
        <w:rPr>
          <w:lang w:eastAsia="en-AU"/>
        </w:rPr>
        <w:t xml:space="preserve">-case </w:t>
      </w:r>
      <w:r w:rsidR="00127779">
        <w:rPr>
          <w:lang w:eastAsia="en-AU"/>
        </w:rPr>
        <w:t xml:space="preserve">against the </w:t>
      </w:r>
      <w:r>
        <w:rPr>
          <w:lang w:eastAsia="en-AU"/>
        </w:rPr>
        <w:t>NC7</w:t>
      </w:r>
      <w:r w:rsidR="00127779">
        <w:rPr>
          <w:lang w:eastAsia="en-AU"/>
        </w:rPr>
        <w:t xml:space="preserve"> and </w:t>
      </w:r>
      <w:r>
        <w:rPr>
          <w:lang w:eastAsia="en-AU"/>
        </w:rPr>
        <w:t xml:space="preserve">NE7 scenarios </w:t>
      </w:r>
      <w:r w:rsidR="00127779">
        <w:rPr>
          <w:lang w:eastAsia="en-AU"/>
        </w:rPr>
        <w:t xml:space="preserve">to assess the effect of cumulative environmental water delivery </w:t>
      </w:r>
      <w:r>
        <w:rPr>
          <w:lang w:eastAsia="en-AU"/>
        </w:rPr>
        <w:t>between 2018–2023, and</w:t>
      </w:r>
      <w:r w:rsidR="0042725D">
        <w:rPr>
          <w:lang w:eastAsia="en-AU"/>
        </w:rPr>
        <w:t xml:space="preserve"> </w:t>
      </w:r>
      <w:r w:rsidR="00127779">
        <w:rPr>
          <w:lang w:eastAsia="en-AU"/>
        </w:rPr>
        <w:t xml:space="preserve">also comparing the base-case to </w:t>
      </w:r>
      <w:r w:rsidR="0042725D">
        <w:rPr>
          <w:lang w:eastAsia="en-AU"/>
        </w:rPr>
        <w:t>the</w:t>
      </w:r>
      <w:r>
        <w:rPr>
          <w:lang w:eastAsia="en-AU"/>
        </w:rPr>
        <w:t xml:space="preserve"> NC</w:t>
      </w:r>
      <w:r w:rsidR="0042725D">
        <w:rPr>
          <w:lang w:eastAsia="en-AU"/>
        </w:rPr>
        <w:t>2</w:t>
      </w:r>
      <w:r>
        <w:rPr>
          <w:lang w:eastAsia="en-AU"/>
        </w:rPr>
        <w:t xml:space="preserve"> scenario </w:t>
      </w:r>
      <w:r w:rsidR="0042725D">
        <w:rPr>
          <w:lang w:eastAsia="en-AU"/>
        </w:rPr>
        <w:t xml:space="preserve">to </w:t>
      </w:r>
      <w:r w:rsidR="00127779">
        <w:rPr>
          <w:lang w:eastAsia="en-AU"/>
        </w:rPr>
        <w:t>isolate the effect of recent CEW water from Jul 2022 to Dec 2023 on the</w:t>
      </w:r>
      <w:r w:rsidR="0042725D">
        <w:rPr>
          <w:lang w:eastAsia="en-AU"/>
        </w:rPr>
        <w:t xml:space="preserve"> </w:t>
      </w:r>
      <w:r>
        <w:rPr>
          <w:lang w:eastAsia="en-AU"/>
        </w:rPr>
        <w:t>2023</w:t>
      </w:r>
      <w:r w:rsidR="00127779">
        <w:rPr>
          <w:lang w:eastAsia="en-AU"/>
        </w:rPr>
        <w:t xml:space="preserve"> growth year (denoted as 2023*);</w:t>
      </w:r>
      <w:r>
        <w:rPr>
          <w:lang w:eastAsia="en-AU"/>
        </w:rPr>
        <w:t xml:space="preserve"> </w:t>
      </w:r>
      <w:bookmarkStart w:id="298" w:name="_Hlk163830690"/>
      <w:r w:rsidR="00127779">
        <w:rPr>
          <w:lang w:eastAsia="en-AU"/>
        </w:rPr>
        <w:t xml:space="preserve">refer </w:t>
      </w:r>
      <w:r>
        <w:rPr>
          <w:lang w:eastAsia="en-AU"/>
        </w:rPr>
        <w:t xml:space="preserve">to </w:t>
      </w:r>
      <w:r>
        <w:rPr>
          <w:lang w:eastAsia="en-AU"/>
        </w:rPr>
        <w:fldChar w:fldCharType="begin"/>
      </w:r>
      <w:r>
        <w:rPr>
          <w:lang w:eastAsia="en-AU"/>
        </w:rPr>
        <w:instrText xml:space="preserve"> REF _Ref125016145 \h </w:instrText>
      </w:r>
      <w:r>
        <w:rPr>
          <w:lang w:eastAsia="en-AU"/>
        </w:rPr>
      </w:r>
      <w:r>
        <w:rPr>
          <w:lang w:eastAsia="en-AU"/>
        </w:rPr>
        <w:fldChar w:fldCharType="separate"/>
      </w:r>
      <w:r w:rsidR="00102828">
        <w:t xml:space="preserve">Table </w:t>
      </w:r>
      <w:r w:rsidR="00102828">
        <w:rPr>
          <w:noProof/>
        </w:rPr>
        <w:t>6</w:t>
      </w:r>
      <w:r>
        <w:rPr>
          <w:lang w:eastAsia="en-AU"/>
        </w:rPr>
        <w:fldChar w:fldCharType="end"/>
      </w:r>
      <w:r>
        <w:rPr>
          <w:lang w:eastAsia="en-AU"/>
        </w:rPr>
        <w:t xml:space="preserve"> for scenario</w:t>
      </w:r>
      <w:r w:rsidR="00127779">
        <w:rPr>
          <w:lang w:eastAsia="en-AU"/>
        </w:rPr>
        <w:t xml:space="preserve"> definition</w:t>
      </w:r>
      <w:bookmarkEnd w:id="298"/>
      <w:r>
        <w:rPr>
          <w:lang w:eastAsia="en-AU"/>
        </w:rPr>
        <w:t>.</w:t>
      </w:r>
      <w:bookmarkEnd w:id="296"/>
      <w:r>
        <w:rPr>
          <w:lang w:eastAsia="en-AU"/>
        </w:rPr>
        <w:t xml:space="preserve"> Note </w:t>
      </w:r>
      <w:r w:rsidR="005A6540">
        <w:rPr>
          <w:lang w:eastAsia="en-AU"/>
        </w:rPr>
        <w:t xml:space="preserve">that </w:t>
      </w:r>
      <w:r>
        <w:rPr>
          <w:lang w:eastAsia="en-AU"/>
        </w:rPr>
        <w:t xml:space="preserve">the ‘sexual only’ </w:t>
      </w:r>
      <w:r w:rsidR="005A6540">
        <w:rPr>
          <w:lang w:eastAsia="en-AU"/>
        </w:rPr>
        <w:t xml:space="preserve">scenario </w:t>
      </w:r>
      <w:r>
        <w:rPr>
          <w:lang w:eastAsia="en-AU"/>
        </w:rPr>
        <w:t xml:space="preserve">excludes area suitable for asexual or dual reproduction, and ‘asexual only’ excludes area suitable for sexual or dual reproduction, thus are different to the ‘sexual’ and ‘asexual’ in </w:t>
      </w:r>
      <w:r>
        <w:rPr>
          <w:lang w:eastAsia="en-AU"/>
        </w:rPr>
        <w:fldChar w:fldCharType="begin"/>
      </w:r>
      <w:r>
        <w:rPr>
          <w:lang w:eastAsia="en-AU"/>
        </w:rPr>
        <w:instrText xml:space="preserve"> REF _Ref96529786 \h </w:instrText>
      </w:r>
      <w:r>
        <w:rPr>
          <w:lang w:eastAsia="en-AU"/>
        </w:rPr>
      </w:r>
      <w:r>
        <w:rPr>
          <w:lang w:eastAsia="en-AU"/>
        </w:rPr>
        <w:fldChar w:fldCharType="separate"/>
      </w:r>
      <w:r w:rsidR="00102828">
        <w:t xml:space="preserve">Figure </w:t>
      </w:r>
      <w:r w:rsidR="00102828">
        <w:rPr>
          <w:noProof/>
        </w:rPr>
        <w:t>37</w:t>
      </w:r>
      <w:r>
        <w:rPr>
          <w:lang w:eastAsia="en-AU"/>
        </w:rPr>
        <w:fldChar w:fldCharType="end"/>
      </w:r>
      <w:r>
        <w:rPr>
          <w:lang w:eastAsia="en-AU"/>
        </w:rPr>
        <w:t>.</w:t>
      </w:r>
      <w:bookmarkEnd w:id="297"/>
    </w:p>
    <w:p w14:paraId="5FD55295" w14:textId="77777777" w:rsidR="003A59D0" w:rsidRPr="003A12B5" w:rsidRDefault="003A59D0" w:rsidP="003A59D0">
      <w:pPr>
        <w:rPr>
          <w:lang w:val="en-US" w:eastAsia="en-AU"/>
        </w:rPr>
      </w:pPr>
      <w:r>
        <w:rPr>
          <w:noProof/>
        </w:rPr>
        <w:lastRenderedPageBreak/>
        <mc:AlternateContent>
          <mc:Choice Requires="wps">
            <w:drawing>
              <wp:anchor distT="45720" distB="45720" distL="114300" distR="114300" simplePos="0" relativeHeight="251658246" behindDoc="0" locked="0" layoutInCell="1" allowOverlap="1" wp14:anchorId="5EB08ACF" wp14:editId="35CA1D36">
                <wp:simplePos x="0" y="0"/>
                <wp:positionH relativeFrom="column">
                  <wp:posOffset>190500</wp:posOffset>
                </wp:positionH>
                <wp:positionV relativeFrom="paragraph">
                  <wp:posOffset>5581015</wp:posOffset>
                </wp:positionV>
                <wp:extent cx="1797050" cy="429260"/>
                <wp:effectExtent l="0" t="0"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429260"/>
                        </a:xfrm>
                        <a:prstGeom prst="rect">
                          <a:avLst/>
                        </a:prstGeom>
                        <a:noFill/>
                        <a:ln w="9525">
                          <a:noFill/>
                          <a:miter lim="800000"/>
                          <a:headEnd/>
                          <a:tailEnd/>
                        </a:ln>
                      </wps:spPr>
                      <wps:txbx>
                        <w:txbxContent>
                          <w:p w14:paraId="5F28937D" w14:textId="77777777" w:rsidR="003A59D0" w:rsidRPr="00D24462" w:rsidRDefault="003A59D0" w:rsidP="003A59D0">
                            <w:pPr>
                              <w:spacing w:line="240" w:lineRule="auto"/>
                              <w:rPr>
                                <w:rFonts w:ascii="Arial" w:hAnsi="Arial" w:cs="Arial"/>
                                <w:sz w:val="18"/>
                                <w:szCs w:val="18"/>
                              </w:rPr>
                            </w:pPr>
                            <w:r w:rsidRPr="00D24462">
                              <w:rPr>
                                <w:rFonts w:ascii="Arial" w:hAnsi="Arial" w:cs="Arial"/>
                                <w:sz w:val="18"/>
                                <w:szCs w:val="18"/>
                              </w:rPr>
                              <w:t xml:space="preserve">loss                                gain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08ACF" id="Text Box 114" o:spid="_x0000_s1029" type="#_x0000_t202" style="position:absolute;left:0;text-align:left;margin-left:15pt;margin-top:439.45pt;width:141.5pt;height:33.8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mpL/AEAANQDAAAOAAAAZHJzL2Uyb0RvYy54bWysU9uO2yAQfa/Uf0C8N3bcZLOxQlbb3W5V&#10;aXuRtv0AgnGMCgwFEjv9+g7Ym43at6p+QOBhzsw5c9jcDEaTo/RBgWV0PispkVZAo+ye0e/fHt5c&#10;UxIitw3XYCWjJxnozfb1q03vallBB7qRniCIDXXvGO1idHVRBNFJw8MMnLQYbMEbHvHo90XjeY/o&#10;RhdVWV4VPfjGeRAyBPx7PwbpNuO3rRTxS9sGGYlmFHuLefV53aW12G54vffcdUpMbfB/6MJwZbHo&#10;GeqeR04OXv0FZZTwEKCNMwGmgLZVQmYOyGZe/sHmqeNOZi4oTnBnmcL/gxWfj0/uqydxeAcDDjCT&#10;CO4RxI9ALNx13O7lrffQd5I3WHieJCt6F+opNUkd6pBAdv0naHDI/BAhAw2tN0kV5EkQHQdwOosu&#10;h0hEKrlar8olhgTGFtW6uspTKXj9nO18iB8kGJI2jHocakbnx8cQUze8fr6Sill4UFrnwWpLekbX&#10;y2qZEy4iRkX0nVaG0esyfaMTEsn3tsnJkSs97rGAthPrRHSkHIfdQFTD6NuUm0TYQXNCGTyMNsNn&#10;gZsO/C9KerQYo+HngXtJif5oUcr1fLFInsyHxXJV4cFfRnaXEW4FQjEaKRm3dzH7eKR8i5K3Kqvx&#10;0snUMlonizTZPHnz8pxvvTzG7W8AAAD//wMAUEsDBBQABgAIAAAAIQAiJAst3wAAAAoBAAAPAAAA&#10;ZHJzL2Rvd25yZXYueG1sTI/NTsMwEITvSLyDtUjcqF3SliRkUyEQVxDlR+LmJtskIl5HsduEt2c5&#10;wXF2RrPfFNvZ9epEY+g8IywXBhRx5euOG4S318erFFSIlmvbeyaEbwqwLc/PCpvXfuIXOu1io6SE&#10;Q24R2hiHXOtQteRsWPiBWLyDH52NIsdG16OdpNz1+tqYjXa2Y/nQ2oHuW6q+dkeH8P50+PxYmefm&#10;wa2Hyc9Gs8s04uXFfHcLKtIc/8Lwiy/oUArT3h+5DqpHSIxMiQjpTZqBkkCyTOSyR8hWmzXostD/&#10;J5Q/AAAA//8DAFBLAQItABQABgAIAAAAIQC2gziS/gAAAOEBAAATAAAAAAAAAAAAAAAAAAAAAABb&#10;Q29udGVudF9UeXBlc10ueG1sUEsBAi0AFAAGAAgAAAAhADj9If/WAAAAlAEAAAsAAAAAAAAAAAAA&#10;AAAALwEAAF9yZWxzLy5yZWxzUEsBAi0AFAAGAAgAAAAhAPIuakv8AQAA1AMAAA4AAAAAAAAAAAAA&#10;AAAALgIAAGRycy9lMm9Eb2MueG1sUEsBAi0AFAAGAAgAAAAhACIkCy3fAAAACgEAAA8AAAAAAAAA&#10;AAAAAAAAVgQAAGRycy9kb3ducmV2LnhtbFBLBQYAAAAABAAEAPMAAABiBQAAAAA=&#10;" filled="f" stroked="f">
                <v:textbox>
                  <w:txbxContent>
                    <w:p w14:paraId="5F28937D" w14:textId="77777777" w:rsidR="003A59D0" w:rsidRPr="00D24462" w:rsidRDefault="003A59D0" w:rsidP="003A59D0">
                      <w:pPr>
                        <w:spacing w:line="240" w:lineRule="auto"/>
                        <w:rPr>
                          <w:rFonts w:ascii="Arial" w:hAnsi="Arial" w:cs="Arial"/>
                          <w:sz w:val="18"/>
                          <w:szCs w:val="18"/>
                        </w:rPr>
                      </w:pPr>
                      <w:r w:rsidRPr="00D24462">
                        <w:rPr>
                          <w:rFonts w:ascii="Arial" w:hAnsi="Arial" w:cs="Arial"/>
                          <w:sz w:val="18"/>
                          <w:szCs w:val="18"/>
                        </w:rPr>
                        <w:t xml:space="preserve">loss                                gain </w:t>
                      </w:r>
                    </w:p>
                  </w:txbxContent>
                </v:textbox>
              </v:shape>
            </w:pict>
          </mc:Fallback>
        </mc:AlternateContent>
      </w:r>
      <w:r w:rsidRPr="0020209F">
        <w:rPr>
          <w:noProof/>
          <w:lang w:val="en-US" w:eastAsia="en-AU"/>
        </w:rPr>
        <w:drawing>
          <wp:inline distT="0" distB="0" distL="0" distR="0" wp14:anchorId="25CF7DAE" wp14:editId="2415469E">
            <wp:extent cx="5731510" cy="6367780"/>
            <wp:effectExtent l="0" t="0" r="2540" b="0"/>
            <wp:docPr id="98627639" name="Picture 4" descr="Graphic of the Coorong showing differences of Ruppia tuberosa habitat suitability index values for sexual reproduction in 2023, Comparing between the no Commonwealth environmental water since 2017 and the base-case condi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27639" name="Picture 4" descr="Graphic of the Coorong showing differences of Ruppia tuberosa habitat suitability index values for sexual reproduction in 2023, Comparing between the no Commonwealth environmental water since 2017 and the base-case conditions. "/>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31510" cy="6367780"/>
                    </a:xfrm>
                    <a:prstGeom prst="rect">
                      <a:avLst/>
                    </a:prstGeom>
                    <a:noFill/>
                    <a:ln>
                      <a:noFill/>
                    </a:ln>
                  </pic:spPr>
                </pic:pic>
              </a:graphicData>
            </a:graphic>
          </wp:inline>
        </w:drawing>
      </w:r>
    </w:p>
    <w:p w14:paraId="15CE114D" w14:textId="76316A12" w:rsidR="003A59D0" w:rsidRDefault="003A59D0" w:rsidP="003A59D0">
      <w:pPr>
        <w:pStyle w:val="Caption"/>
      </w:pPr>
      <w:bookmarkStart w:id="299" w:name="_Ref121408350"/>
      <w:bookmarkStart w:id="300" w:name="_Toc64301865"/>
      <w:bookmarkStart w:id="301" w:name="_Toc103170084"/>
      <w:bookmarkStart w:id="302" w:name="_Toc152860266"/>
      <w:bookmarkStart w:id="303" w:name="_Toc200464490"/>
      <w:r>
        <w:t xml:space="preserve">Figure </w:t>
      </w:r>
      <w:r>
        <w:fldChar w:fldCharType="begin"/>
      </w:r>
      <w:r>
        <w:instrText>SEQ Figure \* ARABIC</w:instrText>
      </w:r>
      <w:r>
        <w:fldChar w:fldCharType="separate"/>
      </w:r>
      <w:r w:rsidR="00102828">
        <w:rPr>
          <w:noProof/>
        </w:rPr>
        <w:t>39</w:t>
      </w:r>
      <w:r>
        <w:fldChar w:fldCharType="end"/>
      </w:r>
      <w:bookmarkEnd w:id="299"/>
      <w:r>
        <w:t xml:space="preserve">. Differences of </w:t>
      </w:r>
      <w:r>
        <w:rPr>
          <w:i/>
          <w:iCs/>
        </w:rPr>
        <w:t>Ruppia tuberosa</w:t>
      </w:r>
      <w:r>
        <w:t xml:space="preserve"> HSI (habitat suitability index) values for sexual reproduction in 2023 between the no Commonwealth environmental water since 2017 (No CEW 7 years) and the ‘All Water’ (base-case) conditions. The index is computed for each stage (seed germination and turion sprout, adult, flower) of the life-cycle, and the overall suitability (HSI sexual) is based on where all life-stage requirements are met for sexual reproduction. More saline conditions in the ‘No CEW 7 years” scenario led to a loss of good habitat in the middle of the Coorong and South </w:t>
      </w:r>
      <w:bookmarkEnd w:id="300"/>
      <w:r>
        <w:t xml:space="preserve">Lagoon (blue indicates contraction, orange indicates expansion) that meets the requirements of all </w:t>
      </w:r>
      <w:bookmarkEnd w:id="301"/>
      <w:r>
        <w:t>life-stages.</w:t>
      </w:r>
      <w:bookmarkEnd w:id="302"/>
      <w:bookmarkEnd w:id="303"/>
    </w:p>
    <w:p w14:paraId="1D7A620F" w14:textId="77777777" w:rsidR="003A59D0" w:rsidRDefault="003A59D0" w:rsidP="003A59D0"/>
    <w:p w14:paraId="7B109DEE" w14:textId="77777777" w:rsidR="003A59D0" w:rsidRDefault="003A59D0" w:rsidP="003A59D0"/>
    <w:p w14:paraId="4787B46A" w14:textId="77777777" w:rsidR="003A59D0" w:rsidRPr="003A12B5" w:rsidRDefault="003A59D0" w:rsidP="003A59D0">
      <w:pPr>
        <w:spacing w:line="240" w:lineRule="auto"/>
        <w:jc w:val="left"/>
        <w:rPr>
          <w:lang w:val="en-US" w:eastAsia="en-AU"/>
        </w:rPr>
      </w:pPr>
      <w:r>
        <w:rPr>
          <w:rFonts w:ascii="Times New Roman" w:hAnsi="Times New Roman"/>
          <w:noProof/>
          <w:color w:val="auto"/>
          <w:kern w:val="0"/>
          <w:sz w:val="24"/>
          <w:szCs w:val="24"/>
          <w:lang w:eastAsia="en-AU"/>
        </w:rPr>
        <w:lastRenderedPageBreak/>
        <w:drawing>
          <wp:anchor distT="0" distB="0" distL="114300" distR="114300" simplePos="0" relativeHeight="251658247" behindDoc="0" locked="0" layoutInCell="1" allowOverlap="1" wp14:anchorId="5F42DD09" wp14:editId="2326809B">
            <wp:simplePos x="0" y="0"/>
            <wp:positionH relativeFrom="column">
              <wp:posOffset>190500</wp:posOffset>
            </wp:positionH>
            <wp:positionV relativeFrom="paragraph">
              <wp:posOffset>5591175</wp:posOffset>
            </wp:positionV>
            <wp:extent cx="1800225" cy="428625"/>
            <wp:effectExtent l="0" t="0" r="0" b="0"/>
            <wp:wrapNone/>
            <wp:docPr id="70" name="Picture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a:extLst>
                        <a:ext uri="{C183D7F6-B498-43B3-948B-1728B52AA6E4}">
                          <adec:decorative xmlns:adec="http://schemas.microsoft.com/office/drawing/2017/decorative" val="1"/>
                        </a:ext>
                      </a:extLst>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800225" cy="428625"/>
                    </a:xfrm>
                    <a:prstGeom prst="rect">
                      <a:avLst/>
                    </a:prstGeom>
                    <a:noFill/>
                  </pic:spPr>
                </pic:pic>
              </a:graphicData>
            </a:graphic>
          </wp:anchor>
        </w:drawing>
      </w:r>
      <w:r w:rsidRPr="0020209F">
        <w:rPr>
          <w:noProof/>
          <w:lang w:val="en-US" w:eastAsia="en-AU"/>
        </w:rPr>
        <w:drawing>
          <wp:inline distT="0" distB="0" distL="0" distR="0" wp14:anchorId="17208816" wp14:editId="56117C4C">
            <wp:extent cx="5731510" cy="6367780"/>
            <wp:effectExtent l="0" t="0" r="2540" b="0"/>
            <wp:docPr id="2033794734" name="Picture 6" descr="Graphic of the Coorong showing differences of Ruppia tuberosa habitat suitability index values for asexual reproduction in 2023 between the no Commonwealth environmental water since 2017  and the ‘All Water’ (base-case)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94734" name="Picture 6" descr="Graphic of the Coorong showing differences of Ruppia tuberosa habitat suitability index values for asexual reproduction in 2023 between the no Commonwealth environmental water since 2017  and the ‘All Water’ (base-case) conditions."/>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31510" cy="6367780"/>
                    </a:xfrm>
                    <a:prstGeom prst="rect">
                      <a:avLst/>
                    </a:prstGeom>
                    <a:noFill/>
                    <a:ln>
                      <a:noFill/>
                    </a:ln>
                  </pic:spPr>
                </pic:pic>
              </a:graphicData>
            </a:graphic>
          </wp:inline>
        </w:drawing>
      </w:r>
    </w:p>
    <w:p w14:paraId="3C211136" w14:textId="7EF5A633" w:rsidR="003A59D0" w:rsidRPr="009C271D" w:rsidRDefault="003A59D0" w:rsidP="00605FB2">
      <w:pPr>
        <w:pStyle w:val="Captions"/>
        <w:sectPr w:rsidR="003A59D0" w:rsidRPr="009C271D" w:rsidSect="003A59D0">
          <w:pgSz w:w="11906" w:h="16838"/>
          <w:pgMar w:top="1440" w:right="1440" w:bottom="1440" w:left="1440" w:header="708" w:footer="708" w:gutter="0"/>
          <w:cols w:space="720"/>
        </w:sectPr>
      </w:pPr>
      <w:bookmarkStart w:id="304" w:name="_Ref121484925"/>
      <w:bookmarkStart w:id="305" w:name="_Toc152860267"/>
      <w:bookmarkStart w:id="306" w:name="_Toc200464491"/>
      <w:r w:rsidRPr="009C271D">
        <w:t xml:space="preserve">Figure </w:t>
      </w:r>
      <w:r>
        <w:fldChar w:fldCharType="begin"/>
      </w:r>
      <w:r>
        <w:instrText xml:space="preserve"> SEQ Figure \* ARABIC </w:instrText>
      </w:r>
      <w:r>
        <w:fldChar w:fldCharType="separate"/>
      </w:r>
      <w:r w:rsidR="00102828">
        <w:rPr>
          <w:noProof/>
        </w:rPr>
        <w:t>40</w:t>
      </w:r>
      <w:r>
        <w:rPr>
          <w:noProof/>
        </w:rPr>
        <w:fldChar w:fldCharType="end"/>
      </w:r>
      <w:bookmarkEnd w:id="304"/>
      <w:r w:rsidRPr="009C271D">
        <w:t xml:space="preserve">. Differences of </w:t>
      </w:r>
      <w:r w:rsidRPr="00A21A7E">
        <w:rPr>
          <w:i/>
          <w:iCs/>
        </w:rPr>
        <w:t>Ruppia tuberosa</w:t>
      </w:r>
      <w:r w:rsidRPr="009C271D">
        <w:t xml:space="preserve"> HSI (habitat suitability index) values for asexual reproduction in 2023 between the no Commonwealth environmental water since 2017 (No CEW 7 years) and the ‘All Water’ (base-case) conditions. The index is computed for each stage (seed germination and turion sprout, adult, turion formation) of the life-cycle, and the overall suitability (HSI asexual) is based on where all life-stage requirements are met for asexual reproduction. More saline conditions in the ‘No CEW 7 years’ scenario led to a loss of good habitat in the middle of the Coorong and South Lagoon except near the southern tip (i.e. Salt Creek) but a gain in the North Lagoon (blue indicates contraction, orange indicates expansion) that meets the requirements of all life-stages</w:t>
      </w:r>
      <w:bookmarkEnd w:id="305"/>
      <w:r w:rsidRPr="009C271D">
        <w:t>.</w:t>
      </w:r>
      <w:bookmarkEnd w:id="306"/>
    </w:p>
    <w:p w14:paraId="5B9E2220" w14:textId="77777777" w:rsidR="003A59D0" w:rsidRPr="00A55E64" w:rsidRDefault="003A59D0" w:rsidP="003A59D0">
      <w:pPr>
        <w:pStyle w:val="NormalWeb"/>
        <w:spacing w:line="240" w:lineRule="auto"/>
        <w:rPr>
          <w:lang w:eastAsia="en-AU"/>
        </w:rPr>
      </w:pPr>
      <w:bookmarkStart w:id="307" w:name="_Toc101963867"/>
      <w:r w:rsidRPr="007A72F4">
        <w:rPr>
          <w:noProof/>
          <w:lang w:eastAsia="en-AU"/>
        </w:rPr>
        <w:lastRenderedPageBreak/>
        <w:drawing>
          <wp:inline distT="0" distB="0" distL="0" distR="0" wp14:anchorId="77DA544F" wp14:editId="0DE15FB3">
            <wp:extent cx="8863330" cy="4431030"/>
            <wp:effectExtent l="0" t="0" r="0" b="7620"/>
            <wp:docPr id="1672309644" name="Picture 20" descr="Graphs showing habitat area of juvenile stages of key fish species for the scenarios showing the cumulative effect of environmental water delive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09644" name="Picture 20" descr="Graphs showing habitat area of juvenile stages of key fish species for the scenarios showing the cumulative effect of environmental water delivery. "/>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8863330" cy="4431030"/>
                    </a:xfrm>
                    <a:prstGeom prst="rect">
                      <a:avLst/>
                    </a:prstGeom>
                    <a:noFill/>
                    <a:ln>
                      <a:noFill/>
                    </a:ln>
                  </pic:spPr>
                </pic:pic>
              </a:graphicData>
            </a:graphic>
          </wp:inline>
        </w:drawing>
      </w:r>
    </w:p>
    <w:p w14:paraId="5C9019D6" w14:textId="77777777" w:rsidR="003A59D0" w:rsidRPr="0015612E" w:rsidRDefault="003A59D0" w:rsidP="003A59D0">
      <w:pPr>
        <w:spacing w:before="0" w:line="240" w:lineRule="auto"/>
        <w:jc w:val="center"/>
        <w:rPr>
          <w:rFonts w:ascii="Arial" w:hAnsi="Arial" w:cs="Arial"/>
          <w:sz w:val="20"/>
          <w:szCs w:val="18"/>
          <w:lang w:eastAsia="en-AU"/>
        </w:rPr>
      </w:pPr>
      <w:r w:rsidRPr="0015612E">
        <w:rPr>
          <w:rFonts w:ascii="Arial" w:hAnsi="Arial" w:cs="Arial"/>
          <w:sz w:val="20"/>
          <w:szCs w:val="18"/>
        </w:rPr>
        <w:t>Year</w:t>
      </w:r>
    </w:p>
    <w:p w14:paraId="1F3C1C62" w14:textId="509448B2" w:rsidR="003A59D0" w:rsidRDefault="003A59D0" w:rsidP="003A59D0">
      <w:pPr>
        <w:pStyle w:val="Caption"/>
        <w:rPr>
          <w:lang w:eastAsia="en-AU"/>
        </w:rPr>
      </w:pPr>
      <w:bookmarkStart w:id="308" w:name="_Ref121410055"/>
      <w:bookmarkStart w:id="309" w:name="_Toc64301868"/>
      <w:bookmarkStart w:id="310" w:name="_Toc103170085"/>
      <w:bookmarkStart w:id="311" w:name="_Toc152860268"/>
      <w:bookmarkStart w:id="312" w:name="_Toc200464492"/>
      <w:r>
        <w:t xml:space="preserve">Figure </w:t>
      </w:r>
      <w:r>
        <w:fldChar w:fldCharType="begin"/>
      </w:r>
      <w:r>
        <w:instrText>SEQ Figure \* ARABIC</w:instrText>
      </w:r>
      <w:r>
        <w:fldChar w:fldCharType="separate"/>
      </w:r>
      <w:r w:rsidR="00102828">
        <w:rPr>
          <w:noProof/>
        </w:rPr>
        <w:t>41</w:t>
      </w:r>
      <w:r>
        <w:fldChar w:fldCharType="end"/>
      </w:r>
      <w:bookmarkEnd w:id="308"/>
      <w:r>
        <w:t xml:space="preserve">. </w:t>
      </w:r>
      <w:bookmarkEnd w:id="309"/>
      <w:r>
        <w:rPr>
          <w:lang w:eastAsia="en-AU"/>
        </w:rPr>
        <w:t>Habitat area of juvenile stages of key fish species for the scenarios showing the cumulative effect of environmental water delivery (i.e. 7 years for 2023-24). Environmental water gives a large habitat expansion for all species</w:t>
      </w:r>
      <w:bookmarkEnd w:id="310"/>
      <w:r>
        <w:rPr>
          <w:lang w:eastAsia="en-AU"/>
        </w:rPr>
        <w:t xml:space="preserve">. </w:t>
      </w:r>
      <w:bookmarkStart w:id="313" w:name="_Hlk163830861"/>
      <w:r>
        <w:rPr>
          <w:lang w:eastAsia="en-AU"/>
        </w:rPr>
        <w:t xml:space="preserve">Refer to </w:t>
      </w:r>
      <w:r>
        <w:rPr>
          <w:lang w:eastAsia="en-AU"/>
        </w:rPr>
        <w:fldChar w:fldCharType="begin"/>
      </w:r>
      <w:r>
        <w:rPr>
          <w:lang w:eastAsia="en-AU"/>
        </w:rPr>
        <w:instrText xml:space="preserve"> REF _Ref125016145 \h </w:instrText>
      </w:r>
      <w:r>
        <w:rPr>
          <w:lang w:eastAsia="en-AU"/>
        </w:rPr>
      </w:r>
      <w:r>
        <w:rPr>
          <w:lang w:eastAsia="en-AU"/>
        </w:rPr>
        <w:fldChar w:fldCharType="separate"/>
      </w:r>
      <w:r w:rsidR="00102828">
        <w:t xml:space="preserve">Table </w:t>
      </w:r>
      <w:r w:rsidR="00102828">
        <w:rPr>
          <w:noProof/>
        </w:rPr>
        <w:t>6</w:t>
      </w:r>
      <w:r>
        <w:rPr>
          <w:lang w:eastAsia="en-AU"/>
        </w:rPr>
        <w:fldChar w:fldCharType="end"/>
      </w:r>
      <w:r>
        <w:rPr>
          <w:lang w:eastAsia="en-AU"/>
        </w:rPr>
        <w:t xml:space="preserve"> for scenarios.</w:t>
      </w:r>
      <w:bookmarkEnd w:id="311"/>
      <w:bookmarkEnd w:id="312"/>
    </w:p>
    <w:bookmarkEnd w:id="313"/>
    <w:p w14:paraId="601995D2" w14:textId="77777777" w:rsidR="003A59D0" w:rsidRPr="007B7535" w:rsidRDefault="003A59D0" w:rsidP="003A59D0">
      <w:pPr>
        <w:rPr>
          <w:lang w:eastAsia="en-AU"/>
        </w:rPr>
      </w:pPr>
    </w:p>
    <w:p w14:paraId="5095784C" w14:textId="77777777" w:rsidR="003A59D0" w:rsidRPr="00010EC8" w:rsidRDefault="003A59D0" w:rsidP="003A59D0">
      <w:pPr>
        <w:rPr>
          <w:lang w:val="en-US" w:eastAsia="en-AU"/>
        </w:rPr>
      </w:pPr>
      <w:r w:rsidRPr="0019048B">
        <w:rPr>
          <w:noProof/>
          <w:lang w:val="en-US" w:eastAsia="en-AU"/>
        </w:rPr>
        <w:lastRenderedPageBreak/>
        <w:drawing>
          <wp:inline distT="0" distB="0" distL="0" distR="0" wp14:anchorId="1A211964" wp14:editId="02D7D01F">
            <wp:extent cx="8724900" cy="4996753"/>
            <wp:effectExtent l="0" t="0" r="0" b="0"/>
            <wp:docPr id="728254838" name="Picture 14" descr="Graphic showing monthly habitat area “lost” for black bream in the Coorong during July 2023–June 2024 if there was no Commonwealth environmental water delivery since 201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254838" name="Picture 14" descr="Graphic showing monthly habitat area “lost” for black bream in the Coorong during July 2023–June 2024 if there was no Commonwealth environmental water delivery since 2017. "/>
                    <pic:cNvPicPr>
                      <a:picLocks noChangeAspect="1" noChangeArrowheads="1"/>
                    </pic:cNvPicPr>
                  </pic:nvPicPr>
                  <pic:blipFill rotWithShape="1">
                    <a:blip r:embed="rId108">
                      <a:extLst>
                        <a:ext uri="{28A0092B-C50C-407E-A947-70E740481C1C}">
                          <a14:useLocalDpi xmlns:a14="http://schemas.microsoft.com/office/drawing/2010/main" val="0"/>
                        </a:ext>
                      </a:extLst>
                    </a:blip>
                    <a:srcRect l="10640" t="7522" r="16928" b="9515"/>
                    <a:stretch/>
                  </pic:blipFill>
                  <pic:spPr bwMode="auto">
                    <a:xfrm>
                      <a:off x="0" y="0"/>
                      <a:ext cx="8742136" cy="5006624"/>
                    </a:xfrm>
                    <a:prstGeom prst="rect">
                      <a:avLst/>
                    </a:prstGeom>
                    <a:noFill/>
                    <a:ln>
                      <a:noFill/>
                    </a:ln>
                    <a:extLst>
                      <a:ext uri="{53640926-AAD7-44D8-BBD7-CCE9431645EC}">
                        <a14:shadowObscured xmlns:a14="http://schemas.microsoft.com/office/drawing/2010/main"/>
                      </a:ext>
                    </a:extLst>
                  </pic:spPr>
                </pic:pic>
              </a:graphicData>
            </a:graphic>
          </wp:inline>
        </w:drawing>
      </w:r>
    </w:p>
    <w:p w14:paraId="1134E1BD" w14:textId="187D7921" w:rsidR="003A59D0" w:rsidRDefault="003A59D0" w:rsidP="003A59D0">
      <w:pPr>
        <w:pStyle w:val="Caption"/>
        <w:rPr>
          <w:lang w:eastAsia="en-AU"/>
        </w:rPr>
      </w:pPr>
      <w:bookmarkStart w:id="314" w:name="_Ref185607137"/>
      <w:bookmarkStart w:id="315" w:name="_Toc200464493"/>
      <w:r>
        <w:t xml:space="preserve">Figure </w:t>
      </w:r>
      <w:r>
        <w:fldChar w:fldCharType="begin"/>
      </w:r>
      <w:r>
        <w:instrText>SEQ Figure \* ARABIC</w:instrText>
      </w:r>
      <w:r>
        <w:fldChar w:fldCharType="separate"/>
      </w:r>
      <w:r w:rsidR="00102828">
        <w:rPr>
          <w:noProof/>
        </w:rPr>
        <w:t>42</w:t>
      </w:r>
      <w:r>
        <w:fldChar w:fldCharType="end"/>
      </w:r>
      <w:bookmarkEnd w:id="314"/>
      <w:r>
        <w:t>.</w:t>
      </w:r>
      <w:r>
        <w:rPr>
          <w:lang w:eastAsia="en-AU"/>
        </w:rPr>
        <w:t xml:space="preserve"> Monthly habitat area “lost” for black bream during July 2023–June 2024 if there was no Commonwealth environmental water delivery since 2017 (calculated as the difference between habitat in the ‘All Water’ (base-case) and ‘No CEW 7 years’ scenarios). Large areas of the Coorong, particularly the South Lagoon have a decrease in habitat quality, highlighting areas that have benefited from environmental water.</w:t>
      </w:r>
      <w:bookmarkEnd w:id="315"/>
    </w:p>
    <w:p w14:paraId="34C4D93E" w14:textId="77777777" w:rsidR="003A59D0" w:rsidRDefault="003A59D0" w:rsidP="003A59D0">
      <w:pPr>
        <w:sectPr w:rsidR="003A59D0" w:rsidSect="003A59D0">
          <w:pgSz w:w="16838" w:h="11906" w:orient="landscape"/>
          <w:pgMar w:top="1440" w:right="1440" w:bottom="1440" w:left="1440" w:header="709" w:footer="709" w:gutter="0"/>
          <w:cols w:space="720"/>
        </w:sectPr>
      </w:pPr>
    </w:p>
    <w:p w14:paraId="7ECEE13B" w14:textId="77777777" w:rsidR="003A59D0" w:rsidRDefault="003A59D0" w:rsidP="003A59D0">
      <w:pPr>
        <w:pStyle w:val="Heading3"/>
      </w:pPr>
      <w:bookmarkStart w:id="316" w:name="_Hlk127291412"/>
      <w:r>
        <w:lastRenderedPageBreak/>
        <w:t>Evaluation</w:t>
      </w:r>
    </w:p>
    <w:p w14:paraId="61A3A019" w14:textId="4AC969FC" w:rsidR="003A59D0" w:rsidRDefault="003A59D0" w:rsidP="003A59D0">
      <w:bookmarkStart w:id="317" w:name="_Hlk59151248"/>
      <w:r>
        <w:t xml:space="preserve">The evaluation approach, including assessment criteria, is described in the evaluation section for Hydraulic Regime (Section </w:t>
      </w:r>
      <w:r>
        <w:fldChar w:fldCharType="begin"/>
      </w:r>
      <w:r>
        <w:instrText xml:space="preserve"> REF _Ref35872226 \r \h  \* MERGEFORMAT </w:instrText>
      </w:r>
      <w:r>
        <w:fldChar w:fldCharType="separate"/>
      </w:r>
      <w:r w:rsidR="00102828">
        <w:t>2.1</w:t>
      </w:r>
      <w:r>
        <w:fldChar w:fldCharType="end"/>
      </w:r>
      <w:r>
        <w:t>).</w:t>
      </w:r>
    </w:p>
    <w:p w14:paraId="5D41CF19" w14:textId="70F2C77D" w:rsidR="003A59D0" w:rsidRDefault="003A59D0" w:rsidP="003A59D0">
      <w:pPr>
        <w:pStyle w:val="Caption"/>
      </w:pPr>
      <w:bookmarkStart w:id="318" w:name="_Ref127867856"/>
      <w:bookmarkStart w:id="319" w:name="_Toc152860310"/>
      <w:bookmarkStart w:id="320" w:name="_Toc200464535"/>
      <w:bookmarkEnd w:id="317"/>
      <w:r>
        <w:t xml:space="preserve">Table </w:t>
      </w:r>
      <w:r>
        <w:fldChar w:fldCharType="begin"/>
      </w:r>
      <w:r>
        <w:instrText>SEQ Table \* ARABIC</w:instrText>
      </w:r>
      <w:r>
        <w:fldChar w:fldCharType="separate"/>
      </w:r>
      <w:r w:rsidR="00102828">
        <w:rPr>
          <w:noProof/>
        </w:rPr>
        <w:t>11</w:t>
      </w:r>
      <w:r>
        <w:fldChar w:fldCharType="end"/>
      </w:r>
      <w:bookmarkEnd w:id="318"/>
      <w:r>
        <w:t>. Coorong habitat evaluation questions and answers. CEW = Commonwealth environmental water.</w:t>
      </w:r>
      <w:bookmarkEnd w:id="307"/>
      <w:r>
        <w:t xml:space="preserve"> TBC = to be confirmed at the end of the calendar year.</w:t>
      </w:r>
      <w:bookmarkEnd w:id="319"/>
      <w:bookmarkEnd w:id="320"/>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le showing Coorong habitat evaluation questions and answers. "/>
      </w:tblPr>
      <w:tblGrid>
        <w:gridCol w:w="1698"/>
        <w:gridCol w:w="1417"/>
        <w:gridCol w:w="1560"/>
        <w:gridCol w:w="1560"/>
        <w:gridCol w:w="1563"/>
        <w:gridCol w:w="1560"/>
        <w:gridCol w:w="1560"/>
        <w:gridCol w:w="1557"/>
        <w:gridCol w:w="1554"/>
      </w:tblGrid>
      <w:tr w:rsidR="003A59D0" w:rsidRPr="00A27821" w14:paraId="4BAEF43A" w14:textId="77777777" w:rsidTr="3F4349A2">
        <w:trPr>
          <w:cantSplit/>
          <w:trHeight w:val="551"/>
        </w:trPr>
        <w:tc>
          <w:tcPr>
            <w:tcW w:w="605" w:type="pct"/>
            <w:vMerge w:val="restart"/>
            <w:tcBorders>
              <w:top w:val="single" w:sz="4" w:space="0" w:color="auto"/>
              <w:left w:val="single" w:sz="4" w:space="0" w:color="auto"/>
              <w:bottom w:val="single" w:sz="4" w:space="0" w:color="auto"/>
              <w:right w:val="single" w:sz="4" w:space="0" w:color="auto"/>
            </w:tcBorders>
            <w:vAlign w:val="center"/>
            <w:hideMark/>
          </w:tcPr>
          <w:p w14:paraId="40B2E120" w14:textId="77777777" w:rsidR="003A59D0" w:rsidRPr="00A27821" w:rsidRDefault="003A59D0" w:rsidP="00CE710E">
            <w:pPr>
              <w:jc w:val="center"/>
              <w:rPr>
                <w:rFonts w:cs="Arial"/>
                <w:b/>
                <w:sz w:val="18"/>
                <w:szCs w:val="18"/>
              </w:rPr>
            </w:pPr>
            <w:r w:rsidRPr="00A27821">
              <w:rPr>
                <w:rFonts w:cs="Arial"/>
                <w:b/>
                <w:sz w:val="18"/>
                <w:szCs w:val="18"/>
              </w:rPr>
              <w:t>CEWH evaluation questions</w:t>
            </w:r>
          </w:p>
        </w:tc>
        <w:tc>
          <w:tcPr>
            <w:tcW w:w="4395" w:type="pct"/>
            <w:gridSpan w:val="8"/>
            <w:tcBorders>
              <w:top w:val="single" w:sz="4" w:space="0" w:color="auto"/>
              <w:left w:val="single" w:sz="4" w:space="0" w:color="auto"/>
              <w:bottom w:val="single" w:sz="4" w:space="0" w:color="auto"/>
              <w:right w:val="single" w:sz="4" w:space="0" w:color="auto"/>
            </w:tcBorders>
            <w:vAlign w:val="center"/>
          </w:tcPr>
          <w:p w14:paraId="297369CF" w14:textId="7EBD19D0" w:rsidR="003A59D0" w:rsidRPr="00A27821" w:rsidRDefault="003A59D0" w:rsidP="307C5733">
            <w:pPr>
              <w:jc w:val="center"/>
              <w:rPr>
                <w:rFonts w:cs="Arial"/>
                <w:b/>
                <w:bCs/>
                <w:sz w:val="18"/>
                <w:szCs w:val="18"/>
              </w:rPr>
            </w:pPr>
            <w:r w:rsidRPr="307C5733">
              <w:rPr>
                <w:rFonts w:cs="Arial"/>
                <w:b/>
                <w:bCs/>
                <w:sz w:val="18"/>
                <w:szCs w:val="18"/>
              </w:rPr>
              <w:t>Outcomes of CEW delivery</w:t>
            </w:r>
          </w:p>
        </w:tc>
      </w:tr>
      <w:tr w:rsidR="003A59D0" w:rsidRPr="00A27821" w14:paraId="44DF14A4" w14:textId="77777777" w:rsidTr="3F4349A2">
        <w:trPr>
          <w:cantSplit/>
          <w:trHeight w:val="300"/>
        </w:trPr>
        <w:tc>
          <w:tcPr>
            <w:tcW w:w="605" w:type="pct"/>
            <w:vMerge/>
            <w:vAlign w:val="center"/>
            <w:hideMark/>
          </w:tcPr>
          <w:p w14:paraId="11DC4098" w14:textId="77777777" w:rsidR="003A59D0" w:rsidRPr="00A27821" w:rsidRDefault="003A59D0" w:rsidP="00CE710E">
            <w:pPr>
              <w:spacing w:before="0" w:after="0" w:line="256" w:lineRule="auto"/>
              <w:jc w:val="left"/>
              <w:rPr>
                <w:rFonts w:cs="Arial"/>
                <w:b/>
                <w:sz w:val="18"/>
                <w:szCs w:val="18"/>
              </w:rPr>
            </w:pPr>
          </w:p>
        </w:tc>
        <w:tc>
          <w:tcPr>
            <w:tcW w:w="505" w:type="pct"/>
            <w:tcBorders>
              <w:top w:val="single" w:sz="4" w:space="0" w:color="auto"/>
              <w:left w:val="single" w:sz="4" w:space="0" w:color="auto"/>
              <w:bottom w:val="single" w:sz="4" w:space="0" w:color="auto"/>
              <w:right w:val="single" w:sz="4" w:space="0" w:color="auto"/>
            </w:tcBorders>
            <w:vAlign w:val="center"/>
          </w:tcPr>
          <w:p w14:paraId="49A6D3CC" w14:textId="77777777" w:rsidR="003A59D0" w:rsidRPr="00A27821" w:rsidRDefault="003A59D0" w:rsidP="00CE710E">
            <w:pPr>
              <w:jc w:val="left"/>
              <w:rPr>
                <w:rFonts w:cs="Arial"/>
                <w:b/>
                <w:sz w:val="18"/>
                <w:szCs w:val="18"/>
              </w:rPr>
            </w:pPr>
            <w:r w:rsidRPr="00A27821">
              <w:rPr>
                <w:rFonts w:cs="Arial"/>
                <w:b/>
                <w:sz w:val="18"/>
                <w:szCs w:val="18"/>
              </w:rPr>
              <w:t>Life-stage</w:t>
            </w:r>
          </w:p>
        </w:tc>
        <w:tc>
          <w:tcPr>
            <w:tcW w:w="556" w:type="pct"/>
            <w:tcBorders>
              <w:top w:val="single" w:sz="4" w:space="0" w:color="auto"/>
              <w:left w:val="single" w:sz="4" w:space="0" w:color="auto"/>
              <w:bottom w:val="single" w:sz="4" w:space="0" w:color="auto"/>
              <w:right w:val="single" w:sz="4" w:space="0" w:color="auto"/>
            </w:tcBorders>
            <w:vAlign w:val="center"/>
            <w:hideMark/>
          </w:tcPr>
          <w:p w14:paraId="20180504" w14:textId="77777777" w:rsidR="003A59D0" w:rsidRPr="00A27821" w:rsidRDefault="003A59D0" w:rsidP="00CE710E">
            <w:pPr>
              <w:jc w:val="left"/>
              <w:rPr>
                <w:rFonts w:cs="Arial"/>
                <w:b/>
                <w:sz w:val="18"/>
                <w:szCs w:val="18"/>
              </w:rPr>
            </w:pPr>
            <w:r w:rsidRPr="00A27821">
              <w:rPr>
                <w:rFonts w:cs="Arial"/>
                <w:b/>
                <w:sz w:val="18"/>
                <w:szCs w:val="18"/>
              </w:rPr>
              <w:t>2018*</w:t>
            </w:r>
          </w:p>
        </w:tc>
        <w:tc>
          <w:tcPr>
            <w:tcW w:w="556" w:type="pct"/>
            <w:tcBorders>
              <w:top w:val="single" w:sz="4" w:space="0" w:color="auto"/>
              <w:left w:val="single" w:sz="4" w:space="0" w:color="auto"/>
              <w:bottom w:val="single" w:sz="4" w:space="0" w:color="auto"/>
              <w:right w:val="single" w:sz="4" w:space="0" w:color="auto"/>
            </w:tcBorders>
            <w:vAlign w:val="center"/>
          </w:tcPr>
          <w:p w14:paraId="54851E01" w14:textId="77777777" w:rsidR="003A59D0" w:rsidRPr="00A27821" w:rsidRDefault="003A59D0" w:rsidP="00CE710E">
            <w:pPr>
              <w:jc w:val="left"/>
              <w:rPr>
                <w:rFonts w:cs="Arial"/>
                <w:b/>
                <w:sz w:val="18"/>
                <w:szCs w:val="18"/>
              </w:rPr>
            </w:pPr>
            <w:r w:rsidRPr="00A27821">
              <w:rPr>
                <w:rFonts w:cs="Arial"/>
                <w:b/>
                <w:sz w:val="18"/>
                <w:szCs w:val="18"/>
              </w:rPr>
              <w:t>2019*</w:t>
            </w:r>
          </w:p>
        </w:tc>
        <w:tc>
          <w:tcPr>
            <w:tcW w:w="557" w:type="pct"/>
            <w:tcBorders>
              <w:top w:val="single" w:sz="4" w:space="0" w:color="auto"/>
              <w:left w:val="single" w:sz="4" w:space="0" w:color="auto"/>
              <w:bottom w:val="single" w:sz="4" w:space="0" w:color="auto"/>
              <w:right w:val="single" w:sz="4" w:space="0" w:color="auto"/>
            </w:tcBorders>
            <w:vAlign w:val="center"/>
          </w:tcPr>
          <w:p w14:paraId="11DCE502" w14:textId="77777777" w:rsidR="003A59D0" w:rsidRPr="00A27821" w:rsidRDefault="003A59D0" w:rsidP="00CE710E">
            <w:pPr>
              <w:jc w:val="left"/>
              <w:rPr>
                <w:rFonts w:cs="Arial"/>
                <w:b/>
                <w:bCs/>
                <w:sz w:val="18"/>
                <w:szCs w:val="18"/>
              </w:rPr>
            </w:pPr>
            <w:r w:rsidRPr="6063BBAF">
              <w:rPr>
                <w:rFonts w:cs="Arial"/>
                <w:b/>
                <w:bCs/>
                <w:sz w:val="18"/>
                <w:szCs w:val="18"/>
              </w:rPr>
              <w:t>2020*</w:t>
            </w:r>
          </w:p>
        </w:tc>
        <w:tc>
          <w:tcPr>
            <w:tcW w:w="556" w:type="pct"/>
            <w:tcBorders>
              <w:top w:val="single" w:sz="4" w:space="0" w:color="auto"/>
              <w:left w:val="single" w:sz="4" w:space="0" w:color="auto"/>
              <w:bottom w:val="single" w:sz="4" w:space="0" w:color="auto"/>
              <w:right w:val="single" w:sz="4" w:space="0" w:color="auto"/>
            </w:tcBorders>
            <w:vAlign w:val="center"/>
          </w:tcPr>
          <w:p w14:paraId="624A2CA1" w14:textId="77777777" w:rsidR="003A59D0" w:rsidRPr="00A27821" w:rsidRDefault="003A59D0" w:rsidP="00CE710E">
            <w:pPr>
              <w:jc w:val="left"/>
              <w:rPr>
                <w:rFonts w:cs="Arial"/>
                <w:b/>
                <w:sz w:val="18"/>
                <w:szCs w:val="18"/>
              </w:rPr>
            </w:pPr>
            <w:r w:rsidRPr="00A27821">
              <w:rPr>
                <w:rFonts w:cs="Arial"/>
                <w:b/>
                <w:sz w:val="18"/>
                <w:szCs w:val="18"/>
              </w:rPr>
              <w:t>2021*</w:t>
            </w:r>
          </w:p>
        </w:tc>
        <w:tc>
          <w:tcPr>
            <w:tcW w:w="556" w:type="pct"/>
            <w:tcBorders>
              <w:top w:val="single" w:sz="4" w:space="0" w:color="auto"/>
              <w:left w:val="single" w:sz="4" w:space="0" w:color="auto"/>
              <w:bottom w:val="single" w:sz="4" w:space="0" w:color="auto"/>
              <w:right w:val="single" w:sz="4" w:space="0" w:color="auto"/>
            </w:tcBorders>
            <w:vAlign w:val="center"/>
          </w:tcPr>
          <w:p w14:paraId="529F1173" w14:textId="77777777" w:rsidR="003A59D0" w:rsidRPr="00A27821" w:rsidRDefault="003A59D0" w:rsidP="00CE710E">
            <w:pPr>
              <w:jc w:val="left"/>
              <w:rPr>
                <w:rFonts w:cs="Arial"/>
                <w:b/>
                <w:sz w:val="18"/>
                <w:szCs w:val="18"/>
              </w:rPr>
            </w:pPr>
            <w:r w:rsidRPr="00A27821">
              <w:rPr>
                <w:rFonts w:cs="Arial"/>
                <w:b/>
                <w:sz w:val="18"/>
                <w:szCs w:val="18"/>
              </w:rPr>
              <w:t>2022*</w:t>
            </w:r>
          </w:p>
        </w:tc>
        <w:tc>
          <w:tcPr>
            <w:tcW w:w="555" w:type="pct"/>
            <w:tcBorders>
              <w:top w:val="single" w:sz="4" w:space="0" w:color="auto"/>
              <w:left w:val="single" w:sz="4" w:space="0" w:color="auto"/>
              <w:bottom w:val="single" w:sz="4" w:space="0" w:color="auto"/>
              <w:right w:val="single" w:sz="4" w:space="0" w:color="auto"/>
            </w:tcBorders>
            <w:vAlign w:val="center"/>
          </w:tcPr>
          <w:p w14:paraId="3B6D575F" w14:textId="77777777" w:rsidR="003A59D0" w:rsidRPr="00A27821" w:rsidRDefault="003A59D0" w:rsidP="00CE710E">
            <w:pPr>
              <w:jc w:val="left"/>
              <w:rPr>
                <w:rFonts w:cs="Arial"/>
                <w:b/>
                <w:sz w:val="18"/>
                <w:szCs w:val="18"/>
              </w:rPr>
            </w:pPr>
            <w:r w:rsidRPr="00A27821">
              <w:rPr>
                <w:rFonts w:cs="Arial"/>
                <w:b/>
                <w:sz w:val="18"/>
                <w:szCs w:val="18"/>
              </w:rPr>
              <w:t>2023*</w:t>
            </w:r>
          </w:p>
        </w:tc>
        <w:tc>
          <w:tcPr>
            <w:tcW w:w="554" w:type="pct"/>
            <w:tcBorders>
              <w:top w:val="single" w:sz="4" w:space="0" w:color="auto"/>
              <w:left w:val="single" w:sz="4" w:space="0" w:color="auto"/>
              <w:bottom w:val="single" w:sz="4" w:space="0" w:color="auto"/>
              <w:right w:val="single" w:sz="4" w:space="0" w:color="auto"/>
            </w:tcBorders>
            <w:vAlign w:val="center"/>
          </w:tcPr>
          <w:p w14:paraId="6CBDB53F" w14:textId="77777777" w:rsidR="003A59D0" w:rsidRPr="00A27821" w:rsidRDefault="003A59D0" w:rsidP="00CE710E">
            <w:pPr>
              <w:jc w:val="left"/>
              <w:rPr>
                <w:rFonts w:cs="Arial"/>
                <w:b/>
                <w:sz w:val="18"/>
                <w:szCs w:val="18"/>
              </w:rPr>
            </w:pPr>
            <w:r>
              <w:rPr>
                <w:rFonts w:cs="Arial"/>
                <w:b/>
                <w:sz w:val="18"/>
                <w:szCs w:val="18"/>
              </w:rPr>
              <w:t>2024*</w:t>
            </w:r>
          </w:p>
        </w:tc>
      </w:tr>
      <w:tr w:rsidR="003A59D0" w:rsidRPr="00A27821" w14:paraId="47E7782D" w14:textId="77777777" w:rsidTr="3F4349A2">
        <w:trPr>
          <w:cantSplit/>
          <w:trHeight w:val="300"/>
        </w:trPr>
        <w:tc>
          <w:tcPr>
            <w:tcW w:w="605" w:type="pct"/>
            <w:vMerge w:val="restart"/>
            <w:tcBorders>
              <w:top w:val="single" w:sz="4" w:space="0" w:color="auto"/>
              <w:left w:val="single" w:sz="4" w:space="0" w:color="auto"/>
              <w:bottom w:val="single" w:sz="4" w:space="0" w:color="auto"/>
              <w:right w:val="single" w:sz="4" w:space="0" w:color="auto"/>
            </w:tcBorders>
            <w:hideMark/>
          </w:tcPr>
          <w:p w14:paraId="3D27C101" w14:textId="77777777" w:rsidR="003A59D0" w:rsidRPr="00A27821" w:rsidRDefault="003A59D0" w:rsidP="00CE710E">
            <w:pPr>
              <w:jc w:val="left"/>
              <w:rPr>
                <w:color w:val="auto"/>
                <w:sz w:val="18"/>
                <w:szCs w:val="18"/>
              </w:rPr>
            </w:pPr>
            <w:r w:rsidRPr="00A27821">
              <w:rPr>
                <w:sz w:val="18"/>
                <w:szCs w:val="18"/>
              </w:rPr>
              <w:t xml:space="preserve">What did CEW contribute to improving predicted </w:t>
            </w:r>
            <w:r w:rsidRPr="00A27821">
              <w:rPr>
                <w:i/>
                <w:sz w:val="18"/>
                <w:szCs w:val="18"/>
              </w:rPr>
              <w:t>Ruppia tuberosa</w:t>
            </w:r>
            <w:r w:rsidRPr="00A27821">
              <w:rPr>
                <w:sz w:val="18"/>
                <w:szCs w:val="18"/>
              </w:rPr>
              <w:t xml:space="preserve"> habitat in the Coorong? (HSI-weighted area in km</w:t>
            </w:r>
            <w:r w:rsidRPr="00A27821">
              <w:rPr>
                <w:sz w:val="18"/>
                <w:szCs w:val="18"/>
                <w:vertAlign w:val="superscript"/>
              </w:rPr>
              <w:t>2</w:t>
            </w:r>
            <w:r w:rsidRPr="00A27821">
              <w:rPr>
                <w:sz w:val="18"/>
                <w:szCs w:val="18"/>
              </w:rPr>
              <w:t>, with percentage change in brackets)</w:t>
            </w:r>
          </w:p>
        </w:tc>
        <w:tc>
          <w:tcPr>
            <w:tcW w:w="505" w:type="pct"/>
            <w:tcBorders>
              <w:top w:val="single" w:sz="4" w:space="0" w:color="auto"/>
              <w:left w:val="single" w:sz="4" w:space="0" w:color="auto"/>
              <w:bottom w:val="single" w:sz="4" w:space="0" w:color="auto"/>
              <w:right w:val="single" w:sz="4" w:space="0" w:color="auto"/>
            </w:tcBorders>
          </w:tcPr>
          <w:p w14:paraId="39240CA5" w14:textId="77777777" w:rsidR="003A59D0" w:rsidRPr="00A27821" w:rsidRDefault="003A59D0" w:rsidP="00CE710E">
            <w:pPr>
              <w:jc w:val="left"/>
              <w:rPr>
                <w:sz w:val="18"/>
                <w:szCs w:val="18"/>
              </w:rPr>
            </w:pPr>
            <w:r w:rsidRPr="00A27821">
              <w:rPr>
                <w:sz w:val="18"/>
                <w:szCs w:val="18"/>
              </w:rPr>
              <w:t>Sexual</w:t>
            </w:r>
          </w:p>
        </w:tc>
        <w:tc>
          <w:tcPr>
            <w:tcW w:w="556" w:type="pct"/>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3705E225" w14:textId="7405CDBC" w:rsidR="003A59D0" w:rsidRPr="00A27821" w:rsidRDefault="003A59D0" w:rsidP="00CE710E">
            <w:pPr>
              <w:jc w:val="left"/>
              <w:rPr>
                <w:sz w:val="18"/>
                <w:szCs w:val="18"/>
              </w:rPr>
            </w:pPr>
            <w:r>
              <w:rPr>
                <w:sz w:val="18"/>
                <w:szCs w:val="18"/>
              </w:rPr>
              <w:t xml:space="preserve">7.9 </w:t>
            </w:r>
            <w:r w:rsidRPr="00A27821">
              <w:rPr>
                <w:sz w:val="18"/>
                <w:szCs w:val="18"/>
              </w:rPr>
              <w:t>(</w:t>
            </w:r>
            <w:r>
              <w:rPr>
                <w:sz w:val="18"/>
                <w:szCs w:val="18"/>
              </w:rPr>
              <w:t>28</w:t>
            </w:r>
            <w:r w:rsidRPr="00A27821">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7C174DD" w14:textId="6B8E8E0A" w:rsidR="003A59D0" w:rsidRPr="003A12B5" w:rsidRDefault="003A59D0" w:rsidP="00CE710E">
            <w:pPr>
              <w:jc w:val="left"/>
              <w:rPr>
                <w:sz w:val="18"/>
                <w:szCs w:val="18"/>
                <w:vertAlign w:val="superscript"/>
              </w:rPr>
            </w:pPr>
            <w:r>
              <w:rPr>
                <w:sz w:val="18"/>
                <w:szCs w:val="18"/>
              </w:rPr>
              <w:t>3</w:t>
            </w:r>
            <w:r w:rsidR="00CC4D29">
              <w:rPr>
                <w:sz w:val="18"/>
                <w:szCs w:val="18"/>
              </w:rPr>
              <w:t>.0</w:t>
            </w:r>
            <w:r>
              <w:rPr>
                <w:sz w:val="18"/>
                <w:szCs w:val="18"/>
              </w:rPr>
              <w:t xml:space="preserve"> </w:t>
            </w:r>
            <w:r w:rsidRPr="00A27821">
              <w:rPr>
                <w:sz w:val="18"/>
                <w:szCs w:val="18"/>
              </w:rPr>
              <w:t>(</w:t>
            </w:r>
            <w:r>
              <w:rPr>
                <w:sz w:val="18"/>
                <w:szCs w:val="18"/>
              </w:rPr>
              <w:t>15</w:t>
            </w:r>
            <w:r w:rsidRPr="00A27821">
              <w:rPr>
                <w:sz w:val="18"/>
                <w:szCs w:val="18"/>
              </w:rPr>
              <w:t>%)</w:t>
            </w:r>
          </w:p>
        </w:tc>
        <w:tc>
          <w:tcPr>
            <w:tcW w:w="557"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3AD30CE" w14:textId="1FB781C5" w:rsidR="003A59D0" w:rsidRPr="00006E9B" w:rsidRDefault="7045A3DF" w:rsidP="00065A24">
            <w:pPr>
              <w:jc w:val="left"/>
              <w:rPr>
                <w:sz w:val="18"/>
                <w:szCs w:val="18"/>
                <w:vertAlign w:val="superscript"/>
              </w:rPr>
            </w:pPr>
            <w:r w:rsidRPr="307C5733">
              <w:rPr>
                <w:sz w:val="18"/>
                <w:szCs w:val="18"/>
              </w:rPr>
              <w:t>2.4</w:t>
            </w:r>
            <w:r w:rsidR="003A59D0" w:rsidRPr="307C5733">
              <w:rPr>
                <w:sz w:val="18"/>
                <w:szCs w:val="18"/>
              </w:rPr>
              <w:t xml:space="preserve"> (</w:t>
            </w:r>
            <w:r w:rsidR="5004A5EE" w:rsidRPr="307C5733">
              <w:rPr>
                <w:sz w:val="18"/>
                <w:szCs w:val="18"/>
              </w:rPr>
              <w:t>1</w:t>
            </w:r>
            <w:r w:rsidR="00065A24">
              <w:rPr>
                <w:sz w:val="18"/>
                <w:szCs w:val="18"/>
              </w:rPr>
              <w:t>4</w:t>
            </w:r>
            <w:r w:rsidR="003A59D0" w:rsidRPr="307C5733">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363625AE" w14:textId="6EB7A7C8" w:rsidR="003A59D0" w:rsidRPr="003A12B5" w:rsidRDefault="003A59D0" w:rsidP="00CE710E">
            <w:pPr>
              <w:jc w:val="left"/>
              <w:rPr>
                <w:sz w:val="18"/>
                <w:szCs w:val="18"/>
                <w:vertAlign w:val="superscript"/>
              </w:rPr>
            </w:pPr>
            <w:r>
              <w:rPr>
                <w:sz w:val="18"/>
                <w:szCs w:val="18"/>
              </w:rPr>
              <w:t>5</w:t>
            </w:r>
            <w:r w:rsidR="00CC4D29">
              <w:rPr>
                <w:sz w:val="18"/>
                <w:szCs w:val="18"/>
              </w:rPr>
              <w:t>.0</w:t>
            </w:r>
            <w:r>
              <w:rPr>
                <w:sz w:val="18"/>
                <w:szCs w:val="18"/>
              </w:rPr>
              <w:t xml:space="preserve"> </w:t>
            </w:r>
            <w:r w:rsidRPr="00A27821">
              <w:rPr>
                <w:sz w:val="18"/>
                <w:szCs w:val="18"/>
              </w:rPr>
              <w:t>(</w:t>
            </w:r>
            <w:r>
              <w:rPr>
                <w:sz w:val="18"/>
                <w:szCs w:val="18"/>
              </w:rPr>
              <w:t>5</w:t>
            </w:r>
            <w:r w:rsidRPr="00A27821">
              <w:rPr>
                <w:sz w:val="18"/>
                <w:szCs w:val="18"/>
              </w:rPr>
              <w:t>3%)</w:t>
            </w:r>
          </w:p>
        </w:tc>
        <w:tc>
          <w:tcPr>
            <w:tcW w:w="55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504BB1" w14:textId="07F5951E" w:rsidR="003A59D0" w:rsidRPr="00A27821" w:rsidRDefault="003A59D0" w:rsidP="00CE710E">
            <w:pPr>
              <w:jc w:val="left"/>
              <w:rPr>
                <w:sz w:val="18"/>
                <w:szCs w:val="18"/>
              </w:rPr>
            </w:pPr>
            <w:r w:rsidRPr="00A27821">
              <w:rPr>
                <w:sz w:val="18"/>
                <w:szCs w:val="18"/>
              </w:rPr>
              <w:t>-0.2</w:t>
            </w:r>
            <w:r>
              <w:rPr>
                <w:sz w:val="18"/>
                <w:szCs w:val="18"/>
              </w:rPr>
              <w:t xml:space="preserve"> </w:t>
            </w:r>
            <w:r w:rsidRPr="00A27821">
              <w:rPr>
                <w:sz w:val="18"/>
                <w:szCs w:val="18"/>
              </w:rPr>
              <w:t>(-1%)</w:t>
            </w:r>
          </w:p>
        </w:tc>
        <w:tc>
          <w:tcPr>
            <w:tcW w:w="55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174AA14" w14:textId="5DFA269A" w:rsidR="003A59D0" w:rsidRPr="00A27821" w:rsidRDefault="003A59D0" w:rsidP="00CE710E">
            <w:pPr>
              <w:jc w:val="left"/>
              <w:rPr>
                <w:sz w:val="18"/>
                <w:szCs w:val="18"/>
              </w:rPr>
            </w:pPr>
            <w:r>
              <w:rPr>
                <w:sz w:val="18"/>
                <w:szCs w:val="18"/>
              </w:rPr>
              <w:t>0.5 (1%)</w:t>
            </w:r>
          </w:p>
        </w:tc>
        <w:tc>
          <w:tcPr>
            <w:tcW w:w="554"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ADA6DE" w14:textId="77777777" w:rsidR="003A59D0" w:rsidRPr="00A27821" w:rsidRDefault="003A59D0" w:rsidP="00CE710E">
            <w:pPr>
              <w:jc w:val="left"/>
              <w:rPr>
                <w:sz w:val="18"/>
                <w:szCs w:val="18"/>
              </w:rPr>
            </w:pPr>
            <w:r w:rsidRPr="00A27821">
              <w:rPr>
                <w:sz w:val="18"/>
                <w:szCs w:val="18"/>
              </w:rPr>
              <w:t>TBC*</w:t>
            </w:r>
          </w:p>
        </w:tc>
      </w:tr>
      <w:tr w:rsidR="003A59D0" w:rsidRPr="00A27821" w14:paraId="2E403D7F" w14:textId="77777777" w:rsidTr="3F4349A2">
        <w:trPr>
          <w:cantSplit/>
          <w:trHeight w:val="676"/>
        </w:trPr>
        <w:tc>
          <w:tcPr>
            <w:tcW w:w="605" w:type="pct"/>
            <w:vMerge/>
          </w:tcPr>
          <w:p w14:paraId="15FA34E9" w14:textId="77777777" w:rsidR="003A59D0" w:rsidRPr="00A27821" w:rsidRDefault="003A59D0" w:rsidP="00CE710E">
            <w:pPr>
              <w:jc w:val="left"/>
              <w:rPr>
                <w:sz w:val="18"/>
                <w:szCs w:val="18"/>
              </w:rPr>
            </w:pPr>
          </w:p>
        </w:tc>
        <w:tc>
          <w:tcPr>
            <w:tcW w:w="505" w:type="pct"/>
            <w:tcBorders>
              <w:top w:val="single" w:sz="4" w:space="0" w:color="auto"/>
              <w:left w:val="single" w:sz="4" w:space="0" w:color="auto"/>
              <w:bottom w:val="single" w:sz="4" w:space="0" w:color="auto"/>
              <w:right w:val="single" w:sz="4" w:space="0" w:color="auto"/>
            </w:tcBorders>
          </w:tcPr>
          <w:p w14:paraId="3ACC8AF6" w14:textId="77777777" w:rsidR="003A59D0" w:rsidRPr="00A27821" w:rsidRDefault="003A59D0" w:rsidP="00CE710E">
            <w:pPr>
              <w:jc w:val="left"/>
              <w:rPr>
                <w:sz w:val="18"/>
                <w:szCs w:val="18"/>
              </w:rPr>
            </w:pPr>
            <w:r w:rsidRPr="00A27821">
              <w:rPr>
                <w:sz w:val="18"/>
                <w:szCs w:val="18"/>
              </w:rPr>
              <w:t>Asexual</w:t>
            </w:r>
          </w:p>
        </w:tc>
        <w:tc>
          <w:tcPr>
            <w:tcW w:w="556" w:type="pct"/>
            <w:tcBorders>
              <w:top w:val="single" w:sz="4" w:space="0" w:color="auto"/>
              <w:left w:val="single" w:sz="4" w:space="0" w:color="auto"/>
              <w:bottom w:val="single" w:sz="4" w:space="0" w:color="auto"/>
              <w:right w:val="single" w:sz="4" w:space="0" w:color="auto"/>
            </w:tcBorders>
            <w:shd w:val="clear" w:color="auto" w:fill="FF0000"/>
            <w:vAlign w:val="center"/>
          </w:tcPr>
          <w:p w14:paraId="53FBE1AC" w14:textId="5F4CA90A" w:rsidR="003A59D0" w:rsidRPr="00A27821" w:rsidRDefault="003A59D0" w:rsidP="00CE710E">
            <w:pPr>
              <w:jc w:val="left"/>
              <w:rPr>
                <w:sz w:val="18"/>
                <w:szCs w:val="18"/>
              </w:rPr>
            </w:pPr>
            <w:r w:rsidRPr="00A27821">
              <w:rPr>
                <w:sz w:val="18"/>
                <w:szCs w:val="18"/>
              </w:rPr>
              <w:t>-</w:t>
            </w:r>
            <w:r>
              <w:rPr>
                <w:sz w:val="18"/>
                <w:szCs w:val="18"/>
              </w:rPr>
              <w:t xml:space="preserve">0.6 </w:t>
            </w:r>
            <w:r w:rsidRPr="00A27821">
              <w:rPr>
                <w:sz w:val="18"/>
                <w:szCs w:val="18"/>
              </w:rPr>
              <w:t>(-</w:t>
            </w:r>
            <w:r>
              <w:rPr>
                <w:sz w:val="18"/>
                <w:szCs w:val="18"/>
              </w:rPr>
              <w:t>3</w:t>
            </w:r>
            <w:r w:rsidRPr="00A27821">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FF0000"/>
            <w:vAlign w:val="center"/>
          </w:tcPr>
          <w:p w14:paraId="010D6951" w14:textId="15E25E37" w:rsidR="003A59D0" w:rsidRPr="00A27821" w:rsidRDefault="003A59D0" w:rsidP="00CE710E">
            <w:pPr>
              <w:jc w:val="left"/>
              <w:rPr>
                <w:sz w:val="18"/>
                <w:szCs w:val="18"/>
              </w:rPr>
            </w:pPr>
            <w:r w:rsidRPr="00A27821">
              <w:rPr>
                <w:sz w:val="18"/>
                <w:szCs w:val="18"/>
              </w:rPr>
              <w:t>-</w:t>
            </w:r>
            <w:r>
              <w:rPr>
                <w:sz w:val="18"/>
                <w:szCs w:val="18"/>
              </w:rPr>
              <w:t xml:space="preserve">4.2 </w:t>
            </w:r>
            <w:r w:rsidRPr="00A27821">
              <w:rPr>
                <w:sz w:val="18"/>
                <w:szCs w:val="18"/>
              </w:rPr>
              <w:t>(-</w:t>
            </w:r>
            <w:r>
              <w:rPr>
                <w:sz w:val="18"/>
                <w:szCs w:val="18"/>
              </w:rPr>
              <w:t>22</w:t>
            </w:r>
            <w:r w:rsidRPr="00A27821">
              <w:rPr>
                <w:sz w:val="18"/>
                <w:szCs w:val="18"/>
              </w:rPr>
              <w:t>%)</w:t>
            </w:r>
          </w:p>
        </w:tc>
        <w:tc>
          <w:tcPr>
            <w:tcW w:w="55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8DF621" w14:textId="60A7B916" w:rsidR="003A59D0" w:rsidRPr="00006E9B" w:rsidRDefault="691EB0BD" w:rsidP="00065A24">
            <w:pPr>
              <w:jc w:val="left"/>
              <w:rPr>
                <w:sz w:val="18"/>
                <w:szCs w:val="18"/>
              </w:rPr>
            </w:pPr>
            <w:r w:rsidRPr="307C5733">
              <w:rPr>
                <w:sz w:val="18"/>
                <w:szCs w:val="18"/>
              </w:rPr>
              <w:t>1.0</w:t>
            </w:r>
            <w:r w:rsidR="003A59D0" w:rsidRPr="307C5733">
              <w:rPr>
                <w:sz w:val="18"/>
                <w:szCs w:val="18"/>
              </w:rPr>
              <w:t xml:space="preserve"> (</w:t>
            </w:r>
            <w:r w:rsidR="00065A24">
              <w:rPr>
                <w:sz w:val="18"/>
                <w:szCs w:val="18"/>
              </w:rPr>
              <w:t>5</w:t>
            </w:r>
            <w:r w:rsidR="003A59D0" w:rsidRPr="307C5733">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328488D" w14:textId="56138F43" w:rsidR="003A59D0" w:rsidRPr="00A27821" w:rsidRDefault="003A59D0" w:rsidP="00CE710E">
            <w:pPr>
              <w:jc w:val="left"/>
              <w:rPr>
                <w:sz w:val="18"/>
                <w:szCs w:val="18"/>
              </w:rPr>
            </w:pPr>
            <w:r>
              <w:rPr>
                <w:sz w:val="18"/>
                <w:szCs w:val="18"/>
              </w:rPr>
              <w:t xml:space="preserve">0 </w:t>
            </w:r>
            <w:r w:rsidRPr="00A27821">
              <w:rPr>
                <w:sz w:val="18"/>
                <w:szCs w:val="18"/>
              </w:rPr>
              <w:t>(</w:t>
            </w:r>
            <w:r>
              <w:rPr>
                <w:sz w:val="18"/>
                <w:szCs w:val="18"/>
              </w:rPr>
              <w:t>0</w:t>
            </w:r>
            <w:r w:rsidRPr="00A27821">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2B741248" w14:textId="1349C1EC" w:rsidR="003A59D0" w:rsidRPr="00A27821" w:rsidRDefault="003A59D0" w:rsidP="00CE710E">
            <w:pPr>
              <w:jc w:val="left"/>
              <w:rPr>
                <w:sz w:val="18"/>
                <w:szCs w:val="18"/>
              </w:rPr>
            </w:pPr>
            <w:r>
              <w:rPr>
                <w:sz w:val="18"/>
                <w:szCs w:val="18"/>
              </w:rPr>
              <w:t>2.6</w:t>
            </w:r>
            <w:r w:rsidRPr="00A27821">
              <w:rPr>
                <w:sz w:val="18"/>
                <w:szCs w:val="18"/>
              </w:rPr>
              <w:t xml:space="preserve"> (</w:t>
            </w:r>
            <w:r>
              <w:rPr>
                <w:sz w:val="18"/>
                <w:szCs w:val="18"/>
              </w:rPr>
              <w:t>13</w:t>
            </w:r>
            <w:r w:rsidRPr="00A27821">
              <w:rPr>
                <w:sz w:val="18"/>
                <w:szCs w:val="18"/>
              </w:rPr>
              <w:t>%)</w:t>
            </w:r>
          </w:p>
        </w:tc>
        <w:tc>
          <w:tcPr>
            <w:tcW w:w="555" w:type="pct"/>
            <w:tcBorders>
              <w:top w:val="single" w:sz="4" w:space="0" w:color="auto"/>
              <w:left w:val="single" w:sz="4" w:space="0" w:color="auto"/>
              <w:bottom w:val="single" w:sz="4" w:space="0" w:color="auto"/>
              <w:right w:val="single" w:sz="4" w:space="0" w:color="auto"/>
            </w:tcBorders>
            <w:shd w:val="clear" w:color="auto" w:fill="FF0000"/>
            <w:vAlign w:val="center"/>
          </w:tcPr>
          <w:p w14:paraId="1EEE0B75" w14:textId="38B559EA" w:rsidR="003A59D0" w:rsidRPr="00A27821" w:rsidRDefault="003A59D0" w:rsidP="00CE710E">
            <w:pPr>
              <w:jc w:val="left"/>
              <w:rPr>
                <w:sz w:val="18"/>
                <w:szCs w:val="18"/>
              </w:rPr>
            </w:pPr>
            <w:r>
              <w:rPr>
                <w:sz w:val="18"/>
                <w:szCs w:val="18"/>
              </w:rPr>
              <w:t>-1.4 (-4%)</w:t>
            </w:r>
          </w:p>
        </w:tc>
        <w:tc>
          <w:tcPr>
            <w:tcW w:w="554"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D3A3CEE" w14:textId="77777777" w:rsidR="003A59D0" w:rsidRPr="00A27821" w:rsidRDefault="003A59D0" w:rsidP="00CE710E">
            <w:pPr>
              <w:jc w:val="left"/>
              <w:rPr>
                <w:sz w:val="18"/>
                <w:szCs w:val="18"/>
              </w:rPr>
            </w:pPr>
            <w:r w:rsidRPr="00A27821">
              <w:rPr>
                <w:sz w:val="18"/>
                <w:szCs w:val="18"/>
              </w:rPr>
              <w:t>TBC*</w:t>
            </w:r>
          </w:p>
        </w:tc>
      </w:tr>
      <w:tr w:rsidR="003A59D0" w:rsidRPr="00A27821" w14:paraId="3F1D7715" w14:textId="77777777" w:rsidTr="00140DB9">
        <w:trPr>
          <w:cantSplit/>
          <w:trHeight w:val="300"/>
        </w:trPr>
        <w:tc>
          <w:tcPr>
            <w:tcW w:w="605" w:type="pct"/>
            <w:vMerge/>
          </w:tcPr>
          <w:p w14:paraId="7183EC1A" w14:textId="77777777" w:rsidR="003A59D0" w:rsidRPr="00A27821" w:rsidRDefault="003A59D0" w:rsidP="00CE710E">
            <w:pPr>
              <w:jc w:val="left"/>
              <w:rPr>
                <w:sz w:val="18"/>
                <w:szCs w:val="18"/>
              </w:rPr>
            </w:pPr>
          </w:p>
        </w:tc>
        <w:tc>
          <w:tcPr>
            <w:tcW w:w="505" w:type="pct"/>
            <w:tcBorders>
              <w:top w:val="single" w:sz="4" w:space="0" w:color="auto"/>
              <w:left w:val="single" w:sz="4" w:space="0" w:color="auto"/>
              <w:bottom w:val="single" w:sz="4" w:space="0" w:color="auto"/>
              <w:right w:val="single" w:sz="4" w:space="0" w:color="auto"/>
            </w:tcBorders>
          </w:tcPr>
          <w:p w14:paraId="6D059FC6" w14:textId="77777777" w:rsidR="003A59D0" w:rsidRPr="00A27821" w:rsidRDefault="003A59D0" w:rsidP="00CE710E">
            <w:pPr>
              <w:jc w:val="left"/>
              <w:rPr>
                <w:sz w:val="18"/>
                <w:szCs w:val="18"/>
              </w:rPr>
            </w:pPr>
            <w:r w:rsidRPr="00A27821">
              <w:rPr>
                <w:sz w:val="18"/>
                <w:szCs w:val="18"/>
              </w:rPr>
              <w:t>Dual</w:t>
            </w:r>
          </w:p>
        </w:tc>
        <w:tc>
          <w:tcPr>
            <w:tcW w:w="556"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0BCF525D" w14:textId="6815DD41" w:rsidR="003A59D0" w:rsidRPr="00A27821" w:rsidRDefault="003A59D0" w:rsidP="00CE710E">
            <w:pPr>
              <w:jc w:val="left"/>
              <w:rPr>
                <w:sz w:val="18"/>
                <w:szCs w:val="18"/>
              </w:rPr>
            </w:pPr>
            <w:r>
              <w:rPr>
                <w:sz w:val="18"/>
                <w:szCs w:val="18"/>
              </w:rPr>
              <w:t xml:space="preserve">8.3 </w:t>
            </w:r>
            <w:r w:rsidRPr="00A27821">
              <w:rPr>
                <w:sz w:val="18"/>
                <w:szCs w:val="18"/>
              </w:rPr>
              <w:t>(</w:t>
            </w:r>
            <w:r>
              <w:rPr>
                <w:sz w:val="18"/>
                <w:szCs w:val="18"/>
              </w:rPr>
              <w:t>45</w:t>
            </w:r>
            <w:r w:rsidRPr="00A27821">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2B976EC3" w14:textId="0DA8ECF6" w:rsidR="003A59D0" w:rsidRPr="00A27821" w:rsidRDefault="003A59D0" w:rsidP="00CE710E">
            <w:pPr>
              <w:jc w:val="left"/>
              <w:rPr>
                <w:sz w:val="18"/>
                <w:szCs w:val="18"/>
              </w:rPr>
            </w:pPr>
            <w:r>
              <w:rPr>
                <w:sz w:val="18"/>
                <w:szCs w:val="18"/>
              </w:rPr>
              <w:t xml:space="preserve">7.3 </w:t>
            </w:r>
            <w:r w:rsidRPr="00A27821">
              <w:rPr>
                <w:sz w:val="18"/>
                <w:szCs w:val="18"/>
              </w:rPr>
              <w:t>(</w:t>
            </w:r>
            <w:r>
              <w:rPr>
                <w:sz w:val="18"/>
                <w:szCs w:val="18"/>
              </w:rPr>
              <w:t>47</w:t>
            </w:r>
            <w:r w:rsidRPr="00A27821">
              <w:rPr>
                <w:sz w:val="18"/>
                <w:szCs w:val="18"/>
              </w:rPr>
              <w:t>%)</w:t>
            </w:r>
          </w:p>
        </w:tc>
        <w:tc>
          <w:tcPr>
            <w:tcW w:w="557"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6B80F26C" w14:textId="1D746459" w:rsidR="003A59D0" w:rsidRPr="00006E9B" w:rsidRDefault="1B6CFFBF" w:rsidP="00065A24">
            <w:pPr>
              <w:jc w:val="left"/>
              <w:rPr>
                <w:sz w:val="18"/>
                <w:szCs w:val="18"/>
              </w:rPr>
            </w:pPr>
            <w:r w:rsidRPr="307C5733">
              <w:rPr>
                <w:sz w:val="18"/>
                <w:szCs w:val="18"/>
              </w:rPr>
              <w:t>6.4</w:t>
            </w:r>
            <w:r w:rsidR="003A59D0" w:rsidRPr="307C5733">
              <w:rPr>
                <w:sz w:val="18"/>
                <w:szCs w:val="18"/>
              </w:rPr>
              <w:t xml:space="preserve"> (</w:t>
            </w:r>
            <w:r w:rsidR="00065A24">
              <w:rPr>
                <w:sz w:val="18"/>
                <w:szCs w:val="18"/>
              </w:rPr>
              <w:t>50</w:t>
            </w:r>
            <w:r w:rsidR="003A59D0" w:rsidRPr="307C5733">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4CE1134B" w14:textId="2935CA70" w:rsidR="003A59D0" w:rsidRPr="00A27821" w:rsidRDefault="003A59D0" w:rsidP="00CE710E">
            <w:pPr>
              <w:jc w:val="left"/>
              <w:rPr>
                <w:sz w:val="18"/>
                <w:szCs w:val="18"/>
              </w:rPr>
            </w:pPr>
            <w:r>
              <w:rPr>
                <w:sz w:val="18"/>
                <w:szCs w:val="18"/>
              </w:rPr>
              <w:t xml:space="preserve">4.3 </w:t>
            </w:r>
            <w:r w:rsidRPr="00A27821">
              <w:rPr>
                <w:sz w:val="18"/>
                <w:szCs w:val="18"/>
              </w:rPr>
              <w:t>(</w:t>
            </w:r>
            <w:r>
              <w:rPr>
                <w:sz w:val="18"/>
                <w:szCs w:val="18"/>
              </w:rPr>
              <w:t>56</w:t>
            </w:r>
            <w:r w:rsidRPr="00A27821">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1ADFA09" w14:textId="20FE2FD9" w:rsidR="003A59D0" w:rsidRPr="00A27821" w:rsidRDefault="003A59D0" w:rsidP="00CE710E">
            <w:pPr>
              <w:jc w:val="left"/>
              <w:rPr>
                <w:sz w:val="18"/>
                <w:szCs w:val="18"/>
              </w:rPr>
            </w:pPr>
            <w:r>
              <w:rPr>
                <w:sz w:val="18"/>
                <w:szCs w:val="18"/>
              </w:rPr>
              <w:t>2.1</w:t>
            </w:r>
            <w:r w:rsidRPr="00A27821">
              <w:rPr>
                <w:sz w:val="18"/>
                <w:szCs w:val="18"/>
              </w:rPr>
              <w:t xml:space="preserve"> </w:t>
            </w:r>
            <w:r>
              <w:rPr>
                <w:sz w:val="18"/>
                <w:szCs w:val="18"/>
              </w:rPr>
              <w:t>(16</w:t>
            </w:r>
            <w:r w:rsidRPr="00A27821">
              <w:rPr>
                <w:sz w:val="18"/>
                <w:szCs w:val="18"/>
              </w:rPr>
              <w:t>%)</w:t>
            </w:r>
          </w:p>
        </w:tc>
        <w:tc>
          <w:tcPr>
            <w:tcW w:w="555" w:type="pct"/>
            <w:tcBorders>
              <w:top w:val="single" w:sz="4" w:space="0" w:color="auto"/>
              <w:left w:val="single" w:sz="4" w:space="0" w:color="auto"/>
              <w:bottom w:val="single" w:sz="4" w:space="0" w:color="auto"/>
              <w:right w:val="single" w:sz="4" w:space="0" w:color="auto"/>
            </w:tcBorders>
            <w:shd w:val="clear" w:color="auto" w:fill="FF0000"/>
            <w:vAlign w:val="center"/>
          </w:tcPr>
          <w:p w14:paraId="3A5E2AA6" w14:textId="554F2283" w:rsidR="003A59D0" w:rsidRPr="00A27821" w:rsidRDefault="003A59D0" w:rsidP="00CE710E">
            <w:pPr>
              <w:jc w:val="left"/>
              <w:rPr>
                <w:sz w:val="18"/>
                <w:szCs w:val="18"/>
              </w:rPr>
            </w:pPr>
            <w:r>
              <w:rPr>
                <w:sz w:val="18"/>
                <w:szCs w:val="18"/>
              </w:rPr>
              <w:t>-1.5 (-6%)</w:t>
            </w:r>
          </w:p>
        </w:tc>
        <w:tc>
          <w:tcPr>
            <w:tcW w:w="554"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996F40D" w14:textId="77777777" w:rsidR="003A59D0" w:rsidRPr="00A27821" w:rsidRDefault="003A59D0" w:rsidP="00CE710E">
            <w:pPr>
              <w:jc w:val="left"/>
              <w:rPr>
                <w:sz w:val="18"/>
                <w:szCs w:val="18"/>
              </w:rPr>
            </w:pPr>
            <w:r w:rsidRPr="00A27821">
              <w:rPr>
                <w:sz w:val="18"/>
                <w:szCs w:val="18"/>
              </w:rPr>
              <w:t>TBC*</w:t>
            </w:r>
          </w:p>
        </w:tc>
      </w:tr>
      <w:tr w:rsidR="003A59D0" w:rsidRPr="00A27821" w14:paraId="16E7A72E" w14:textId="77777777" w:rsidTr="00140DB9">
        <w:trPr>
          <w:cantSplit/>
          <w:trHeight w:val="2194"/>
        </w:trPr>
        <w:tc>
          <w:tcPr>
            <w:tcW w:w="605" w:type="pct"/>
            <w:vMerge/>
          </w:tcPr>
          <w:p w14:paraId="686E2ABB" w14:textId="77777777" w:rsidR="003A59D0" w:rsidRPr="00A27821" w:rsidRDefault="003A59D0" w:rsidP="00CE710E">
            <w:pPr>
              <w:jc w:val="left"/>
              <w:rPr>
                <w:sz w:val="18"/>
                <w:szCs w:val="18"/>
              </w:rPr>
            </w:pPr>
          </w:p>
        </w:tc>
        <w:tc>
          <w:tcPr>
            <w:tcW w:w="4395" w:type="pct"/>
            <w:gridSpan w:val="8"/>
            <w:tcBorders>
              <w:left w:val="single" w:sz="4" w:space="0" w:color="auto"/>
              <w:bottom w:val="single" w:sz="4" w:space="0" w:color="auto"/>
              <w:right w:val="single" w:sz="4" w:space="0" w:color="auto"/>
            </w:tcBorders>
            <w:shd w:val="clear" w:color="auto" w:fill="70AD47" w:themeFill="accent6"/>
            <w:vAlign w:val="center"/>
          </w:tcPr>
          <w:p w14:paraId="656A3A6C" w14:textId="77777777" w:rsidR="003A59D0" w:rsidRPr="00A27821" w:rsidRDefault="003A59D0" w:rsidP="00CE710E">
            <w:pPr>
              <w:pStyle w:val="TableHeading"/>
              <w:spacing w:before="80" w:after="80"/>
              <w:jc w:val="left"/>
              <w:rPr>
                <w:b w:val="0"/>
                <w:sz w:val="18"/>
                <w:szCs w:val="18"/>
              </w:rPr>
            </w:pPr>
            <w:r w:rsidRPr="00A27821">
              <w:rPr>
                <w:b w:val="0"/>
                <w:sz w:val="18"/>
                <w:szCs w:val="18"/>
              </w:rPr>
              <w:t>Long-term (2018–202</w:t>
            </w:r>
            <w:r>
              <w:rPr>
                <w:b w:val="0"/>
                <w:sz w:val="18"/>
                <w:szCs w:val="18"/>
              </w:rPr>
              <w:t>3</w:t>
            </w:r>
            <w:r w:rsidRPr="00A27821">
              <w:rPr>
                <w:b w:val="0"/>
                <w:sz w:val="18"/>
                <w:szCs w:val="18"/>
              </w:rPr>
              <w:t xml:space="preserve">) outcome = </w:t>
            </w:r>
            <w:r>
              <w:rPr>
                <w:b w:val="0"/>
                <w:sz w:val="18"/>
                <w:szCs w:val="18"/>
              </w:rPr>
              <w:t>moderate</w:t>
            </w:r>
            <w:r w:rsidRPr="00A27821">
              <w:rPr>
                <w:b w:val="0"/>
                <w:sz w:val="18"/>
                <w:szCs w:val="18"/>
              </w:rPr>
              <w:t>.</w:t>
            </w:r>
          </w:p>
          <w:p w14:paraId="3750300E" w14:textId="767D3EF8" w:rsidR="003A59D0" w:rsidRPr="00A27821" w:rsidRDefault="003A59D0" w:rsidP="00CE710E">
            <w:pPr>
              <w:jc w:val="left"/>
              <w:rPr>
                <w:sz w:val="18"/>
                <w:szCs w:val="18"/>
              </w:rPr>
            </w:pPr>
            <w:r w:rsidRPr="00A27821">
              <w:rPr>
                <w:sz w:val="18"/>
                <w:szCs w:val="18"/>
              </w:rPr>
              <w:t xml:space="preserve">Habitat suitable for overall sexual and dual life-cycle completion of </w:t>
            </w:r>
            <w:r w:rsidRPr="00A27821">
              <w:rPr>
                <w:i/>
                <w:sz w:val="18"/>
                <w:szCs w:val="18"/>
              </w:rPr>
              <w:t>R. tuberosa</w:t>
            </w:r>
            <w:r w:rsidRPr="00A27821">
              <w:rPr>
                <w:sz w:val="18"/>
                <w:szCs w:val="18"/>
              </w:rPr>
              <w:t xml:space="preserve"> was </w:t>
            </w:r>
            <w:r>
              <w:rPr>
                <w:sz w:val="18"/>
                <w:szCs w:val="18"/>
              </w:rPr>
              <w:t xml:space="preserve">substantially </w:t>
            </w:r>
            <w:r w:rsidRPr="00A27821">
              <w:rPr>
                <w:sz w:val="18"/>
                <w:szCs w:val="18"/>
              </w:rPr>
              <w:t>improved with CEW during the dry years from 2018</w:t>
            </w:r>
            <w:r>
              <w:rPr>
                <w:sz w:val="18"/>
                <w:szCs w:val="18"/>
              </w:rPr>
              <w:t>–</w:t>
            </w:r>
            <w:r w:rsidRPr="00A27821">
              <w:rPr>
                <w:sz w:val="18"/>
                <w:szCs w:val="18"/>
              </w:rPr>
              <w:t xml:space="preserve">2021. The contribution of CEW to habitat area </w:t>
            </w:r>
            <w:r>
              <w:rPr>
                <w:sz w:val="18"/>
                <w:szCs w:val="18"/>
              </w:rPr>
              <w:t>in</w:t>
            </w:r>
            <w:r w:rsidRPr="00A27821">
              <w:rPr>
                <w:sz w:val="18"/>
                <w:szCs w:val="18"/>
              </w:rPr>
              <w:t xml:space="preserve"> 2022</w:t>
            </w:r>
            <w:r>
              <w:rPr>
                <w:sz w:val="18"/>
                <w:szCs w:val="18"/>
              </w:rPr>
              <w:t xml:space="preserve"> and 2023</w:t>
            </w:r>
            <w:r w:rsidRPr="00A27821">
              <w:rPr>
                <w:sz w:val="18"/>
                <w:szCs w:val="18"/>
              </w:rPr>
              <w:t xml:space="preserve"> </w:t>
            </w:r>
            <w:r w:rsidR="008A4BE2">
              <w:rPr>
                <w:sz w:val="18"/>
                <w:szCs w:val="18"/>
              </w:rPr>
              <w:t>was</w:t>
            </w:r>
            <w:r w:rsidR="008A4BE2" w:rsidRPr="00A27821">
              <w:rPr>
                <w:sz w:val="18"/>
                <w:szCs w:val="18"/>
              </w:rPr>
              <w:t xml:space="preserve"> </w:t>
            </w:r>
            <w:r>
              <w:rPr>
                <w:sz w:val="18"/>
                <w:szCs w:val="18"/>
              </w:rPr>
              <w:t xml:space="preserve">minor to </w:t>
            </w:r>
            <w:r w:rsidRPr="00A27821">
              <w:rPr>
                <w:sz w:val="18"/>
                <w:szCs w:val="18"/>
              </w:rPr>
              <w:t>negligible due to naturally fresh conditions.</w:t>
            </w:r>
            <w:r w:rsidR="008A4BE2">
              <w:rPr>
                <w:sz w:val="18"/>
                <w:szCs w:val="18"/>
              </w:rPr>
              <w:t xml:space="preserve"> Small negative changes in during some conditions are due to the asexual habitat area expanding, which is consider acceptable when sexual habitat is expanding.</w:t>
            </w:r>
          </w:p>
          <w:p w14:paraId="44A1D083" w14:textId="0018A73B" w:rsidR="003A59D0" w:rsidRDefault="3BE39BAD" w:rsidP="3F4349A2">
            <w:pPr>
              <w:pStyle w:val="TableHeading"/>
              <w:spacing w:before="80" w:after="80"/>
              <w:jc w:val="left"/>
              <w:rPr>
                <w:b w:val="0"/>
                <w:sz w:val="18"/>
                <w:szCs w:val="18"/>
              </w:rPr>
            </w:pPr>
            <w:r w:rsidRPr="3F4349A2">
              <w:rPr>
                <w:b w:val="0"/>
                <w:sz w:val="18"/>
                <w:szCs w:val="18"/>
              </w:rPr>
              <w:t>Overall, w</w:t>
            </w:r>
            <w:r w:rsidR="003A59D0" w:rsidRPr="3F4349A2">
              <w:rPr>
                <w:b w:val="0"/>
                <w:sz w:val="18"/>
                <w:szCs w:val="18"/>
              </w:rPr>
              <w:t xml:space="preserve">ithout CEW since July 2017, the area suitable for </w:t>
            </w:r>
            <w:r w:rsidR="003A59D0" w:rsidRPr="3F4349A2">
              <w:rPr>
                <w:b w:val="0"/>
                <w:i/>
                <w:iCs/>
                <w:sz w:val="18"/>
                <w:szCs w:val="18"/>
              </w:rPr>
              <w:t>R. tuberosa</w:t>
            </w:r>
            <w:r w:rsidR="003A59D0" w:rsidRPr="3F4349A2">
              <w:rPr>
                <w:b w:val="0"/>
                <w:sz w:val="18"/>
                <w:szCs w:val="18"/>
              </w:rPr>
              <w:t xml:space="preserve"> sexual and dual life-cycle completion would have been 47.1%, and 24.5% less, respectively. This highlights the importance of</w:t>
            </w:r>
            <w:r w:rsidRPr="3F4349A2">
              <w:rPr>
                <w:b w:val="0"/>
                <w:sz w:val="18"/>
                <w:szCs w:val="18"/>
              </w:rPr>
              <w:t xml:space="preserve"> the</w:t>
            </w:r>
            <w:r w:rsidR="003A59D0" w:rsidRPr="3F4349A2">
              <w:rPr>
                <w:b w:val="0"/>
                <w:sz w:val="18"/>
                <w:szCs w:val="18"/>
              </w:rPr>
              <w:t xml:space="preserve"> cumulative benefit of environmental water to maintain and restore the ecosystem in the Coorong, particularly via the sexual reproduction pathway. </w:t>
            </w:r>
          </w:p>
          <w:p w14:paraId="1A50555E" w14:textId="56133459" w:rsidR="00770EAE" w:rsidRPr="002618B3" w:rsidRDefault="00770EAE" w:rsidP="00CE710E">
            <w:pPr>
              <w:pStyle w:val="TableHeading"/>
              <w:spacing w:before="80" w:after="80"/>
              <w:jc w:val="left"/>
              <w:rPr>
                <w:b w:val="0"/>
                <w:bCs/>
                <w:sz w:val="18"/>
                <w:szCs w:val="18"/>
              </w:rPr>
            </w:pPr>
          </w:p>
        </w:tc>
      </w:tr>
      <w:tr w:rsidR="003A59D0" w:rsidRPr="00A27821" w14:paraId="4FCF573A" w14:textId="77777777" w:rsidTr="3F4349A2">
        <w:trPr>
          <w:cantSplit/>
          <w:trHeight w:val="557"/>
        </w:trPr>
        <w:tc>
          <w:tcPr>
            <w:tcW w:w="605" w:type="pct"/>
            <w:vMerge w:val="restart"/>
            <w:tcBorders>
              <w:top w:val="single" w:sz="4" w:space="0" w:color="auto"/>
              <w:left w:val="single" w:sz="4" w:space="0" w:color="auto"/>
              <w:right w:val="single" w:sz="4" w:space="0" w:color="auto"/>
            </w:tcBorders>
            <w:hideMark/>
          </w:tcPr>
          <w:p w14:paraId="500553BF" w14:textId="3EC6DEE4" w:rsidR="003A59D0" w:rsidRPr="00A27821" w:rsidRDefault="003A59D0" w:rsidP="00CE710E">
            <w:pPr>
              <w:jc w:val="left"/>
              <w:rPr>
                <w:sz w:val="18"/>
                <w:szCs w:val="18"/>
              </w:rPr>
            </w:pPr>
            <w:r w:rsidRPr="00A27821">
              <w:rPr>
                <w:sz w:val="18"/>
                <w:szCs w:val="18"/>
              </w:rPr>
              <w:t xml:space="preserve">What did CEW contribute to improving predicted fish habitat in the </w:t>
            </w:r>
            <w:r w:rsidRPr="00A27821">
              <w:rPr>
                <w:sz w:val="18"/>
                <w:szCs w:val="18"/>
              </w:rPr>
              <w:lastRenderedPageBreak/>
              <w:t>Coorong? (HSI-weighted area in km</w:t>
            </w:r>
            <w:r w:rsidRPr="00A27821">
              <w:rPr>
                <w:sz w:val="18"/>
                <w:szCs w:val="18"/>
                <w:vertAlign w:val="superscript"/>
              </w:rPr>
              <w:t>2</w:t>
            </w:r>
            <w:r w:rsidRPr="00A27821">
              <w:rPr>
                <w:sz w:val="18"/>
                <w:szCs w:val="18"/>
              </w:rPr>
              <w:t>, with percentage change in brackets)</w:t>
            </w:r>
          </w:p>
        </w:tc>
        <w:tc>
          <w:tcPr>
            <w:tcW w:w="505" w:type="pct"/>
            <w:tcBorders>
              <w:top w:val="single" w:sz="4" w:space="0" w:color="auto"/>
              <w:left w:val="single" w:sz="4" w:space="0" w:color="auto"/>
              <w:right w:val="single" w:sz="4" w:space="0" w:color="auto"/>
            </w:tcBorders>
            <w:vAlign w:val="center"/>
          </w:tcPr>
          <w:p w14:paraId="776A9D86" w14:textId="77777777" w:rsidR="003A59D0" w:rsidRPr="00A27821" w:rsidRDefault="003A59D0" w:rsidP="00CE710E">
            <w:pPr>
              <w:jc w:val="left"/>
              <w:rPr>
                <w:b/>
                <w:bCs/>
                <w:sz w:val="18"/>
                <w:szCs w:val="18"/>
              </w:rPr>
            </w:pPr>
            <w:r w:rsidRPr="00A27821">
              <w:rPr>
                <w:b/>
                <w:bCs/>
                <w:sz w:val="18"/>
                <w:szCs w:val="18"/>
              </w:rPr>
              <w:lastRenderedPageBreak/>
              <w:t xml:space="preserve">Species </w:t>
            </w:r>
          </w:p>
        </w:tc>
        <w:tc>
          <w:tcPr>
            <w:tcW w:w="556" w:type="pct"/>
            <w:tcBorders>
              <w:top w:val="single" w:sz="4" w:space="0" w:color="auto"/>
              <w:left w:val="single" w:sz="4" w:space="0" w:color="auto"/>
              <w:bottom w:val="single" w:sz="4" w:space="0" w:color="auto"/>
              <w:right w:val="single" w:sz="4" w:space="0" w:color="auto"/>
            </w:tcBorders>
            <w:vAlign w:val="center"/>
            <w:hideMark/>
          </w:tcPr>
          <w:p w14:paraId="502A2766" w14:textId="77777777" w:rsidR="003A59D0" w:rsidRPr="00A27821" w:rsidRDefault="003A59D0" w:rsidP="00CE710E">
            <w:pPr>
              <w:jc w:val="left"/>
              <w:rPr>
                <w:b/>
                <w:bCs/>
                <w:sz w:val="18"/>
                <w:szCs w:val="18"/>
              </w:rPr>
            </w:pPr>
            <w:r w:rsidRPr="00A27821">
              <w:rPr>
                <w:b/>
                <w:bCs/>
                <w:sz w:val="18"/>
                <w:szCs w:val="18"/>
              </w:rPr>
              <w:t>2017-18</w:t>
            </w:r>
          </w:p>
        </w:tc>
        <w:tc>
          <w:tcPr>
            <w:tcW w:w="556" w:type="pct"/>
            <w:tcBorders>
              <w:top w:val="single" w:sz="4" w:space="0" w:color="auto"/>
              <w:left w:val="single" w:sz="4" w:space="0" w:color="auto"/>
              <w:bottom w:val="single" w:sz="4" w:space="0" w:color="auto"/>
              <w:right w:val="single" w:sz="4" w:space="0" w:color="auto"/>
            </w:tcBorders>
            <w:vAlign w:val="center"/>
          </w:tcPr>
          <w:p w14:paraId="7C36487F" w14:textId="77777777" w:rsidR="003A59D0" w:rsidRPr="00A27821" w:rsidRDefault="003A59D0" w:rsidP="00CE710E">
            <w:pPr>
              <w:jc w:val="left"/>
              <w:rPr>
                <w:b/>
                <w:bCs/>
                <w:sz w:val="18"/>
                <w:szCs w:val="18"/>
              </w:rPr>
            </w:pPr>
            <w:r w:rsidRPr="00A27821">
              <w:rPr>
                <w:b/>
                <w:bCs/>
                <w:sz w:val="18"/>
                <w:szCs w:val="18"/>
              </w:rPr>
              <w:t>2018-19</w:t>
            </w:r>
          </w:p>
        </w:tc>
        <w:tc>
          <w:tcPr>
            <w:tcW w:w="557" w:type="pct"/>
            <w:tcBorders>
              <w:top w:val="single" w:sz="4" w:space="0" w:color="auto"/>
              <w:left w:val="single" w:sz="4" w:space="0" w:color="auto"/>
              <w:bottom w:val="single" w:sz="4" w:space="0" w:color="auto"/>
              <w:right w:val="single" w:sz="4" w:space="0" w:color="auto"/>
            </w:tcBorders>
            <w:vAlign w:val="center"/>
          </w:tcPr>
          <w:p w14:paraId="4988252D" w14:textId="77777777" w:rsidR="003A59D0" w:rsidRPr="00350585" w:rsidRDefault="003A59D0" w:rsidP="00CE710E">
            <w:pPr>
              <w:jc w:val="left"/>
              <w:rPr>
                <w:b/>
                <w:bCs/>
                <w:sz w:val="18"/>
                <w:szCs w:val="18"/>
              </w:rPr>
            </w:pPr>
            <w:r w:rsidRPr="6063BBAF">
              <w:rPr>
                <w:b/>
                <w:bCs/>
                <w:sz w:val="18"/>
                <w:szCs w:val="18"/>
              </w:rPr>
              <w:t>2019-20</w:t>
            </w:r>
          </w:p>
        </w:tc>
        <w:tc>
          <w:tcPr>
            <w:tcW w:w="556" w:type="pct"/>
            <w:tcBorders>
              <w:top w:val="single" w:sz="4" w:space="0" w:color="auto"/>
              <w:left w:val="single" w:sz="4" w:space="0" w:color="auto"/>
              <w:bottom w:val="single" w:sz="4" w:space="0" w:color="auto"/>
              <w:right w:val="single" w:sz="4" w:space="0" w:color="auto"/>
            </w:tcBorders>
            <w:vAlign w:val="center"/>
          </w:tcPr>
          <w:p w14:paraId="0706FEB3" w14:textId="77777777" w:rsidR="003A59D0" w:rsidRPr="00350585" w:rsidRDefault="003A59D0" w:rsidP="00CE710E">
            <w:pPr>
              <w:jc w:val="left"/>
              <w:rPr>
                <w:b/>
                <w:bCs/>
                <w:sz w:val="18"/>
                <w:szCs w:val="18"/>
              </w:rPr>
            </w:pPr>
            <w:r w:rsidRPr="6063BBAF">
              <w:rPr>
                <w:b/>
                <w:bCs/>
                <w:sz w:val="18"/>
                <w:szCs w:val="18"/>
              </w:rPr>
              <w:t>2020-21</w:t>
            </w:r>
          </w:p>
        </w:tc>
        <w:tc>
          <w:tcPr>
            <w:tcW w:w="556" w:type="pct"/>
            <w:tcBorders>
              <w:top w:val="single" w:sz="4" w:space="0" w:color="auto"/>
              <w:left w:val="single" w:sz="4" w:space="0" w:color="auto"/>
              <w:bottom w:val="single" w:sz="4" w:space="0" w:color="auto"/>
              <w:right w:val="single" w:sz="4" w:space="0" w:color="auto"/>
            </w:tcBorders>
            <w:vAlign w:val="center"/>
          </w:tcPr>
          <w:p w14:paraId="3265DA37" w14:textId="77777777" w:rsidR="003A59D0" w:rsidRPr="00A27821" w:rsidRDefault="003A59D0" w:rsidP="00CE710E">
            <w:pPr>
              <w:jc w:val="left"/>
              <w:rPr>
                <w:b/>
                <w:bCs/>
                <w:sz w:val="18"/>
                <w:szCs w:val="18"/>
              </w:rPr>
            </w:pPr>
            <w:r w:rsidRPr="00A27821">
              <w:rPr>
                <w:b/>
                <w:bCs/>
                <w:sz w:val="18"/>
                <w:szCs w:val="18"/>
              </w:rPr>
              <w:t>2021-22</w:t>
            </w:r>
          </w:p>
        </w:tc>
        <w:tc>
          <w:tcPr>
            <w:tcW w:w="555" w:type="pct"/>
            <w:tcBorders>
              <w:top w:val="single" w:sz="4" w:space="0" w:color="auto"/>
              <w:left w:val="single" w:sz="4" w:space="0" w:color="auto"/>
              <w:bottom w:val="single" w:sz="4" w:space="0" w:color="auto"/>
              <w:right w:val="single" w:sz="4" w:space="0" w:color="auto"/>
            </w:tcBorders>
            <w:vAlign w:val="center"/>
          </w:tcPr>
          <w:p w14:paraId="08714ADF" w14:textId="77777777" w:rsidR="003A59D0" w:rsidRPr="00A27821" w:rsidRDefault="003A59D0" w:rsidP="00CE710E">
            <w:pPr>
              <w:jc w:val="left"/>
              <w:rPr>
                <w:b/>
                <w:bCs/>
                <w:sz w:val="18"/>
                <w:szCs w:val="18"/>
              </w:rPr>
            </w:pPr>
            <w:r w:rsidRPr="00A27821">
              <w:rPr>
                <w:b/>
                <w:bCs/>
                <w:sz w:val="18"/>
                <w:szCs w:val="18"/>
              </w:rPr>
              <w:t>2022-23</w:t>
            </w:r>
          </w:p>
        </w:tc>
        <w:tc>
          <w:tcPr>
            <w:tcW w:w="554" w:type="pct"/>
            <w:tcBorders>
              <w:top w:val="single" w:sz="4" w:space="0" w:color="auto"/>
              <w:left w:val="single" w:sz="4" w:space="0" w:color="auto"/>
              <w:bottom w:val="single" w:sz="4" w:space="0" w:color="auto"/>
              <w:right w:val="single" w:sz="4" w:space="0" w:color="auto"/>
            </w:tcBorders>
            <w:vAlign w:val="center"/>
          </w:tcPr>
          <w:p w14:paraId="7D520D26" w14:textId="77777777" w:rsidR="003A59D0" w:rsidRPr="00A27821" w:rsidRDefault="003A59D0" w:rsidP="00CE710E">
            <w:pPr>
              <w:jc w:val="left"/>
              <w:rPr>
                <w:b/>
                <w:bCs/>
                <w:sz w:val="18"/>
                <w:szCs w:val="18"/>
              </w:rPr>
            </w:pPr>
            <w:r>
              <w:rPr>
                <w:b/>
                <w:bCs/>
                <w:sz w:val="18"/>
                <w:szCs w:val="18"/>
              </w:rPr>
              <w:t>2023-24</w:t>
            </w:r>
          </w:p>
        </w:tc>
      </w:tr>
      <w:tr w:rsidR="003A59D0" w:rsidRPr="00A27821" w14:paraId="3001EEE2" w14:textId="77777777" w:rsidTr="3F4349A2">
        <w:trPr>
          <w:cantSplit/>
          <w:trHeight w:val="300"/>
        </w:trPr>
        <w:tc>
          <w:tcPr>
            <w:tcW w:w="605" w:type="pct"/>
            <w:vMerge/>
          </w:tcPr>
          <w:p w14:paraId="60521F9D" w14:textId="77777777" w:rsidR="003A59D0" w:rsidRPr="00A27821" w:rsidRDefault="003A59D0" w:rsidP="00CE710E">
            <w:pPr>
              <w:jc w:val="left"/>
              <w:rPr>
                <w:sz w:val="18"/>
                <w:szCs w:val="18"/>
              </w:rPr>
            </w:pPr>
          </w:p>
        </w:tc>
        <w:tc>
          <w:tcPr>
            <w:tcW w:w="505" w:type="pct"/>
            <w:tcBorders>
              <w:top w:val="single" w:sz="4" w:space="0" w:color="auto"/>
              <w:left w:val="single" w:sz="4" w:space="0" w:color="auto"/>
              <w:right w:val="single" w:sz="4" w:space="0" w:color="auto"/>
            </w:tcBorders>
            <w:vAlign w:val="center"/>
          </w:tcPr>
          <w:p w14:paraId="4993B82E" w14:textId="77777777" w:rsidR="003A59D0" w:rsidRPr="00A27821" w:rsidRDefault="003A59D0" w:rsidP="00CE710E">
            <w:pPr>
              <w:jc w:val="left"/>
              <w:rPr>
                <w:sz w:val="18"/>
                <w:szCs w:val="18"/>
              </w:rPr>
            </w:pPr>
            <w:r w:rsidRPr="00A27821">
              <w:rPr>
                <w:sz w:val="18"/>
                <w:szCs w:val="18"/>
              </w:rPr>
              <w:t>Mulloway</w:t>
            </w:r>
          </w:p>
        </w:tc>
        <w:tc>
          <w:tcPr>
            <w:tcW w:w="556"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430D9700" w14:textId="4513B73A" w:rsidR="003A59D0" w:rsidRPr="00A27821" w:rsidRDefault="003A59D0" w:rsidP="00CE710E">
            <w:pPr>
              <w:jc w:val="left"/>
              <w:rPr>
                <w:sz w:val="18"/>
                <w:szCs w:val="18"/>
              </w:rPr>
            </w:pPr>
            <w:r>
              <w:rPr>
                <w:sz w:val="18"/>
                <w:szCs w:val="18"/>
              </w:rPr>
              <w:t>17.1</w:t>
            </w:r>
            <w:r w:rsidRPr="00A27821">
              <w:rPr>
                <w:sz w:val="18"/>
                <w:szCs w:val="18"/>
              </w:rPr>
              <w:t xml:space="preserve"> (</w:t>
            </w:r>
            <w:r>
              <w:rPr>
                <w:sz w:val="18"/>
                <w:szCs w:val="18"/>
              </w:rPr>
              <w:t>22</w:t>
            </w:r>
            <w:r w:rsidRPr="00A27821">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7B66B01E" w14:textId="7AC94E25" w:rsidR="003A59D0" w:rsidRPr="00A27821" w:rsidRDefault="003A59D0" w:rsidP="00CE710E">
            <w:pPr>
              <w:jc w:val="left"/>
              <w:rPr>
                <w:sz w:val="18"/>
                <w:szCs w:val="18"/>
              </w:rPr>
            </w:pPr>
            <w:r>
              <w:rPr>
                <w:sz w:val="18"/>
                <w:szCs w:val="18"/>
              </w:rPr>
              <w:t>11.1</w:t>
            </w:r>
            <w:r w:rsidRPr="00A27821">
              <w:rPr>
                <w:sz w:val="18"/>
                <w:szCs w:val="18"/>
              </w:rPr>
              <w:t xml:space="preserve"> (</w:t>
            </w:r>
            <w:r>
              <w:rPr>
                <w:sz w:val="18"/>
                <w:szCs w:val="18"/>
              </w:rPr>
              <w:t>15</w:t>
            </w:r>
            <w:r w:rsidRPr="00A27821">
              <w:rPr>
                <w:sz w:val="18"/>
                <w:szCs w:val="18"/>
              </w:rPr>
              <w:t>%)</w:t>
            </w:r>
          </w:p>
        </w:tc>
        <w:tc>
          <w:tcPr>
            <w:tcW w:w="557"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2D7F55ED" w14:textId="1E836098" w:rsidR="003A59D0" w:rsidRPr="00350585" w:rsidRDefault="5D52309B" w:rsidP="00065A24">
            <w:pPr>
              <w:jc w:val="left"/>
              <w:rPr>
                <w:sz w:val="18"/>
                <w:szCs w:val="18"/>
              </w:rPr>
            </w:pPr>
            <w:r w:rsidRPr="307C5733">
              <w:rPr>
                <w:sz w:val="18"/>
                <w:szCs w:val="18"/>
              </w:rPr>
              <w:t>14.3</w:t>
            </w:r>
            <w:r w:rsidR="3AB48358" w:rsidRPr="307C5733">
              <w:rPr>
                <w:sz w:val="18"/>
                <w:szCs w:val="18"/>
              </w:rPr>
              <w:t xml:space="preserve"> </w:t>
            </w:r>
            <w:r w:rsidR="003A59D0" w:rsidRPr="307C5733">
              <w:rPr>
                <w:sz w:val="18"/>
                <w:szCs w:val="18"/>
              </w:rPr>
              <w:t>(</w:t>
            </w:r>
            <w:r w:rsidR="580B57F9" w:rsidRPr="307C5733">
              <w:rPr>
                <w:sz w:val="18"/>
                <w:szCs w:val="18"/>
              </w:rPr>
              <w:t>22</w:t>
            </w:r>
            <w:r w:rsidR="003A59D0" w:rsidRPr="307C5733">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91035A6" w14:textId="67E409B9" w:rsidR="003A59D0" w:rsidRPr="00350585" w:rsidRDefault="003A59D0" w:rsidP="00065A24">
            <w:pPr>
              <w:jc w:val="left"/>
              <w:rPr>
                <w:sz w:val="18"/>
                <w:szCs w:val="18"/>
              </w:rPr>
            </w:pPr>
            <w:r w:rsidRPr="6063BBAF">
              <w:rPr>
                <w:sz w:val="18"/>
                <w:szCs w:val="18"/>
              </w:rPr>
              <w:t>9.1(14%)</w:t>
            </w:r>
          </w:p>
        </w:tc>
        <w:tc>
          <w:tcPr>
            <w:tcW w:w="55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DE6DEE5" w14:textId="25C08E55" w:rsidR="003A59D0" w:rsidRPr="00A27821" w:rsidRDefault="003A59D0" w:rsidP="00CE710E">
            <w:pPr>
              <w:jc w:val="left"/>
              <w:rPr>
                <w:sz w:val="18"/>
                <w:szCs w:val="18"/>
              </w:rPr>
            </w:pPr>
            <w:r>
              <w:rPr>
                <w:sz w:val="18"/>
                <w:szCs w:val="18"/>
              </w:rPr>
              <w:t>0.9</w:t>
            </w:r>
            <w:r w:rsidRPr="00A27821">
              <w:rPr>
                <w:sz w:val="18"/>
                <w:szCs w:val="18"/>
              </w:rPr>
              <w:t xml:space="preserve"> (</w:t>
            </w:r>
            <w:r>
              <w:rPr>
                <w:sz w:val="18"/>
                <w:szCs w:val="18"/>
              </w:rPr>
              <w:t>1</w:t>
            </w:r>
            <w:r w:rsidRPr="00A27821">
              <w:rPr>
                <w:sz w:val="18"/>
                <w:szCs w:val="18"/>
              </w:rPr>
              <w:t>%)</w:t>
            </w:r>
          </w:p>
        </w:tc>
        <w:tc>
          <w:tcPr>
            <w:tcW w:w="55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D01DCDF" w14:textId="77777777" w:rsidR="003A59D0" w:rsidRPr="00A27821" w:rsidRDefault="003A59D0" w:rsidP="00CE710E">
            <w:pPr>
              <w:jc w:val="left"/>
              <w:rPr>
                <w:sz w:val="18"/>
                <w:szCs w:val="18"/>
              </w:rPr>
            </w:pPr>
            <w:r w:rsidRPr="00A27821">
              <w:rPr>
                <w:sz w:val="18"/>
                <w:szCs w:val="18"/>
              </w:rPr>
              <w:t>0.9 (1%)</w:t>
            </w:r>
          </w:p>
        </w:tc>
        <w:tc>
          <w:tcPr>
            <w:tcW w:w="554"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B831D25" w14:textId="77777777" w:rsidR="003A59D0" w:rsidRPr="00A27821" w:rsidRDefault="003A59D0" w:rsidP="00CE710E">
            <w:pPr>
              <w:jc w:val="left"/>
              <w:rPr>
                <w:sz w:val="18"/>
                <w:szCs w:val="18"/>
              </w:rPr>
            </w:pPr>
            <w:r>
              <w:rPr>
                <w:sz w:val="18"/>
                <w:szCs w:val="18"/>
              </w:rPr>
              <w:t>6.7 (7%)</w:t>
            </w:r>
          </w:p>
        </w:tc>
      </w:tr>
      <w:tr w:rsidR="003A59D0" w:rsidRPr="00A27821" w14:paraId="78C5A915" w14:textId="77777777" w:rsidTr="3F4349A2">
        <w:trPr>
          <w:cantSplit/>
          <w:trHeight w:val="300"/>
        </w:trPr>
        <w:tc>
          <w:tcPr>
            <w:tcW w:w="605" w:type="pct"/>
            <w:vMerge/>
          </w:tcPr>
          <w:p w14:paraId="553610CB" w14:textId="77777777" w:rsidR="003A59D0" w:rsidRPr="00A27821" w:rsidRDefault="003A59D0" w:rsidP="00CE710E">
            <w:pPr>
              <w:jc w:val="left"/>
              <w:rPr>
                <w:sz w:val="18"/>
                <w:szCs w:val="18"/>
              </w:rPr>
            </w:pPr>
          </w:p>
        </w:tc>
        <w:tc>
          <w:tcPr>
            <w:tcW w:w="505" w:type="pct"/>
            <w:tcBorders>
              <w:top w:val="single" w:sz="4" w:space="0" w:color="auto"/>
              <w:left w:val="single" w:sz="4" w:space="0" w:color="auto"/>
              <w:bottom w:val="single" w:sz="4" w:space="0" w:color="auto"/>
              <w:right w:val="single" w:sz="4" w:space="0" w:color="auto"/>
            </w:tcBorders>
            <w:vAlign w:val="center"/>
          </w:tcPr>
          <w:p w14:paraId="162F1A89" w14:textId="77777777" w:rsidR="003A59D0" w:rsidRPr="00A27821" w:rsidRDefault="003A59D0" w:rsidP="00CE710E">
            <w:pPr>
              <w:jc w:val="left"/>
              <w:rPr>
                <w:sz w:val="18"/>
                <w:szCs w:val="18"/>
              </w:rPr>
            </w:pPr>
            <w:r w:rsidRPr="00A27821">
              <w:rPr>
                <w:sz w:val="18"/>
                <w:szCs w:val="18"/>
              </w:rPr>
              <w:t>Black bream</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2819A4A1" w14:textId="4AFFCD90" w:rsidR="003A59D0" w:rsidRPr="00A27821" w:rsidRDefault="003A59D0" w:rsidP="00CE710E">
            <w:pPr>
              <w:jc w:val="left"/>
              <w:rPr>
                <w:sz w:val="18"/>
                <w:szCs w:val="18"/>
              </w:rPr>
            </w:pPr>
            <w:r>
              <w:rPr>
                <w:sz w:val="18"/>
                <w:szCs w:val="18"/>
              </w:rPr>
              <w:t>13.3</w:t>
            </w:r>
            <w:r w:rsidRPr="00A27821">
              <w:rPr>
                <w:sz w:val="18"/>
                <w:szCs w:val="18"/>
              </w:rPr>
              <w:t xml:space="preserve"> (</w:t>
            </w:r>
            <w:r>
              <w:rPr>
                <w:sz w:val="18"/>
                <w:szCs w:val="18"/>
              </w:rPr>
              <w:t>9</w:t>
            </w:r>
            <w:r w:rsidRPr="00A27821">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ACD8A6E" w14:textId="45ABD739" w:rsidR="003A59D0" w:rsidRPr="00A27821" w:rsidRDefault="003A59D0" w:rsidP="00CE710E">
            <w:pPr>
              <w:jc w:val="left"/>
              <w:rPr>
                <w:sz w:val="18"/>
                <w:szCs w:val="18"/>
              </w:rPr>
            </w:pPr>
            <w:r>
              <w:rPr>
                <w:sz w:val="18"/>
                <w:szCs w:val="18"/>
              </w:rPr>
              <w:t>11.6</w:t>
            </w:r>
            <w:r w:rsidRPr="00A27821">
              <w:rPr>
                <w:sz w:val="18"/>
                <w:szCs w:val="18"/>
              </w:rPr>
              <w:t xml:space="preserve"> (</w:t>
            </w:r>
            <w:r>
              <w:rPr>
                <w:sz w:val="18"/>
                <w:szCs w:val="18"/>
              </w:rPr>
              <w:t>9</w:t>
            </w:r>
            <w:r w:rsidRPr="00A27821">
              <w:rPr>
                <w:sz w:val="18"/>
                <w:szCs w:val="18"/>
              </w:rPr>
              <w:t>%)</w:t>
            </w:r>
          </w:p>
        </w:tc>
        <w:tc>
          <w:tcPr>
            <w:tcW w:w="557"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3A4484EA" w14:textId="1BA1F5CC" w:rsidR="003A59D0" w:rsidRPr="00350585" w:rsidRDefault="7F644EAC" w:rsidP="00065A24">
            <w:pPr>
              <w:jc w:val="left"/>
              <w:rPr>
                <w:sz w:val="18"/>
                <w:szCs w:val="18"/>
              </w:rPr>
            </w:pPr>
            <w:r w:rsidRPr="307C5733">
              <w:rPr>
                <w:sz w:val="18"/>
                <w:szCs w:val="18"/>
              </w:rPr>
              <w:t>17.1</w:t>
            </w:r>
            <w:r w:rsidR="003A59D0" w:rsidRPr="307C5733">
              <w:rPr>
                <w:sz w:val="18"/>
                <w:szCs w:val="18"/>
              </w:rPr>
              <w:t xml:space="preserve"> (</w:t>
            </w:r>
            <w:r w:rsidR="2D366D7D" w:rsidRPr="307C5733">
              <w:rPr>
                <w:sz w:val="18"/>
                <w:szCs w:val="18"/>
              </w:rPr>
              <w:t>16</w:t>
            </w:r>
            <w:r w:rsidR="003A59D0" w:rsidRPr="307C5733">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1ABCEA9" w14:textId="78AA518D" w:rsidR="003A59D0" w:rsidRPr="00350585" w:rsidRDefault="003A59D0" w:rsidP="00065A24">
            <w:pPr>
              <w:jc w:val="left"/>
              <w:rPr>
                <w:sz w:val="18"/>
                <w:szCs w:val="18"/>
              </w:rPr>
            </w:pPr>
            <w:r w:rsidRPr="6063BBAF">
              <w:rPr>
                <w:sz w:val="18"/>
                <w:szCs w:val="18"/>
              </w:rPr>
              <w:t>7.7 (9%)</w:t>
            </w:r>
          </w:p>
        </w:tc>
        <w:tc>
          <w:tcPr>
            <w:tcW w:w="55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7241870" w14:textId="736B2C45" w:rsidR="003A59D0" w:rsidRPr="00A27821" w:rsidRDefault="003A59D0" w:rsidP="00CE710E">
            <w:pPr>
              <w:jc w:val="left"/>
              <w:rPr>
                <w:sz w:val="18"/>
                <w:szCs w:val="18"/>
              </w:rPr>
            </w:pPr>
            <w:r>
              <w:rPr>
                <w:sz w:val="18"/>
                <w:szCs w:val="18"/>
              </w:rPr>
              <w:t>2.1</w:t>
            </w:r>
            <w:r w:rsidRPr="00A27821">
              <w:rPr>
                <w:sz w:val="18"/>
                <w:szCs w:val="18"/>
              </w:rPr>
              <w:t xml:space="preserve"> (</w:t>
            </w:r>
            <w:r>
              <w:rPr>
                <w:sz w:val="18"/>
                <w:szCs w:val="18"/>
              </w:rPr>
              <w:t>2</w:t>
            </w:r>
            <w:r w:rsidRPr="00A27821">
              <w:rPr>
                <w:sz w:val="18"/>
                <w:szCs w:val="18"/>
              </w:rPr>
              <w:t>%)</w:t>
            </w:r>
          </w:p>
        </w:tc>
        <w:tc>
          <w:tcPr>
            <w:tcW w:w="55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ECA6204" w14:textId="77777777" w:rsidR="003A59D0" w:rsidRPr="00A27821" w:rsidRDefault="003A59D0" w:rsidP="00CE710E">
            <w:pPr>
              <w:jc w:val="left"/>
              <w:rPr>
                <w:sz w:val="18"/>
                <w:szCs w:val="18"/>
              </w:rPr>
            </w:pPr>
            <w:r w:rsidRPr="00A27821">
              <w:rPr>
                <w:sz w:val="18"/>
                <w:szCs w:val="18"/>
              </w:rPr>
              <w:t>0.5 (0.2%)</w:t>
            </w:r>
          </w:p>
        </w:tc>
        <w:tc>
          <w:tcPr>
            <w:tcW w:w="554"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51F31C8" w14:textId="77777777" w:rsidR="003A59D0" w:rsidRPr="00A27821" w:rsidRDefault="003A59D0" w:rsidP="00CE710E">
            <w:pPr>
              <w:jc w:val="left"/>
              <w:rPr>
                <w:sz w:val="18"/>
                <w:szCs w:val="18"/>
              </w:rPr>
            </w:pPr>
            <w:r>
              <w:rPr>
                <w:sz w:val="18"/>
                <w:szCs w:val="18"/>
              </w:rPr>
              <w:t>7.3 (5%)</w:t>
            </w:r>
          </w:p>
        </w:tc>
      </w:tr>
      <w:tr w:rsidR="003A59D0" w:rsidRPr="00A27821" w14:paraId="7D2BF63C" w14:textId="77777777" w:rsidTr="3F4349A2">
        <w:trPr>
          <w:cantSplit/>
          <w:trHeight w:val="300"/>
        </w:trPr>
        <w:tc>
          <w:tcPr>
            <w:tcW w:w="605" w:type="pct"/>
            <w:vMerge/>
          </w:tcPr>
          <w:p w14:paraId="51F48C41" w14:textId="77777777" w:rsidR="003A59D0" w:rsidRPr="00A27821" w:rsidRDefault="003A59D0" w:rsidP="00CE710E">
            <w:pPr>
              <w:jc w:val="left"/>
              <w:rPr>
                <w:sz w:val="18"/>
                <w:szCs w:val="18"/>
              </w:rPr>
            </w:pPr>
          </w:p>
        </w:tc>
        <w:tc>
          <w:tcPr>
            <w:tcW w:w="505" w:type="pct"/>
            <w:tcBorders>
              <w:top w:val="single" w:sz="4" w:space="0" w:color="auto"/>
              <w:left w:val="single" w:sz="4" w:space="0" w:color="auto"/>
              <w:right w:val="single" w:sz="4" w:space="0" w:color="auto"/>
            </w:tcBorders>
            <w:vAlign w:val="center"/>
          </w:tcPr>
          <w:p w14:paraId="2DB57CBF" w14:textId="77777777" w:rsidR="003A59D0" w:rsidRPr="00A27821" w:rsidRDefault="003A59D0" w:rsidP="00CE710E">
            <w:pPr>
              <w:jc w:val="left"/>
              <w:rPr>
                <w:sz w:val="18"/>
                <w:szCs w:val="18"/>
              </w:rPr>
            </w:pPr>
            <w:r w:rsidRPr="00A27821">
              <w:rPr>
                <w:sz w:val="18"/>
                <w:szCs w:val="18"/>
              </w:rPr>
              <w:t>Tamar goby</w:t>
            </w:r>
          </w:p>
        </w:tc>
        <w:tc>
          <w:tcPr>
            <w:tcW w:w="556"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267F6AC7" w14:textId="6FE4C259" w:rsidR="003A59D0" w:rsidRPr="00A27821" w:rsidRDefault="003A59D0" w:rsidP="00CE710E">
            <w:pPr>
              <w:jc w:val="left"/>
              <w:rPr>
                <w:sz w:val="18"/>
                <w:szCs w:val="18"/>
              </w:rPr>
            </w:pPr>
            <w:r>
              <w:rPr>
                <w:sz w:val="18"/>
                <w:szCs w:val="18"/>
              </w:rPr>
              <w:t>20.3</w:t>
            </w:r>
            <w:r w:rsidRPr="00A27821">
              <w:rPr>
                <w:sz w:val="18"/>
                <w:szCs w:val="18"/>
              </w:rPr>
              <w:t xml:space="preserve"> (1</w:t>
            </w:r>
            <w:r>
              <w:rPr>
                <w:sz w:val="18"/>
                <w:szCs w:val="18"/>
              </w:rPr>
              <w:t>8</w:t>
            </w:r>
            <w:r w:rsidRPr="00A27821">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1302166" w14:textId="588C26AC" w:rsidR="003A59D0" w:rsidRPr="00A27821" w:rsidRDefault="003A59D0" w:rsidP="00CE710E">
            <w:pPr>
              <w:jc w:val="left"/>
              <w:rPr>
                <w:sz w:val="18"/>
                <w:szCs w:val="18"/>
              </w:rPr>
            </w:pPr>
            <w:r>
              <w:rPr>
                <w:sz w:val="18"/>
                <w:szCs w:val="18"/>
              </w:rPr>
              <w:t>10.9</w:t>
            </w:r>
            <w:r w:rsidRPr="00A27821">
              <w:rPr>
                <w:sz w:val="18"/>
                <w:szCs w:val="18"/>
              </w:rPr>
              <w:t xml:space="preserve"> (1</w:t>
            </w:r>
            <w:r>
              <w:rPr>
                <w:sz w:val="18"/>
                <w:szCs w:val="18"/>
              </w:rPr>
              <w:t>1</w:t>
            </w:r>
            <w:r w:rsidRPr="00A27821">
              <w:rPr>
                <w:sz w:val="18"/>
                <w:szCs w:val="18"/>
              </w:rPr>
              <w:t>%)</w:t>
            </w:r>
          </w:p>
        </w:tc>
        <w:tc>
          <w:tcPr>
            <w:tcW w:w="557"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2E7DF603" w14:textId="0ADCA4A2" w:rsidR="003A59D0" w:rsidRPr="00350585" w:rsidRDefault="278CAB3B" w:rsidP="00065A24">
            <w:pPr>
              <w:jc w:val="left"/>
              <w:rPr>
                <w:sz w:val="18"/>
                <w:szCs w:val="18"/>
              </w:rPr>
            </w:pPr>
            <w:r w:rsidRPr="307C5733">
              <w:rPr>
                <w:sz w:val="18"/>
                <w:szCs w:val="18"/>
              </w:rPr>
              <w:t>14.3</w:t>
            </w:r>
            <w:r w:rsidR="003A59D0" w:rsidRPr="307C5733">
              <w:rPr>
                <w:sz w:val="18"/>
                <w:szCs w:val="18"/>
              </w:rPr>
              <w:t xml:space="preserve"> (</w:t>
            </w:r>
            <w:r w:rsidR="50DAA113" w:rsidRPr="307C5733">
              <w:rPr>
                <w:sz w:val="18"/>
                <w:szCs w:val="18"/>
              </w:rPr>
              <w:t>18</w:t>
            </w:r>
            <w:r w:rsidR="003A59D0" w:rsidRPr="307C5733">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1538E29" w14:textId="7AB27BED" w:rsidR="003A59D0" w:rsidRPr="00350585" w:rsidRDefault="003A59D0" w:rsidP="00065A24">
            <w:pPr>
              <w:jc w:val="left"/>
              <w:rPr>
                <w:sz w:val="18"/>
                <w:szCs w:val="18"/>
              </w:rPr>
            </w:pPr>
            <w:r w:rsidRPr="6063BBAF">
              <w:rPr>
                <w:sz w:val="18"/>
                <w:szCs w:val="18"/>
              </w:rPr>
              <w:t>9.0(12%)</w:t>
            </w:r>
          </w:p>
        </w:tc>
        <w:tc>
          <w:tcPr>
            <w:tcW w:w="55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D817B4B" w14:textId="2C492C1C" w:rsidR="003A59D0" w:rsidRPr="00A27821" w:rsidRDefault="003A59D0" w:rsidP="00CE710E">
            <w:pPr>
              <w:jc w:val="left"/>
              <w:rPr>
                <w:sz w:val="18"/>
                <w:szCs w:val="18"/>
              </w:rPr>
            </w:pPr>
            <w:r>
              <w:rPr>
                <w:sz w:val="18"/>
                <w:szCs w:val="18"/>
              </w:rPr>
              <w:t>1.4</w:t>
            </w:r>
            <w:r w:rsidRPr="00A27821">
              <w:rPr>
                <w:sz w:val="18"/>
                <w:szCs w:val="18"/>
              </w:rPr>
              <w:t xml:space="preserve"> (2%)</w:t>
            </w:r>
          </w:p>
        </w:tc>
        <w:tc>
          <w:tcPr>
            <w:tcW w:w="55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B63DDE1" w14:textId="77777777" w:rsidR="003A59D0" w:rsidRPr="00A27821" w:rsidRDefault="003A59D0" w:rsidP="00CE710E">
            <w:pPr>
              <w:jc w:val="left"/>
              <w:rPr>
                <w:sz w:val="18"/>
                <w:szCs w:val="18"/>
              </w:rPr>
            </w:pPr>
            <w:r w:rsidRPr="00A27821">
              <w:rPr>
                <w:sz w:val="18"/>
                <w:szCs w:val="18"/>
              </w:rPr>
              <w:t>1.3 (0.9%)</w:t>
            </w:r>
          </w:p>
        </w:tc>
        <w:tc>
          <w:tcPr>
            <w:tcW w:w="554"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143B2B7" w14:textId="77777777" w:rsidR="003A59D0" w:rsidRPr="00A27821" w:rsidRDefault="003A59D0" w:rsidP="00CE710E">
            <w:pPr>
              <w:jc w:val="left"/>
              <w:rPr>
                <w:sz w:val="18"/>
                <w:szCs w:val="18"/>
              </w:rPr>
            </w:pPr>
            <w:r>
              <w:rPr>
                <w:sz w:val="18"/>
                <w:szCs w:val="18"/>
              </w:rPr>
              <w:t>6.8 (5%)</w:t>
            </w:r>
          </w:p>
        </w:tc>
      </w:tr>
      <w:tr w:rsidR="003A59D0" w:rsidRPr="00A27821" w14:paraId="68AEEF9F" w14:textId="77777777" w:rsidTr="3F4349A2">
        <w:trPr>
          <w:cantSplit/>
          <w:trHeight w:val="300"/>
        </w:trPr>
        <w:tc>
          <w:tcPr>
            <w:tcW w:w="605" w:type="pct"/>
            <w:vMerge/>
          </w:tcPr>
          <w:p w14:paraId="1A92613F" w14:textId="77777777" w:rsidR="003A59D0" w:rsidRPr="00A27821" w:rsidRDefault="003A59D0" w:rsidP="00CE710E">
            <w:pPr>
              <w:jc w:val="left"/>
              <w:rPr>
                <w:sz w:val="18"/>
                <w:szCs w:val="18"/>
              </w:rPr>
            </w:pPr>
          </w:p>
        </w:tc>
        <w:tc>
          <w:tcPr>
            <w:tcW w:w="505" w:type="pct"/>
            <w:tcBorders>
              <w:top w:val="single" w:sz="4" w:space="0" w:color="auto"/>
              <w:left w:val="single" w:sz="4" w:space="0" w:color="auto"/>
              <w:bottom w:val="single" w:sz="4" w:space="0" w:color="auto"/>
              <w:right w:val="single" w:sz="4" w:space="0" w:color="auto"/>
            </w:tcBorders>
            <w:vAlign w:val="center"/>
          </w:tcPr>
          <w:p w14:paraId="7CA974B1" w14:textId="77777777" w:rsidR="003A59D0" w:rsidRPr="00A27821" w:rsidRDefault="003A59D0" w:rsidP="00CE710E">
            <w:pPr>
              <w:jc w:val="left"/>
              <w:rPr>
                <w:sz w:val="18"/>
                <w:szCs w:val="18"/>
              </w:rPr>
            </w:pPr>
            <w:r w:rsidRPr="00A27821">
              <w:rPr>
                <w:sz w:val="18"/>
                <w:szCs w:val="18"/>
              </w:rPr>
              <w:t>Greenback flounder</w:t>
            </w:r>
          </w:p>
        </w:tc>
        <w:tc>
          <w:tcPr>
            <w:tcW w:w="556"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BEE9D18" w14:textId="6A6ABFA3" w:rsidR="003A59D0" w:rsidRPr="00A27821" w:rsidRDefault="003A59D0" w:rsidP="00CE710E">
            <w:pPr>
              <w:jc w:val="left"/>
              <w:rPr>
                <w:sz w:val="18"/>
                <w:szCs w:val="18"/>
              </w:rPr>
            </w:pPr>
            <w:r>
              <w:rPr>
                <w:sz w:val="18"/>
                <w:szCs w:val="18"/>
              </w:rPr>
              <w:t>13.5</w:t>
            </w:r>
            <w:r w:rsidRPr="00A27821">
              <w:rPr>
                <w:sz w:val="18"/>
                <w:szCs w:val="18"/>
              </w:rPr>
              <w:t xml:space="preserve"> (1</w:t>
            </w:r>
            <w:r>
              <w:rPr>
                <w:sz w:val="18"/>
                <w:szCs w:val="18"/>
              </w:rPr>
              <w:t>0</w:t>
            </w:r>
            <w:r w:rsidRPr="00A27821">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C0D5FAF" w14:textId="637A0D42" w:rsidR="003A59D0" w:rsidRPr="00A27821" w:rsidRDefault="003A59D0" w:rsidP="00CE710E">
            <w:pPr>
              <w:jc w:val="left"/>
              <w:rPr>
                <w:sz w:val="18"/>
                <w:szCs w:val="18"/>
              </w:rPr>
            </w:pPr>
            <w:r>
              <w:rPr>
                <w:sz w:val="18"/>
                <w:szCs w:val="18"/>
              </w:rPr>
              <w:t>10.6</w:t>
            </w:r>
            <w:r w:rsidRPr="00A27821">
              <w:rPr>
                <w:sz w:val="18"/>
                <w:szCs w:val="18"/>
              </w:rPr>
              <w:t xml:space="preserve"> (</w:t>
            </w:r>
            <w:r>
              <w:rPr>
                <w:sz w:val="18"/>
                <w:szCs w:val="18"/>
              </w:rPr>
              <w:t>8</w:t>
            </w:r>
            <w:r w:rsidRPr="00A27821">
              <w:rPr>
                <w:sz w:val="18"/>
                <w:szCs w:val="18"/>
              </w:rPr>
              <w:t>%)</w:t>
            </w:r>
          </w:p>
        </w:tc>
        <w:tc>
          <w:tcPr>
            <w:tcW w:w="557"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081C9EBC" w14:textId="73ADD84D" w:rsidR="003A59D0" w:rsidRPr="00350585" w:rsidRDefault="7A839DE5" w:rsidP="00065A24">
            <w:pPr>
              <w:jc w:val="left"/>
              <w:rPr>
                <w:sz w:val="18"/>
                <w:szCs w:val="18"/>
              </w:rPr>
            </w:pPr>
            <w:r w:rsidRPr="307C5733">
              <w:rPr>
                <w:sz w:val="18"/>
                <w:szCs w:val="18"/>
              </w:rPr>
              <w:t>16.9</w:t>
            </w:r>
            <w:r w:rsidR="003A59D0" w:rsidRPr="307C5733">
              <w:rPr>
                <w:sz w:val="18"/>
                <w:szCs w:val="18"/>
              </w:rPr>
              <w:t>(1</w:t>
            </w:r>
            <w:r w:rsidR="0B5710AF" w:rsidRPr="307C5733">
              <w:rPr>
                <w:sz w:val="18"/>
                <w:szCs w:val="18"/>
              </w:rPr>
              <w:t>6</w:t>
            </w:r>
            <w:r w:rsidR="003A59D0" w:rsidRPr="307C5733">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D0243D3" w14:textId="6AF78F86" w:rsidR="003A59D0" w:rsidRPr="00350585" w:rsidRDefault="003A59D0" w:rsidP="00065A24">
            <w:pPr>
              <w:jc w:val="left"/>
              <w:rPr>
                <w:sz w:val="18"/>
                <w:szCs w:val="18"/>
              </w:rPr>
            </w:pPr>
            <w:r w:rsidRPr="6063BBAF">
              <w:rPr>
                <w:sz w:val="18"/>
                <w:szCs w:val="18"/>
              </w:rPr>
              <w:t>7.7 (9%)</w:t>
            </w:r>
          </w:p>
        </w:tc>
        <w:tc>
          <w:tcPr>
            <w:tcW w:w="55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AF0D1F6" w14:textId="4F4B8FCC" w:rsidR="003A59D0" w:rsidRPr="00A27821" w:rsidRDefault="003A59D0" w:rsidP="00CE710E">
            <w:pPr>
              <w:jc w:val="left"/>
              <w:rPr>
                <w:sz w:val="18"/>
                <w:szCs w:val="18"/>
              </w:rPr>
            </w:pPr>
            <w:r>
              <w:rPr>
                <w:sz w:val="18"/>
                <w:szCs w:val="18"/>
              </w:rPr>
              <w:t>2.4</w:t>
            </w:r>
            <w:r w:rsidRPr="00A27821">
              <w:rPr>
                <w:sz w:val="18"/>
                <w:szCs w:val="18"/>
              </w:rPr>
              <w:t xml:space="preserve"> (</w:t>
            </w:r>
            <w:r>
              <w:rPr>
                <w:sz w:val="18"/>
                <w:szCs w:val="18"/>
              </w:rPr>
              <w:t>2</w:t>
            </w:r>
            <w:r w:rsidRPr="00A27821">
              <w:rPr>
                <w:sz w:val="18"/>
                <w:szCs w:val="18"/>
              </w:rPr>
              <w:t>%)</w:t>
            </w:r>
          </w:p>
        </w:tc>
        <w:tc>
          <w:tcPr>
            <w:tcW w:w="55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3B3C22E" w14:textId="77777777" w:rsidR="003A59D0" w:rsidRPr="00A27821" w:rsidRDefault="003A59D0" w:rsidP="00CE710E">
            <w:pPr>
              <w:jc w:val="left"/>
              <w:rPr>
                <w:sz w:val="18"/>
                <w:szCs w:val="18"/>
              </w:rPr>
            </w:pPr>
            <w:r w:rsidRPr="00A27821">
              <w:rPr>
                <w:sz w:val="18"/>
                <w:szCs w:val="18"/>
              </w:rPr>
              <w:t>0.5 (0.3%)</w:t>
            </w:r>
          </w:p>
        </w:tc>
        <w:tc>
          <w:tcPr>
            <w:tcW w:w="554"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122D2346" w14:textId="77777777" w:rsidR="003A59D0" w:rsidRPr="00A27821" w:rsidRDefault="003A59D0" w:rsidP="00CE710E">
            <w:pPr>
              <w:jc w:val="left"/>
              <w:rPr>
                <w:sz w:val="18"/>
                <w:szCs w:val="18"/>
              </w:rPr>
            </w:pPr>
            <w:r>
              <w:rPr>
                <w:sz w:val="18"/>
                <w:szCs w:val="18"/>
              </w:rPr>
              <w:t>8.3 (5%)</w:t>
            </w:r>
          </w:p>
        </w:tc>
      </w:tr>
      <w:tr w:rsidR="003A59D0" w:rsidRPr="00A27821" w14:paraId="21EA70A1" w14:textId="77777777" w:rsidTr="3F4349A2">
        <w:trPr>
          <w:cantSplit/>
          <w:trHeight w:val="300"/>
        </w:trPr>
        <w:tc>
          <w:tcPr>
            <w:tcW w:w="605" w:type="pct"/>
            <w:vMerge/>
          </w:tcPr>
          <w:p w14:paraId="1A2B93A3" w14:textId="77777777" w:rsidR="003A59D0" w:rsidRPr="00A27821" w:rsidRDefault="003A59D0" w:rsidP="00CE710E">
            <w:pPr>
              <w:jc w:val="left"/>
              <w:rPr>
                <w:sz w:val="18"/>
                <w:szCs w:val="18"/>
              </w:rPr>
            </w:pPr>
          </w:p>
        </w:tc>
        <w:tc>
          <w:tcPr>
            <w:tcW w:w="505" w:type="pct"/>
            <w:tcBorders>
              <w:top w:val="single" w:sz="4" w:space="0" w:color="auto"/>
              <w:left w:val="single" w:sz="4" w:space="0" w:color="auto"/>
              <w:bottom w:val="single" w:sz="4" w:space="0" w:color="auto"/>
              <w:right w:val="single" w:sz="4" w:space="0" w:color="auto"/>
            </w:tcBorders>
            <w:vAlign w:val="center"/>
          </w:tcPr>
          <w:p w14:paraId="14CB84C5" w14:textId="77777777" w:rsidR="003A59D0" w:rsidRPr="00A27821" w:rsidRDefault="003A59D0" w:rsidP="00CE710E">
            <w:pPr>
              <w:jc w:val="left"/>
              <w:rPr>
                <w:sz w:val="18"/>
                <w:szCs w:val="18"/>
              </w:rPr>
            </w:pPr>
            <w:r w:rsidRPr="00A27821">
              <w:rPr>
                <w:sz w:val="18"/>
                <w:szCs w:val="18"/>
              </w:rPr>
              <w:t>Yelloweye mullet</w:t>
            </w:r>
          </w:p>
        </w:tc>
        <w:tc>
          <w:tcPr>
            <w:tcW w:w="556"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EB14804" w14:textId="35241734" w:rsidR="003A59D0" w:rsidRPr="00A27821" w:rsidRDefault="003A59D0" w:rsidP="00CE710E">
            <w:pPr>
              <w:jc w:val="left"/>
              <w:rPr>
                <w:sz w:val="18"/>
                <w:szCs w:val="18"/>
              </w:rPr>
            </w:pPr>
            <w:r>
              <w:rPr>
                <w:sz w:val="18"/>
                <w:szCs w:val="18"/>
              </w:rPr>
              <w:t>13.2</w:t>
            </w:r>
            <w:r w:rsidRPr="00A27821">
              <w:rPr>
                <w:sz w:val="18"/>
                <w:szCs w:val="18"/>
              </w:rPr>
              <w:t xml:space="preserve"> (1</w:t>
            </w:r>
            <w:r>
              <w:rPr>
                <w:sz w:val="18"/>
                <w:szCs w:val="18"/>
              </w:rPr>
              <w:t>0</w:t>
            </w:r>
            <w:r w:rsidRPr="00A27821">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224A21C" w14:textId="0518AB3C" w:rsidR="003A59D0" w:rsidRPr="00A27821" w:rsidRDefault="003A59D0" w:rsidP="00CE710E">
            <w:pPr>
              <w:jc w:val="left"/>
              <w:rPr>
                <w:sz w:val="18"/>
                <w:szCs w:val="18"/>
              </w:rPr>
            </w:pPr>
            <w:r>
              <w:rPr>
                <w:sz w:val="18"/>
                <w:szCs w:val="18"/>
              </w:rPr>
              <w:t>10.3</w:t>
            </w:r>
            <w:r w:rsidRPr="00A27821">
              <w:rPr>
                <w:sz w:val="18"/>
                <w:szCs w:val="18"/>
              </w:rPr>
              <w:t xml:space="preserve"> (</w:t>
            </w:r>
            <w:r>
              <w:rPr>
                <w:sz w:val="18"/>
                <w:szCs w:val="18"/>
              </w:rPr>
              <w:t>8</w:t>
            </w:r>
            <w:r w:rsidRPr="00A27821">
              <w:rPr>
                <w:sz w:val="18"/>
                <w:szCs w:val="18"/>
              </w:rPr>
              <w:t>%)</w:t>
            </w:r>
          </w:p>
        </w:tc>
        <w:tc>
          <w:tcPr>
            <w:tcW w:w="557"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626BF226" w14:textId="206700A0" w:rsidR="003A59D0" w:rsidRPr="00350585" w:rsidRDefault="2DA6F43D" w:rsidP="00065A24">
            <w:pPr>
              <w:jc w:val="left"/>
              <w:rPr>
                <w:sz w:val="18"/>
                <w:szCs w:val="18"/>
              </w:rPr>
            </w:pPr>
            <w:r w:rsidRPr="307C5733">
              <w:rPr>
                <w:sz w:val="18"/>
                <w:szCs w:val="18"/>
              </w:rPr>
              <w:t>16.0</w:t>
            </w:r>
            <w:r w:rsidR="003A59D0" w:rsidRPr="307C5733">
              <w:rPr>
                <w:sz w:val="18"/>
                <w:szCs w:val="18"/>
              </w:rPr>
              <w:t>(1</w:t>
            </w:r>
            <w:r w:rsidR="39A88DBC" w:rsidRPr="307C5733">
              <w:rPr>
                <w:sz w:val="18"/>
                <w:szCs w:val="18"/>
              </w:rPr>
              <w:t>5</w:t>
            </w:r>
            <w:r w:rsidR="003A59D0" w:rsidRPr="307C5733">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2357DCF" w14:textId="686D974D" w:rsidR="003A59D0" w:rsidRPr="00350585" w:rsidRDefault="003A59D0" w:rsidP="00065A24">
            <w:pPr>
              <w:jc w:val="left"/>
              <w:rPr>
                <w:sz w:val="18"/>
                <w:szCs w:val="18"/>
              </w:rPr>
            </w:pPr>
            <w:r w:rsidRPr="6063BBAF">
              <w:rPr>
                <w:sz w:val="18"/>
                <w:szCs w:val="18"/>
              </w:rPr>
              <w:t>7.6 (8%)</w:t>
            </w:r>
          </w:p>
        </w:tc>
        <w:tc>
          <w:tcPr>
            <w:tcW w:w="55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9285E84" w14:textId="23292D40" w:rsidR="003A59D0" w:rsidRPr="00A27821" w:rsidRDefault="003A59D0" w:rsidP="00CE710E">
            <w:pPr>
              <w:jc w:val="left"/>
              <w:rPr>
                <w:sz w:val="18"/>
                <w:szCs w:val="18"/>
              </w:rPr>
            </w:pPr>
            <w:r>
              <w:rPr>
                <w:sz w:val="18"/>
                <w:szCs w:val="18"/>
              </w:rPr>
              <w:t>2.1</w:t>
            </w:r>
            <w:r w:rsidRPr="00A27821">
              <w:rPr>
                <w:sz w:val="18"/>
                <w:szCs w:val="18"/>
              </w:rPr>
              <w:t xml:space="preserve"> (</w:t>
            </w:r>
            <w:r>
              <w:rPr>
                <w:sz w:val="18"/>
                <w:szCs w:val="18"/>
              </w:rPr>
              <w:t>2</w:t>
            </w:r>
            <w:r w:rsidRPr="00A27821">
              <w:rPr>
                <w:sz w:val="18"/>
                <w:szCs w:val="18"/>
              </w:rPr>
              <w:t>%)</w:t>
            </w:r>
          </w:p>
        </w:tc>
        <w:tc>
          <w:tcPr>
            <w:tcW w:w="55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CBED281" w14:textId="77777777" w:rsidR="003A59D0" w:rsidRPr="00A27821" w:rsidRDefault="003A59D0" w:rsidP="00CE710E">
            <w:pPr>
              <w:jc w:val="left"/>
              <w:rPr>
                <w:sz w:val="18"/>
                <w:szCs w:val="18"/>
              </w:rPr>
            </w:pPr>
            <w:r w:rsidRPr="00A27821">
              <w:rPr>
                <w:sz w:val="18"/>
                <w:szCs w:val="18"/>
              </w:rPr>
              <w:t>0.6 (0.3%)</w:t>
            </w:r>
          </w:p>
        </w:tc>
        <w:tc>
          <w:tcPr>
            <w:tcW w:w="554"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1F9E95ED" w14:textId="77777777" w:rsidR="003A59D0" w:rsidRPr="00A27821" w:rsidRDefault="003A59D0" w:rsidP="00CE710E">
            <w:pPr>
              <w:jc w:val="left"/>
              <w:rPr>
                <w:sz w:val="18"/>
                <w:szCs w:val="18"/>
              </w:rPr>
            </w:pPr>
            <w:r>
              <w:rPr>
                <w:sz w:val="18"/>
                <w:szCs w:val="18"/>
              </w:rPr>
              <w:t>8.0 (5%)</w:t>
            </w:r>
          </w:p>
        </w:tc>
      </w:tr>
      <w:tr w:rsidR="003A59D0" w:rsidRPr="00A27821" w14:paraId="0B7FC31B" w14:textId="77777777" w:rsidTr="3F4349A2">
        <w:trPr>
          <w:cantSplit/>
          <w:trHeight w:val="300"/>
        </w:trPr>
        <w:tc>
          <w:tcPr>
            <w:tcW w:w="605" w:type="pct"/>
            <w:vMerge/>
          </w:tcPr>
          <w:p w14:paraId="39EF8790" w14:textId="77777777" w:rsidR="003A59D0" w:rsidRPr="00A27821" w:rsidRDefault="003A59D0" w:rsidP="00CE710E">
            <w:pPr>
              <w:jc w:val="left"/>
              <w:rPr>
                <w:sz w:val="18"/>
                <w:szCs w:val="18"/>
              </w:rPr>
            </w:pPr>
          </w:p>
        </w:tc>
        <w:tc>
          <w:tcPr>
            <w:tcW w:w="505" w:type="pct"/>
            <w:tcBorders>
              <w:top w:val="single" w:sz="4" w:space="0" w:color="auto"/>
              <w:left w:val="single" w:sz="4" w:space="0" w:color="auto"/>
              <w:bottom w:val="single" w:sz="4" w:space="0" w:color="auto"/>
              <w:right w:val="single" w:sz="4" w:space="0" w:color="auto"/>
            </w:tcBorders>
            <w:vAlign w:val="center"/>
          </w:tcPr>
          <w:p w14:paraId="35306632" w14:textId="77777777" w:rsidR="003A59D0" w:rsidRPr="00A27821" w:rsidRDefault="003A59D0" w:rsidP="00CE710E">
            <w:pPr>
              <w:jc w:val="left"/>
              <w:rPr>
                <w:sz w:val="18"/>
                <w:szCs w:val="18"/>
              </w:rPr>
            </w:pPr>
            <w:r w:rsidRPr="00A27821">
              <w:rPr>
                <w:sz w:val="18"/>
                <w:szCs w:val="18"/>
              </w:rPr>
              <w:t>Congolli</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1CCD5F90" w14:textId="38489899" w:rsidR="003A59D0" w:rsidRPr="00A27821" w:rsidRDefault="003A59D0" w:rsidP="00CE710E">
            <w:pPr>
              <w:jc w:val="left"/>
              <w:rPr>
                <w:sz w:val="18"/>
                <w:szCs w:val="18"/>
              </w:rPr>
            </w:pPr>
            <w:r>
              <w:rPr>
                <w:sz w:val="18"/>
                <w:szCs w:val="18"/>
              </w:rPr>
              <w:t>14.6</w:t>
            </w:r>
            <w:r w:rsidRPr="00A27821">
              <w:rPr>
                <w:sz w:val="18"/>
                <w:szCs w:val="18"/>
              </w:rPr>
              <w:t xml:space="preserve"> (</w:t>
            </w:r>
            <w:r>
              <w:rPr>
                <w:sz w:val="18"/>
                <w:szCs w:val="18"/>
              </w:rPr>
              <w:t>9</w:t>
            </w:r>
            <w:r w:rsidRPr="00A27821">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0DD7D129" w14:textId="77060D9A" w:rsidR="003A59D0" w:rsidRPr="00A27821" w:rsidRDefault="003A59D0" w:rsidP="00CE710E">
            <w:pPr>
              <w:jc w:val="left"/>
              <w:rPr>
                <w:sz w:val="18"/>
                <w:szCs w:val="18"/>
              </w:rPr>
            </w:pPr>
            <w:r>
              <w:rPr>
                <w:sz w:val="18"/>
                <w:szCs w:val="18"/>
              </w:rPr>
              <w:t>8.8</w:t>
            </w:r>
            <w:r w:rsidRPr="00A27821">
              <w:rPr>
                <w:sz w:val="18"/>
                <w:szCs w:val="18"/>
              </w:rPr>
              <w:t xml:space="preserve"> (</w:t>
            </w:r>
            <w:r>
              <w:rPr>
                <w:sz w:val="18"/>
                <w:szCs w:val="18"/>
              </w:rPr>
              <w:t>6</w:t>
            </w:r>
            <w:r w:rsidRPr="00A27821">
              <w:rPr>
                <w:sz w:val="18"/>
                <w:szCs w:val="18"/>
              </w:rPr>
              <w:t>%)</w:t>
            </w:r>
          </w:p>
        </w:tc>
        <w:tc>
          <w:tcPr>
            <w:tcW w:w="557"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2B7FCE10" w14:textId="70C119A6" w:rsidR="003A59D0" w:rsidRPr="00350585" w:rsidRDefault="0DA3D663" w:rsidP="00065A24">
            <w:pPr>
              <w:jc w:val="left"/>
              <w:rPr>
                <w:sz w:val="18"/>
                <w:szCs w:val="18"/>
              </w:rPr>
            </w:pPr>
            <w:r w:rsidRPr="307C5733">
              <w:rPr>
                <w:sz w:val="18"/>
                <w:szCs w:val="18"/>
              </w:rPr>
              <w:t>12.1</w:t>
            </w:r>
            <w:r w:rsidR="003A59D0" w:rsidRPr="307C5733">
              <w:rPr>
                <w:sz w:val="18"/>
                <w:szCs w:val="18"/>
              </w:rPr>
              <w:t xml:space="preserve"> (</w:t>
            </w:r>
            <w:r w:rsidR="3227A3F8" w:rsidRPr="307C5733">
              <w:rPr>
                <w:sz w:val="18"/>
                <w:szCs w:val="18"/>
              </w:rPr>
              <w:t>9</w:t>
            </w:r>
            <w:r w:rsidR="003A59D0" w:rsidRPr="307C5733">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111102E" w14:textId="5484F5F0" w:rsidR="003A59D0" w:rsidRPr="00350585" w:rsidRDefault="003A59D0" w:rsidP="00065A24">
            <w:pPr>
              <w:jc w:val="left"/>
              <w:rPr>
                <w:sz w:val="18"/>
                <w:szCs w:val="18"/>
              </w:rPr>
            </w:pPr>
            <w:r w:rsidRPr="6063BBAF">
              <w:rPr>
                <w:sz w:val="18"/>
                <w:szCs w:val="18"/>
              </w:rPr>
              <w:t>9.7 (9%)</w:t>
            </w:r>
          </w:p>
        </w:tc>
        <w:tc>
          <w:tcPr>
            <w:tcW w:w="55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6A6A2C7" w14:textId="0A884E8E" w:rsidR="003A59D0" w:rsidRPr="00A27821" w:rsidRDefault="003A59D0" w:rsidP="00CE710E">
            <w:pPr>
              <w:jc w:val="left"/>
              <w:rPr>
                <w:sz w:val="18"/>
                <w:szCs w:val="18"/>
              </w:rPr>
            </w:pPr>
            <w:r>
              <w:rPr>
                <w:sz w:val="18"/>
                <w:szCs w:val="18"/>
              </w:rPr>
              <w:t>2.3</w:t>
            </w:r>
            <w:r w:rsidRPr="00A27821">
              <w:rPr>
                <w:sz w:val="18"/>
                <w:szCs w:val="18"/>
              </w:rPr>
              <w:t xml:space="preserve"> (</w:t>
            </w:r>
            <w:r>
              <w:rPr>
                <w:sz w:val="18"/>
                <w:szCs w:val="18"/>
              </w:rPr>
              <w:t>2</w:t>
            </w:r>
            <w:r w:rsidRPr="00A27821">
              <w:rPr>
                <w:sz w:val="18"/>
                <w:szCs w:val="18"/>
              </w:rPr>
              <w:t>%)</w:t>
            </w:r>
          </w:p>
        </w:tc>
        <w:tc>
          <w:tcPr>
            <w:tcW w:w="55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1BFA5FB" w14:textId="77777777" w:rsidR="003A59D0" w:rsidRPr="00A27821" w:rsidRDefault="003A59D0" w:rsidP="00CE710E">
            <w:pPr>
              <w:jc w:val="left"/>
              <w:rPr>
                <w:sz w:val="18"/>
                <w:szCs w:val="18"/>
              </w:rPr>
            </w:pPr>
            <w:r w:rsidRPr="00A27821">
              <w:rPr>
                <w:sz w:val="18"/>
                <w:szCs w:val="18"/>
              </w:rPr>
              <w:t>0.5 (0.2%)</w:t>
            </w:r>
          </w:p>
        </w:tc>
        <w:tc>
          <w:tcPr>
            <w:tcW w:w="55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4F410F" w14:textId="77777777" w:rsidR="003A59D0" w:rsidRPr="00A27821" w:rsidRDefault="003A59D0" w:rsidP="00CE710E">
            <w:pPr>
              <w:jc w:val="left"/>
              <w:rPr>
                <w:sz w:val="18"/>
                <w:szCs w:val="18"/>
              </w:rPr>
            </w:pPr>
            <w:r>
              <w:rPr>
                <w:sz w:val="18"/>
                <w:szCs w:val="18"/>
              </w:rPr>
              <w:t>4.5 (3%)</w:t>
            </w:r>
          </w:p>
        </w:tc>
      </w:tr>
      <w:tr w:rsidR="003A59D0" w:rsidRPr="00A27821" w14:paraId="0D902B22" w14:textId="77777777" w:rsidTr="3F4349A2">
        <w:trPr>
          <w:cantSplit/>
          <w:trHeight w:val="300"/>
        </w:trPr>
        <w:tc>
          <w:tcPr>
            <w:tcW w:w="605" w:type="pct"/>
            <w:vMerge/>
          </w:tcPr>
          <w:p w14:paraId="3F6C9071" w14:textId="77777777" w:rsidR="003A59D0" w:rsidRPr="00A27821" w:rsidRDefault="003A59D0" w:rsidP="00CE710E">
            <w:pPr>
              <w:jc w:val="left"/>
              <w:rPr>
                <w:sz w:val="18"/>
                <w:szCs w:val="18"/>
              </w:rPr>
            </w:pPr>
          </w:p>
        </w:tc>
        <w:tc>
          <w:tcPr>
            <w:tcW w:w="505" w:type="pct"/>
            <w:tcBorders>
              <w:top w:val="single" w:sz="4" w:space="0" w:color="auto"/>
              <w:left w:val="single" w:sz="4" w:space="0" w:color="auto"/>
              <w:bottom w:val="single" w:sz="4" w:space="0" w:color="auto"/>
              <w:right w:val="single" w:sz="4" w:space="0" w:color="auto"/>
            </w:tcBorders>
            <w:vAlign w:val="center"/>
          </w:tcPr>
          <w:p w14:paraId="42EE0A47" w14:textId="77777777" w:rsidR="003A59D0" w:rsidRPr="00A27821" w:rsidRDefault="003A59D0" w:rsidP="00CE710E">
            <w:pPr>
              <w:jc w:val="left"/>
              <w:rPr>
                <w:sz w:val="18"/>
                <w:szCs w:val="18"/>
              </w:rPr>
            </w:pPr>
            <w:r w:rsidRPr="00A27821">
              <w:rPr>
                <w:sz w:val="18"/>
                <w:szCs w:val="18"/>
              </w:rPr>
              <w:t>Smallmouth hardyhead</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10D2DB8" w14:textId="119A735D" w:rsidR="003A59D0" w:rsidRPr="00A27821" w:rsidRDefault="003A59D0" w:rsidP="00CE710E">
            <w:pPr>
              <w:jc w:val="left"/>
              <w:rPr>
                <w:sz w:val="18"/>
                <w:szCs w:val="18"/>
              </w:rPr>
            </w:pPr>
            <w:r>
              <w:rPr>
                <w:sz w:val="18"/>
                <w:szCs w:val="18"/>
              </w:rPr>
              <w:t>9.4</w:t>
            </w:r>
            <w:r w:rsidRPr="00A27821">
              <w:rPr>
                <w:sz w:val="18"/>
                <w:szCs w:val="18"/>
              </w:rPr>
              <w:t xml:space="preserve"> (</w:t>
            </w:r>
            <w:r>
              <w:rPr>
                <w:sz w:val="18"/>
                <w:szCs w:val="18"/>
              </w:rPr>
              <w:t>6</w:t>
            </w:r>
            <w:r w:rsidRPr="00A27821">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19FC336" w14:textId="1026C6BC" w:rsidR="003A59D0" w:rsidRPr="00A27821" w:rsidRDefault="003A59D0" w:rsidP="00CE710E">
            <w:pPr>
              <w:jc w:val="left"/>
              <w:rPr>
                <w:sz w:val="18"/>
                <w:szCs w:val="18"/>
              </w:rPr>
            </w:pPr>
            <w:r w:rsidRPr="00A27821">
              <w:rPr>
                <w:sz w:val="18"/>
                <w:szCs w:val="18"/>
              </w:rPr>
              <w:t>11</w:t>
            </w:r>
            <w:r>
              <w:rPr>
                <w:sz w:val="18"/>
                <w:szCs w:val="18"/>
              </w:rPr>
              <w:t>.3</w:t>
            </w:r>
            <w:r w:rsidRPr="00A27821">
              <w:rPr>
                <w:sz w:val="18"/>
                <w:szCs w:val="18"/>
              </w:rPr>
              <w:t xml:space="preserve"> (7%)</w:t>
            </w:r>
          </w:p>
        </w:tc>
        <w:tc>
          <w:tcPr>
            <w:tcW w:w="557"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910C083" w14:textId="1682CB27" w:rsidR="003A59D0" w:rsidRPr="00350585" w:rsidRDefault="5AFC905D" w:rsidP="00065A24">
            <w:pPr>
              <w:jc w:val="left"/>
              <w:rPr>
                <w:sz w:val="18"/>
                <w:szCs w:val="18"/>
              </w:rPr>
            </w:pPr>
            <w:r w:rsidRPr="307C5733">
              <w:rPr>
                <w:sz w:val="18"/>
                <w:szCs w:val="18"/>
              </w:rPr>
              <w:t>8.7</w:t>
            </w:r>
            <w:r w:rsidR="003A59D0" w:rsidRPr="307C5733">
              <w:rPr>
                <w:sz w:val="18"/>
                <w:szCs w:val="18"/>
              </w:rPr>
              <w:t xml:space="preserve"> (</w:t>
            </w:r>
            <w:r w:rsidR="64FDA84F" w:rsidRPr="307C5733">
              <w:rPr>
                <w:sz w:val="18"/>
                <w:szCs w:val="18"/>
              </w:rPr>
              <w:t>6</w:t>
            </w:r>
            <w:r w:rsidR="003A59D0" w:rsidRPr="307C5733">
              <w:rPr>
                <w:sz w:val="18"/>
                <w:szCs w:val="18"/>
              </w:rPr>
              <w:t>%)</w:t>
            </w:r>
          </w:p>
        </w:tc>
        <w:tc>
          <w:tcPr>
            <w:tcW w:w="55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2B64FE2" w14:textId="5EE3A354" w:rsidR="003A59D0" w:rsidRPr="00350585" w:rsidRDefault="003A59D0" w:rsidP="00065A24">
            <w:pPr>
              <w:jc w:val="left"/>
              <w:rPr>
                <w:sz w:val="18"/>
                <w:szCs w:val="18"/>
              </w:rPr>
            </w:pPr>
            <w:r w:rsidRPr="6063BBAF">
              <w:rPr>
                <w:sz w:val="18"/>
                <w:szCs w:val="18"/>
              </w:rPr>
              <w:t>9.2(7%)</w:t>
            </w:r>
          </w:p>
        </w:tc>
        <w:tc>
          <w:tcPr>
            <w:tcW w:w="55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7237953" w14:textId="6804347A" w:rsidR="003A59D0" w:rsidRPr="00A27821" w:rsidRDefault="003A59D0" w:rsidP="00CE710E">
            <w:pPr>
              <w:jc w:val="left"/>
              <w:rPr>
                <w:sz w:val="18"/>
                <w:szCs w:val="18"/>
              </w:rPr>
            </w:pPr>
            <w:r>
              <w:rPr>
                <w:sz w:val="18"/>
                <w:szCs w:val="18"/>
              </w:rPr>
              <w:t>2.5</w:t>
            </w:r>
            <w:r w:rsidRPr="00A27821">
              <w:rPr>
                <w:sz w:val="18"/>
                <w:szCs w:val="18"/>
              </w:rPr>
              <w:t xml:space="preserve"> (</w:t>
            </w:r>
            <w:r>
              <w:rPr>
                <w:sz w:val="18"/>
                <w:szCs w:val="18"/>
              </w:rPr>
              <w:t>2</w:t>
            </w:r>
            <w:r w:rsidRPr="00A27821">
              <w:rPr>
                <w:sz w:val="18"/>
                <w:szCs w:val="18"/>
              </w:rPr>
              <w:t>%)</w:t>
            </w:r>
          </w:p>
        </w:tc>
        <w:tc>
          <w:tcPr>
            <w:tcW w:w="55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6F25879" w14:textId="77777777" w:rsidR="003A59D0" w:rsidRPr="00A27821" w:rsidRDefault="003A59D0" w:rsidP="00CE710E">
            <w:pPr>
              <w:jc w:val="left"/>
              <w:rPr>
                <w:sz w:val="18"/>
                <w:szCs w:val="18"/>
              </w:rPr>
            </w:pPr>
            <w:r w:rsidRPr="00A27821">
              <w:rPr>
                <w:sz w:val="18"/>
                <w:szCs w:val="18"/>
              </w:rPr>
              <w:t>0.5 (0.2%)</w:t>
            </w:r>
          </w:p>
        </w:tc>
        <w:tc>
          <w:tcPr>
            <w:tcW w:w="55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A38BBFA" w14:textId="77777777" w:rsidR="003A59D0" w:rsidRPr="00A27821" w:rsidRDefault="003A59D0" w:rsidP="00CE710E">
            <w:pPr>
              <w:jc w:val="left"/>
              <w:rPr>
                <w:sz w:val="18"/>
                <w:szCs w:val="18"/>
              </w:rPr>
            </w:pPr>
            <w:r>
              <w:rPr>
                <w:sz w:val="18"/>
                <w:szCs w:val="18"/>
              </w:rPr>
              <w:t>2.6 (2%)</w:t>
            </w:r>
          </w:p>
        </w:tc>
      </w:tr>
      <w:tr w:rsidR="003A59D0" w:rsidRPr="00A27821" w14:paraId="7957CDFC" w14:textId="77777777" w:rsidTr="3F4349A2">
        <w:trPr>
          <w:cantSplit/>
          <w:trHeight w:val="2156"/>
        </w:trPr>
        <w:tc>
          <w:tcPr>
            <w:tcW w:w="605" w:type="pct"/>
            <w:vMerge/>
          </w:tcPr>
          <w:p w14:paraId="6ED36B80" w14:textId="77777777" w:rsidR="003A59D0" w:rsidRPr="00A27821" w:rsidRDefault="003A59D0" w:rsidP="00CE710E">
            <w:pPr>
              <w:jc w:val="left"/>
              <w:rPr>
                <w:sz w:val="18"/>
                <w:szCs w:val="18"/>
              </w:rPr>
            </w:pPr>
          </w:p>
        </w:tc>
        <w:tc>
          <w:tcPr>
            <w:tcW w:w="4395" w:type="pct"/>
            <w:gridSpan w:val="8"/>
            <w:tcBorders>
              <w:left w:val="single" w:sz="4" w:space="0" w:color="auto"/>
              <w:bottom w:val="single" w:sz="4" w:space="0" w:color="auto"/>
              <w:right w:val="single" w:sz="4" w:space="0" w:color="auto"/>
            </w:tcBorders>
            <w:shd w:val="clear" w:color="auto" w:fill="5B9BD5" w:themeFill="accent1"/>
          </w:tcPr>
          <w:p w14:paraId="3FCFF786" w14:textId="77777777" w:rsidR="003A59D0" w:rsidRDefault="003A59D0" w:rsidP="00CE710E">
            <w:pPr>
              <w:pStyle w:val="TableHeading"/>
              <w:spacing w:before="80" w:after="80"/>
              <w:rPr>
                <w:b w:val="0"/>
                <w:sz w:val="18"/>
                <w:szCs w:val="18"/>
              </w:rPr>
            </w:pPr>
            <w:r w:rsidRPr="00A27821">
              <w:rPr>
                <w:b w:val="0"/>
                <w:sz w:val="18"/>
                <w:szCs w:val="18"/>
              </w:rPr>
              <w:t>Long-term (201</w:t>
            </w:r>
            <w:r>
              <w:rPr>
                <w:b w:val="0"/>
                <w:sz w:val="18"/>
                <w:szCs w:val="18"/>
              </w:rPr>
              <w:t>7</w:t>
            </w:r>
            <w:r w:rsidRPr="00A27821">
              <w:rPr>
                <w:b w:val="0"/>
                <w:sz w:val="18"/>
                <w:szCs w:val="18"/>
              </w:rPr>
              <w:t>–202</w:t>
            </w:r>
            <w:r>
              <w:rPr>
                <w:b w:val="0"/>
                <w:sz w:val="18"/>
                <w:szCs w:val="18"/>
              </w:rPr>
              <w:t>4</w:t>
            </w:r>
            <w:r w:rsidRPr="00A27821">
              <w:rPr>
                <w:b w:val="0"/>
                <w:sz w:val="18"/>
                <w:szCs w:val="18"/>
              </w:rPr>
              <w:t>) outcome = substantial.</w:t>
            </w:r>
          </w:p>
          <w:p w14:paraId="2857AA6B" w14:textId="77777777" w:rsidR="003A59D0" w:rsidRPr="00C977C0" w:rsidRDefault="003A59D0" w:rsidP="00CE710E">
            <w:pPr>
              <w:pStyle w:val="TableHeading"/>
              <w:spacing w:before="80" w:after="80"/>
              <w:rPr>
                <w:b w:val="0"/>
                <w:bCs/>
                <w:sz w:val="18"/>
                <w:szCs w:val="18"/>
              </w:rPr>
            </w:pPr>
            <w:r w:rsidRPr="00C977C0">
              <w:rPr>
                <w:b w:val="0"/>
                <w:bCs/>
                <w:sz w:val="18"/>
                <w:szCs w:val="18"/>
              </w:rPr>
              <w:t xml:space="preserve">CEW led to fresher conditions in the Coorong and a substantial expansion of predicted suitable fish habitat area over </w:t>
            </w:r>
            <w:r>
              <w:rPr>
                <w:b w:val="0"/>
                <w:bCs/>
                <w:sz w:val="18"/>
                <w:szCs w:val="18"/>
              </w:rPr>
              <w:t>seven</w:t>
            </w:r>
            <w:r w:rsidRPr="00C977C0">
              <w:rPr>
                <w:b w:val="0"/>
                <w:bCs/>
                <w:sz w:val="18"/>
                <w:szCs w:val="18"/>
              </w:rPr>
              <w:t xml:space="preserve"> years. Without CEW from 2017-18 to 202</w:t>
            </w:r>
            <w:r>
              <w:rPr>
                <w:b w:val="0"/>
                <w:bCs/>
                <w:sz w:val="18"/>
                <w:szCs w:val="18"/>
              </w:rPr>
              <w:t>3</w:t>
            </w:r>
            <w:r w:rsidRPr="00C977C0">
              <w:rPr>
                <w:b w:val="0"/>
                <w:bCs/>
                <w:sz w:val="18"/>
                <w:szCs w:val="18"/>
              </w:rPr>
              <w:t>-2</w:t>
            </w:r>
            <w:r>
              <w:rPr>
                <w:b w:val="0"/>
                <w:bCs/>
                <w:sz w:val="18"/>
                <w:szCs w:val="18"/>
              </w:rPr>
              <w:t>4</w:t>
            </w:r>
            <w:r w:rsidRPr="00C977C0">
              <w:rPr>
                <w:b w:val="0"/>
                <w:bCs/>
                <w:sz w:val="18"/>
                <w:szCs w:val="18"/>
              </w:rPr>
              <w:t>, the area of suitable habitat in 202</w:t>
            </w:r>
            <w:r>
              <w:rPr>
                <w:b w:val="0"/>
                <w:bCs/>
                <w:sz w:val="18"/>
                <w:szCs w:val="18"/>
              </w:rPr>
              <w:t>3</w:t>
            </w:r>
            <w:r w:rsidRPr="00C977C0">
              <w:rPr>
                <w:b w:val="0"/>
                <w:bCs/>
                <w:sz w:val="18"/>
                <w:szCs w:val="18"/>
              </w:rPr>
              <w:t>-2</w:t>
            </w:r>
            <w:r>
              <w:rPr>
                <w:b w:val="0"/>
                <w:bCs/>
                <w:sz w:val="18"/>
                <w:szCs w:val="18"/>
              </w:rPr>
              <w:t>4</w:t>
            </w:r>
            <w:r w:rsidRPr="00C977C0">
              <w:rPr>
                <w:b w:val="0"/>
                <w:bCs/>
                <w:sz w:val="18"/>
                <w:szCs w:val="18"/>
              </w:rPr>
              <w:t xml:space="preserve"> for mulloway, black bream, yelloweye mullet and greenback flounder (four key commercial fishery species) would have declined by </w:t>
            </w:r>
            <w:r>
              <w:rPr>
                <w:b w:val="0"/>
                <w:bCs/>
                <w:sz w:val="18"/>
                <w:szCs w:val="18"/>
              </w:rPr>
              <w:t>51</w:t>
            </w:r>
            <w:r w:rsidRPr="00C977C0">
              <w:rPr>
                <w:b w:val="0"/>
                <w:bCs/>
                <w:sz w:val="18"/>
                <w:szCs w:val="18"/>
              </w:rPr>
              <w:t xml:space="preserve">%, </w:t>
            </w:r>
            <w:r>
              <w:rPr>
                <w:b w:val="0"/>
                <w:bCs/>
                <w:sz w:val="18"/>
                <w:szCs w:val="18"/>
              </w:rPr>
              <w:t>40</w:t>
            </w:r>
            <w:r w:rsidRPr="00C977C0">
              <w:rPr>
                <w:b w:val="0"/>
                <w:bCs/>
                <w:sz w:val="18"/>
                <w:szCs w:val="18"/>
              </w:rPr>
              <w:t xml:space="preserve">%, </w:t>
            </w:r>
            <w:r>
              <w:rPr>
                <w:b w:val="0"/>
                <w:bCs/>
                <w:sz w:val="18"/>
                <w:szCs w:val="18"/>
              </w:rPr>
              <w:t>40</w:t>
            </w:r>
            <w:r w:rsidRPr="00C977C0">
              <w:rPr>
                <w:b w:val="0"/>
                <w:bCs/>
                <w:sz w:val="18"/>
                <w:szCs w:val="18"/>
              </w:rPr>
              <w:t xml:space="preserve">% and </w:t>
            </w:r>
            <w:r>
              <w:rPr>
                <w:b w:val="0"/>
                <w:bCs/>
                <w:sz w:val="18"/>
                <w:szCs w:val="18"/>
              </w:rPr>
              <w:t>44</w:t>
            </w:r>
            <w:r w:rsidRPr="00C977C0">
              <w:rPr>
                <w:b w:val="0"/>
                <w:bCs/>
                <w:sz w:val="18"/>
                <w:szCs w:val="18"/>
              </w:rPr>
              <w:t>%, respectively. A similar trend is evident for Tamar goby, congolli and smallmouth hardyhead (ecologically important species) with a respective decrease of 5</w:t>
            </w:r>
            <w:r>
              <w:rPr>
                <w:b w:val="0"/>
                <w:bCs/>
                <w:sz w:val="18"/>
                <w:szCs w:val="18"/>
              </w:rPr>
              <w:t>2</w:t>
            </w:r>
            <w:r w:rsidRPr="00C977C0">
              <w:rPr>
                <w:b w:val="0"/>
                <w:bCs/>
                <w:sz w:val="18"/>
                <w:szCs w:val="18"/>
              </w:rPr>
              <w:t xml:space="preserve">%, </w:t>
            </w:r>
            <w:r>
              <w:rPr>
                <w:b w:val="0"/>
                <w:bCs/>
                <w:sz w:val="18"/>
                <w:szCs w:val="18"/>
              </w:rPr>
              <w:t>2</w:t>
            </w:r>
            <w:r w:rsidRPr="00C977C0">
              <w:rPr>
                <w:b w:val="0"/>
                <w:bCs/>
                <w:sz w:val="18"/>
                <w:szCs w:val="18"/>
              </w:rPr>
              <w:t>7% and 1</w:t>
            </w:r>
            <w:r>
              <w:rPr>
                <w:b w:val="0"/>
                <w:bCs/>
                <w:sz w:val="18"/>
                <w:szCs w:val="18"/>
              </w:rPr>
              <w:t>8</w:t>
            </w:r>
            <w:r w:rsidRPr="00C977C0">
              <w:rPr>
                <w:b w:val="0"/>
                <w:bCs/>
                <w:sz w:val="18"/>
                <w:szCs w:val="18"/>
              </w:rPr>
              <w:t xml:space="preserve">%.  </w:t>
            </w:r>
          </w:p>
          <w:p w14:paraId="4631A370" w14:textId="3E477ADF" w:rsidR="003A59D0" w:rsidRPr="002618B3" w:rsidRDefault="003A59D0" w:rsidP="3F4349A2">
            <w:pPr>
              <w:pStyle w:val="TableHeading"/>
              <w:spacing w:before="80" w:after="80"/>
              <w:rPr>
                <w:b w:val="0"/>
                <w:sz w:val="18"/>
                <w:szCs w:val="18"/>
              </w:rPr>
            </w:pPr>
            <w:r w:rsidRPr="3F4349A2">
              <w:rPr>
                <w:b w:val="0"/>
                <w:sz w:val="18"/>
                <w:szCs w:val="18"/>
              </w:rPr>
              <w:t xml:space="preserve">A major expansion of suitable habitat into the southern Coorong is critically important to restore biodiversity in this recovering ecosystem. </w:t>
            </w:r>
          </w:p>
        </w:tc>
      </w:tr>
    </w:tbl>
    <w:p w14:paraId="388635A2" w14:textId="77777777" w:rsidR="003A59D0" w:rsidRDefault="003A59D0" w:rsidP="003A59D0">
      <w:pPr>
        <w:spacing w:before="0" w:after="0" w:line="240" w:lineRule="auto"/>
        <w:rPr>
          <w:color w:val="auto"/>
          <w:kern w:val="0"/>
          <w:sz w:val="19"/>
          <w:szCs w:val="19"/>
          <w:lang w:val="en-US" w:bidi="en-US"/>
        </w:rPr>
      </w:pPr>
    </w:p>
    <w:p w14:paraId="0FC44FB6" w14:textId="392028EE" w:rsidR="003A59D0" w:rsidRDefault="003A59D0" w:rsidP="003A59D0">
      <w:pPr>
        <w:spacing w:before="0" w:after="0" w:line="240" w:lineRule="auto"/>
        <w:rPr>
          <w:color w:val="auto"/>
          <w:kern w:val="0"/>
          <w:sz w:val="19"/>
          <w:szCs w:val="19"/>
          <w:lang w:val="en-US" w:bidi="en-US"/>
        </w:rPr>
      </w:pPr>
      <w:r>
        <w:rPr>
          <w:color w:val="auto"/>
          <w:kern w:val="0"/>
          <w:sz w:val="19"/>
          <w:szCs w:val="19"/>
          <w:lang w:val="en-US" w:bidi="en-US"/>
        </w:rPr>
        <w:t xml:space="preserve">*The calculation of the overall </w:t>
      </w:r>
      <w:r w:rsidRPr="60E9E9BD">
        <w:rPr>
          <w:i/>
          <w:iCs/>
          <w:color w:val="auto"/>
          <w:kern w:val="0"/>
          <w:sz w:val="19"/>
          <w:szCs w:val="19"/>
          <w:lang w:val="en-US" w:bidi="en-US"/>
        </w:rPr>
        <w:t>R. tuberosa</w:t>
      </w:r>
      <w:r>
        <w:rPr>
          <w:color w:val="auto"/>
          <w:kern w:val="0"/>
          <w:sz w:val="19"/>
          <w:szCs w:val="19"/>
          <w:lang w:val="en-US" w:bidi="en-US"/>
        </w:rPr>
        <w:t xml:space="preserve"> HSI requires a full calendar year of simulation (corresponding to its annual life-cycle). </w:t>
      </w:r>
      <w:r w:rsidRPr="004E06FC">
        <w:rPr>
          <w:color w:val="auto"/>
          <w:kern w:val="0"/>
          <w:sz w:val="19"/>
          <w:szCs w:val="19"/>
          <w:lang w:val="en-US" w:bidi="en-US"/>
        </w:rPr>
        <w:t>As only January–July was simulated for 202</w:t>
      </w:r>
      <w:r>
        <w:rPr>
          <w:color w:val="auto"/>
          <w:kern w:val="0"/>
          <w:sz w:val="19"/>
          <w:szCs w:val="19"/>
          <w:lang w:val="en-US" w:bidi="en-US"/>
        </w:rPr>
        <w:t>4</w:t>
      </w:r>
      <w:r w:rsidRPr="004E06FC">
        <w:rPr>
          <w:color w:val="auto"/>
          <w:kern w:val="0"/>
          <w:sz w:val="19"/>
          <w:szCs w:val="19"/>
          <w:lang w:val="en-US" w:bidi="en-US"/>
        </w:rPr>
        <w:t xml:space="preserve">, habitat area for </w:t>
      </w:r>
      <w:r w:rsidRPr="60E9E9BD">
        <w:rPr>
          <w:i/>
          <w:iCs/>
          <w:color w:val="auto"/>
          <w:kern w:val="0"/>
          <w:sz w:val="19"/>
          <w:szCs w:val="19"/>
          <w:lang w:val="en-US" w:bidi="en-US"/>
        </w:rPr>
        <w:t>R. tuberosa</w:t>
      </w:r>
      <w:r w:rsidRPr="004E06FC">
        <w:rPr>
          <w:color w:val="auto"/>
          <w:kern w:val="0"/>
          <w:sz w:val="19"/>
          <w:szCs w:val="19"/>
          <w:lang w:val="en-US" w:bidi="en-US"/>
        </w:rPr>
        <w:t xml:space="preserve"> could not be calculated</w:t>
      </w:r>
      <w:r>
        <w:rPr>
          <w:color w:val="auto"/>
          <w:kern w:val="0"/>
          <w:sz w:val="19"/>
          <w:szCs w:val="19"/>
          <w:lang w:val="en-US" w:bidi="en-US"/>
        </w:rPr>
        <w:t xml:space="preserve"> for this year</w:t>
      </w:r>
      <w:r w:rsidRPr="004E06FC">
        <w:rPr>
          <w:color w:val="auto"/>
          <w:kern w:val="0"/>
          <w:sz w:val="19"/>
          <w:szCs w:val="19"/>
          <w:lang w:val="en-US" w:bidi="en-US"/>
        </w:rPr>
        <w:t>.</w:t>
      </w:r>
      <w:r>
        <w:rPr>
          <w:color w:val="auto"/>
          <w:kern w:val="0"/>
          <w:sz w:val="19"/>
          <w:szCs w:val="19"/>
          <w:lang w:val="en-US" w:bidi="en-US"/>
        </w:rPr>
        <w:t xml:space="preserve"> The annual evaluation was based on ‘No CEW’ during that calendar year and six months prior. </w:t>
      </w:r>
    </w:p>
    <w:p w14:paraId="2930A817" w14:textId="740C60BF" w:rsidR="003A59D0" w:rsidRDefault="003A59D0" w:rsidP="3F4349A2">
      <w:pPr>
        <w:spacing w:before="0" w:after="0" w:line="240" w:lineRule="auto"/>
        <w:jc w:val="left"/>
        <w:rPr>
          <w:kern w:val="0"/>
          <w:sz w:val="18"/>
          <w:szCs w:val="18"/>
          <w:lang w:val="en-US" w:bidi="en-US"/>
        </w:rPr>
      </w:pPr>
      <w:r>
        <w:rPr>
          <w:color w:val="auto"/>
          <w:kern w:val="0"/>
          <w:sz w:val="19"/>
          <w:szCs w:val="19"/>
          <w:lang w:val="en-US" w:bidi="en-US"/>
        </w:rPr>
        <w:t>Contribution (to what extent CEW contributed towards the outcome, with the significance of the outcome considered):</w:t>
      </w:r>
      <w:r w:rsidR="788EA206">
        <w:rPr>
          <w:color w:val="auto"/>
          <w:kern w:val="0"/>
          <w:sz w:val="19"/>
          <w:szCs w:val="19"/>
          <w:lang w:val="en-US" w:bidi="en-US"/>
        </w:rPr>
        <w:t xml:space="preserve"> for </w:t>
      </w:r>
      <w:r w:rsidR="788EA206" w:rsidRPr="00771E18">
        <w:rPr>
          <w:i/>
          <w:iCs/>
          <w:color w:val="auto"/>
          <w:kern w:val="0"/>
          <w:sz w:val="19"/>
          <w:szCs w:val="19"/>
          <w:lang w:val="en-US" w:bidi="en-US"/>
        </w:rPr>
        <w:t>Ruppia</w:t>
      </w:r>
      <w:r w:rsidR="788EA206">
        <w:rPr>
          <w:color w:val="auto"/>
          <w:kern w:val="0"/>
          <w:sz w:val="19"/>
          <w:szCs w:val="19"/>
          <w:lang w:val="en-US" w:bidi="en-US"/>
        </w:rPr>
        <w:t xml:space="preserve">, </w:t>
      </w:r>
      <w:r w:rsidR="788EA206">
        <w:t>a substantial contribution was considered an increase in habitat area of 30% or greater, moderate 20–29%, minor 10–19%, negligible -2–10%, negative &lt; -2%</w:t>
      </w:r>
      <w:r w:rsidR="3F056B48">
        <w:t>;</w:t>
      </w:r>
      <w:r w:rsidR="788EA206">
        <w:t xml:space="preserve"> </w:t>
      </w:r>
      <w:r w:rsidR="788EA206" w:rsidRPr="00771E18">
        <w:rPr>
          <w:szCs w:val="21"/>
        </w:rPr>
        <w:t xml:space="preserve">For fish, </w:t>
      </w:r>
      <w:r w:rsidR="7DB1D4DA" w:rsidRPr="00771E18">
        <w:rPr>
          <w:szCs w:val="21"/>
        </w:rPr>
        <w:t>a substantial contribution was considered an increase in habitat area of 15% or greater, moderate 10–14%, minor 5–9%, negligible 0–5%, negative &lt;0:</w:t>
      </w:r>
    </w:p>
    <w:tbl>
      <w:tblPr>
        <w:tblW w:w="8242" w:type="dxa"/>
        <w:tblLook w:val="04A0" w:firstRow="1" w:lastRow="0" w:firstColumn="1" w:lastColumn="0" w:noHBand="0" w:noVBand="1"/>
      </w:tblPr>
      <w:tblGrid>
        <w:gridCol w:w="222"/>
        <w:gridCol w:w="1066"/>
        <w:gridCol w:w="222"/>
        <w:gridCol w:w="1069"/>
        <w:gridCol w:w="222"/>
        <w:gridCol w:w="1704"/>
        <w:gridCol w:w="222"/>
        <w:gridCol w:w="727"/>
        <w:gridCol w:w="222"/>
        <w:gridCol w:w="1144"/>
        <w:gridCol w:w="222"/>
        <w:gridCol w:w="1210"/>
      </w:tblGrid>
      <w:tr w:rsidR="003A59D0" w14:paraId="4FE6F8CE" w14:textId="77777777" w:rsidTr="00771E18">
        <w:trPr>
          <w:trHeight w:val="300"/>
        </w:trPr>
        <w:tc>
          <w:tcPr>
            <w:tcW w:w="222" w:type="dxa"/>
            <w:shd w:val="clear" w:color="auto" w:fill="D9D9D9" w:themeFill="background1" w:themeFillShade="D9"/>
          </w:tcPr>
          <w:p w14:paraId="4AAD3B78" w14:textId="77777777" w:rsidR="003A59D0" w:rsidRDefault="003A59D0" w:rsidP="00CE710E">
            <w:pPr>
              <w:rPr>
                <w:sz w:val="19"/>
                <w:szCs w:val="19"/>
              </w:rPr>
            </w:pPr>
          </w:p>
        </w:tc>
        <w:tc>
          <w:tcPr>
            <w:tcW w:w="1066" w:type="dxa"/>
            <w:vAlign w:val="center"/>
            <w:hideMark/>
          </w:tcPr>
          <w:p w14:paraId="72CF3E83" w14:textId="77777777" w:rsidR="003A59D0" w:rsidRDefault="003A59D0" w:rsidP="00CE710E">
            <w:pPr>
              <w:rPr>
                <w:sz w:val="19"/>
                <w:szCs w:val="19"/>
              </w:rPr>
            </w:pPr>
            <w:r>
              <w:rPr>
                <w:sz w:val="19"/>
                <w:szCs w:val="19"/>
              </w:rPr>
              <w:t>Unknown</w:t>
            </w:r>
          </w:p>
        </w:tc>
        <w:tc>
          <w:tcPr>
            <w:tcW w:w="222" w:type="dxa"/>
            <w:shd w:val="clear" w:color="auto" w:fill="FF0000"/>
            <w:vAlign w:val="center"/>
          </w:tcPr>
          <w:p w14:paraId="139E1237" w14:textId="77777777" w:rsidR="003A59D0" w:rsidRDefault="003A59D0" w:rsidP="00CE710E">
            <w:pPr>
              <w:rPr>
                <w:sz w:val="19"/>
                <w:szCs w:val="19"/>
              </w:rPr>
            </w:pPr>
          </w:p>
        </w:tc>
        <w:tc>
          <w:tcPr>
            <w:tcW w:w="1069" w:type="dxa"/>
            <w:vAlign w:val="center"/>
            <w:hideMark/>
          </w:tcPr>
          <w:p w14:paraId="322D8DBD" w14:textId="77777777" w:rsidR="003A59D0" w:rsidRDefault="003A59D0" w:rsidP="00CE710E">
            <w:pPr>
              <w:rPr>
                <w:sz w:val="19"/>
                <w:szCs w:val="19"/>
              </w:rPr>
            </w:pPr>
            <w:r>
              <w:rPr>
                <w:sz w:val="19"/>
                <w:szCs w:val="19"/>
              </w:rPr>
              <w:t>Negative</w:t>
            </w:r>
          </w:p>
        </w:tc>
        <w:tc>
          <w:tcPr>
            <w:tcW w:w="222" w:type="dxa"/>
            <w:shd w:val="clear" w:color="auto" w:fill="E2EFD9" w:themeFill="accent6" w:themeFillTint="33"/>
            <w:vAlign w:val="center"/>
          </w:tcPr>
          <w:p w14:paraId="18A3699F" w14:textId="77777777" w:rsidR="003A59D0" w:rsidRDefault="003A59D0" w:rsidP="00CE710E">
            <w:pPr>
              <w:rPr>
                <w:sz w:val="19"/>
                <w:szCs w:val="19"/>
              </w:rPr>
            </w:pPr>
          </w:p>
        </w:tc>
        <w:tc>
          <w:tcPr>
            <w:tcW w:w="1704" w:type="dxa"/>
            <w:vAlign w:val="center"/>
            <w:hideMark/>
          </w:tcPr>
          <w:p w14:paraId="5017CA0F" w14:textId="77777777" w:rsidR="003A59D0" w:rsidRDefault="003A59D0" w:rsidP="00CE710E">
            <w:pPr>
              <w:rPr>
                <w:sz w:val="19"/>
                <w:szCs w:val="19"/>
              </w:rPr>
            </w:pPr>
            <w:r>
              <w:rPr>
                <w:sz w:val="19"/>
                <w:szCs w:val="19"/>
              </w:rPr>
              <w:t>None/negligible</w:t>
            </w:r>
          </w:p>
        </w:tc>
        <w:tc>
          <w:tcPr>
            <w:tcW w:w="222" w:type="dxa"/>
            <w:shd w:val="clear" w:color="auto" w:fill="A8D08D" w:themeFill="accent6" w:themeFillTint="99"/>
            <w:vAlign w:val="center"/>
          </w:tcPr>
          <w:p w14:paraId="3BAF7E5C" w14:textId="77777777" w:rsidR="003A59D0" w:rsidRDefault="003A59D0" w:rsidP="00CE710E">
            <w:pPr>
              <w:rPr>
                <w:sz w:val="19"/>
                <w:szCs w:val="19"/>
              </w:rPr>
            </w:pPr>
          </w:p>
        </w:tc>
        <w:tc>
          <w:tcPr>
            <w:tcW w:w="727" w:type="dxa"/>
            <w:vAlign w:val="center"/>
            <w:hideMark/>
          </w:tcPr>
          <w:p w14:paraId="568F7240" w14:textId="77777777" w:rsidR="003A59D0" w:rsidRDefault="003A59D0" w:rsidP="00CE710E">
            <w:pPr>
              <w:rPr>
                <w:sz w:val="19"/>
                <w:szCs w:val="19"/>
              </w:rPr>
            </w:pPr>
            <w:r>
              <w:rPr>
                <w:sz w:val="19"/>
                <w:szCs w:val="19"/>
              </w:rPr>
              <w:t>Minor</w:t>
            </w:r>
          </w:p>
        </w:tc>
        <w:tc>
          <w:tcPr>
            <w:tcW w:w="222" w:type="dxa"/>
            <w:shd w:val="clear" w:color="auto" w:fill="70AD47" w:themeFill="accent6"/>
            <w:vAlign w:val="center"/>
          </w:tcPr>
          <w:p w14:paraId="581EF17E" w14:textId="77777777" w:rsidR="003A59D0" w:rsidRDefault="003A59D0" w:rsidP="00CE710E">
            <w:pPr>
              <w:rPr>
                <w:sz w:val="19"/>
                <w:szCs w:val="19"/>
              </w:rPr>
            </w:pPr>
          </w:p>
        </w:tc>
        <w:tc>
          <w:tcPr>
            <w:tcW w:w="1144" w:type="dxa"/>
            <w:vAlign w:val="center"/>
            <w:hideMark/>
          </w:tcPr>
          <w:p w14:paraId="36234C5C" w14:textId="77777777" w:rsidR="003A59D0" w:rsidRDefault="003A59D0" w:rsidP="00CE710E">
            <w:pPr>
              <w:rPr>
                <w:sz w:val="19"/>
                <w:szCs w:val="19"/>
              </w:rPr>
            </w:pPr>
            <w:r>
              <w:rPr>
                <w:sz w:val="19"/>
                <w:szCs w:val="19"/>
              </w:rPr>
              <w:t>Moderate</w:t>
            </w:r>
          </w:p>
        </w:tc>
        <w:tc>
          <w:tcPr>
            <w:tcW w:w="222" w:type="dxa"/>
            <w:shd w:val="clear" w:color="auto" w:fill="5B9BD5" w:themeFill="accent1"/>
          </w:tcPr>
          <w:p w14:paraId="03353A3F" w14:textId="77777777" w:rsidR="003A59D0" w:rsidRDefault="003A59D0" w:rsidP="00CE710E">
            <w:pPr>
              <w:rPr>
                <w:sz w:val="19"/>
                <w:szCs w:val="19"/>
              </w:rPr>
            </w:pPr>
          </w:p>
        </w:tc>
        <w:tc>
          <w:tcPr>
            <w:tcW w:w="1200" w:type="dxa"/>
            <w:vAlign w:val="center"/>
            <w:hideMark/>
          </w:tcPr>
          <w:p w14:paraId="2C0827AE" w14:textId="77777777" w:rsidR="003A59D0" w:rsidRDefault="003A59D0" w:rsidP="00CE710E">
            <w:pPr>
              <w:jc w:val="left"/>
              <w:rPr>
                <w:sz w:val="19"/>
                <w:szCs w:val="19"/>
              </w:rPr>
            </w:pPr>
            <w:r>
              <w:rPr>
                <w:sz w:val="19"/>
                <w:szCs w:val="19"/>
              </w:rPr>
              <w:t>Substantial</w:t>
            </w:r>
          </w:p>
        </w:tc>
      </w:tr>
    </w:tbl>
    <w:p w14:paraId="6AE3E953" w14:textId="77777777" w:rsidR="003A59D0" w:rsidRDefault="003A59D0" w:rsidP="003A59D0">
      <w:pPr>
        <w:sectPr w:rsidR="003A59D0" w:rsidSect="003A59D0">
          <w:footnotePr>
            <w:numFmt w:val="lowerLetter"/>
          </w:footnotePr>
          <w:pgSz w:w="16838" w:h="11906" w:orient="landscape"/>
          <w:pgMar w:top="1440" w:right="1440" w:bottom="1440" w:left="1440" w:header="709" w:footer="709" w:gutter="0"/>
          <w:cols w:space="708"/>
          <w:docGrid w:linePitch="360"/>
        </w:sectPr>
      </w:pPr>
    </w:p>
    <w:p w14:paraId="447B03F9" w14:textId="77777777" w:rsidR="003A59D0" w:rsidRDefault="003A59D0" w:rsidP="003A59D0">
      <w:pPr>
        <w:pStyle w:val="Heading3"/>
      </w:pPr>
      <w:bookmarkStart w:id="321" w:name="_Hlk96029461"/>
      <w:bookmarkStart w:id="322" w:name="_Hlk132809580"/>
      <w:r w:rsidRPr="00A229CC">
        <w:lastRenderedPageBreak/>
        <w:t>Discussion</w:t>
      </w:r>
    </w:p>
    <w:bookmarkEnd w:id="321"/>
    <w:p w14:paraId="3E5433CF" w14:textId="77777777" w:rsidR="003A59D0" w:rsidRDefault="003A59D0" w:rsidP="003A59D0">
      <w:pPr>
        <w:rPr>
          <w:lang w:eastAsia="en-AU"/>
        </w:rPr>
      </w:pPr>
      <w:r>
        <w:rPr>
          <w:lang w:eastAsia="en-AU"/>
        </w:rPr>
        <w:t>Salinity is a key determinant of habitat suitability in the Coorong and</w:t>
      </w:r>
      <w:r>
        <w:t xml:space="preserve"> is primarily a function of riverine inflows through barrages, seawater ingress and tidal movement. When barrage flows are low, more seawater enters the Murray Mouth and more salt is then transported to the Coorong. It is evident that environmental water is critical for maintaining appropriate salinity in the Coorong and maintaining suitable habitat, especially in the middle Coorong and South Lagoon.</w:t>
      </w:r>
      <w:r>
        <w:rPr>
          <w:lang w:eastAsia="en-AU"/>
        </w:rPr>
        <w:t xml:space="preserve"> </w:t>
      </w:r>
    </w:p>
    <w:p w14:paraId="3F54698F" w14:textId="0F50861F" w:rsidR="003A59D0" w:rsidRDefault="003A59D0" w:rsidP="003A59D0">
      <w:pPr>
        <w:rPr>
          <w:lang w:eastAsia="en-AU"/>
        </w:rPr>
      </w:pPr>
      <w:r>
        <w:rPr>
          <w:lang w:eastAsia="en-AU"/>
        </w:rPr>
        <w:t xml:space="preserve">The comparison of the overall modelled area of suitable habitat for </w:t>
      </w:r>
      <w:r>
        <w:rPr>
          <w:i/>
          <w:iCs/>
          <w:lang w:eastAsia="en-AU"/>
        </w:rPr>
        <w:t>R. tuberosa</w:t>
      </w:r>
      <w:r>
        <w:rPr>
          <w:lang w:eastAsia="en-AU"/>
        </w:rPr>
        <w:t>, based on the completion of a sexual reproduction life-cycle, indicated that without Commonwealth environmental water continuously between 2017–2023, there would have been a 47% reduction in habitat area suitable for sexual reproduction in 2023. The main reduction appears to be driven by the area suitable for successful flowering (</w:t>
      </w:r>
      <w:r w:rsidR="009C5B5E">
        <w:rPr>
          <w:lang w:eastAsia="en-AU"/>
        </w:rPr>
        <w:fldChar w:fldCharType="begin"/>
      </w:r>
      <w:r w:rsidR="009C5B5E">
        <w:rPr>
          <w:lang w:eastAsia="en-AU"/>
        </w:rPr>
        <w:instrText xml:space="preserve"> REF _Ref121408350 \h </w:instrText>
      </w:r>
      <w:r w:rsidR="009C5B5E">
        <w:rPr>
          <w:lang w:eastAsia="en-AU"/>
        </w:rPr>
      </w:r>
      <w:r w:rsidR="009C5B5E">
        <w:rPr>
          <w:lang w:eastAsia="en-AU"/>
        </w:rPr>
        <w:fldChar w:fldCharType="separate"/>
      </w:r>
      <w:r w:rsidR="00102828">
        <w:t xml:space="preserve">Figure </w:t>
      </w:r>
      <w:r w:rsidR="00102828">
        <w:rPr>
          <w:noProof/>
        </w:rPr>
        <w:t>39</w:t>
      </w:r>
      <w:r w:rsidR="009C5B5E">
        <w:rPr>
          <w:lang w:eastAsia="en-AU"/>
        </w:rPr>
        <w:fldChar w:fldCharType="end"/>
      </w:r>
      <w:r>
        <w:rPr>
          <w:lang w:eastAsia="en-AU"/>
        </w:rPr>
        <w:t xml:space="preserve">), since flowering has a lower tolerance to high salinities than other life-stages (Zhai </w:t>
      </w:r>
      <w:r w:rsidRPr="00223C48">
        <w:rPr>
          <w:i/>
          <w:iCs/>
          <w:lang w:eastAsia="en-AU"/>
        </w:rPr>
        <w:t>et al.</w:t>
      </w:r>
      <w:r>
        <w:rPr>
          <w:lang w:eastAsia="en-AU"/>
        </w:rPr>
        <w:t xml:space="preserve"> 2025). The habitat area suitable for asexual reproduction in the South Lagoon would also have reduced markedly without environmental water, primarily due to loss of quality habitat for seed germination and turion sprouting early in the life-cycle (</w:t>
      </w:r>
      <w:r w:rsidRPr="00CF0150">
        <w:fldChar w:fldCharType="begin"/>
      </w:r>
      <w:r w:rsidRPr="00CF0150">
        <w:instrText xml:space="preserve"> REF _Ref121484925 \h </w:instrText>
      </w:r>
      <w:r>
        <w:instrText xml:space="preserve"> \* MERGEFORMAT </w:instrText>
      </w:r>
      <w:r w:rsidRPr="00CF0150">
        <w:fldChar w:fldCharType="separate"/>
      </w:r>
      <w:r w:rsidR="00102828" w:rsidRPr="009C271D">
        <w:t xml:space="preserve">Figure </w:t>
      </w:r>
      <w:r w:rsidR="00102828">
        <w:t>40</w:t>
      </w:r>
      <w:r w:rsidRPr="00CF0150">
        <w:fldChar w:fldCharType="end"/>
      </w:r>
      <w:r>
        <w:rPr>
          <w:lang w:eastAsia="en-AU"/>
        </w:rPr>
        <w:t xml:space="preserve">). </w:t>
      </w:r>
      <w:bookmarkStart w:id="323" w:name="_Hlk163218788"/>
      <w:r w:rsidRPr="007614C8">
        <w:rPr>
          <w:lang w:eastAsia="en-AU"/>
        </w:rPr>
        <w:t xml:space="preserve">Although there would be an increase in habitat area for asexual reproduction in the North Lagoon without environmental water (due to higher salinity tolerances of turions, </w:t>
      </w:r>
      <w:r w:rsidRPr="007614C8">
        <w:rPr>
          <w:lang w:eastAsia="en-AU"/>
        </w:rPr>
        <w:fldChar w:fldCharType="begin"/>
      </w:r>
      <w:r w:rsidRPr="007614C8">
        <w:rPr>
          <w:lang w:eastAsia="en-AU"/>
        </w:rPr>
        <w:instrText xml:space="preserve"> REF _Ref121484925 \h  \* MERGEFORMAT </w:instrText>
      </w:r>
      <w:r w:rsidRPr="007614C8">
        <w:rPr>
          <w:lang w:eastAsia="en-AU"/>
        </w:rPr>
      </w:r>
      <w:r w:rsidRPr="007614C8">
        <w:rPr>
          <w:lang w:eastAsia="en-AU"/>
        </w:rPr>
        <w:fldChar w:fldCharType="separate"/>
      </w:r>
      <w:r w:rsidR="00102828" w:rsidRPr="009C271D">
        <w:t xml:space="preserve">Figure </w:t>
      </w:r>
      <w:r w:rsidR="00102828">
        <w:rPr>
          <w:noProof/>
        </w:rPr>
        <w:t>40</w:t>
      </w:r>
      <w:r w:rsidRPr="007614C8">
        <w:rPr>
          <w:lang w:eastAsia="en-AU"/>
        </w:rPr>
        <w:fldChar w:fldCharType="end"/>
      </w:r>
      <w:r w:rsidRPr="007614C8">
        <w:rPr>
          <w:lang w:eastAsia="en-AU"/>
        </w:rPr>
        <w:t xml:space="preserve">), </w:t>
      </w:r>
      <w:bookmarkEnd w:id="323"/>
      <w:r>
        <w:rPr>
          <w:lang w:eastAsia="en-AU"/>
        </w:rPr>
        <w:t xml:space="preserve">priority should be given to the South Lagoon, which has been the target area for </w:t>
      </w:r>
      <w:r>
        <w:rPr>
          <w:i/>
          <w:iCs/>
          <w:lang w:eastAsia="en-AU"/>
        </w:rPr>
        <w:t>R. tuberosa</w:t>
      </w:r>
      <w:r w:rsidRPr="00B30B2A">
        <w:rPr>
          <w:i/>
          <w:iCs/>
          <w:lang w:eastAsia="en-AU"/>
        </w:rPr>
        <w:t xml:space="preserve"> </w:t>
      </w:r>
      <w:r>
        <w:rPr>
          <w:lang w:eastAsia="en-AU"/>
        </w:rPr>
        <w:t>management or restoration.</w:t>
      </w:r>
    </w:p>
    <w:p w14:paraId="2462793A" w14:textId="77777777" w:rsidR="003A59D0" w:rsidRDefault="003A59D0" w:rsidP="003A59D0">
      <w:pPr>
        <w:rPr>
          <w:lang w:eastAsia="en-AU"/>
        </w:rPr>
      </w:pPr>
      <w:r>
        <w:rPr>
          <w:lang w:eastAsia="en-AU"/>
        </w:rPr>
        <w:t>Similar to sexual reproduction outcomes, habitat area suitable for both sexual and asexual reproductions (‘dual’) would have decreased by 25% (or 6.3 km</w:t>
      </w:r>
      <w:r w:rsidRPr="00327A2D">
        <w:rPr>
          <w:vertAlign w:val="superscript"/>
          <w:lang w:eastAsia="en-AU"/>
        </w:rPr>
        <w:t>2</w:t>
      </w:r>
      <w:r>
        <w:rPr>
          <w:lang w:eastAsia="en-AU"/>
        </w:rPr>
        <w:t xml:space="preserve">, HSI-weighted) if there was no environmental water delivery continuously between 2017–2023. Having habitat suitable for both sexual and asexual reproduction is likely beneficial for long-term resilience of </w:t>
      </w:r>
      <w:r>
        <w:rPr>
          <w:i/>
          <w:iCs/>
          <w:lang w:eastAsia="en-AU"/>
        </w:rPr>
        <w:t>R. tuberosa</w:t>
      </w:r>
      <w:r>
        <w:rPr>
          <w:lang w:eastAsia="en-AU"/>
        </w:rPr>
        <w:t xml:space="preserve"> populations and thus overall health of the Coorong for several reasons: 1) Sexual reproduction is crucial for maintaining genetic diversity; 2) Seeds produced are able to tolerate higher salinity conditions than turions through summer dormancy (Kim </w:t>
      </w:r>
      <w:r w:rsidRPr="00223C48">
        <w:rPr>
          <w:i/>
          <w:iCs/>
          <w:lang w:eastAsia="en-AU"/>
        </w:rPr>
        <w:t>et al.</w:t>
      </w:r>
      <w:r>
        <w:rPr>
          <w:lang w:eastAsia="en-AU"/>
        </w:rPr>
        <w:t xml:space="preserve"> 2013) making populations more resilient under extreme conditions; 3) Providing a variety of food source (both seeds and turions) for waterbirds; 4) Turion development may improve sediment quality (Waycott </w:t>
      </w:r>
      <w:r w:rsidRPr="00223C48">
        <w:rPr>
          <w:i/>
          <w:iCs/>
          <w:lang w:eastAsia="en-AU"/>
        </w:rPr>
        <w:t>et al.</w:t>
      </w:r>
      <w:r>
        <w:rPr>
          <w:lang w:eastAsia="en-AU"/>
        </w:rPr>
        <w:t xml:space="preserve"> 2022). Therefore overall, environmental water is critical for the long-term resilience of the </w:t>
      </w:r>
      <w:r>
        <w:rPr>
          <w:i/>
          <w:lang w:eastAsia="en-AU"/>
        </w:rPr>
        <w:t>R.</w:t>
      </w:r>
      <w:r>
        <w:rPr>
          <w:lang w:eastAsia="en-AU"/>
        </w:rPr>
        <w:t xml:space="preserve"> </w:t>
      </w:r>
      <w:r w:rsidRPr="00E36B90">
        <w:rPr>
          <w:i/>
          <w:lang w:eastAsia="en-AU"/>
        </w:rPr>
        <w:t xml:space="preserve">tuberosa </w:t>
      </w:r>
      <w:r>
        <w:rPr>
          <w:lang w:eastAsia="en-AU"/>
        </w:rPr>
        <w:t>population in the Coorong, especially in the middle of the Coorong and South Lagoon.</w:t>
      </w:r>
    </w:p>
    <w:p w14:paraId="70D17D95" w14:textId="6219D907" w:rsidR="003A59D0" w:rsidRPr="007614C8" w:rsidRDefault="003A59D0" w:rsidP="003A59D0">
      <w:pPr>
        <w:rPr>
          <w:color w:val="auto"/>
          <w:lang w:eastAsia="en-AU"/>
        </w:rPr>
      </w:pPr>
      <w:bookmarkStart w:id="324" w:name="_Hlk163816308"/>
      <w:r w:rsidRPr="007614C8">
        <w:rPr>
          <w:color w:val="auto"/>
          <w:lang w:eastAsia="en-AU"/>
        </w:rPr>
        <w:t>The benefit</w:t>
      </w:r>
      <w:r>
        <w:rPr>
          <w:color w:val="auto"/>
          <w:lang w:eastAsia="en-AU"/>
        </w:rPr>
        <w:t>s</w:t>
      </w:r>
      <w:r w:rsidRPr="007614C8">
        <w:rPr>
          <w:color w:val="auto"/>
          <w:lang w:eastAsia="en-AU"/>
        </w:rPr>
        <w:t xml:space="preserve"> of Commonwealth environmental water </w:t>
      </w:r>
      <w:r>
        <w:rPr>
          <w:color w:val="auto"/>
          <w:lang w:eastAsia="en-AU"/>
        </w:rPr>
        <w:t xml:space="preserve">for </w:t>
      </w:r>
      <w:r w:rsidRPr="00223C48">
        <w:rPr>
          <w:i/>
          <w:iCs/>
          <w:color w:val="auto"/>
          <w:lang w:eastAsia="en-AU"/>
        </w:rPr>
        <w:t>R. tuberosa</w:t>
      </w:r>
      <w:r>
        <w:rPr>
          <w:color w:val="auto"/>
          <w:lang w:eastAsia="en-AU"/>
        </w:rPr>
        <w:t xml:space="preserve"> </w:t>
      </w:r>
      <w:r w:rsidRPr="007614C8">
        <w:rPr>
          <w:color w:val="auto"/>
          <w:lang w:eastAsia="en-AU"/>
        </w:rPr>
        <w:t xml:space="preserve">in 2022 </w:t>
      </w:r>
      <w:r>
        <w:rPr>
          <w:color w:val="auto"/>
          <w:lang w:eastAsia="en-AU"/>
        </w:rPr>
        <w:t>and 2023</w:t>
      </w:r>
      <w:r w:rsidRPr="007614C8">
        <w:rPr>
          <w:color w:val="auto"/>
          <w:lang w:eastAsia="en-AU"/>
        </w:rPr>
        <w:t xml:space="preserve"> w</w:t>
      </w:r>
      <w:r>
        <w:rPr>
          <w:color w:val="auto"/>
          <w:lang w:eastAsia="en-AU"/>
        </w:rPr>
        <w:t>ere</w:t>
      </w:r>
      <w:r w:rsidRPr="007614C8">
        <w:rPr>
          <w:color w:val="auto"/>
          <w:lang w:eastAsia="en-AU"/>
        </w:rPr>
        <w:t xml:space="preserve"> </w:t>
      </w:r>
      <w:r>
        <w:rPr>
          <w:color w:val="auto"/>
          <w:lang w:eastAsia="en-AU"/>
        </w:rPr>
        <w:t xml:space="preserve">minor to </w:t>
      </w:r>
      <w:r w:rsidRPr="007614C8">
        <w:rPr>
          <w:color w:val="auto"/>
          <w:lang w:eastAsia="en-AU"/>
        </w:rPr>
        <w:t xml:space="preserve">negligible due to the naturally fresh conditions. Overall contribution of environmental water to </w:t>
      </w:r>
      <w:r w:rsidRPr="007614C8">
        <w:rPr>
          <w:i/>
          <w:iCs/>
          <w:color w:val="auto"/>
          <w:lang w:eastAsia="en-AU"/>
        </w:rPr>
        <w:t>R. tuberosa</w:t>
      </w:r>
      <w:r w:rsidRPr="007614C8">
        <w:rPr>
          <w:color w:val="auto"/>
          <w:lang w:eastAsia="en-AU"/>
        </w:rPr>
        <w:t xml:space="preserve"> habitat</w:t>
      </w:r>
      <w:r>
        <w:rPr>
          <w:color w:val="auto"/>
          <w:lang w:eastAsia="en-AU"/>
        </w:rPr>
        <w:t xml:space="preserve"> for asexual reproduction</w:t>
      </w:r>
      <w:r w:rsidRPr="007614C8">
        <w:rPr>
          <w:color w:val="auto"/>
          <w:lang w:eastAsia="en-AU"/>
        </w:rPr>
        <w:t xml:space="preserve"> was slightly negative (-</w:t>
      </w:r>
      <w:r>
        <w:rPr>
          <w:color w:val="auto"/>
          <w:lang w:eastAsia="en-AU"/>
        </w:rPr>
        <w:t>4</w:t>
      </w:r>
      <w:r w:rsidRPr="007614C8">
        <w:rPr>
          <w:color w:val="auto"/>
          <w:lang w:eastAsia="en-AU"/>
        </w:rPr>
        <w:t xml:space="preserve"> %) in 202</w:t>
      </w:r>
      <w:r>
        <w:rPr>
          <w:color w:val="auto"/>
          <w:lang w:eastAsia="en-AU"/>
        </w:rPr>
        <w:t>3</w:t>
      </w:r>
      <w:r w:rsidRPr="007614C8">
        <w:rPr>
          <w:color w:val="auto"/>
          <w:lang w:eastAsia="en-AU"/>
        </w:rPr>
        <w:t xml:space="preserve"> because salinity levels in the North Lagoon without environmental water were already close to the lower end </w:t>
      </w:r>
      <w:r w:rsidRPr="007614C8">
        <w:rPr>
          <w:i/>
          <w:iCs/>
          <w:color w:val="auto"/>
          <w:lang w:eastAsia="en-AU"/>
        </w:rPr>
        <w:t>of R. tuberosa</w:t>
      </w:r>
      <w:r w:rsidRPr="007614C8">
        <w:rPr>
          <w:color w:val="auto"/>
          <w:lang w:eastAsia="en-AU"/>
        </w:rPr>
        <w:t xml:space="preserve">’s tolerances during the adult growth and </w:t>
      </w:r>
      <w:r>
        <w:rPr>
          <w:color w:val="auto"/>
          <w:lang w:eastAsia="en-AU"/>
        </w:rPr>
        <w:t>reproductive</w:t>
      </w:r>
      <w:r w:rsidRPr="007614C8">
        <w:rPr>
          <w:color w:val="auto"/>
          <w:lang w:eastAsia="en-AU"/>
        </w:rPr>
        <w:t xml:space="preserve"> stages, and thus delivering additional freshwater would not have expanded </w:t>
      </w:r>
      <w:r w:rsidRPr="007614C8">
        <w:rPr>
          <w:i/>
          <w:iCs/>
          <w:color w:val="auto"/>
          <w:lang w:eastAsia="en-AU"/>
        </w:rPr>
        <w:t>R. tuberosa</w:t>
      </w:r>
      <w:r w:rsidRPr="007614C8">
        <w:rPr>
          <w:color w:val="auto"/>
          <w:lang w:eastAsia="en-AU"/>
        </w:rPr>
        <w:t xml:space="preserve"> habitat in the North Lagoon. </w:t>
      </w:r>
      <w:r>
        <w:rPr>
          <w:color w:val="auto"/>
          <w:lang w:eastAsia="en-AU"/>
        </w:rPr>
        <w:t xml:space="preserve">However, without </w:t>
      </w:r>
      <w:r w:rsidRPr="007614C8">
        <w:rPr>
          <w:color w:val="auto"/>
          <w:lang w:eastAsia="en-AU"/>
        </w:rPr>
        <w:t>Commonwealth</w:t>
      </w:r>
      <w:r>
        <w:rPr>
          <w:color w:val="auto"/>
          <w:lang w:eastAsia="en-AU"/>
        </w:rPr>
        <w:t xml:space="preserve"> environmental water in 2023, </w:t>
      </w:r>
      <w:r w:rsidRPr="007614C8">
        <w:rPr>
          <w:i/>
          <w:iCs/>
          <w:color w:val="auto"/>
          <w:lang w:eastAsia="en-AU"/>
        </w:rPr>
        <w:t>R</w:t>
      </w:r>
      <w:r>
        <w:rPr>
          <w:i/>
          <w:iCs/>
          <w:color w:val="auto"/>
          <w:lang w:eastAsia="en-AU"/>
        </w:rPr>
        <w:t>.</w:t>
      </w:r>
      <w:r w:rsidRPr="007614C8">
        <w:rPr>
          <w:i/>
          <w:iCs/>
          <w:color w:val="auto"/>
          <w:lang w:eastAsia="en-AU"/>
        </w:rPr>
        <w:t xml:space="preserve"> tuberosa</w:t>
      </w:r>
      <w:r w:rsidRPr="007614C8">
        <w:rPr>
          <w:color w:val="auto"/>
          <w:lang w:eastAsia="en-AU"/>
        </w:rPr>
        <w:t xml:space="preserve"> habitat </w:t>
      </w:r>
      <w:r>
        <w:rPr>
          <w:color w:val="auto"/>
          <w:lang w:eastAsia="en-AU"/>
        </w:rPr>
        <w:t>for sexual reproduction would suffer a small loss in both the North and South lagoons</w:t>
      </w:r>
      <w:r w:rsidRPr="007614C8">
        <w:rPr>
          <w:color w:val="auto"/>
          <w:lang w:eastAsia="en-AU"/>
        </w:rPr>
        <w:t>.</w:t>
      </w:r>
      <w:r w:rsidRPr="007614C8">
        <w:rPr>
          <w:color w:val="auto"/>
        </w:rPr>
        <w:t xml:space="preserve"> </w:t>
      </w:r>
      <w:r>
        <w:rPr>
          <w:color w:val="auto"/>
        </w:rPr>
        <w:t>Additionally</w:t>
      </w:r>
      <w:r w:rsidRPr="007614C8">
        <w:rPr>
          <w:color w:val="auto"/>
        </w:rPr>
        <w:t>, l</w:t>
      </w:r>
      <w:r w:rsidRPr="007614C8">
        <w:rPr>
          <w:color w:val="auto"/>
          <w:lang w:eastAsia="en-AU"/>
        </w:rPr>
        <w:t xml:space="preserve">ower salinity in the North Lagoon would favour </w:t>
      </w:r>
      <w:r w:rsidRPr="007614C8">
        <w:rPr>
          <w:i/>
          <w:iCs/>
          <w:color w:val="auto"/>
          <w:lang w:eastAsia="en-AU"/>
        </w:rPr>
        <w:t>R. megacarpa</w:t>
      </w:r>
      <w:r w:rsidRPr="007614C8">
        <w:rPr>
          <w:color w:val="auto"/>
          <w:lang w:eastAsia="en-AU"/>
        </w:rPr>
        <w:t xml:space="preserve"> and charophytes (Brock 1981), which were not assessed in this study, but would provide alternative habitat in the Coorong.</w:t>
      </w:r>
      <w:bookmarkEnd w:id="324"/>
    </w:p>
    <w:p w14:paraId="2FCBC354" w14:textId="77777777" w:rsidR="003A59D0" w:rsidRDefault="003A59D0" w:rsidP="003A59D0">
      <w:pPr>
        <w:rPr>
          <w:lang w:eastAsia="en-AU"/>
        </w:rPr>
      </w:pPr>
      <w:r>
        <w:rPr>
          <w:lang w:eastAsia="en-AU"/>
        </w:rPr>
        <w:t xml:space="preserve">The estuarine fish species that inhabit the Coorong vary in their tolerance to salinity with yelloweye mullet, congolli and smallmouth hardyhead able to tolerate more saline </w:t>
      </w:r>
      <w:r>
        <w:rPr>
          <w:lang w:eastAsia="en-AU"/>
        </w:rPr>
        <w:lastRenderedPageBreak/>
        <w:t xml:space="preserve">conditions (McNeil </w:t>
      </w:r>
      <w:r w:rsidRPr="00223C48">
        <w:rPr>
          <w:i/>
          <w:iCs/>
          <w:lang w:eastAsia="en-AU"/>
        </w:rPr>
        <w:t>et al.</w:t>
      </w:r>
      <w:r>
        <w:rPr>
          <w:lang w:eastAsia="en-AU"/>
        </w:rPr>
        <w:t xml:space="preserve"> 2013). Fish differ from </w:t>
      </w:r>
      <w:r>
        <w:rPr>
          <w:i/>
          <w:iCs/>
          <w:lang w:eastAsia="en-AU"/>
        </w:rPr>
        <w:t>R. tuberosa</w:t>
      </w:r>
      <w:r>
        <w:rPr>
          <w:lang w:eastAsia="en-AU"/>
        </w:rPr>
        <w:t xml:space="preserve"> in that they can move in response to changing salinity and habitat suitability. However, they can be constrained to larger spatial scales (i.e. lagoons) depending on the degree of connectivity e.g. between the North and South lagoons, between the South Lagoon and Salt Creek, and/or between the Coorong and the Southern Ocean. Therefore, it is generally considered advantageous to have a greater area of habitat with suitable water quality (e.g. salinity) and abundant food resources to support the maintenance of fish populations. Estuaries are important feeding, spawning, nursery and refuge grounds for many estuarine-dependent fish species (</w:t>
      </w:r>
      <w:r w:rsidRPr="00E748F4">
        <w:rPr>
          <w:lang w:eastAsia="en-AU"/>
        </w:rPr>
        <w:t xml:space="preserve">Bice </w:t>
      </w:r>
      <w:r w:rsidRPr="00223C48">
        <w:rPr>
          <w:i/>
          <w:iCs/>
          <w:lang w:eastAsia="en-AU"/>
        </w:rPr>
        <w:t>et al.</w:t>
      </w:r>
      <w:r w:rsidRPr="00E748F4">
        <w:rPr>
          <w:lang w:eastAsia="en-AU"/>
        </w:rPr>
        <w:t xml:space="preserve"> 2018). Without environmental water, fish habitat contracts quickly and significantly. Even after the high flow year in 2016-17, if there was no environmental water </w:t>
      </w:r>
      <w:r>
        <w:rPr>
          <w:lang w:eastAsia="en-AU"/>
        </w:rPr>
        <w:t xml:space="preserve">delivered </w:t>
      </w:r>
      <w:r w:rsidRPr="00E748F4">
        <w:rPr>
          <w:lang w:eastAsia="en-AU"/>
        </w:rPr>
        <w:t>in 2017-18, significant</w:t>
      </w:r>
      <w:r>
        <w:rPr>
          <w:lang w:eastAsia="en-AU"/>
        </w:rPr>
        <w:t xml:space="preserve"> habitat contraction would have occurred. This would have been particularly the case for mulloway and Tamar goby, which are less tolerant to high salinities and thus their area of suitable habitat would be most impacted by salinity increases. Even for the more salt-tolerant congolli and smallmouth hardyhead, the reduction in their suitable habitat areas would occur in 2017-18 without environmental water and a large area in the South Lagoon would have salinities exceeding their tolerance thresholds. Consecutive years of no Commonwealth environmental water from 2017-18 to 2023-24 would have reduced suitable fish habitat by 18</w:t>
      </w:r>
      <w:r>
        <w:rPr>
          <w:rFonts w:ascii="Calibri" w:hAnsi="Calibri" w:cs="Calibri"/>
          <w:lang w:eastAsia="en-AU"/>
        </w:rPr>
        <w:t>–</w:t>
      </w:r>
      <w:r>
        <w:rPr>
          <w:lang w:eastAsia="en-AU"/>
        </w:rPr>
        <w:t xml:space="preserve">52%. Without environmental water, it was evident that the greatest contraction in habitat occurred between 2017-18 and 2019-20, whereas the 2022-23 period showed the smallest contraction for all species, likely due to the already large unregulated freshwater flows to the Coorong. </w:t>
      </w:r>
    </w:p>
    <w:bookmarkEnd w:id="316"/>
    <w:p w14:paraId="37112D48" w14:textId="77777777" w:rsidR="003A59D0" w:rsidRDefault="003A59D0" w:rsidP="003A59D0">
      <w:pPr>
        <w:pStyle w:val="Heading3"/>
      </w:pPr>
      <w:r>
        <w:t>Management implications</w:t>
      </w:r>
    </w:p>
    <w:p w14:paraId="2902ECBD" w14:textId="77777777" w:rsidR="003A59D0" w:rsidRDefault="003A59D0" w:rsidP="003A59D0">
      <w:pPr>
        <w:rPr>
          <w:lang w:eastAsia="en-AU"/>
        </w:rPr>
      </w:pPr>
      <w:r>
        <w:rPr>
          <w:lang w:eastAsia="en-AU"/>
        </w:rPr>
        <w:t xml:space="preserve">Barrage flow is critical to maintain both sexual and asexual reproduction success of </w:t>
      </w:r>
      <w:r>
        <w:rPr>
          <w:i/>
          <w:iCs/>
          <w:lang w:eastAsia="en-AU"/>
        </w:rPr>
        <w:t xml:space="preserve">R. tuberosa </w:t>
      </w:r>
      <w:r w:rsidRPr="0090007E">
        <w:rPr>
          <w:lang w:eastAsia="en-AU"/>
        </w:rPr>
        <w:t xml:space="preserve">in the </w:t>
      </w:r>
      <w:r>
        <w:rPr>
          <w:lang w:eastAsia="en-AU"/>
        </w:rPr>
        <w:t xml:space="preserve">middle of </w:t>
      </w:r>
      <w:r w:rsidRPr="007614C8">
        <w:rPr>
          <w:lang w:eastAsia="en-AU"/>
        </w:rPr>
        <w:t>the Coorong and South Lagoon</w:t>
      </w:r>
      <w:r>
        <w:rPr>
          <w:lang w:eastAsia="en-AU"/>
        </w:rPr>
        <w:t xml:space="preserve">, and the benefit of environmental water is particularly prominent in drier years. The health of </w:t>
      </w:r>
      <w:r>
        <w:rPr>
          <w:i/>
          <w:iCs/>
          <w:lang w:eastAsia="en-AU"/>
        </w:rPr>
        <w:t>R. tuberosa</w:t>
      </w:r>
      <w:r>
        <w:rPr>
          <w:lang w:eastAsia="en-AU"/>
        </w:rPr>
        <w:t xml:space="preserve"> in the system, the extent of cover and the prevailing salinity would need to be considered, and environmental flow could be tailored to improve habitat suitability for </w:t>
      </w:r>
      <w:r w:rsidRPr="00D87964">
        <w:rPr>
          <w:i/>
          <w:iCs/>
          <w:lang w:eastAsia="en-AU"/>
        </w:rPr>
        <w:t>R. tuberosa</w:t>
      </w:r>
      <w:r>
        <w:rPr>
          <w:lang w:eastAsia="en-AU"/>
        </w:rPr>
        <w:t xml:space="preserve">. </w:t>
      </w:r>
      <w:r w:rsidRPr="00DE13C5">
        <w:rPr>
          <w:lang w:eastAsia="en-AU"/>
        </w:rPr>
        <w:t xml:space="preserve">The model </w:t>
      </w:r>
      <w:r>
        <w:rPr>
          <w:lang w:eastAsia="en-AU"/>
        </w:rPr>
        <w:t xml:space="preserve">provides a tool for scenario comparison </w:t>
      </w:r>
      <w:r w:rsidRPr="00DE13C5">
        <w:rPr>
          <w:lang w:eastAsia="en-AU"/>
        </w:rPr>
        <w:t xml:space="preserve">to optimise environmental water delivery through the barrages to maximise the area of suitable </w:t>
      </w:r>
      <w:r>
        <w:rPr>
          <w:i/>
          <w:iCs/>
          <w:lang w:eastAsia="en-AU"/>
        </w:rPr>
        <w:t>R. tuberosa</w:t>
      </w:r>
      <w:r w:rsidRPr="00DE13C5">
        <w:rPr>
          <w:lang w:eastAsia="en-AU"/>
        </w:rPr>
        <w:t xml:space="preserve"> habitat based on the </w:t>
      </w:r>
      <w:r>
        <w:rPr>
          <w:lang w:eastAsia="en-AU"/>
        </w:rPr>
        <w:t xml:space="preserve">available </w:t>
      </w:r>
      <w:r w:rsidRPr="00DE13C5">
        <w:rPr>
          <w:lang w:eastAsia="en-AU"/>
        </w:rPr>
        <w:t>volume of water</w:t>
      </w:r>
      <w:r>
        <w:rPr>
          <w:lang w:eastAsia="en-AU"/>
        </w:rPr>
        <w:t xml:space="preserve">. Water level maintenance is also necessary for </w:t>
      </w:r>
      <w:r>
        <w:rPr>
          <w:i/>
          <w:lang w:eastAsia="en-AU"/>
        </w:rPr>
        <w:t>R. tuberosa</w:t>
      </w:r>
      <w:r>
        <w:rPr>
          <w:lang w:eastAsia="en-AU"/>
        </w:rPr>
        <w:t xml:space="preserve"> to complete its life-cycle. If Coorong water level drops too quickly in early summer, then the plants can become stranded and desiccate. Environmental water delivered during spring and summer, can help maintain or reduce the rate of water level reduction in the South Lagoon and promote </w:t>
      </w:r>
      <w:r>
        <w:rPr>
          <w:i/>
          <w:lang w:eastAsia="en-AU"/>
        </w:rPr>
        <w:t>R. tuberosa</w:t>
      </w:r>
      <w:r>
        <w:rPr>
          <w:lang w:eastAsia="en-AU"/>
        </w:rPr>
        <w:t xml:space="preserve"> reproduction. A targeted investigation could determine the flow volumes required to maintain water level in the South Lagoon to ensure plants can complete their life cycle. This investigation could use a combination of historical data, modelled flow scenarios, and/or a field trial. The rate at which the South Lagoon would drain is dependent upon the evaporation rate and the size of the Murray Mouth.</w:t>
      </w:r>
    </w:p>
    <w:p w14:paraId="7040D05F" w14:textId="46D52313" w:rsidR="003A59D0" w:rsidRDefault="003A59D0" w:rsidP="003A59D0">
      <w:pPr>
        <w:rPr>
          <w:lang w:eastAsia="en-AU"/>
        </w:rPr>
      </w:pPr>
      <w:r>
        <w:rPr>
          <w:lang w:eastAsia="en-AU"/>
        </w:rPr>
        <w:t xml:space="preserve">The area of suitable estuarine fish habitat is highly sensitive to river flow via the barrages. </w:t>
      </w:r>
      <w:r>
        <w:t xml:space="preserve">Environmental flows lead to reduced salinities in the Coorong and an expansion of suitable fish habitat area. Without environmental flows, the suitable habitat contracts for a range of fish species (e.g. mulloway, black bream, Tamar goby, greenback flounder, yelloweye mullet and congolli). Smallmouth hardyhead are more salt-tolerant and have </w:t>
      </w:r>
      <w:r>
        <w:lastRenderedPageBreak/>
        <w:t xml:space="preserve">been the most abundant prey fish species in the southern Coorong (Ye </w:t>
      </w:r>
      <w:r w:rsidRPr="004E189E">
        <w:rPr>
          <w:i/>
          <w:iCs/>
        </w:rPr>
        <w:t>et al.</w:t>
      </w:r>
      <w:r>
        <w:t xml:space="preserve"> 2020b). Their habitat also contracts with no environmental water but the major impact on habitat suitability for this species (mainly reflected in the South Lagoon) took about one year longer to manifest than the other species. To maintain fish habitat for the range of estuarine species, environmental flows are essential to support barrage releases every year, particularly during spring and summer to enhance spawning/nursery habitat suitability and food availability. Just one year (e.g. 2017-18</w:t>
      </w:r>
      <w:r w:rsidR="00BB797C">
        <w:t xml:space="preserve"> and 2019-20</w:t>
      </w:r>
      <w:r>
        <w:t>) without environmental flows would have reduced mulloway habitat by 22%.</w:t>
      </w:r>
    </w:p>
    <w:p w14:paraId="0186B1D2" w14:textId="77777777" w:rsidR="003A59D0" w:rsidRDefault="003A59D0" w:rsidP="003A59D0">
      <w:pPr>
        <w:pStyle w:val="Heading3"/>
      </w:pPr>
      <w:r w:rsidRPr="00A229CC">
        <w:t>Conclusion</w:t>
      </w:r>
      <w:r>
        <w:t xml:space="preserve"> </w:t>
      </w:r>
    </w:p>
    <w:bookmarkEnd w:id="322"/>
    <w:p w14:paraId="575AAEBF" w14:textId="5EE7A47E" w:rsidR="00134F05" w:rsidRDefault="003A59D0" w:rsidP="003A59D0">
      <w:r w:rsidRPr="00DD7599">
        <w:t xml:space="preserve">Environmental water </w:t>
      </w:r>
      <w:r>
        <w:t>wa</w:t>
      </w:r>
      <w:r w:rsidRPr="00DD7599">
        <w:t>s critical in lowering salinity in the Coorong and maintaining estuarine habitat to support ecological functions and biodiversity</w:t>
      </w:r>
      <w:r>
        <w:t xml:space="preserve"> during the dry years of 2018–2021, whilst the impacts in 2022 and 2023 were negligible due to the small portion of environmental water to the total flow. Cumulatively, t</w:t>
      </w:r>
      <w:r w:rsidRPr="00DD7599">
        <w:t xml:space="preserve">he overall area of </w:t>
      </w:r>
      <w:r>
        <w:rPr>
          <w:i/>
        </w:rPr>
        <w:t>R. tuberosa</w:t>
      </w:r>
      <w:r w:rsidRPr="00DD7599">
        <w:t xml:space="preserve"> habitat </w:t>
      </w:r>
      <w:r>
        <w:t xml:space="preserve">for sexual reproduction </w:t>
      </w:r>
      <w:r w:rsidRPr="00DD7599">
        <w:t xml:space="preserve">showed a general decrease of up to </w:t>
      </w:r>
      <w:r>
        <w:t>47</w:t>
      </w:r>
      <w:r w:rsidRPr="00DD7599">
        <w:t>% in 202</w:t>
      </w:r>
      <w:r>
        <w:t>3</w:t>
      </w:r>
      <w:r w:rsidRPr="00DD7599">
        <w:t xml:space="preserve"> </w:t>
      </w:r>
      <w:r>
        <w:t>if there was no Commonwealth environmental water delivery from July 2017–December 2023</w:t>
      </w:r>
      <w:r w:rsidRPr="00DD7599">
        <w:t>.</w:t>
      </w:r>
      <w:r>
        <w:t xml:space="preserve"> Similarly, the overall habitat area for</w:t>
      </w:r>
      <w:r w:rsidRPr="006F56CC">
        <w:rPr>
          <w:i/>
          <w:iCs/>
        </w:rPr>
        <w:t xml:space="preserve"> </w:t>
      </w:r>
      <w:r>
        <w:rPr>
          <w:i/>
          <w:iCs/>
        </w:rPr>
        <w:t>R. tuberosa</w:t>
      </w:r>
      <w:r>
        <w:t xml:space="preserve"> asexual reproduction also decreased significantly in the middle Coorong and South Lagoon if there were no environmental water since July 2017. Annual r</w:t>
      </w:r>
      <w:r w:rsidRPr="00DD7599">
        <w:t>eduction</w:t>
      </w:r>
      <w:r>
        <w:t>s</w:t>
      </w:r>
      <w:r w:rsidRPr="00DD7599">
        <w:t xml:space="preserve"> of ~</w:t>
      </w:r>
      <w:r>
        <w:t>0.2</w:t>
      </w:r>
      <w:r w:rsidRPr="003C6BFC">
        <w:t>–</w:t>
      </w:r>
      <w:r>
        <w:t>22</w:t>
      </w:r>
      <w:r w:rsidRPr="00DD7599">
        <w:t>%</w:t>
      </w:r>
      <w:r>
        <w:t xml:space="preserve"> in area of </w:t>
      </w:r>
      <w:r w:rsidRPr="00DD7599">
        <w:t xml:space="preserve">fish habitat were predicted </w:t>
      </w:r>
      <w:r>
        <w:t>for each year if Commonwealth environmental water was not delivered between 2017–2024</w:t>
      </w:r>
      <w:r w:rsidRPr="00DD7599">
        <w:t>, and the reduction area focused on the middle and south Coorong. Reduction</w:t>
      </w:r>
      <w:r>
        <w:t>s</w:t>
      </w:r>
      <w:r w:rsidRPr="00DD7599">
        <w:t xml:space="preserve"> of </w:t>
      </w:r>
      <w:bookmarkStart w:id="325" w:name="_Hlk125799228"/>
      <w:r>
        <w:t>18</w:t>
      </w:r>
      <w:r>
        <w:rPr>
          <w:rFonts w:ascii="Calibri" w:hAnsi="Calibri" w:cs="Calibri"/>
        </w:rPr>
        <w:t>–</w:t>
      </w:r>
      <w:bookmarkEnd w:id="325"/>
      <w:r>
        <w:t xml:space="preserve">52% </w:t>
      </w:r>
      <w:r w:rsidRPr="00DD7599">
        <w:t xml:space="preserve">in the habitat area for </w:t>
      </w:r>
      <w:r>
        <w:t xml:space="preserve">key </w:t>
      </w:r>
      <w:r w:rsidRPr="00DD7599">
        <w:t xml:space="preserve">fish species were predicted in the Coorong if there </w:t>
      </w:r>
      <w:r>
        <w:t xml:space="preserve">was </w:t>
      </w:r>
      <w:r w:rsidRPr="00DD7599">
        <w:t xml:space="preserve">no </w:t>
      </w:r>
      <w:r>
        <w:t xml:space="preserve">Commonwealth environmental water </w:t>
      </w:r>
      <w:r w:rsidRPr="00DD7599">
        <w:t xml:space="preserve">for </w:t>
      </w:r>
      <w:r>
        <w:t xml:space="preserve">seven </w:t>
      </w:r>
      <w:r w:rsidRPr="00DD7599">
        <w:t xml:space="preserve">years continuously since </w:t>
      </w:r>
      <w:r>
        <w:t xml:space="preserve">July </w:t>
      </w:r>
      <w:r w:rsidRPr="00DD7599">
        <w:t>2017. Environmental flow deliver</w:t>
      </w:r>
      <w:r>
        <w:t>y</w:t>
      </w:r>
      <w:r w:rsidRPr="00DD7599">
        <w:t xml:space="preserve"> during periods when there would otherwise be negligible water exchange between the Lower Lakes and Coorong is critical for maintaining the connectivity between freshwater and marine environment</w:t>
      </w:r>
      <w:r>
        <w:t>s</w:t>
      </w:r>
      <w:r w:rsidRPr="00DD7599">
        <w:t xml:space="preserve"> and promoting fresher conditions in the Coorong with more favourable habitat for estuarine fish and plants.</w:t>
      </w:r>
      <w:bookmarkEnd w:id="288"/>
    </w:p>
    <w:p w14:paraId="7FC467B3" w14:textId="77777777" w:rsidR="00134F05" w:rsidRDefault="00134F05">
      <w:pPr>
        <w:spacing w:before="0" w:after="160" w:line="259" w:lineRule="auto"/>
        <w:jc w:val="left"/>
      </w:pPr>
      <w:r>
        <w:br w:type="page"/>
      </w:r>
    </w:p>
    <w:p w14:paraId="78A8821A" w14:textId="77777777" w:rsidR="00134F05" w:rsidRPr="002F3182" w:rsidRDefault="00134F05" w:rsidP="00134F05">
      <w:pPr>
        <w:pStyle w:val="Heading2"/>
      </w:pPr>
      <w:bookmarkStart w:id="326" w:name="_Ref50026205"/>
      <w:bookmarkStart w:id="327" w:name="_Toc190157930"/>
      <w:bookmarkStart w:id="328" w:name="_Toc200467863"/>
      <w:r w:rsidRPr="002F3182">
        <w:lastRenderedPageBreak/>
        <w:t>Littoral Vegetation Diversity and Productivity</w:t>
      </w:r>
      <w:bookmarkEnd w:id="326"/>
      <w:bookmarkEnd w:id="327"/>
      <w:bookmarkEnd w:id="328"/>
    </w:p>
    <w:p w14:paraId="739412AF" w14:textId="77777777" w:rsidR="00134F05" w:rsidRPr="00E35C12" w:rsidRDefault="00134F05" w:rsidP="00134F05">
      <w:pPr>
        <w:pStyle w:val="Heading3"/>
      </w:pPr>
      <w:r w:rsidRPr="00E35C12">
        <w:t>Background</w:t>
      </w:r>
    </w:p>
    <w:p w14:paraId="129DAB81" w14:textId="77777777" w:rsidR="00134F05" w:rsidRDefault="00134F05" w:rsidP="00134F05">
      <w:r>
        <w:t xml:space="preserve">Littoral (streambank) vegetation is an important component of the biota of riverine ecosystems. It is a key primary producer for both the riverine and terrestrial ecosystem (e.g. Roberts and Ganf 1986; Froend and McComb 1994), can improve water quality (e.g. Li </w:t>
      </w:r>
      <w:r w:rsidRPr="00773B4E">
        <w:rPr>
          <w:i/>
          <w:iCs/>
        </w:rPr>
        <w:t>et al.</w:t>
      </w:r>
      <w:r>
        <w:t xml:space="preserve"> 2010; Borin and Salvato 2012), oxygenate the sediment and water column (e.g. Blom </w:t>
      </w:r>
      <w:r w:rsidRPr="00773B4E">
        <w:rPr>
          <w:i/>
          <w:iCs/>
        </w:rPr>
        <w:t>et al.</w:t>
      </w:r>
      <w:r>
        <w:t xml:space="preserve"> 1990; Sorrell and Hawes 2010; Dickopp </w:t>
      </w:r>
      <w:r w:rsidRPr="00773B4E">
        <w:rPr>
          <w:i/>
          <w:iCs/>
        </w:rPr>
        <w:t>et al.</w:t>
      </w:r>
      <w:r>
        <w:t xml:space="preserve"> 2011), provide habitat for water birds (e.g. Jansen and Robertson 2001; Kapa and Clarkson 2009) and invertebrates (e.g. Papas 2007; Walker </w:t>
      </w:r>
      <w:r w:rsidRPr="00773B4E">
        <w:rPr>
          <w:i/>
          <w:iCs/>
        </w:rPr>
        <w:t>et al.</w:t>
      </w:r>
      <w:r>
        <w:t xml:space="preserve"> 2013) and stabilise banks (e.g. Abernethy and Rutherfurd 1998). Littoral zones are also hot spots for biodiversity because they contain a specialised group of species adapted to wetting and drying not found in aquatic or terrestrial systems and therefore, increase the species pool at the landscape scale (Sabo </w:t>
      </w:r>
      <w:r w:rsidRPr="00773B4E">
        <w:rPr>
          <w:i/>
          <w:iCs/>
        </w:rPr>
        <w:t>et al.</w:t>
      </w:r>
      <w:r>
        <w:t xml:space="preserve"> 2005).</w:t>
      </w:r>
    </w:p>
    <w:p w14:paraId="45C924F1" w14:textId="71FC7DDA" w:rsidR="00134F05" w:rsidRDefault="00134F05" w:rsidP="00134F05">
      <w:r w:rsidRPr="00377EFC">
        <w:t>Littoral</w:t>
      </w:r>
      <w:r>
        <w:t xml:space="preserve"> vegetation responds rapidly to changes in water level (e.g. Nicol </w:t>
      </w:r>
      <w:r w:rsidRPr="00316835">
        <w:rPr>
          <w:i/>
          <w:iCs/>
        </w:rPr>
        <w:t>et al.</w:t>
      </w:r>
      <w:r>
        <w:t xml:space="preserve"> 2018a), as</w:t>
      </w:r>
      <w:r w:rsidRPr="00316835">
        <w:t xml:space="preserve"> </w:t>
      </w:r>
      <w:r>
        <w:t>inundation changes the physicochemical environment and acts as an environmental sieve (</w:t>
      </w:r>
      <w:r w:rsidRPr="00B66097">
        <w:rPr>
          <w:i/>
          <w:iCs/>
        </w:rPr>
        <w:t>sensu</w:t>
      </w:r>
      <w:r>
        <w:t xml:space="preserve"> van der Valk 1981) producing conditions that are hostile to some species but favourable to others (e.g. Nicol </w:t>
      </w:r>
      <w:r w:rsidRPr="00B66097">
        <w:rPr>
          <w:i/>
          <w:iCs/>
        </w:rPr>
        <w:t>et al.</w:t>
      </w:r>
      <w:r>
        <w:t xml:space="preserve"> 2003). </w:t>
      </w:r>
      <w:r w:rsidRPr="00316835">
        <w:t>In riparian zones</w:t>
      </w:r>
      <w:r>
        <w:t>,</w:t>
      </w:r>
      <w:r w:rsidRPr="00316835">
        <w:t xml:space="preserve"> inundation often acts as disturbance</w:t>
      </w:r>
      <w:r>
        <w:t>,</w:t>
      </w:r>
      <w:r w:rsidRPr="00316835">
        <w:t xml:space="preserve"> </w:t>
      </w:r>
      <w:r>
        <w:t xml:space="preserve">removing the existing vegetation and providing an environment almost free of competition with high soil moisture </w:t>
      </w:r>
      <w:r w:rsidRPr="00316835">
        <w:t>(</w:t>
      </w:r>
      <w:r>
        <w:t xml:space="preserve">e.g. </w:t>
      </w:r>
      <w:r w:rsidRPr="009D0EF6">
        <w:t>Pettit and Froend 200</w:t>
      </w:r>
      <w:r>
        <w:t xml:space="preserve">1; </w:t>
      </w:r>
      <w:r w:rsidRPr="00316835">
        <w:t xml:space="preserve">Bagstad </w:t>
      </w:r>
      <w:r w:rsidRPr="00316835">
        <w:rPr>
          <w:i/>
          <w:iCs/>
        </w:rPr>
        <w:t>et al.</w:t>
      </w:r>
      <w:r w:rsidRPr="00316835">
        <w:t xml:space="preserve"> 2005</w:t>
      </w:r>
      <w:r>
        <w:t>;</w:t>
      </w:r>
      <w:r w:rsidRPr="00316835">
        <w:t xml:space="preserve"> Beauchamp and Stromberg 2008)</w:t>
      </w:r>
      <w:r>
        <w:t>. Due to the unpredictable nature of flooding regimes in arid Australian systems</w:t>
      </w:r>
      <w:r w:rsidRPr="00FC2993">
        <w:t xml:space="preserve"> (Puckridge </w:t>
      </w:r>
      <w:r w:rsidRPr="00FC2993">
        <w:rPr>
          <w:i/>
          <w:iCs/>
        </w:rPr>
        <w:t>et al.</w:t>
      </w:r>
      <w:r w:rsidRPr="00FC2993">
        <w:t xml:space="preserve"> 1998</w:t>
      </w:r>
      <w:r w:rsidR="00A21A7E">
        <w:t>,</w:t>
      </w:r>
      <w:r w:rsidRPr="00FC2993">
        <w:t xml:space="preserve"> 2000)</w:t>
      </w:r>
      <w:r>
        <w:t>, many littoral species are short-lived annuals that are adapted to take advantage of these brief periods of favourable conditions. They germinate as water levels recede, complete their life cycle whist soil moisture is high, and competition is low and replenish the seed bank (e.g. Nicol 2004; Capon 2007). These species persist in the soil seed bank whilst conditions are unfavourable and are examples of Grime’s (1979) r-selected species. Many species have more in common with desert annuals than aquatic species (e.g. Nicol 2004; Capon 2007). Emergent and amphibious species (</w:t>
      </w:r>
      <w:r w:rsidRPr="00FC2993">
        <w:rPr>
          <w:i/>
          <w:iCs/>
        </w:rPr>
        <w:t>sensu</w:t>
      </w:r>
      <w:r>
        <w:t xml:space="preserve"> Brock and Casanova 1997; Casanova 2011) are also present and are typically perennial taxa </w:t>
      </w:r>
      <w:r w:rsidRPr="00FC2993">
        <w:t xml:space="preserve">(Cunningham </w:t>
      </w:r>
      <w:r w:rsidRPr="00FC2993">
        <w:rPr>
          <w:i/>
          <w:iCs/>
        </w:rPr>
        <w:t>et al.</w:t>
      </w:r>
      <w:r w:rsidRPr="00FC2993">
        <w:t xml:space="preserve"> 1992)</w:t>
      </w:r>
      <w:r>
        <w:t xml:space="preserve"> adapted to persist or respond to inundation and exposure. These species have a requirement of variable water levels to establish and/or reproduce (e.g. Brock and Casanova 1997; Casanova 2011; Nicol </w:t>
      </w:r>
      <w:r w:rsidRPr="0043622D">
        <w:rPr>
          <w:i/>
          <w:iCs/>
        </w:rPr>
        <w:t>et al.</w:t>
      </w:r>
      <w:r>
        <w:t xml:space="preserve"> 2018b). </w:t>
      </w:r>
    </w:p>
    <w:p w14:paraId="509B0A6A" w14:textId="07AEBD32" w:rsidR="00134F05" w:rsidRDefault="00134F05" w:rsidP="00134F05">
      <w:r>
        <w:t xml:space="preserve">Management of water levels in the LMR has typically focussed on maintaining stable water levels in lower weir pools, which can result in small increases in flow causing large water level rises in tailwaters immediately downstream of weirs (Maheshwari </w:t>
      </w:r>
      <w:r w:rsidRPr="005877FB">
        <w:rPr>
          <w:i/>
          <w:iCs/>
        </w:rPr>
        <w:t>et al.</w:t>
      </w:r>
      <w:r>
        <w:t xml:space="preserve"> 1995). Therefore, tailwaters represent areas where flood dependent and amphibious vegetation can persist, in the absence of high flows, over a wider range of the elevation gradient (Blanch </w:t>
      </w:r>
      <w:r w:rsidRPr="0043622D">
        <w:rPr>
          <w:i/>
          <w:iCs/>
        </w:rPr>
        <w:t>et al</w:t>
      </w:r>
      <w:r>
        <w:t>. 1999</w:t>
      </w:r>
      <w:r w:rsidR="00A21A7E">
        <w:t xml:space="preserve">, </w:t>
      </w:r>
      <w:r>
        <w:t xml:space="preserve">2000). This makes tailwaters an ideal location to assess the influence of Commonwealth environmental water as the volumes available for delivery will have a significant impact on water levels in these areas. The response of the vegetation along the elevation gradient in tailwaters can be exploited to evaluate the benefit of Commonwealth environmental water. </w:t>
      </w:r>
    </w:p>
    <w:p w14:paraId="66EB6EAE" w14:textId="3EC916FE" w:rsidR="00134F05" w:rsidRDefault="00134F05" w:rsidP="00134F05">
      <w:r>
        <w:t xml:space="preserve">Littoral vegetation monitoring was undertaken in the LMR during 2019-20, 2020-21 and 2023-24. The first two years were characterised as low flow years (maximum flow to South Australia &lt;18,000 ML/d). In 2023-24, flow discharge was higher (up to bankfull level in </w:t>
      </w:r>
      <w:r>
        <w:lastRenderedPageBreak/>
        <w:t xml:space="preserve">spring) during the first eight months but decreased to &lt;8,000 ML/d after March, enabling the monitoring to be undertaken in early winter. Vegetation </w:t>
      </w:r>
      <w:r w:rsidRPr="00EB529A">
        <w:t xml:space="preserve">monitoring was not undertaken in </w:t>
      </w:r>
      <w:r>
        <w:t xml:space="preserve">2021-22 and </w:t>
      </w:r>
      <w:r w:rsidRPr="00EB529A">
        <w:t xml:space="preserve">2022-23 </w:t>
      </w:r>
      <w:r>
        <w:t>d</w:t>
      </w:r>
      <w:r w:rsidRPr="00EB529A">
        <w:t>ue to sustained</w:t>
      </w:r>
      <w:r>
        <w:t xml:space="preserve"> high flows</w:t>
      </w:r>
      <w:r w:rsidRPr="00EB529A">
        <w:t xml:space="preserve"> </w:t>
      </w:r>
      <w:r>
        <w:t>and</w:t>
      </w:r>
      <w:r w:rsidRPr="00EB529A">
        <w:t xml:space="preserve"> water levels</w:t>
      </w:r>
      <w:r>
        <w:t>.</w:t>
      </w:r>
    </w:p>
    <w:p w14:paraId="7101F1CF" w14:textId="77777777" w:rsidR="00134F05" w:rsidRPr="000D552E" w:rsidRDefault="00134F05" w:rsidP="00134F05">
      <w:r>
        <w:t>The aim of this study was to investigate the response of littoral vegetation to Commonwealth environmental water delivery by testing the hypotheses in the following section. This will be undertaken by comparing species composition and biomass between areas inundated and not inundated by environmental water delivered in spring and summer.</w:t>
      </w:r>
      <w:r w:rsidRPr="00C268C7">
        <w:rPr>
          <w:szCs w:val="21"/>
        </w:rPr>
        <w:t xml:space="preserve"> </w:t>
      </w:r>
    </w:p>
    <w:p w14:paraId="72A681EA" w14:textId="77777777" w:rsidR="00134F05" w:rsidRPr="005708C8" w:rsidRDefault="00134F05" w:rsidP="00134F05">
      <w:pPr>
        <w:rPr>
          <w:i/>
          <w:u w:val="single"/>
        </w:rPr>
      </w:pPr>
      <w:r w:rsidRPr="005708C8">
        <w:rPr>
          <w:i/>
          <w:u w:val="single"/>
        </w:rPr>
        <w:t>Major hypotheses</w:t>
      </w:r>
    </w:p>
    <w:p w14:paraId="78D2E79D" w14:textId="77777777" w:rsidR="00134F05" w:rsidRDefault="00134F05" w:rsidP="00737BA1">
      <w:pPr>
        <w:pStyle w:val="ListParagraph"/>
        <w:numPr>
          <w:ilvl w:val="0"/>
          <w:numId w:val="45"/>
        </w:numPr>
      </w:pPr>
      <w:r w:rsidRPr="00115B0F">
        <w:t>Increases in flow will result in increased water level</w:t>
      </w:r>
      <w:r>
        <w:t xml:space="preserve"> variability</w:t>
      </w:r>
      <w:r w:rsidRPr="00115B0F">
        <w:t xml:space="preserve"> in the littoral zone that will facilitate the recruitment of floodplain and amphibious understorey species and in turn increase biological and functional diversity of the littoral zone plant community.</w:t>
      </w:r>
    </w:p>
    <w:p w14:paraId="4E0C6ABE" w14:textId="77777777" w:rsidR="00134F05" w:rsidRPr="00115B0F" w:rsidRDefault="00134F05" w:rsidP="00737BA1">
      <w:pPr>
        <w:pStyle w:val="ListParagraph"/>
        <w:numPr>
          <w:ilvl w:val="0"/>
          <w:numId w:val="45"/>
        </w:numPr>
      </w:pPr>
      <w:r w:rsidRPr="00115B0F">
        <w:t>The increase in water level</w:t>
      </w:r>
      <w:r>
        <w:t xml:space="preserve"> variability</w:t>
      </w:r>
      <w:r w:rsidRPr="00115B0F">
        <w:t xml:space="preserve"> due to increases in flow will result in increased productivity of littoral vegetation compared to </w:t>
      </w:r>
      <w:r>
        <w:t xml:space="preserve">non-inundated </w:t>
      </w:r>
      <w:r w:rsidRPr="00115B0F">
        <w:t>areas.</w:t>
      </w:r>
    </w:p>
    <w:p w14:paraId="4D67ECD7" w14:textId="77777777" w:rsidR="00134F05" w:rsidRPr="005708C8" w:rsidRDefault="00134F05" w:rsidP="00134F05">
      <w:pPr>
        <w:pStyle w:val="Heading3"/>
      </w:pPr>
      <w:r w:rsidRPr="005708C8">
        <w:t>Methods</w:t>
      </w:r>
    </w:p>
    <w:p w14:paraId="26F5CA93" w14:textId="77777777" w:rsidR="00134F05" w:rsidRPr="00E35C12" w:rsidRDefault="00134F05" w:rsidP="00134F05">
      <w:pPr>
        <w:rPr>
          <w:i/>
          <w:u w:val="single"/>
        </w:rPr>
      </w:pPr>
      <w:r>
        <w:rPr>
          <w:i/>
          <w:u w:val="single"/>
        </w:rPr>
        <w:t>Study sites and hydrology</w:t>
      </w:r>
    </w:p>
    <w:p w14:paraId="3E693468" w14:textId="47122DBD" w:rsidR="00134F05" w:rsidRDefault="00134F05" w:rsidP="00134F05">
      <w:pPr>
        <w:rPr>
          <w:iCs/>
        </w:rPr>
      </w:pPr>
      <w:r>
        <w:rPr>
          <w:iCs/>
        </w:rPr>
        <w:t>Vegetation surveys were undertaken on the banks of the LMR in weir pool tailwaters downstream of Lock 1, Lock 4 and Lock 6 (referred to herein as reaches) to correspond with the locations of other indicators (</w:t>
      </w:r>
      <w:r w:rsidR="000325B1">
        <w:rPr>
          <w:iCs/>
          <w:highlight w:val="yellow"/>
        </w:rPr>
        <w:fldChar w:fldCharType="begin"/>
      </w:r>
      <w:r w:rsidR="000325B1">
        <w:rPr>
          <w:iCs/>
        </w:rPr>
        <w:instrText xml:space="preserve"> REF _Ref469926522 \h </w:instrText>
      </w:r>
      <w:r w:rsidR="000325B1">
        <w:rPr>
          <w:iCs/>
          <w:highlight w:val="yellow"/>
        </w:rPr>
      </w:r>
      <w:r w:rsidR="000325B1">
        <w:rPr>
          <w:iCs/>
          <w:highlight w:val="yellow"/>
        </w:rPr>
        <w:fldChar w:fldCharType="separate"/>
      </w:r>
      <w:r w:rsidR="00102828">
        <w:t xml:space="preserve">Figure </w:t>
      </w:r>
      <w:r w:rsidR="00102828">
        <w:rPr>
          <w:noProof/>
        </w:rPr>
        <w:t>1</w:t>
      </w:r>
      <w:r w:rsidR="000325B1">
        <w:rPr>
          <w:iCs/>
          <w:highlight w:val="yellow"/>
        </w:rPr>
        <w:fldChar w:fldCharType="end"/>
      </w:r>
      <w:r>
        <w:rPr>
          <w:iCs/>
        </w:rPr>
        <w:t xml:space="preserve">). </w:t>
      </w:r>
    </w:p>
    <w:p w14:paraId="650C4CCD" w14:textId="1C46161B" w:rsidR="00134F05" w:rsidRDefault="00134F05" w:rsidP="00134F05">
      <w:pPr>
        <w:rPr>
          <w:iCs/>
        </w:rPr>
      </w:pPr>
      <w:r>
        <w:rPr>
          <w:iCs/>
        </w:rPr>
        <w:t xml:space="preserve">The 2023-24 flow pulse (peak 52,618 ML/d) resulted in water level increases of approximately 2.6, 3.0 and 2.4 m </w:t>
      </w:r>
      <w:r w:rsidR="006A51BA">
        <w:rPr>
          <w:iCs/>
        </w:rPr>
        <w:t>above normal pool level</w:t>
      </w:r>
      <w:r w:rsidR="005F65E3">
        <w:rPr>
          <w:iCs/>
        </w:rPr>
        <w:t xml:space="preserve"> (at 5,000 ML/d QSA)</w:t>
      </w:r>
      <w:r w:rsidR="006A51BA">
        <w:rPr>
          <w:iCs/>
        </w:rPr>
        <w:t xml:space="preserve"> in </w:t>
      </w:r>
      <w:r>
        <w:rPr>
          <w:iCs/>
        </w:rPr>
        <w:t xml:space="preserve">the tailwater reaches downstream of Lock 6, 4 and 1, </w:t>
      </w:r>
      <w:r w:rsidRPr="000325B1">
        <w:rPr>
          <w:iCs/>
        </w:rPr>
        <w:t>respectively (</w:t>
      </w:r>
      <w:r w:rsidR="000325B1" w:rsidRPr="000325B1">
        <w:rPr>
          <w:iCs/>
        </w:rPr>
        <w:fldChar w:fldCharType="begin"/>
      </w:r>
      <w:r w:rsidR="000325B1" w:rsidRPr="000325B1">
        <w:rPr>
          <w:iCs/>
        </w:rPr>
        <w:instrText xml:space="preserve"> REF _Ref155710234 \h </w:instrText>
      </w:r>
      <w:r w:rsidR="000325B1">
        <w:rPr>
          <w:iCs/>
        </w:rPr>
        <w:instrText xml:space="preserve"> \* MERGEFORMAT </w:instrText>
      </w:r>
      <w:r w:rsidR="000325B1" w:rsidRPr="000325B1">
        <w:rPr>
          <w:iCs/>
        </w:rPr>
      </w:r>
      <w:r w:rsidR="000325B1" w:rsidRPr="000325B1">
        <w:rPr>
          <w:iCs/>
        </w:rPr>
        <w:fldChar w:fldCharType="separate"/>
      </w:r>
      <w:r w:rsidR="00102828">
        <w:t xml:space="preserve">Figure </w:t>
      </w:r>
      <w:r w:rsidR="00102828">
        <w:rPr>
          <w:noProof/>
        </w:rPr>
        <w:t>9</w:t>
      </w:r>
      <w:r w:rsidR="000325B1" w:rsidRPr="000325B1">
        <w:rPr>
          <w:iCs/>
        </w:rPr>
        <w:fldChar w:fldCharType="end"/>
      </w:r>
      <w:r w:rsidR="000325B1" w:rsidRPr="000325B1">
        <w:rPr>
          <w:iCs/>
        </w:rPr>
        <w:t>)</w:t>
      </w:r>
      <w:r w:rsidRPr="000325B1">
        <w:rPr>
          <w:iCs/>
        </w:rPr>
        <w:t>. Environmental</w:t>
      </w:r>
      <w:r>
        <w:rPr>
          <w:iCs/>
        </w:rPr>
        <w:t xml:space="preserve"> water (comprised mainly of Commonwealth environmental water) was delivered to slow drawdown following the peak and reduce the dip in water levels between this peak and smaller peak predicted for early </w:t>
      </w:r>
      <w:r w:rsidRPr="000325B1">
        <w:rPr>
          <w:iCs/>
        </w:rPr>
        <w:t>November (</w:t>
      </w:r>
      <w:r w:rsidR="000325B1">
        <w:rPr>
          <w:iCs/>
        </w:rPr>
        <w:fldChar w:fldCharType="begin"/>
      </w:r>
      <w:r w:rsidR="000325B1">
        <w:rPr>
          <w:iCs/>
        </w:rPr>
        <w:instrText xml:space="preserve"> REF _Ref81474313 \h </w:instrText>
      </w:r>
      <w:r w:rsidR="000325B1">
        <w:rPr>
          <w:iCs/>
        </w:rPr>
      </w:r>
      <w:r w:rsidR="000325B1">
        <w:rPr>
          <w:iCs/>
        </w:rPr>
        <w:fldChar w:fldCharType="separate"/>
      </w:r>
      <w:r w:rsidR="00102828" w:rsidRPr="00F23935">
        <w:t xml:space="preserve">Figure </w:t>
      </w:r>
      <w:r w:rsidR="00102828">
        <w:rPr>
          <w:noProof/>
        </w:rPr>
        <w:t>5</w:t>
      </w:r>
      <w:r w:rsidR="000325B1">
        <w:rPr>
          <w:iCs/>
        </w:rPr>
        <w:fldChar w:fldCharType="end"/>
      </w:r>
      <w:r w:rsidRPr="000325B1">
        <w:rPr>
          <w:iCs/>
        </w:rPr>
        <w:t>).</w:t>
      </w:r>
      <w:r>
        <w:rPr>
          <w:iCs/>
        </w:rPr>
        <w:t xml:space="preserve"> Water levels remained around 1</w:t>
      </w:r>
      <w:r w:rsidR="000325B1">
        <w:rPr>
          <w:iCs/>
        </w:rPr>
        <w:t>.0</w:t>
      </w:r>
      <w:r>
        <w:rPr>
          <w:iCs/>
        </w:rPr>
        <w:t>, 1.1 and 0.9 m above normal pool level in the tailwater reaches downstream of Lock 6, 4 and 1 respectively until early December 2023 (</w:t>
      </w:r>
      <w:r w:rsidR="000325B1" w:rsidRPr="000325B1">
        <w:rPr>
          <w:iCs/>
        </w:rPr>
        <w:fldChar w:fldCharType="begin"/>
      </w:r>
      <w:r w:rsidR="000325B1" w:rsidRPr="000325B1">
        <w:rPr>
          <w:iCs/>
        </w:rPr>
        <w:instrText xml:space="preserve"> REF _Ref155710234 \h </w:instrText>
      </w:r>
      <w:r w:rsidR="000325B1">
        <w:rPr>
          <w:iCs/>
        </w:rPr>
        <w:instrText xml:space="preserve"> \* MERGEFORMAT </w:instrText>
      </w:r>
      <w:r w:rsidR="000325B1" w:rsidRPr="000325B1">
        <w:rPr>
          <w:iCs/>
        </w:rPr>
      </w:r>
      <w:r w:rsidR="000325B1" w:rsidRPr="000325B1">
        <w:rPr>
          <w:iCs/>
        </w:rPr>
        <w:fldChar w:fldCharType="separate"/>
      </w:r>
      <w:r w:rsidR="00102828">
        <w:t xml:space="preserve">Figure </w:t>
      </w:r>
      <w:r w:rsidR="00102828">
        <w:rPr>
          <w:noProof/>
        </w:rPr>
        <w:t>9</w:t>
      </w:r>
      <w:r w:rsidR="000325B1" w:rsidRPr="000325B1">
        <w:rPr>
          <w:iCs/>
        </w:rPr>
        <w:fldChar w:fldCharType="end"/>
      </w:r>
      <w:r>
        <w:rPr>
          <w:iCs/>
        </w:rPr>
        <w:t>). The increase in water levels due to environmental water delivery during this period were 0.25 m downstream of Lock 6, 0.24</w:t>
      </w:r>
      <w:r w:rsidR="006A51BA">
        <w:rPr>
          <w:iCs/>
        </w:rPr>
        <w:t> </w:t>
      </w:r>
      <w:r>
        <w:rPr>
          <w:iCs/>
        </w:rPr>
        <w:t>m downstream of Lock 4 and 0.23 m downstream of Lock 1 (</w:t>
      </w:r>
      <w:r w:rsidR="000325B1">
        <w:rPr>
          <w:iCs/>
          <w:highlight w:val="yellow"/>
        </w:rPr>
        <w:fldChar w:fldCharType="begin"/>
      </w:r>
      <w:r w:rsidR="000325B1">
        <w:rPr>
          <w:iCs/>
        </w:rPr>
        <w:instrText xml:space="preserve"> REF _Ref155710234 \h </w:instrText>
      </w:r>
      <w:r w:rsidR="000325B1">
        <w:rPr>
          <w:iCs/>
          <w:highlight w:val="yellow"/>
        </w:rPr>
      </w:r>
      <w:r w:rsidR="000325B1">
        <w:rPr>
          <w:iCs/>
          <w:highlight w:val="yellow"/>
        </w:rPr>
        <w:fldChar w:fldCharType="separate"/>
      </w:r>
      <w:r w:rsidR="00102828">
        <w:t xml:space="preserve">Figure </w:t>
      </w:r>
      <w:r w:rsidR="00102828">
        <w:rPr>
          <w:noProof/>
        </w:rPr>
        <w:t>9</w:t>
      </w:r>
      <w:r w:rsidR="000325B1">
        <w:rPr>
          <w:iCs/>
          <w:highlight w:val="yellow"/>
        </w:rPr>
        <w:fldChar w:fldCharType="end"/>
      </w:r>
      <w:r>
        <w:rPr>
          <w:iCs/>
        </w:rPr>
        <w:t xml:space="preserve">). </w:t>
      </w:r>
    </w:p>
    <w:p w14:paraId="23EB3834" w14:textId="487EA32C" w:rsidR="00134F05" w:rsidRDefault="00134F05" w:rsidP="00134F05">
      <w:pPr>
        <w:rPr>
          <w:iCs/>
        </w:rPr>
      </w:pPr>
      <w:r>
        <w:rPr>
          <w:iCs/>
        </w:rPr>
        <w:t xml:space="preserve">Environmental water delivery in 2023-24 was markedly </w:t>
      </w:r>
      <w:r w:rsidR="006A51BA">
        <w:rPr>
          <w:iCs/>
        </w:rPr>
        <w:t xml:space="preserve">different </w:t>
      </w:r>
      <w:r>
        <w:rPr>
          <w:iCs/>
        </w:rPr>
        <w:t xml:space="preserve">to 2019-20 and 2020-21, when the two previous rounds of vegetation monitoring were undertaken. Environmental water was delivered in 2019-20 and 2020-21 to produce a small in-channel flow pulse (peaking at 15,000–18,000 ML/d). All flows above South Australian entitlements were due to environmental water delivery (primarily Commonwealth environmental water). </w:t>
      </w:r>
      <w:r w:rsidRPr="00720C88">
        <w:rPr>
          <w:iCs/>
        </w:rPr>
        <w:t xml:space="preserve">For a detailed description of the hydrology and environmental water </w:t>
      </w:r>
      <w:r w:rsidRPr="000325B1">
        <w:rPr>
          <w:iCs/>
        </w:rPr>
        <w:t xml:space="preserve">delivery see Section </w:t>
      </w:r>
      <w:r w:rsidR="000325B1" w:rsidRPr="000325B1">
        <w:rPr>
          <w:iCs/>
        </w:rPr>
        <w:fldChar w:fldCharType="begin"/>
      </w:r>
      <w:r w:rsidR="000325B1" w:rsidRPr="000325B1">
        <w:rPr>
          <w:iCs/>
        </w:rPr>
        <w:instrText xml:space="preserve"> REF _Ref25159400 \r \h </w:instrText>
      </w:r>
      <w:r w:rsidR="000325B1">
        <w:rPr>
          <w:iCs/>
        </w:rPr>
        <w:instrText xml:space="preserve"> \* MERGEFORMAT </w:instrText>
      </w:r>
      <w:r w:rsidR="000325B1" w:rsidRPr="000325B1">
        <w:rPr>
          <w:iCs/>
        </w:rPr>
      </w:r>
      <w:r w:rsidR="000325B1" w:rsidRPr="000325B1">
        <w:rPr>
          <w:iCs/>
        </w:rPr>
        <w:fldChar w:fldCharType="separate"/>
      </w:r>
      <w:r w:rsidR="00102828">
        <w:rPr>
          <w:iCs/>
        </w:rPr>
        <w:t>1.4</w:t>
      </w:r>
      <w:r w:rsidR="000325B1" w:rsidRPr="000325B1">
        <w:rPr>
          <w:iCs/>
        </w:rPr>
        <w:fldChar w:fldCharType="end"/>
      </w:r>
      <w:r w:rsidRPr="000325B1">
        <w:rPr>
          <w:iCs/>
        </w:rPr>
        <w:t>.</w:t>
      </w:r>
    </w:p>
    <w:p w14:paraId="4B971D66" w14:textId="77777777" w:rsidR="00134F05" w:rsidRPr="00E35C12" w:rsidRDefault="00134F05" w:rsidP="00134F05">
      <w:pPr>
        <w:rPr>
          <w:i/>
          <w:u w:val="single"/>
        </w:rPr>
      </w:pPr>
      <w:r>
        <w:rPr>
          <w:i/>
          <w:u w:val="single"/>
        </w:rPr>
        <w:t>Vegetation surveying protocol</w:t>
      </w:r>
    </w:p>
    <w:p w14:paraId="629926A0" w14:textId="285E1CD8" w:rsidR="006A51BA" w:rsidRDefault="006A51BA" w:rsidP="006A51BA">
      <w:r>
        <w:t xml:space="preserve">Vegetation sampling during the Flow-MER Project was typically undertaken 4 to 6 weeks after a flow pulse supported by environmental water delivery, once water levels returned to normal pool level. In 2019-20 and 2020-21, sampling occurred in December 2019 and February 2021, respectively, to coincide with these conditions. </w:t>
      </w:r>
    </w:p>
    <w:p w14:paraId="286BBFB6" w14:textId="17B469DD" w:rsidR="006A51BA" w:rsidRDefault="006A51BA" w:rsidP="006A51BA">
      <w:r>
        <w:lastRenderedPageBreak/>
        <w:t>Sampling of littoral vegetation occurred in June 2024 because it represented the longest period when water levels were at or close to normal pool level in 2023-24. There was insufficient time to sample between flow pulses in early January 2024, after which flows remained above entitlement with higher-than-normal water levels. There was another pulse (peaking at 14,218 ML/d) predicted for July 2024; hence, sampling was undertaken in June 2024 prior to inundation of monitoring sites.</w:t>
      </w:r>
    </w:p>
    <w:p w14:paraId="47DC6F86" w14:textId="47052628" w:rsidR="00134F05" w:rsidRDefault="00134F05" w:rsidP="00134F05">
      <w:r>
        <w:t xml:space="preserve">Transects were established in December 2019 in each </w:t>
      </w:r>
      <w:r w:rsidRPr="00AF29D9">
        <w:t xml:space="preserve">reach (Ye </w:t>
      </w:r>
      <w:r w:rsidRPr="00AF29D9">
        <w:rPr>
          <w:i/>
          <w:iCs/>
        </w:rPr>
        <w:t>et al.</w:t>
      </w:r>
      <w:r w:rsidRPr="00AF29D9">
        <w:t xml:space="preserve"> 2021) and </w:t>
      </w:r>
      <w:r w:rsidR="006A51BA" w:rsidRPr="00AF29D9">
        <w:t xml:space="preserve">resurveyed in February </w:t>
      </w:r>
      <w:r w:rsidRPr="00AF29D9">
        <w:t>2021 and June 2024 (Table C</w:t>
      </w:r>
      <w:r w:rsidR="00FB33C3">
        <w:t>5</w:t>
      </w:r>
      <w:r w:rsidRPr="00AF29D9">
        <w:t>, Appendix C). Quadrats with dimensions of 15 x 1 m were positioned on each transect (the</w:t>
      </w:r>
      <w:r>
        <w:t xml:space="preserve"> long side parallel to elevation contours) in relation to the maximum water level recorded in the spring/summer of that water year (</w:t>
      </w:r>
      <w:r w:rsidR="00CF0150" w:rsidRPr="000325B1">
        <w:rPr>
          <w:iCs/>
        </w:rPr>
        <w:fldChar w:fldCharType="begin"/>
      </w:r>
      <w:r w:rsidR="00CF0150" w:rsidRPr="000325B1">
        <w:rPr>
          <w:iCs/>
        </w:rPr>
        <w:instrText xml:space="preserve"> REF _Ref155710234 \h </w:instrText>
      </w:r>
      <w:r w:rsidR="00CF0150">
        <w:rPr>
          <w:iCs/>
        </w:rPr>
        <w:instrText xml:space="preserve"> \* MERGEFORMAT </w:instrText>
      </w:r>
      <w:r w:rsidR="00CF0150" w:rsidRPr="000325B1">
        <w:rPr>
          <w:iCs/>
        </w:rPr>
      </w:r>
      <w:r w:rsidR="00CF0150" w:rsidRPr="000325B1">
        <w:rPr>
          <w:iCs/>
        </w:rPr>
        <w:fldChar w:fldCharType="separate"/>
      </w:r>
      <w:r w:rsidR="00102828">
        <w:t xml:space="preserve">Figure </w:t>
      </w:r>
      <w:r w:rsidR="00102828">
        <w:rPr>
          <w:noProof/>
        </w:rPr>
        <w:t>9</w:t>
      </w:r>
      <w:r w:rsidR="00CF0150" w:rsidRPr="000325B1">
        <w:rPr>
          <w:iCs/>
        </w:rPr>
        <w:fldChar w:fldCharType="end"/>
      </w:r>
      <w:r>
        <w:t xml:space="preserve">). One quadrat was located at normal pool level (herein referred to as </w:t>
      </w:r>
      <w:r w:rsidRPr="00240018">
        <w:rPr>
          <w:i/>
          <w:iCs/>
        </w:rPr>
        <w:t>Pool level</w:t>
      </w:r>
      <w:r>
        <w:t>), three in the area inundated during spring/summer (</w:t>
      </w:r>
      <w:r w:rsidRPr="00240018">
        <w:rPr>
          <w:i/>
          <w:iCs/>
        </w:rPr>
        <w:t>Inundated</w:t>
      </w:r>
      <w:r>
        <w:t xml:space="preserve">), one at the </w:t>
      </w:r>
      <w:r w:rsidR="002F5CE7">
        <w:t>high-water</w:t>
      </w:r>
      <w:r>
        <w:t xml:space="preserve"> mark of the area inundated (</w:t>
      </w:r>
      <w:r w:rsidRPr="00240018">
        <w:rPr>
          <w:i/>
          <w:iCs/>
        </w:rPr>
        <w:t>Inundation extent</w:t>
      </w:r>
      <w:r>
        <w:t>) and two above the high</w:t>
      </w:r>
      <w:r w:rsidR="002F5CE7">
        <w:t>-</w:t>
      </w:r>
      <w:r>
        <w:t>water mark (</w:t>
      </w:r>
      <w:r w:rsidRPr="00240018">
        <w:rPr>
          <w:i/>
          <w:iCs/>
        </w:rPr>
        <w:t>Not inundated</w:t>
      </w:r>
      <w:r>
        <w:t>) (</w:t>
      </w:r>
      <w:r>
        <w:fldChar w:fldCharType="begin"/>
      </w:r>
      <w:r>
        <w:instrText>REF _Ref57300921</w:instrText>
      </w:r>
      <w:r>
        <w:fldChar w:fldCharType="separate"/>
      </w:r>
      <w:r w:rsidR="00102828">
        <w:t xml:space="preserve">Figure </w:t>
      </w:r>
      <w:r w:rsidR="00102828">
        <w:rPr>
          <w:noProof/>
        </w:rPr>
        <w:t>43</w:t>
      </w:r>
      <w:r>
        <w:fldChar w:fldCharType="end"/>
      </w:r>
      <w:r>
        <w:t xml:space="preserve">). Each quadrat was divided into 15, 1 x 1 m cells to determine species frequency in each quadrat (i.e. each species will have a score of zero (not present) </w:t>
      </w:r>
      <w:r w:rsidR="006A51BA">
        <w:t>to 15 (present in each cell)</w:t>
      </w:r>
      <w:r>
        <w:t>. In addition, a 50 x 50 cm (0.25 m</w:t>
      </w:r>
      <w:r w:rsidRPr="00A251B0">
        <w:rPr>
          <w:vertAlign w:val="superscript"/>
        </w:rPr>
        <w:t>2</w:t>
      </w:r>
      <w:r>
        <w:t>) section of each quadrat was harvested and dried at 40</w:t>
      </w:r>
      <w:r>
        <w:rPr>
          <w:rFonts w:ascii="Times New Roman" w:hAnsi="Times New Roman"/>
        </w:rPr>
        <w:t>⁰</w:t>
      </w:r>
      <w:r>
        <w:t>C to a constant weight to determine above ground biomass.</w:t>
      </w:r>
    </w:p>
    <w:p w14:paraId="6EAF3527" w14:textId="77777777" w:rsidR="00134F05" w:rsidRDefault="00134F05" w:rsidP="00134F05">
      <w:r w:rsidRPr="008108D2">
        <w:rPr>
          <w:noProof/>
        </w:rPr>
        <w:drawing>
          <wp:inline distT="0" distB="0" distL="0" distR="0" wp14:anchorId="3F261AD6" wp14:editId="3DE4151A">
            <wp:extent cx="5731510" cy="3493135"/>
            <wp:effectExtent l="0" t="0" r="0" b="0"/>
            <wp:docPr id="1037" name="Picture 1037" descr="Image showing position of vegetation quadrats on the riverbank in relation to the maximum water level the prior spring/su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Picture 1037" descr="Image showing position of vegetation quadrats on the riverbank in relation to the maximum water level the prior spring/summer."/>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731510" cy="3493135"/>
                    </a:xfrm>
                    <a:prstGeom prst="rect">
                      <a:avLst/>
                    </a:prstGeom>
                    <a:noFill/>
                    <a:ln>
                      <a:noFill/>
                    </a:ln>
                  </pic:spPr>
                </pic:pic>
              </a:graphicData>
            </a:graphic>
          </wp:inline>
        </w:drawing>
      </w:r>
    </w:p>
    <w:p w14:paraId="52971254" w14:textId="770C12F0" w:rsidR="00134F05" w:rsidRDefault="00134F05" w:rsidP="00134F05">
      <w:pPr>
        <w:pStyle w:val="Caption"/>
      </w:pPr>
      <w:bookmarkStart w:id="329" w:name="_Ref57300921"/>
      <w:bookmarkStart w:id="330" w:name="_Toc89696163"/>
      <w:bookmarkStart w:id="331" w:name="_Toc97556481"/>
      <w:bookmarkStart w:id="332" w:name="_Toc200464494"/>
      <w:r>
        <w:t xml:space="preserve">Figure </w:t>
      </w:r>
      <w:r>
        <w:fldChar w:fldCharType="begin"/>
      </w:r>
      <w:r>
        <w:instrText>SEQ Figure \* ARABIC</w:instrText>
      </w:r>
      <w:r>
        <w:fldChar w:fldCharType="separate"/>
      </w:r>
      <w:r w:rsidR="00102828">
        <w:rPr>
          <w:noProof/>
        </w:rPr>
        <w:t>43</w:t>
      </w:r>
      <w:r>
        <w:fldChar w:fldCharType="end"/>
      </w:r>
      <w:bookmarkEnd w:id="329"/>
      <w:r w:rsidRPr="00825C20">
        <w:t xml:space="preserve">. </w:t>
      </w:r>
      <w:r>
        <w:t xml:space="preserve">Position of quadrats in relation to the maximum water level </w:t>
      </w:r>
      <w:bookmarkEnd w:id="330"/>
      <w:bookmarkEnd w:id="331"/>
      <w:r>
        <w:t>the prior spring/summer.</w:t>
      </w:r>
      <w:bookmarkEnd w:id="332"/>
      <w:r w:rsidRPr="00825C20">
        <w:t xml:space="preserve">   </w:t>
      </w:r>
    </w:p>
    <w:p w14:paraId="08A6EF6B" w14:textId="27EAB3BE" w:rsidR="00134F05" w:rsidRPr="007A59F3" w:rsidRDefault="00134F05" w:rsidP="00134F05">
      <w:r>
        <w:t xml:space="preserve">For all vegetation surveys, the </w:t>
      </w:r>
      <w:r w:rsidRPr="00240018">
        <w:rPr>
          <w:i/>
          <w:iCs/>
        </w:rPr>
        <w:t>Inundated</w:t>
      </w:r>
      <w:r>
        <w:t xml:space="preserve"> and </w:t>
      </w:r>
      <w:r w:rsidRPr="00240018">
        <w:rPr>
          <w:i/>
          <w:iCs/>
        </w:rPr>
        <w:t>Inundation extent</w:t>
      </w:r>
      <w:r>
        <w:t xml:space="preserve"> zones were impacted by the delivery of Commonwealth environmental water. However, in 2023-24 it was not possible to sample the small area inundated exclusively by environmental </w:t>
      </w:r>
      <w:r w:rsidR="00C80963">
        <w:t xml:space="preserve">water. In this year, the </w:t>
      </w:r>
      <w:r w:rsidR="00C80963" w:rsidRPr="00720C88">
        <w:rPr>
          <w:i/>
          <w:iCs/>
        </w:rPr>
        <w:t>Inundated</w:t>
      </w:r>
      <w:r w:rsidR="00C80963">
        <w:t xml:space="preserve"> zone was the area on the riverbank between normal pool level and the highest elevation of the flow that peaked in November 2023 (</w:t>
      </w:r>
      <w:r w:rsidR="00CF0150" w:rsidRPr="000325B1">
        <w:rPr>
          <w:iCs/>
        </w:rPr>
        <w:fldChar w:fldCharType="begin"/>
      </w:r>
      <w:r w:rsidR="00CF0150" w:rsidRPr="000325B1">
        <w:rPr>
          <w:iCs/>
        </w:rPr>
        <w:instrText xml:space="preserve"> REF _Ref155710234 \h </w:instrText>
      </w:r>
      <w:r w:rsidR="00CF0150">
        <w:rPr>
          <w:iCs/>
        </w:rPr>
        <w:instrText xml:space="preserve"> \* MERGEFORMAT </w:instrText>
      </w:r>
      <w:r w:rsidR="00CF0150" w:rsidRPr="000325B1">
        <w:rPr>
          <w:iCs/>
        </w:rPr>
      </w:r>
      <w:r w:rsidR="00CF0150" w:rsidRPr="000325B1">
        <w:rPr>
          <w:iCs/>
        </w:rPr>
        <w:fldChar w:fldCharType="separate"/>
      </w:r>
      <w:r w:rsidR="00102828">
        <w:t xml:space="preserve">Figure </w:t>
      </w:r>
      <w:r w:rsidR="00102828">
        <w:rPr>
          <w:noProof/>
        </w:rPr>
        <w:t>9</w:t>
      </w:r>
      <w:r w:rsidR="00CF0150" w:rsidRPr="000325B1">
        <w:rPr>
          <w:iCs/>
        </w:rPr>
        <w:fldChar w:fldCharType="end"/>
      </w:r>
      <w:r w:rsidR="00C80963">
        <w:t xml:space="preserve">). The </w:t>
      </w:r>
      <w:r w:rsidR="00C80963" w:rsidRPr="00720C88">
        <w:rPr>
          <w:i/>
          <w:iCs/>
        </w:rPr>
        <w:t>Inundation extent</w:t>
      </w:r>
      <w:r w:rsidR="00C80963">
        <w:t xml:space="preserve"> zone corresponded to the elevation of the aforementioned peak. Furthermore,</w:t>
      </w:r>
      <w:r>
        <w:t xml:space="preserve"> quadrats in the </w:t>
      </w:r>
      <w:r w:rsidRPr="007A59F3">
        <w:rPr>
          <w:i/>
          <w:iCs/>
        </w:rPr>
        <w:t>Not inundated</w:t>
      </w:r>
      <w:r>
        <w:t xml:space="preserve"> zone were inundated by the natural flow pulse in early </w:t>
      </w:r>
      <w:r>
        <w:lastRenderedPageBreak/>
        <w:t>spring 2023 (</w:t>
      </w:r>
      <w:r w:rsidR="00CF0150">
        <w:rPr>
          <w:iCs/>
        </w:rPr>
        <w:fldChar w:fldCharType="begin"/>
      </w:r>
      <w:r w:rsidR="00CF0150">
        <w:rPr>
          <w:iCs/>
        </w:rPr>
        <w:instrText xml:space="preserve"> REF _Ref81474313 \h </w:instrText>
      </w:r>
      <w:r w:rsidR="00CF0150">
        <w:rPr>
          <w:iCs/>
        </w:rPr>
      </w:r>
      <w:r w:rsidR="00CF0150">
        <w:rPr>
          <w:iCs/>
        </w:rPr>
        <w:fldChar w:fldCharType="separate"/>
      </w:r>
      <w:r w:rsidR="00102828" w:rsidRPr="00F23935">
        <w:t xml:space="preserve">Figure </w:t>
      </w:r>
      <w:r w:rsidR="00102828">
        <w:rPr>
          <w:noProof/>
        </w:rPr>
        <w:t>5</w:t>
      </w:r>
      <w:r w:rsidR="00CF0150">
        <w:rPr>
          <w:iCs/>
        </w:rPr>
        <w:fldChar w:fldCharType="end"/>
      </w:r>
      <w:r>
        <w:t xml:space="preserve">) and by the 2022-23 flood prior to that. Finally, the </w:t>
      </w:r>
      <w:r w:rsidRPr="00240018">
        <w:rPr>
          <w:i/>
          <w:iCs/>
        </w:rPr>
        <w:t>Pool level</w:t>
      </w:r>
      <w:r>
        <w:t xml:space="preserve"> quadrats were inundated continuously from August 2021 to June 2024 (</w:t>
      </w:r>
      <w:r w:rsidR="00CF0150">
        <w:rPr>
          <w:iCs/>
        </w:rPr>
        <w:fldChar w:fldCharType="begin"/>
      </w:r>
      <w:r w:rsidR="00CF0150">
        <w:rPr>
          <w:iCs/>
        </w:rPr>
        <w:instrText xml:space="preserve"> REF _Ref81474313 \h </w:instrText>
      </w:r>
      <w:r w:rsidR="00CF0150">
        <w:rPr>
          <w:iCs/>
        </w:rPr>
      </w:r>
      <w:r w:rsidR="00CF0150">
        <w:rPr>
          <w:iCs/>
        </w:rPr>
        <w:fldChar w:fldCharType="separate"/>
      </w:r>
      <w:r w:rsidR="00102828" w:rsidRPr="00F23935">
        <w:t xml:space="preserve">Figure </w:t>
      </w:r>
      <w:r w:rsidR="00102828">
        <w:rPr>
          <w:noProof/>
        </w:rPr>
        <w:t>5</w:t>
      </w:r>
      <w:r w:rsidR="00CF0150">
        <w:rPr>
          <w:iCs/>
        </w:rPr>
        <w:fldChar w:fldCharType="end"/>
      </w:r>
      <w:r>
        <w:t xml:space="preserve">). In contrast to 2023-24, the </w:t>
      </w:r>
      <w:r w:rsidRPr="007A59F3">
        <w:rPr>
          <w:i/>
          <w:iCs/>
        </w:rPr>
        <w:t>Not inundated</w:t>
      </w:r>
      <w:r>
        <w:t xml:space="preserve"> zones for the 2019-20 and 2020-21 surveys were last inundated by the 2016-17 flood. </w:t>
      </w:r>
    </w:p>
    <w:p w14:paraId="073B999E" w14:textId="77777777" w:rsidR="00134F05" w:rsidRPr="00E35C12" w:rsidRDefault="00134F05" w:rsidP="00134F05">
      <w:pPr>
        <w:rPr>
          <w:i/>
          <w:u w:val="single"/>
        </w:rPr>
      </w:pPr>
      <w:r>
        <w:rPr>
          <w:i/>
          <w:u w:val="single"/>
        </w:rPr>
        <w:t>Plant identification and nomenclature</w:t>
      </w:r>
    </w:p>
    <w:p w14:paraId="1480E94A" w14:textId="7A1786BD" w:rsidR="00134F05" w:rsidRPr="00AF29D9" w:rsidRDefault="00134F05" w:rsidP="00134F05">
      <w:r w:rsidRPr="00FA558F">
        <w:t xml:space="preserve">Plants were identified using keys in Jessop and Toelken (1986), Cunningham </w:t>
      </w:r>
      <w:r w:rsidRPr="00FA558F">
        <w:rPr>
          <w:i/>
          <w:iCs/>
        </w:rPr>
        <w:t>et al.</w:t>
      </w:r>
      <w:r w:rsidRPr="00FA558F">
        <w:t xml:space="preserve"> (1992),</w:t>
      </w:r>
      <w:r>
        <w:t xml:space="preserve"> Sainty and Jacobs (1981</w:t>
      </w:r>
      <w:r w:rsidR="00110ADD">
        <w:t>,</w:t>
      </w:r>
      <w:r>
        <w:t xml:space="preserve"> 2003)</w:t>
      </w:r>
      <w:r w:rsidRPr="00FA558F">
        <w:t xml:space="preserve"> and Jessop </w:t>
      </w:r>
      <w:r w:rsidRPr="00FA558F">
        <w:rPr>
          <w:i/>
          <w:iCs/>
        </w:rPr>
        <w:t>et al.</w:t>
      </w:r>
      <w:r w:rsidRPr="00FA558F">
        <w:t xml:space="preserve"> (2006). In some cases, due to immature individuals or lack of floral structures, plants were identified to genus only. Nomenclature follows the Centre for Australian National Biodiversity Research and Council of Heads of Australasian Herbaria (202</w:t>
      </w:r>
      <w:r>
        <w:t>5</w:t>
      </w:r>
      <w:r w:rsidRPr="00FA558F">
        <w:t xml:space="preserve">). A </w:t>
      </w:r>
      <w:r w:rsidRPr="00AF29D9">
        <w:t>comprehensive list of all species recorded, their functional classification, growth form, life history strategy and conservation status are presented in Table C</w:t>
      </w:r>
      <w:r w:rsidR="00FB33C3">
        <w:t>6</w:t>
      </w:r>
      <w:r w:rsidR="00E436C6">
        <w:t>,</w:t>
      </w:r>
      <w:r w:rsidRPr="00AF29D9">
        <w:t xml:space="preserve"> Appendix C.</w:t>
      </w:r>
    </w:p>
    <w:p w14:paraId="308279C6" w14:textId="77777777" w:rsidR="00134F05" w:rsidRPr="00AF29D9" w:rsidRDefault="00134F05" w:rsidP="00134F05">
      <w:pPr>
        <w:rPr>
          <w:i/>
          <w:u w:val="single"/>
        </w:rPr>
      </w:pPr>
      <w:r w:rsidRPr="00AF29D9">
        <w:rPr>
          <w:i/>
          <w:u w:val="single"/>
        </w:rPr>
        <w:t>Plant functional groups</w:t>
      </w:r>
    </w:p>
    <w:p w14:paraId="18867C1F" w14:textId="23B387A5" w:rsidR="00134F05" w:rsidRPr="00AF29D9" w:rsidRDefault="00134F05" w:rsidP="00134F05">
      <w:r w:rsidRPr="00AF29D9">
        <w:t xml:space="preserve">The functional classification used to assess targets for The Living Murray Chowilla condition and intervention monitoring programs was used in this study to assess the response </w:t>
      </w:r>
      <w:r w:rsidR="006A51BA" w:rsidRPr="00AF29D9">
        <w:t xml:space="preserve">of littoral vegetation </w:t>
      </w:r>
      <w:r w:rsidRPr="00AF29D9">
        <w:t xml:space="preserve">to environmental water. The functional classification was based on the classification framework devised by Brock and Casanova (1997), which was based on species present in wetlands in the New England Tablelands region of New South Wales and modified by Nicol </w:t>
      </w:r>
      <w:r w:rsidRPr="00AF29D9">
        <w:rPr>
          <w:i/>
          <w:iCs/>
        </w:rPr>
        <w:t>et al.</w:t>
      </w:r>
      <w:r w:rsidRPr="00AF29D9">
        <w:t xml:space="preserve"> (2010) to reflect the vegetation of the Chowilla system.  </w:t>
      </w:r>
    </w:p>
    <w:p w14:paraId="7A5466E8" w14:textId="6471B6A8" w:rsidR="00134F05" w:rsidRDefault="00134F05" w:rsidP="00134F05">
      <w:r w:rsidRPr="00AF29D9">
        <w:t>The functional classification used for this study splits species into four groups (terrestrial, flood dependent, amphibious and emergent) based on their response to inundation. The description of each functional group is presented in Table C</w:t>
      </w:r>
      <w:r w:rsidR="00FB33C3">
        <w:t>7</w:t>
      </w:r>
      <w:r w:rsidRPr="00AF29D9">
        <w:t>, Appendix C.</w:t>
      </w:r>
    </w:p>
    <w:p w14:paraId="12FCD496" w14:textId="77777777" w:rsidR="00134F05" w:rsidRPr="00310ADD" w:rsidRDefault="00134F05" w:rsidP="00134F05">
      <w:pPr>
        <w:rPr>
          <w:i/>
          <w:iCs/>
        </w:rPr>
      </w:pPr>
      <w:r w:rsidRPr="00310ADD">
        <w:rPr>
          <w:i/>
          <w:iCs/>
        </w:rPr>
        <w:t>Data analysis</w:t>
      </w:r>
    </w:p>
    <w:p w14:paraId="08742D2D" w14:textId="219F83C5" w:rsidR="00134F05" w:rsidRDefault="00134F05" w:rsidP="00134F05">
      <w:r>
        <w:t>Comparison of species composition between the different inundation zones (</w:t>
      </w:r>
      <w:r w:rsidRPr="00240018">
        <w:rPr>
          <w:i/>
          <w:iCs/>
        </w:rPr>
        <w:t>Not inundated</w:t>
      </w:r>
      <w:r>
        <w:t xml:space="preserve">, </w:t>
      </w:r>
      <w:r w:rsidRPr="00240018">
        <w:rPr>
          <w:i/>
          <w:iCs/>
        </w:rPr>
        <w:t>Inundation extent</w:t>
      </w:r>
      <w:r>
        <w:t xml:space="preserve">, </w:t>
      </w:r>
      <w:r w:rsidRPr="00240018">
        <w:rPr>
          <w:i/>
          <w:iCs/>
        </w:rPr>
        <w:t>Inundated</w:t>
      </w:r>
      <w:r>
        <w:t xml:space="preserve"> and </w:t>
      </w:r>
      <w:r w:rsidRPr="00240018">
        <w:rPr>
          <w:i/>
          <w:iCs/>
        </w:rPr>
        <w:t>Pool level</w:t>
      </w:r>
      <w:r>
        <w:t xml:space="preserve">) at each reach for the three surveys (2019-20, 2020-21 and 2023-24) was undertaken using nMDS Ordination and two-factor Multivariate PERMANOVA. For the 2023-24 survey, species composition between the different inundation zones and reaches (Lock 1, Lock 4 and Lock 6) were compared using nMDS Ordination, two-factor Multivariate PERMANOVA and Indicator Species Analysis. Bray-Curtis (1957) similarities were used to calculate the similarity matrix for nMDS Ordination and Multivariate PERMANOVA (Anderson and </w:t>
      </w:r>
      <w:r w:rsidRPr="00046551">
        <w:rPr>
          <w:lang w:val="en-US"/>
        </w:rPr>
        <w:t>Ter Braak</w:t>
      </w:r>
      <w:r>
        <w:rPr>
          <w:lang w:val="en-US"/>
        </w:rPr>
        <w:t xml:space="preserve"> 2003</w:t>
      </w:r>
      <w:r>
        <w:t xml:space="preserve">) analyses, which were undertaken using the Package PRIMER version 7.0.12. </w:t>
      </w:r>
      <w:r w:rsidRPr="008626DF">
        <w:t>(Clarke and Gorley 2015)</w:t>
      </w:r>
      <w:r>
        <w:t xml:space="preserve"> and </w:t>
      </w:r>
      <w:r w:rsidRPr="00E30058">
        <w:t>PERMANOVA+ for PRIMER</w:t>
      </w:r>
      <w:r>
        <w:t xml:space="preserve"> (Anderson </w:t>
      </w:r>
      <w:r w:rsidRPr="00E30058">
        <w:rPr>
          <w:i/>
          <w:iCs/>
        </w:rPr>
        <w:t>et al.</w:t>
      </w:r>
      <w:r>
        <w:t xml:space="preserve"> 2008). Indicator Species Analysis </w:t>
      </w:r>
      <w:r w:rsidRPr="008626DF">
        <w:t>(Dufrene and Legendre 1997)</w:t>
      </w:r>
      <w:r>
        <w:t xml:space="preserve"> was undertaken using the package PCOrd version 5.12 </w:t>
      </w:r>
      <w:r w:rsidRPr="00E30058">
        <w:t>(McCune and Mefford 2006)</w:t>
      </w:r>
      <w:r>
        <w:t xml:space="preserve">. Above ground biomass for the 2023-24 survey was compared between the different inundation zones and reaches using two-factor univariate PERMANOVA using the package </w:t>
      </w:r>
      <w:r w:rsidRPr="00E30058">
        <w:t>PERMANOVA+ for PRIMER</w:t>
      </w:r>
      <w:r>
        <w:t xml:space="preserve"> (Anderson </w:t>
      </w:r>
      <w:r w:rsidRPr="00E30058">
        <w:rPr>
          <w:i/>
          <w:iCs/>
        </w:rPr>
        <w:t>et al.</w:t>
      </w:r>
      <w:r>
        <w:t xml:space="preserve"> 2008). Euclidean distances were used to calculate the similarity matrix for the univariate PERMANOVA analysis.  </w:t>
      </w:r>
    </w:p>
    <w:p w14:paraId="6BF5D10A" w14:textId="77777777" w:rsidR="00134F05" w:rsidRDefault="00134F05" w:rsidP="00134F05">
      <w:r w:rsidRPr="00BE524E">
        <w:t>Dufrene and Legendre’s (1997) indicator species analysis combines information on the concentration of species abundance in a particular group (</w:t>
      </w:r>
      <w:r>
        <w:t>inundation zone</w:t>
      </w:r>
      <w:r w:rsidRPr="00BE524E">
        <w:t xml:space="preserve">) and the faithfulness of occurrence of a species in a particular group (McCune </w:t>
      </w:r>
      <w:r w:rsidRPr="00BE524E">
        <w:rPr>
          <w:i/>
          <w:iCs/>
        </w:rPr>
        <w:t>et al.</w:t>
      </w:r>
      <w:r w:rsidRPr="00BE524E">
        <w:t xml:space="preserve"> 2002). A perfect indicator of a particular group should be faithful to that group (always present) and exclusive to that group (never occurring in other groups) (McCune </w:t>
      </w:r>
      <w:r w:rsidRPr="00BE1769">
        <w:rPr>
          <w:i/>
          <w:iCs/>
        </w:rPr>
        <w:t>et al</w:t>
      </w:r>
      <w:r w:rsidRPr="00BE524E">
        <w:t xml:space="preserve">. 2002). This test produces indicator values for each species in each group based on the standards of </w:t>
      </w:r>
      <w:r w:rsidRPr="00BE524E">
        <w:lastRenderedPageBreak/>
        <w:t xml:space="preserve">the prefect indicator. Statistical significance of each indicator value is tested by using a Monte Carlo (randomisation) technique, where the real data </w:t>
      </w:r>
      <w:r>
        <w:t>are</w:t>
      </w:r>
      <w:r w:rsidRPr="00BE524E">
        <w:t xml:space="preserve"> compared against</w:t>
      </w:r>
      <w:r>
        <w:t xml:space="preserve"> (in this case)</w:t>
      </w:r>
      <w:r w:rsidRPr="00BE524E">
        <w:t xml:space="preserve"> 5</w:t>
      </w:r>
      <w:r>
        <w:t>,</w:t>
      </w:r>
      <w:r w:rsidRPr="00BE524E">
        <w:t xml:space="preserve">000 runs of randomised data (Dufrene and Legendre 1997). For this study, the groups were assigned according to </w:t>
      </w:r>
      <w:r>
        <w:t>inundation zone within a reach (planned comparison)</w:t>
      </w:r>
      <w:r w:rsidRPr="00BE524E">
        <w:t>. A species that is deemed not to be a significant indicator of a particular group is either uncommon or widespread. An uncommon species is only found in one group but in low numbers</w:t>
      </w:r>
      <w:r>
        <w:t>,</w:t>
      </w:r>
      <w:r w:rsidRPr="00BE524E">
        <w:t xml:space="preserve"> and a widespread species is found in more than one group in similar numbers (Dufrene and Legendre 1997). Whether a species was classed as a widespread or uncommon non-significant species was determined by examination of the raw data.</w:t>
      </w:r>
    </w:p>
    <w:p w14:paraId="50616797" w14:textId="77777777" w:rsidR="00134F05" w:rsidRPr="00E35C12" w:rsidRDefault="00134F05" w:rsidP="00134F05">
      <w:pPr>
        <w:pStyle w:val="Heading3"/>
        <w:rPr>
          <w:lang w:eastAsia="en-AU"/>
        </w:rPr>
      </w:pPr>
      <w:r>
        <w:rPr>
          <w:lang w:eastAsia="en-AU"/>
        </w:rPr>
        <w:t>Results</w:t>
      </w:r>
    </w:p>
    <w:p w14:paraId="1A18EA6D" w14:textId="6E5A6EEE" w:rsidR="00134F05" w:rsidRPr="006A68F3" w:rsidRDefault="00134F05" w:rsidP="00134F05">
      <w:pPr>
        <w:rPr>
          <w:i/>
          <w:u w:val="single"/>
        </w:rPr>
      </w:pPr>
      <w:r>
        <w:rPr>
          <w:i/>
          <w:u w:val="single"/>
        </w:rPr>
        <w:t>Littoral plant communities 2019</w:t>
      </w:r>
      <w:r w:rsidR="00E9793C">
        <w:rPr>
          <w:i/>
          <w:u w:val="single"/>
        </w:rPr>
        <w:t>–</w:t>
      </w:r>
      <w:r>
        <w:rPr>
          <w:i/>
          <w:u w:val="single"/>
        </w:rPr>
        <w:t>2024</w:t>
      </w:r>
    </w:p>
    <w:p w14:paraId="48E6077A" w14:textId="20A9F9E2" w:rsidR="00134F05" w:rsidRDefault="00134F05" w:rsidP="00134F05">
      <w:pPr>
        <w:rPr>
          <w:iCs/>
        </w:rPr>
      </w:pPr>
      <w:r>
        <w:rPr>
          <w:iCs/>
        </w:rPr>
        <w:t xml:space="preserve">Native species richness was variable between reaches and inundation zones for the three surveys over the study period. No clear patterns with regards to response to unregulated flows or environmental water delivery </w:t>
      </w:r>
      <w:r w:rsidR="00942C0D">
        <w:rPr>
          <w:iCs/>
        </w:rPr>
        <w:t xml:space="preserve">between 2019 and 2024 </w:t>
      </w:r>
      <w:r>
        <w:rPr>
          <w:iCs/>
        </w:rPr>
        <w:t xml:space="preserve">were </w:t>
      </w:r>
      <w:r w:rsidRPr="00AF29D9">
        <w:rPr>
          <w:iCs/>
        </w:rPr>
        <w:t>discernible (Figure C</w:t>
      </w:r>
      <w:r w:rsidR="00236D91">
        <w:rPr>
          <w:iCs/>
        </w:rPr>
        <w:t>4</w:t>
      </w:r>
      <w:r w:rsidRPr="00AF29D9">
        <w:rPr>
          <w:iCs/>
        </w:rPr>
        <w:t>, Appendix C). Similarly</w:t>
      </w:r>
      <w:r>
        <w:rPr>
          <w:iCs/>
        </w:rPr>
        <w:t>, there were no clear patterns for above ground biomass relating to unregulated flows or environmental water delivery</w:t>
      </w:r>
      <w:r w:rsidR="000A1074">
        <w:rPr>
          <w:iCs/>
        </w:rPr>
        <w:t xml:space="preserve"> </w:t>
      </w:r>
      <w:r>
        <w:rPr>
          <w:iCs/>
        </w:rPr>
        <w:t>(</w:t>
      </w:r>
      <w:r w:rsidRPr="00AF29D9">
        <w:rPr>
          <w:iCs/>
        </w:rPr>
        <w:t>Figure C</w:t>
      </w:r>
      <w:r w:rsidR="00236D91">
        <w:rPr>
          <w:iCs/>
        </w:rPr>
        <w:t>5</w:t>
      </w:r>
      <w:r w:rsidRPr="00AF29D9">
        <w:rPr>
          <w:iCs/>
        </w:rPr>
        <w:t>).</w:t>
      </w:r>
    </w:p>
    <w:p w14:paraId="3BB9AFC8" w14:textId="0B315259" w:rsidR="00134F05" w:rsidRDefault="00134F05" w:rsidP="00134F05">
      <w:pPr>
        <w:rPr>
          <w:iCs/>
        </w:rPr>
        <w:sectPr w:rsidR="00134F05" w:rsidSect="00134F05">
          <w:pgSz w:w="11906" w:h="16838"/>
          <w:pgMar w:top="1440" w:right="1440" w:bottom="1440" w:left="1440" w:header="708" w:footer="708" w:gutter="0"/>
          <w:cols w:space="708"/>
          <w:docGrid w:linePitch="360"/>
        </w:sectPr>
      </w:pPr>
      <w:r>
        <w:rPr>
          <w:iCs/>
        </w:rPr>
        <w:t>Contrastingly, the plant community showed similar patterns at each reach when environmental water was delivered as a lower</w:t>
      </w:r>
      <w:r w:rsidR="00347062">
        <w:rPr>
          <w:iCs/>
        </w:rPr>
        <w:t>–</w:t>
      </w:r>
      <w:r>
        <w:rPr>
          <w:iCs/>
        </w:rPr>
        <w:t xml:space="preserve">moderate flow pulse in </w:t>
      </w:r>
      <w:r w:rsidR="00347062">
        <w:rPr>
          <w:iCs/>
        </w:rPr>
        <w:t xml:space="preserve">spring–early summer </w:t>
      </w:r>
      <w:r>
        <w:rPr>
          <w:iCs/>
        </w:rPr>
        <w:t>2019 and 2020, but was different following the 2022-23 flood and bankfull flow pulse in spring 2023 (</w:t>
      </w:r>
      <w:r>
        <w:rPr>
          <w:iCs/>
        </w:rPr>
        <w:fldChar w:fldCharType="begin"/>
      </w:r>
      <w:r>
        <w:rPr>
          <w:iCs/>
        </w:rPr>
        <w:instrText xml:space="preserve"> REF _Ref194072395 \h </w:instrText>
      </w:r>
      <w:r>
        <w:rPr>
          <w:iCs/>
        </w:rPr>
      </w:r>
      <w:r>
        <w:rPr>
          <w:iCs/>
        </w:rPr>
        <w:fldChar w:fldCharType="separate"/>
      </w:r>
      <w:r w:rsidR="00102828">
        <w:t xml:space="preserve">Figure </w:t>
      </w:r>
      <w:r w:rsidR="00102828">
        <w:rPr>
          <w:noProof/>
        </w:rPr>
        <w:t>44</w:t>
      </w:r>
      <w:r>
        <w:rPr>
          <w:iCs/>
        </w:rPr>
        <w:fldChar w:fldCharType="end"/>
      </w:r>
      <w:r>
        <w:rPr>
          <w:iCs/>
        </w:rPr>
        <w:t xml:space="preserve">). Each survey for each reach detected vegetation zonation related to elevation, but the plant </w:t>
      </w:r>
      <w:r w:rsidRPr="00AF29D9">
        <w:rPr>
          <w:iCs/>
        </w:rPr>
        <w:t>community was different in the 2023-24 survey following the flood and bankfull flow. Patterns through time at each reach were confirmed with two-factor PERMANOVA detecting a significant interaction between survey year and inundation zone (</w:t>
      </w:r>
      <w:r w:rsidR="008E3671" w:rsidRPr="00AF29D9">
        <w:t>Table C</w:t>
      </w:r>
      <w:r w:rsidR="00FB33C3">
        <w:t>8</w:t>
      </w:r>
      <w:r w:rsidR="008E3671" w:rsidRPr="00AF29D9">
        <w:t>, Appendix C</w:t>
      </w:r>
      <w:r w:rsidRPr="00AF29D9">
        <w:rPr>
          <w:iCs/>
        </w:rPr>
        <w:t>). This indicated that the response of the vegetation each year along the elevation gradient</w:t>
      </w:r>
      <w:r>
        <w:rPr>
          <w:iCs/>
        </w:rPr>
        <w:t xml:space="preserve"> was not consistent. At each reach, similar plant communities were present at most elevations in 2019-20 and 2020-21 with a different community in 2023-24 following high flows (</w:t>
      </w:r>
      <w:r>
        <w:rPr>
          <w:iCs/>
        </w:rPr>
        <w:fldChar w:fldCharType="begin"/>
      </w:r>
      <w:r>
        <w:rPr>
          <w:iCs/>
        </w:rPr>
        <w:instrText xml:space="preserve"> REF _Ref194072395 \h </w:instrText>
      </w:r>
      <w:r>
        <w:rPr>
          <w:iCs/>
        </w:rPr>
      </w:r>
      <w:r>
        <w:rPr>
          <w:iCs/>
        </w:rPr>
        <w:fldChar w:fldCharType="separate"/>
      </w:r>
      <w:r w:rsidR="00102828">
        <w:t xml:space="preserve">Figure </w:t>
      </w:r>
      <w:r w:rsidR="00102828">
        <w:rPr>
          <w:noProof/>
        </w:rPr>
        <w:t>44</w:t>
      </w:r>
      <w:r>
        <w:rPr>
          <w:iCs/>
        </w:rPr>
        <w:fldChar w:fldCharType="end"/>
      </w:r>
      <w:r>
        <w:rPr>
          <w:iCs/>
        </w:rPr>
        <w:t xml:space="preserve">). </w:t>
      </w:r>
    </w:p>
    <w:p w14:paraId="5D996B0A" w14:textId="77777777" w:rsidR="00134F05" w:rsidRPr="00720C88" w:rsidRDefault="00134F05" w:rsidP="00134F05">
      <w:pPr>
        <w:jc w:val="center"/>
        <w:rPr>
          <w:iCs/>
        </w:rPr>
      </w:pPr>
      <w:r w:rsidRPr="0019383F">
        <w:rPr>
          <w:noProof/>
        </w:rPr>
        <w:lastRenderedPageBreak/>
        <w:drawing>
          <wp:inline distT="0" distB="0" distL="0" distR="0" wp14:anchorId="3F3F8826" wp14:editId="0E6C5D87">
            <wp:extent cx="7859450" cy="5101352"/>
            <wp:effectExtent l="0" t="0" r="8255" b="4445"/>
            <wp:docPr id="515295273" name="Picture 1" descr="nMDS ordination comparing the plant community downstream of Lock 1, Lock 4 and Lock 6 in each inundation zone for the December 2019, February 2021 and June 2024 surv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95273" name="Picture 1" descr="nMDS ordination comparing the plant community downstream of Lock 1, Lock 4 and Lock 6 in each inundation zone for the December 2019, February 2021 and June 2024 surveys."/>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7886442" cy="5118871"/>
                    </a:xfrm>
                    <a:prstGeom prst="rect">
                      <a:avLst/>
                    </a:prstGeom>
                    <a:noFill/>
                    <a:ln>
                      <a:noFill/>
                    </a:ln>
                  </pic:spPr>
                </pic:pic>
              </a:graphicData>
            </a:graphic>
          </wp:inline>
        </w:drawing>
      </w:r>
    </w:p>
    <w:p w14:paraId="61AC413D" w14:textId="0167B9F9" w:rsidR="00134F05" w:rsidRDefault="00134F05" w:rsidP="00134F05">
      <w:pPr>
        <w:pStyle w:val="Caption"/>
        <w:rPr>
          <w:iCs/>
        </w:rPr>
        <w:sectPr w:rsidR="00134F05" w:rsidSect="00134F05">
          <w:pgSz w:w="16838" w:h="11906" w:orient="landscape"/>
          <w:pgMar w:top="1440" w:right="1440" w:bottom="1440" w:left="1440" w:header="708" w:footer="708" w:gutter="0"/>
          <w:cols w:space="708"/>
          <w:docGrid w:linePitch="360"/>
        </w:sectPr>
      </w:pPr>
      <w:bookmarkStart w:id="333" w:name="_Ref194072395"/>
      <w:bookmarkStart w:id="334" w:name="_Toc200464495"/>
      <w:r>
        <w:t xml:space="preserve">Figure </w:t>
      </w:r>
      <w:r>
        <w:fldChar w:fldCharType="begin"/>
      </w:r>
      <w:r>
        <w:instrText>SEQ Figure \* ARABIC</w:instrText>
      </w:r>
      <w:r>
        <w:fldChar w:fldCharType="separate"/>
      </w:r>
      <w:r w:rsidR="00102828">
        <w:rPr>
          <w:noProof/>
        </w:rPr>
        <w:t>44</w:t>
      </w:r>
      <w:r>
        <w:fldChar w:fldCharType="end"/>
      </w:r>
      <w:bookmarkEnd w:id="333"/>
      <w:r>
        <w:t>.</w:t>
      </w:r>
      <w:r w:rsidRPr="00825C20">
        <w:t xml:space="preserve"> </w:t>
      </w:r>
      <w:r>
        <w:t xml:space="preserve">nMDS </w:t>
      </w:r>
      <w:r w:rsidR="00BA112D">
        <w:t>o</w:t>
      </w:r>
      <w:r>
        <w:t>rdination comparing the plant community downstream of a</w:t>
      </w:r>
      <w:r w:rsidR="004875A0">
        <w:t>)</w:t>
      </w:r>
      <w:r>
        <w:t xml:space="preserve"> Lock 1, b</w:t>
      </w:r>
      <w:r w:rsidR="004875A0">
        <w:t>)</w:t>
      </w:r>
      <w:r>
        <w:t xml:space="preserve"> Lock 4, and c</w:t>
      </w:r>
      <w:r w:rsidR="004875A0">
        <w:t>)</w:t>
      </w:r>
      <w:r>
        <w:t xml:space="preserve"> Lock 6 in each inundation zone for the</w:t>
      </w:r>
      <w:r w:rsidR="00347062">
        <w:t xml:space="preserve"> December</w:t>
      </w:r>
      <w:r>
        <w:t xml:space="preserve"> 2019, </w:t>
      </w:r>
      <w:r w:rsidR="00347062">
        <w:t xml:space="preserve">February </w:t>
      </w:r>
      <w:r>
        <w:t xml:space="preserve">2021 and </w:t>
      </w:r>
      <w:r w:rsidR="00347062">
        <w:t xml:space="preserve">June </w:t>
      </w:r>
      <w:r>
        <w:t>2024 surveys (the 2024 Pool level data downstream of Lock 6 were omitted due to it being an outlier that unduly influenced the nMDS analysis).</w:t>
      </w:r>
      <w:bookmarkEnd w:id="334"/>
      <w:r w:rsidRPr="00825C20">
        <w:t xml:space="preserve">  </w:t>
      </w:r>
    </w:p>
    <w:p w14:paraId="7FC77E01" w14:textId="77777777" w:rsidR="00134F05" w:rsidRDefault="00134F05" w:rsidP="00134F05">
      <w:r>
        <w:rPr>
          <w:i/>
          <w:u w:val="single"/>
        </w:rPr>
        <w:lastRenderedPageBreak/>
        <w:t>Littoral plant communities 2023-24</w:t>
      </w:r>
    </w:p>
    <w:p w14:paraId="2339F064" w14:textId="659AB257" w:rsidR="00134F05" w:rsidRDefault="00134F05" w:rsidP="00134F05">
      <w:r w:rsidRPr="00776D1D">
        <w:t>Native species richness was variable between reaches, with the reach downstream of Lock 6 having the highest native species richness</w:t>
      </w:r>
      <w:r>
        <w:t xml:space="preserve"> </w:t>
      </w:r>
      <w:r w:rsidRPr="00776D1D">
        <w:t>(32)</w:t>
      </w:r>
      <w:r>
        <w:t>,</w:t>
      </w:r>
      <w:r w:rsidRPr="00776D1D">
        <w:t xml:space="preserve"> followed by Lock 4 (27) and Lock 1 (</w:t>
      </w:r>
      <w:r w:rsidRPr="00641AE5">
        <w:t>24) (Table C</w:t>
      </w:r>
      <w:r w:rsidR="00FB33C3">
        <w:t>9</w:t>
      </w:r>
      <w:r w:rsidRPr="00641AE5">
        <w:t>, Appendix C). Despite</w:t>
      </w:r>
      <w:r w:rsidRPr="00776D1D">
        <w:t xml:space="preserve"> the variability among reaches, there were </w:t>
      </w:r>
      <w:r>
        <w:t xml:space="preserve">common patterns </w:t>
      </w:r>
      <w:r w:rsidRPr="00776D1D">
        <w:t xml:space="preserve">of native species richness within reaches. The </w:t>
      </w:r>
      <w:r w:rsidRPr="00776D1D">
        <w:rPr>
          <w:i/>
          <w:iCs/>
        </w:rPr>
        <w:t>Not inundated</w:t>
      </w:r>
      <w:r w:rsidRPr="00776D1D">
        <w:t xml:space="preserve"> zone had the highest species richness across all reaches and the </w:t>
      </w:r>
      <w:r w:rsidRPr="000F61BD">
        <w:rPr>
          <w:i/>
          <w:iCs/>
        </w:rPr>
        <w:t>Pool level</w:t>
      </w:r>
      <w:r w:rsidRPr="000F61BD">
        <w:t xml:space="preserve"> zones had the lowest in all reaches, with the </w:t>
      </w:r>
      <w:r w:rsidRPr="00E74905">
        <w:rPr>
          <w:i/>
          <w:iCs/>
        </w:rPr>
        <w:t>Pool level</w:t>
      </w:r>
      <w:r w:rsidRPr="000F61BD">
        <w:t xml:space="preserve"> zones downstream of Lock 4 and Lock 6 being devoid of vegetation </w:t>
      </w:r>
      <w:r>
        <w:t>(</w:t>
      </w:r>
      <w:r>
        <w:fldChar w:fldCharType="begin"/>
      </w:r>
      <w:r>
        <w:instrText xml:space="preserve"> REF _Ref192073092 \h </w:instrText>
      </w:r>
      <w:r>
        <w:fldChar w:fldCharType="separate"/>
      </w:r>
      <w:r w:rsidR="00102828">
        <w:t xml:space="preserve">Figure </w:t>
      </w:r>
      <w:r w:rsidR="00102828">
        <w:rPr>
          <w:noProof/>
        </w:rPr>
        <w:t>45</w:t>
      </w:r>
      <w:r>
        <w:fldChar w:fldCharType="end"/>
      </w:r>
      <w:r>
        <w:t>).</w:t>
      </w:r>
    </w:p>
    <w:p w14:paraId="00C7E1E8" w14:textId="77777777" w:rsidR="00134F05" w:rsidRDefault="00134F05" w:rsidP="00134F05">
      <w:pPr>
        <w:keepNext/>
      </w:pPr>
      <w:r w:rsidRPr="001509F9">
        <w:rPr>
          <w:noProof/>
        </w:rPr>
        <w:drawing>
          <wp:inline distT="0" distB="0" distL="0" distR="0" wp14:anchorId="3A0D0FC5" wp14:editId="39C65243">
            <wp:extent cx="5728970" cy="3678555"/>
            <wp:effectExtent l="0" t="0" r="5080" b="0"/>
            <wp:docPr id="1643120993" name="Picture 2" descr="Graph showing native plant species richness in each inundation zone in each reach in June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20993" name="Picture 2" descr="Graph showing native plant species richness in each inundation zone in each reach in June 202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28970" cy="3678555"/>
                    </a:xfrm>
                    <a:prstGeom prst="rect">
                      <a:avLst/>
                    </a:prstGeom>
                    <a:noFill/>
                    <a:ln>
                      <a:noFill/>
                    </a:ln>
                  </pic:spPr>
                </pic:pic>
              </a:graphicData>
            </a:graphic>
          </wp:inline>
        </w:drawing>
      </w:r>
    </w:p>
    <w:p w14:paraId="0F322FE4" w14:textId="59F88898" w:rsidR="00134F05" w:rsidRDefault="00134F05" w:rsidP="00134F05">
      <w:pPr>
        <w:pStyle w:val="Caption"/>
      </w:pPr>
      <w:bookmarkStart w:id="335" w:name="_Ref192073092"/>
      <w:bookmarkStart w:id="336" w:name="_Toc200464496"/>
      <w:r>
        <w:t xml:space="preserve">Figure </w:t>
      </w:r>
      <w:r>
        <w:fldChar w:fldCharType="begin"/>
      </w:r>
      <w:r>
        <w:instrText>SEQ Figure \* ARABIC</w:instrText>
      </w:r>
      <w:r>
        <w:fldChar w:fldCharType="separate"/>
      </w:r>
      <w:r w:rsidR="00102828">
        <w:rPr>
          <w:noProof/>
        </w:rPr>
        <w:t>45</w:t>
      </w:r>
      <w:r>
        <w:fldChar w:fldCharType="end"/>
      </w:r>
      <w:bookmarkEnd w:id="335"/>
      <w:r>
        <w:t>.</w:t>
      </w:r>
      <w:r w:rsidRPr="00825C20">
        <w:t xml:space="preserve"> </w:t>
      </w:r>
      <w:r>
        <w:t>Native species richness in each inundation zone in each reach in June 2024.</w:t>
      </w:r>
      <w:bookmarkEnd w:id="336"/>
      <w:r w:rsidRPr="00825C20">
        <w:t xml:space="preserve">  </w:t>
      </w:r>
    </w:p>
    <w:p w14:paraId="1363F08F" w14:textId="7A834709" w:rsidR="00134F05" w:rsidRDefault="00134F05" w:rsidP="00134F05">
      <w:r w:rsidRPr="005C681D">
        <w:t>The abundance of functional groups (percentage of cells occupied by species from each functional group) in each zone was variable between reaches</w:t>
      </w:r>
      <w:r>
        <w:t xml:space="preserve"> (</w:t>
      </w:r>
      <w:r>
        <w:fldChar w:fldCharType="begin"/>
      </w:r>
      <w:r>
        <w:instrText xml:space="preserve"> REF _Ref190778138 \h </w:instrText>
      </w:r>
      <w:r>
        <w:fldChar w:fldCharType="separate"/>
      </w:r>
      <w:r w:rsidR="00102828">
        <w:t xml:space="preserve">Figure </w:t>
      </w:r>
      <w:r w:rsidR="00102828">
        <w:rPr>
          <w:noProof/>
        </w:rPr>
        <w:t>46</w:t>
      </w:r>
      <w:r>
        <w:fldChar w:fldCharType="end"/>
      </w:r>
      <w:r>
        <w:t>).</w:t>
      </w:r>
      <w:r w:rsidRPr="005C681D">
        <w:t xml:space="preserve"> Nevertheless, there were similar patterns among reaches with</w:t>
      </w:r>
      <w:r w:rsidR="004875A0">
        <w:t xml:space="preserve"> the abundance of</w:t>
      </w:r>
      <w:r w:rsidRPr="005C681D">
        <w:t xml:space="preserve"> flood dependent taxa</w:t>
      </w:r>
      <w:r>
        <w:t xml:space="preserve"> being</w:t>
      </w:r>
      <w:r w:rsidRPr="005C681D">
        <w:t xml:space="preserve"> highest across all </w:t>
      </w:r>
      <w:r w:rsidRPr="00655F25">
        <w:rPr>
          <w:i/>
          <w:iCs/>
        </w:rPr>
        <w:t>Not inundate</w:t>
      </w:r>
      <w:r w:rsidRPr="005C681D">
        <w:t>d zones</w:t>
      </w:r>
      <w:r>
        <w:t>,</w:t>
      </w:r>
      <w:r w:rsidRPr="005C681D">
        <w:t xml:space="preserve"> </w:t>
      </w:r>
      <w:r>
        <w:t xml:space="preserve">decreasing in abundance with decreasing elevation except downstream of Lock 6. </w:t>
      </w:r>
      <w:r w:rsidRPr="005C681D">
        <w:t xml:space="preserve">Flood dependent and amphibious taxa were widespread and present in all zones in each reach except </w:t>
      </w:r>
      <w:r w:rsidRPr="00655F25">
        <w:rPr>
          <w:i/>
          <w:iCs/>
        </w:rPr>
        <w:t>Pool level</w:t>
      </w:r>
      <w:r w:rsidRPr="005C681D">
        <w:t xml:space="preserve"> downstream of Lock 4 and</w:t>
      </w:r>
      <w:r>
        <w:t xml:space="preserve"> Lock</w:t>
      </w:r>
      <w:r w:rsidRPr="005C681D">
        <w:t xml:space="preserve"> 6</w:t>
      </w:r>
      <w:r>
        <w:t xml:space="preserve"> (</w:t>
      </w:r>
      <w:r>
        <w:fldChar w:fldCharType="begin"/>
      </w:r>
      <w:r>
        <w:instrText xml:space="preserve"> REF _Ref190778138 \h </w:instrText>
      </w:r>
      <w:r>
        <w:fldChar w:fldCharType="separate"/>
      </w:r>
      <w:r w:rsidR="00102828">
        <w:t xml:space="preserve">Figure </w:t>
      </w:r>
      <w:r w:rsidR="00102828">
        <w:rPr>
          <w:noProof/>
        </w:rPr>
        <w:t>46</w:t>
      </w:r>
      <w:r>
        <w:fldChar w:fldCharType="end"/>
      </w:r>
      <w:r>
        <w:t>)</w:t>
      </w:r>
      <w:r w:rsidRPr="005C681D">
        <w:t>.</w:t>
      </w:r>
      <w:r>
        <w:t xml:space="preserve"> Abundance of emergent taxa were low, only occurring downstream of Lock 1. Terrestrial taxa had the highest abundance in the </w:t>
      </w:r>
      <w:r w:rsidRPr="00655F25">
        <w:rPr>
          <w:i/>
          <w:iCs/>
        </w:rPr>
        <w:t>Inundation extent</w:t>
      </w:r>
      <w:r>
        <w:t xml:space="preserve"> zone across all reaches with the highest being downstream of Lock 1 (</w:t>
      </w:r>
      <w:r>
        <w:fldChar w:fldCharType="begin"/>
      </w:r>
      <w:r>
        <w:instrText xml:space="preserve"> REF _Ref190778138 \h </w:instrText>
      </w:r>
      <w:r>
        <w:fldChar w:fldCharType="separate"/>
      </w:r>
      <w:r w:rsidR="00102828">
        <w:t xml:space="preserve">Figure </w:t>
      </w:r>
      <w:r w:rsidR="00102828">
        <w:rPr>
          <w:noProof/>
        </w:rPr>
        <w:t>46</w:t>
      </w:r>
      <w:r>
        <w:fldChar w:fldCharType="end"/>
      </w:r>
      <w:r>
        <w:t xml:space="preserve">). </w:t>
      </w:r>
    </w:p>
    <w:p w14:paraId="7C105BCD" w14:textId="77777777" w:rsidR="00134F05" w:rsidRDefault="00134F05" w:rsidP="00134F05">
      <w:pPr>
        <w:rPr>
          <w:b/>
        </w:rPr>
        <w:sectPr w:rsidR="00134F05" w:rsidSect="00134F05">
          <w:pgSz w:w="11906" w:h="16838"/>
          <w:pgMar w:top="1440" w:right="1440" w:bottom="1440" w:left="1440" w:header="708" w:footer="708" w:gutter="0"/>
          <w:cols w:space="708"/>
          <w:docGrid w:linePitch="360"/>
        </w:sectPr>
      </w:pPr>
    </w:p>
    <w:p w14:paraId="1A9EB25C" w14:textId="77777777" w:rsidR="00134F05" w:rsidRDefault="00134F05" w:rsidP="00134F05">
      <w:pPr>
        <w:keepNext/>
        <w:jc w:val="center"/>
      </w:pPr>
      <w:r w:rsidRPr="00C61DBA">
        <w:rPr>
          <w:noProof/>
        </w:rPr>
        <w:lastRenderedPageBreak/>
        <w:drawing>
          <wp:inline distT="0" distB="0" distL="0" distR="0" wp14:anchorId="2AC6CA49" wp14:editId="6FE7A519">
            <wp:extent cx="8863330" cy="4559300"/>
            <wp:effectExtent l="0" t="0" r="0" b="0"/>
            <wp:docPr id="1721334601" name="Picture 2" descr="Graph showing percentage of cells occupied by each functional group in each inundation zone in in the Lower Murray River in June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34601" name="Picture 2" descr="Graph showing percentage of cells occupied by each functional group in each inundation zone in in the Lower Murray River in June 202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8863330" cy="4559300"/>
                    </a:xfrm>
                    <a:prstGeom prst="rect">
                      <a:avLst/>
                    </a:prstGeom>
                    <a:noFill/>
                    <a:ln>
                      <a:noFill/>
                    </a:ln>
                  </pic:spPr>
                </pic:pic>
              </a:graphicData>
            </a:graphic>
          </wp:inline>
        </w:drawing>
      </w:r>
    </w:p>
    <w:p w14:paraId="552D3E6D" w14:textId="12E958EE" w:rsidR="00134F05" w:rsidRDefault="00134F05" w:rsidP="00134F05">
      <w:pPr>
        <w:pStyle w:val="Caption"/>
        <w:jc w:val="center"/>
        <w:sectPr w:rsidR="00134F05" w:rsidSect="00134F05">
          <w:pgSz w:w="16838" w:h="11906" w:orient="landscape"/>
          <w:pgMar w:top="1440" w:right="1440" w:bottom="1440" w:left="1440" w:header="708" w:footer="708" w:gutter="0"/>
          <w:cols w:space="708"/>
          <w:docGrid w:linePitch="360"/>
        </w:sectPr>
      </w:pPr>
      <w:bookmarkStart w:id="337" w:name="_Ref190778138"/>
      <w:bookmarkStart w:id="338" w:name="_Toc200464497"/>
      <w:r>
        <w:t xml:space="preserve">Figure </w:t>
      </w:r>
      <w:r>
        <w:fldChar w:fldCharType="begin"/>
      </w:r>
      <w:r>
        <w:instrText>SEQ Figure \* ARABIC</w:instrText>
      </w:r>
      <w:r>
        <w:fldChar w:fldCharType="separate"/>
      </w:r>
      <w:r w:rsidR="00102828">
        <w:rPr>
          <w:noProof/>
        </w:rPr>
        <w:t>46</w:t>
      </w:r>
      <w:r>
        <w:fldChar w:fldCharType="end"/>
      </w:r>
      <w:bookmarkEnd w:id="337"/>
      <w:r>
        <w:t>.</w:t>
      </w:r>
      <w:r w:rsidRPr="00865189">
        <w:t xml:space="preserve"> </w:t>
      </w:r>
      <w:r>
        <w:t>Percentage of cells occupied by each functional group in each inundation zone in in the Lower Murray River in June 2024.</w:t>
      </w:r>
      <w:bookmarkEnd w:id="338"/>
    </w:p>
    <w:p w14:paraId="43C0AE9E" w14:textId="2E16B02D" w:rsidR="00134F05" w:rsidRPr="00641AE5" w:rsidRDefault="00134F05" w:rsidP="00134F05">
      <w:r>
        <w:lastRenderedPageBreak/>
        <w:t>nMDS ordination showed that the vegetation was different between elevation zones and reaches (</w:t>
      </w:r>
      <w:r>
        <w:fldChar w:fldCharType="begin"/>
      </w:r>
      <w:r>
        <w:instrText xml:space="preserve"> REF _Ref190164203 \h </w:instrText>
      </w:r>
      <w:r>
        <w:fldChar w:fldCharType="separate"/>
      </w:r>
      <w:r w:rsidR="00102828">
        <w:t xml:space="preserve">Figure </w:t>
      </w:r>
      <w:r w:rsidR="00102828">
        <w:rPr>
          <w:noProof/>
        </w:rPr>
        <w:t>47</w:t>
      </w:r>
      <w:r>
        <w:fldChar w:fldCharType="end"/>
      </w:r>
      <w:r>
        <w:t xml:space="preserve">). This was supported with PERMANOVA detecting significant differences in the plant community between reaches and inundation zones, with a significant </w:t>
      </w:r>
      <w:r w:rsidRPr="00641AE5">
        <w:t>interaction (</w:t>
      </w:r>
      <w:r w:rsidR="008E3671" w:rsidRPr="00641AE5">
        <w:t>Table C</w:t>
      </w:r>
      <w:r w:rsidR="00FB33C3">
        <w:t>10</w:t>
      </w:r>
      <w:r w:rsidR="008E3671" w:rsidRPr="00641AE5">
        <w:t>, Appendix C</w:t>
      </w:r>
      <w:r w:rsidRPr="00641AE5">
        <w:t xml:space="preserve">). This provides evidence that the plant community responded differently to inundation between reaches. </w:t>
      </w:r>
    </w:p>
    <w:p w14:paraId="51F7C721" w14:textId="00A81018" w:rsidR="00134F05" w:rsidRDefault="00134F05" w:rsidP="00134F05">
      <w:r w:rsidRPr="00641AE5">
        <w:t xml:space="preserve">PERMANOVA multiple comparisons showed that the plant community was significantly different between reaches for each inundation zone, except the </w:t>
      </w:r>
      <w:r w:rsidRPr="00641AE5">
        <w:rPr>
          <w:i/>
          <w:iCs/>
        </w:rPr>
        <w:t>Pool level</w:t>
      </w:r>
      <w:r w:rsidRPr="00641AE5">
        <w:t xml:space="preserve"> between the Lock 4 and Lock 6 reaches (</w:t>
      </w:r>
      <w:r w:rsidRPr="00641AE5">
        <w:fldChar w:fldCharType="begin"/>
      </w:r>
      <w:r w:rsidRPr="00641AE5">
        <w:instrText xml:space="preserve"> REF _Ref190164203 \h </w:instrText>
      </w:r>
      <w:r w:rsidR="00641AE5">
        <w:instrText xml:space="preserve"> \* MERGEFORMAT </w:instrText>
      </w:r>
      <w:r w:rsidRPr="00641AE5">
        <w:fldChar w:fldCharType="separate"/>
      </w:r>
      <w:r w:rsidR="00102828">
        <w:t xml:space="preserve">Figure </w:t>
      </w:r>
      <w:r w:rsidR="00102828">
        <w:rPr>
          <w:noProof/>
        </w:rPr>
        <w:t>47</w:t>
      </w:r>
      <w:r w:rsidRPr="00641AE5">
        <w:fldChar w:fldCharType="end"/>
      </w:r>
      <w:r w:rsidR="00BA112D" w:rsidRPr="00641AE5">
        <w:t>;</w:t>
      </w:r>
      <w:r w:rsidR="008E3671" w:rsidRPr="00641AE5">
        <w:t xml:space="preserve"> Table C</w:t>
      </w:r>
      <w:r w:rsidR="00E436C6">
        <w:t>1</w:t>
      </w:r>
      <w:r w:rsidR="00FB33C3">
        <w:t>1</w:t>
      </w:r>
      <w:r w:rsidR="008E3671" w:rsidRPr="00641AE5">
        <w:t>, Appendix C</w:t>
      </w:r>
      <w:r w:rsidRPr="00641AE5">
        <w:t xml:space="preserve">). In the reach downstream of Lock 1, all zones were significantly different except the </w:t>
      </w:r>
      <w:r w:rsidRPr="00641AE5">
        <w:rPr>
          <w:i/>
          <w:iCs/>
        </w:rPr>
        <w:t>Inundated</w:t>
      </w:r>
      <w:r w:rsidRPr="00641AE5">
        <w:t xml:space="preserve"> and </w:t>
      </w:r>
      <w:r w:rsidRPr="00641AE5">
        <w:rPr>
          <w:i/>
          <w:iCs/>
        </w:rPr>
        <w:t>Inundation extent</w:t>
      </w:r>
      <w:r w:rsidRPr="00641AE5">
        <w:t xml:space="preserve"> zones (</w:t>
      </w:r>
      <w:r w:rsidR="008E3671" w:rsidRPr="00641AE5">
        <w:t>Table C</w:t>
      </w:r>
      <w:r w:rsidR="00E436C6">
        <w:t>1</w:t>
      </w:r>
      <w:r w:rsidR="00FB33C3">
        <w:t>1</w:t>
      </w:r>
      <w:r w:rsidR="008E3671" w:rsidRPr="00641AE5">
        <w:t>a</w:t>
      </w:r>
      <w:r w:rsidRPr="00641AE5">
        <w:t xml:space="preserve">). In the reach downstream of Lock 4, all zones were significantly different to the </w:t>
      </w:r>
      <w:r w:rsidRPr="00641AE5">
        <w:rPr>
          <w:i/>
          <w:iCs/>
        </w:rPr>
        <w:t>Pool level</w:t>
      </w:r>
      <w:r w:rsidRPr="00641AE5">
        <w:t xml:space="preserve"> zone but there were no significant differences between the other zones (</w:t>
      </w:r>
      <w:r w:rsidR="008E3671" w:rsidRPr="00641AE5">
        <w:t>Table C</w:t>
      </w:r>
      <w:r w:rsidR="00E436C6">
        <w:t>1</w:t>
      </w:r>
      <w:r w:rsidR="00FB33C3">
        <w:t>1</w:t>
      </w:r>
      <w:r w:rsidR="008E3671" w:rsidRPr="00641AE5">
        <w:t>b</w:t>
      </w:r>
      <w:r w:rsidRPr="00641AE5">
        <w:t xml:space="preserve">). All zones were significantly different except the </w:t>
      </w:r>
      <w:r w:rsidRPr="00641AE5">
        <w:rPr>
          <w:i/>
          <w:iCs/>
        </w:rPr>
        <w:t>Not inundated</w:t>
      </w:r>
      <w:r w:rsidRPr="00641AE5">
        <w:t xml:space="preserve"> and </w:t>
      </w:r>
      <w:r w:rsidRPr="00641AE5">
        <w:rPr>
          <w:i/>
          <w:iCs/>
        </w:rPr>
        <w:t>Inundation extent</w:t>
      </w:r>
      <w:r w:rsidRPr="00641AE5">
        <w:t xml:space="preserve"> zones in the reach downstream of Lock 6 (</w:t>
      </w:r>
      <w:r w:rsidR="008E3671" w:rsidRPr="00641AE5">
        <w:t>Table C</w:t>
      </w:r>
      <w:r w:rsidR="00E436C6">
        <w:t>1</w:t>
      </w:r>
      <w:r w:rsidR="00FB33C3">
        <w:t>1</w:t>
      </w:r>
      <w:r w:rsidR="008E3671" w:rsidRPr="00641AE5">
        <w:t>c</w:t>
      </w:r>
      <w:r w:rsidRPr="00641AE5">
        <w:t>).</w:t>
      </w:r>
    </w:p>
    <w:p w14:paraId="299F0DC3" w14:textId="77777777" w:rsidR="00134F05" w:rsidRDefault="00134F05" w:rsidP="00134F05">
      <w:pPr>
        <w:keepNext/>
      </w:pPr>
      <w:r>
        <w:rPr>
          <w:noProof/>
        </w:rPr>
        <w:drawing>
          <wp:inline distT="0" distB="0" distL="0" distR="0" wp14:anchorId="07B870B4" wp14:editId="02AFB7C3">
            <wp:extent cx="5731510" cy="3470347"/>
            <wp:effectExtent l="0" t="0" r="2540" b="0"/>
            <wp:docPr id="243222416" name="Picture 3" descr="nMDS ordination comparing the plant community in each inundation zone in each reach in June 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222416" name="Picture 3" descr="nMDS ordination comparing the plant community in each inundation zone in each reach in June 2024. "/>
                    <pic:cNvPicPr/>
                  </pic:nvPicPr>
                  <pic:blipFill rotWithShape="1">
                    <a:blip r:embed="rId113" cstate="print">
                      <a:extLst>
                        <a:ext uri="{28A0092B-C50C-407E-A947-70E740481C1C}">
                          <a14:useLocalDpi xmlns:a14="http://schemas.microsoft.com/office/drawing/2010/main" val="0"/>
                        </a:ext>
                      </a:extLst>
                    </a:blip>
                    <a:srcRect t="7793"/>
                    <a:stretch/>
                  </pic:blipFill>
                  <pic:spPr bwMode="auto">
                    <a:xfrm>
                      <a:off x="0" y="0"/>
                      <a:ext cx="5731510" cy="3470347"/>
                    </a:xfrm>
                    <a:prstGeom prst="rect">
                      <a:avLst/>
                    </a:prstGeom>
                    <a:ln>
                      <a:noFill/>
                    </a:ln>
                    <a:extLst>
                      <a:ext uri="{53640926-AAD7-44D8-BBD7-CCE9431645EC}">
                        <a14:shadowObscured xmlns:a14="http://schemas.microsoft.com/office/drawing/2010/main"/>
                      </a:ext>
                    </a:extLst>
                  </pic:spPr>
                </pic:pic>
              </a:graphicData>
            </a:graphic>
          </wp:inline>
        </w:drawing>
      </w:r>
    </w:p>
    <w:p w14:paraId="55DFC456" w14:textId="42D12B59" w:rsidR="00134F05" w:rsidRDefault="00134F05" w:rsidP="00134F05">
      <w:pPr>
        <w:pStyle w:val="Caption"/>
        <w:keepNext/>
      </w:pPr>
      <w:bookmarkStart w:id="339" w:name="_Ref190164203"/>
      <w:bookmarkStart w:id="340" w:name="_Toc200464498"/>
      <w:r>
        <w:t xml:space="preserve">Figure </w:t>
      </w:r>
      <w:r>
        <w:fldChar w:fldCharType="begin"/>
      </w:r>
      <w:r>
        <w:instrText>SEQ Figure \* ARABIC</w:instrText>
      </w:r>
      <w:r>
        <w:fldChar w:fldCharType="separate"/>
      </w:r>
      <w:r w:rsidR="00102828">
        <w:rPr>
          <w:noProof/>
        </w:rPr>
        <w:t>47</w:t>
      </w:r>
      <w:r>
        <w:fldChar w:fldCharType="end"/>
      </w:r>
      <w:bookmarkEnd w:id="339"/>
      <w:r>
        <w:t>.</w:t>
      </w:r>
      <w:r w:rsidRPr="00865189">
        <w:t xml:space="preserve"> </w:t>
      </w:r>
      <w:r>
        <w:t xml:space="preserve">nMDS </w:t>
      </w:r>
      <w:r w:rsidR="00BA112D">
        <w:t>o</w:t>
      </w:r>
      <w:r>
        <w:t>rdination comparing the plant community in each inundation zone in each reach in June 2024 (the pool level points on the ordination for Lock 6 and Lock 4 occupy the same space due to all quadrats being devoid of vegetation).</w:t>
      </w:r>
      <w:bookmarkEnd w:id="340"/>
      <w:r w:rsidRPr="00825C20">
        <w:t xml:space="preserve">  </w:t>
      </w:r>
      <w:bookmarkStart w:id="341" w:name="_Ref190164235"/>
    </w:p>
    <w:bookmarkEnd w:id="341"/>
    <w:p w14:paraId="3CF2FEBD" w14:textId="3266741B" w:rsidR="00134F05" w:rsidRPr="00641AE5" w:rsidRDefault="00134F05" w:rsidP="00134F05">
      <w:pPr>
        <w:spacing w:after="0"/>
      </w:pPr>
      <w:r>
        <w:t xml:space="preserve">Indicator species analysis comparing the different inundation zones within each reach showed that </w:t>
      </w:r>
      <w:r w:rsidRPr="00C54960">
        <w:rPr>
          <w:i/>
          <w:iCs/>
        </w:rPr>
        <w:t xml:space="preserve">Brachyscome paludicola, Eucalyptus camaldulensis, Sporobolus mitchellii, Symphyotrichum subulatum </w:t>
      </w:r>
      <w:r w:rsidRPr="00E74905">
        <w:t>and</w:t>
      </w:r>
      <w:r w:rsidRPr="00C54960">
        <w:rPr>
          <w:i/>
          <w:iCs/>
        </w:rPr>
        <w:t xml:space="preserve"> Wahlenbergia fluminalis</w:t>
      </w:r>
      <w:r>
        <w:t xml:space="preserve"> were significant indicators of the </w:t>
      </w:r>
      <w:r w:rsidRPr="006540F9">
        <w:rPr>
          <w:i/>
          <w:iCs/>
        </w:rPr>
        <w:t>Not inundated</w:t>
      </w:r>
      <w:r>
        <w:t xml:space="preserve"> zone and </w:t>
      </w:r>
      <w:r w:rsidRPr="00C54960">
        <w:rPr>
          <w:i/>
          <w:iCs/>
        </w:rPr>
        <w:t>Pseudognaphalium luteoalbum</w:t>
      </w:r>
      <w:r>
        <w:t xml:space="preserve"> of the </w:t>
      </w:r>
      <w:r w:rsidRPr="006540F9">
        <w:rPr>
          <w:i/>
          <w:iCs/>
        </w:rPr>
        <w:t>Inundation extent</w:t>
      </w:r>
      <w:r>
        <w:t xml:space="preserve"> zone downstream of </w:t>
      </w:r>
      <w:r w:rsidRPr="00641AE5">
        <w:t>Lock 1 (Table C</w:t>
      </w:r>
      <w:r w:rsidR="00FB33C3">
        <w:t>9</w:t>
      </w:r>
      <w:r w:rsidRPr="00641AE5">
        <w:t xml:space="preserve">a, Appendix C). For downstream of Lock 4, there was only one significant indicator: bare soil at </w:t>
      </w:r>
      <w:r w:rsidRPr="00641AE5">
        <w:rPr>
          <w:i/>
          <w:iCs/>
        </w:rPr>
        <w:t xml:space="preserve">Pool level </w:t>
      </w:r>
      <w:r w:rsidRPr="00641AE5">
        <w:t>(Table C</w:t>
      </w:r>
      <w:r w:rsidR="00FB33C3">
        <w:t>9</w:t>
      </w:r>
      <w:r w:rsidRPr="00641AE5">
        <w:t>b)</w:t>
      </w:r>
      <w:r w:rsidRPr="00641AE5">
        <w:rPr>
          <w:i/>
          <w:iCs/>
        </w:rPr>
        <w:t>.</w:t>
      </w:r>
      <w:r w:rsidRPr="00641AE5">
        <w:t xml:space="preserve"> For downstream of Lock 6, </w:t>
      </w:r>
      <w:r w:rsidRPr="00641AE5">
        <w:rPr>
          <w:i/>
          <w:iCs/>
        </w:rPr>
        <w:t>Eucalyptus camaldulensis</w:t>
      </w:r>
      <w:r w:rsidRPr="00641AE5">
        <w:t xml:space="preserve"> and </w:t>
      </w:r>
      <w:r w:rsidRPr="00641AE5">
        <w:rPr>
          <w:i/>
          <w:iCs/>
        </w:rPr>
        <w:t xml:space="preserve">Euchiton involucratus </w:t>
      </w:r>
      <w:r w:rsidRPr="00641AE5">
        <w:t>were significant indicators of the</w:t>
      </w:r>
      <w:r w:rsidRPr="00641AE5">
        <w:rPr>
          <w:i/>
          <w:iCs/>
        </w:rPr>
        <w:t xml:space="preserve"> Inundated</w:t>
      </w:r>
      <w:r w:rsidRPr="00641AE5">
        <w:t xml:space="preserve"> zone, </w:t>
      </w:r>
      <w:r w:rsidRPr="00641AE5">
        <w:rPr>
          <w:i/>
          <w:iCs/>
        </w:rPr>
        <w:t>Centipeda cunninghamii</w:t>
      </w:r>
      <w:r w:rsidRPr="00641AE5">
        <w:t xml:space="preserve"> of the </w:t>
      </w:r>
      <w:r w:rsidRPr="00641AE5">
        <w:rPr>
          <w:i/>
          <w:iCs/>
        </w:rPr>
        <w:t>Inundation extent</w:t>
      </w:r>
      <w:r w:rsidRPr="00641AE5">
        <w:t xml:space="preserve"> zone and bare soil of </w:t>
      </w:r>
      <w:r w:rsidRPr="00641AE5">
        <w:rPr>
          <w:i/>
          <w:iCs/>
        </w:rPr>
        <w:t xml:space="preserve">Pool level </w:t>
      </w:r>
      <w:r w:rsidRPr="00641AE5">
        <w:t>(Table C</w:t>
      </w:r>
      <w:r w:rsidR="00FB33C3">
        <w:t>9</w:t>
      </w:r>
      <w:r w:rsidRPr="00641AE5">
        <w:t>c)</w:t>
      </w:r>
      <w:r w:rsidRPr="00641AE5">
        <w:rPr>
          <w:i/>
          <w:iCs/>
        </w:rPr>
        <w:t>.</w:t>
      </w:r>
      <w:r w:rsidRPr="00641AE5">
        <w:t xml:space="preserve"> </w:t>
      </w:r>
    </w:p>
    <w:p w14:paraId="51236517" w14:textId="5C36BC86" w:rsidR="00134F05" w:rsidRPr="00BC2EAF" w:rsidRDefault="00134F05" w:rsidP="00134F05">
      <w:r w:rsidRPr="00641AE5">
        <w:lastRenderedPageBreak/>
        <w:t xml:space="preserve">Several exotic species were recorded in the </w:t>
      </w:r>
      <w:r w:rsidRPr="00641AE5">
        <w:rPr>
          <w:i/>
          <w:iCs/>
        </w:rPr>
        <w:t>Not Inundated</w:t>
      </w:r>
      <w:r w:rsidRPr="00641AE5">
        <w:t xml:space="preserve"> and </w:t>
      </w:r>
      <w:r w:rsidRPr="00641AE5">
        <w:rPr>
          <w:i/>
          <w:iCs/>
        </w:rPr>
        <w:t>Inundation extent</w:t>
      </w:r>
      <w:r w:rsidRPr="00641AE5">
        <w:t xml:space="preserve"> zones.</w:t>
      </w:r>
      <w:r w:rsidRPr="00641AE5">
        <w:rPr>
          <w:i/>
          <w:iCs/>
        </w:rPr>
        <w:t xml:space="preserve"> Symphyotrichum subulatum</w:t>
      </w:r>
      <w:r w:rsidRPr="00641AE5">
        <w:t xml:space="preserve"> was recorded downstream of Lock 1 and Lock 6 and</w:t>
      </w:r>
      <w:r w:rsidRPr="00641AE5">
        <w:rPr>
          <w:i/>
          <w:iCs/>
        </w:rPr>
        <w:t xml:space="preserve"> Xanthium occidentale </w:t>
      </w:r>
      <w:r w:rsidRPr="00641AE5">
        <w:t xml:space="preserve">downstream of Lock 6 in the </w:t>
      </w:r>
      <w:r w:rsidRPr="00641AE5">
        <w:rPr>
          <w:i/>
          <w:iCs/>
        </w:rPr>
        <w:t>Not inundated</w:t>
      </w:r>
      <w:r w:rsidRPr="00641AE5">
        <w:t xml:space="preserve"> zone (Table C</w:t>
      </w:r>
      <w:r w:rsidR="00FB33C3">
        <w:t>9</w:t>
      </w:r>
      <w:r w:rsidRPr="00641AE5">
        <w:t xml:space="preserve">, Appendix C). </w:t>
      </w:r>
      <w:r w:rsidRPr="00641AE5">
        <w:rPr>
          <w:i/>
          <w:iCs/>
        </w:rPr>
        <w:t>Heliotropium curassavicum</w:t>
      </w:r>
      <w:r w:rsidRPr="00641AE5">
        <w:t xml:space="preserve"> was present in the </w:t>
      </w:r>
      <w:r w:rsidRPr="00641AE5">
        <w:rPr>
          <w:i/>
          <w:iCs/>
        </w:rPr>
        <w:t>Inundation extent</w:t>
      </w:r>
      <w:r w:rsidRPr="00641AE5">
        <w:t xml:space="preserve"> zone across all reaches.</w:t>
      </w:r>
    </w:p>
    <w:p w14:paraId="55E9F853" w14:textId="77777777" w:rsidR="00134F05" w:rsidRDefault="00134F05" w:rsidP="00134F05">
      <w:r w:rsidRPr="00115F0C">
        <w:rPr>
          <w:i/>
          <w:iCs/>
        </w:rPr>
        <w:t>Eucalyptus camaldulensis</w:t>
      </w:r>
      <w:r w:rsidRPr="00115F0C">
        <w:t xml:space="preserve"> seedlings were </w:t>
      </w:r>
      <w:r>
        <w:t xml:space="preserve">widespread across all reaches and zones except </w:t>
      </w:r>
      <w:r w:rsidRPr="00115F0C">
        <w:rPr>
          <w:i/>
          <w:iCs/>
        </w:rPr>
        <w:t>Pool level</w:t>
      </w:r>
      <w:r>
        <w:t xml:space="preserve"> in the reaches downstream of Lock 4 and Lock 6. Extended flooding in 2022-23 resulted in the mortality of the 2019-20 cohort; however, the high flows that drowned the 2019-20 cohort provided conditions for widespread germination across the LMR floodplain.</w:t>
      </w:r>
    </w:p>
    <w:p w14:paraId="0BE8613F" w14:textId="0DE36CB9" w:rsidR="00134F05" w:rsidRDefault="00134F05" w:rsidP="00134F05">
      <w:r>
        <w:rPr>
          <w:i/>
          <w:u w:val="single"/>
        </w:rPr>
        <w:t>Above ground biomass</w:t>
      </w:r>
      <w:r w:rsidR="00B46D68">
        <w:rPr>
          <w:i/>
          <w:u w:val="single"/>
        </w:rPr>
        <w:t xml:space="preserve"> 2023-24</w:t>
      </w:r>
    </w:p>
    <w:p w14:paraId="6CE7603C" w14:textId="764DB444" w:rsidR="00134F05" w:rsidRDefault="00134F05" w:rsidP="00134F05">
      <w:r>
        <w:t xml:space="preserve">Above ground biomass was not significantly </w:t>
      </w:r>
      <w:r w:rsidRPr="00641AE5">
        <w:t>different between reaches (</w:t>
      </w:r>
      <w:r w:rsidR="008E3671" w:rsidRPr="00641AE5">
        <w:t>Table C</w:t>
      </w:r>
      <w:r w:rsidR="00891AA7">
        <w:t>1</w:t>
      </w:r>
      <w:r w:rsidR="00FB33C3">
        <w:t>2</w:t>
      </w:r>
      <w:r w:rsidR="008E3671" w:rsidRPr="00641AE5">
        <w:t>, Appendix C</w:t>
      </w:r>
      <w:r w:rsidRPr="00641AE5">
        <w:t>) but there were similar patterns between zones across reaches (</w:t>
      </w:r>
      <w:r w:rsidRPr="00641AE5">
        <w:fldChar w:fldCharType="begin"/>
      </w:r>
      <w:r w:rsidRPr="00641AE5">
        <w:instrText xml:space="preserve"> REF _Ref190164546 \h </w:instrText>
      </w:r>
      <w:r w:rsidR="00641AE5">
        <w:instrText xml:space="preserve"> \* MERGEFORMAT </w:instrText>
      </w:r>
      <w:r w:rsidRPr="00641AE5">
        <w:fldChar w:fldCharType="separate"/>
      </w:r>
      <w:r w:rsidR="00102828">
        <w:t xml:space="preserve">Figure </w:t>
      </w:r>
      <w:r w:rsidR="00102828">
        <w:rPr>
          <w:noProof/>
        </w:rPr>
        <w:t>48</w:t>
      </w:r>
      <w:r w:rsidRPr="00641AE5">
        <w:fldChar w:fldCharType="end"/>
      </w:r>
      <w:r w:rsidRPr="00641AE5">
        <w:t xml:space="preserve">). Biomass was typically highest in the </w:t>
      </w:r>
      <w:r w:rsidRPr="00641AE5">
        <w:rPr>
          <w:i/>
          <w:iCs/>
        </w:rPr>
        <w:t>Not inundated</w:t>
      </w:r>
      <w:r w:rsidRPr="00641AE5">
        <w:t xml:space="preserve"> zone, except the reach downstream of Lock 4 but there was no significant difference between the </w:t>
      </w:r>
      <w:r w:rsidRPr="00641AE5">
        <w:rPr>
          <w:i/>
          <w:iCs/>
        </w:rPr>
        <w:t>Not inundated</w:t>
      </w:r>
      <w:r w:rsidRPr="00641AE5">
        <w:t xml:space="preserve"> and </w:t>
      </w:r>
      <w:r w:rsidRPr="00641AE5">
        <w:rPr>
          <w:i/>
          <w:iCs/>
        </w:rPr>
        <w:t>Inundation extent</w:t>
      </w:r>
      <w:r w:rsidRPr="00641AE5">
        <w:t xml:space="preserve"> zones (</w:t>
      </w:r>
      <w:r w:rsidRPr="00641AE5">
        <w:fldChar w:fldCharType="begin"/>
      </w:r>
      <w:r w:rsidRPr="00641AE5">
        <w:instrText xml:space="preserve"> REF _Ref190164546 \h </w:instrText>
      </w:r>
      <w:r w:rsidR="00641AE5">
        <w:instrText xml:space="preserve"> \* MERGEFORMAT </w:instrText>
      </w:r>
      <w:r w:rsidRPr="00641AE5">
        <w:fldChar w:fldCharType="separate"/>
      </w:r>
      <w:r w:rsidR="00102828">
        <w:t xml:space="preserve">Figure </w:t>
      </w:r>
      <w:r w:rsidR="00102828">
        <w:rPr>
          <w:noProof/>
        </w:rPr>
        <w:t>48</w:t>
      </w:r>
      <w:r w:rsidRPr="00641AE5">
        <w:fldChar w:fldCharType="end"/>
      </w:r>
      <w:r w:rsidRPr="00641AE5">
        <w:t>,</w:t>
      </w:r>
      <w:r w:rsidR="008E3671" w:rsidRPr="00641AE5">
        <w:t xml:space="preserve"> Table C</w:t>
      </w:r>
      <w:r w:rsidR="00891AA7">
        <w:t>1</w:t>
      </w:r>
      <w:r w:rsidR="00FB33C3">
        <w:t>2</w:t>
      </w:r>
      <w:r w:rsidRPr="00641AE5">
        <w:t>). The lowest</w:t>
      </w:r>
      <w:r>
        <w:t xml:space="preserve"> biomass at all reaches was at </w:t>
      </w:r>
      <w:r w:rsidRPr="00720C88">
        <w:rPr>
          <w:i/>
          <w:iCs/>
        </w:rPr>
        <w:t>Pool level</w:t>
      </w:r>
      <w:r>
        <w:t xml:space="preserve"> (</w:t>
      </w:r>
      <w:r>
        <w:fldChar w:fldCharType="begin"/>
      </w:r>
      <w:r>
        <w:instrText xml:space="preserve"> REF _Ref190164546 \h </w:instrText>
      </w:r>
      <w:r>
        <w:fldChar w:fldCharType="separate"/>
      </w:r>
      <w:r w:rsidR="00102828">
        <w:t xml:space="preserve">Figure </w:t>
      </w:r>
      <w:r w:rsidR="00102828">
        <w:rPr>
          <w:noProof/>
        </w:rPr>
        <w:t>48</w:t>
      </w:r>
      <w:r>
        <w:fldChar w:fldCharType="end"/>
      </w:r>
      <w:r>
        <w:t xml:space="preserve">), </w:t>
      </w:r>
      <w:r w:rsidRPr="00067A09">
        <w:t>with the reaches downstream of Lock 4 and Lock 6 being devoid of vegetation</w:t>
      </w:r>
      <w:r w:rsidRPr="004A0672">
        <w:t>.</w:t>
      </w:r>
      <w:r>
        <w:t xml:space="preserve"> </w:t>
      </w:r>
    </w:p>
    <w:p w14:paraId="7E299817" w14:textId="77777777" w:rsidR="00134F05" w:rsidRDefault="00134F05" w:rsidP="00134F05">
      <w:pPr>
        <w:pStyle w:val="FigureCaption"/>
        <w:keepNext/>
      </w:pPr>
      <w:bookmarkStart w:id="342" w:name="_Toc89696167"/>
      <w:bookmarkStart w:id="343" w:name="_Toc97556485"/>
      <w:bookmarkStart w:id="344" w:name="_Ref58589490"/>
      <w:bookmarkStart w:id="345" w:name="_Toc89696157"/>
      <w:r>
        <w:rPr>
          <w:noProof/>
        </w:rPr>
        <mc:AlternateContent>
          <mc:Choice Requires="wpg">
            <w:drawing>
              <wp:inline distT="0" distB="0" distL="0" distR="0" wp14:anchorId="281AF140" wp14:editId="4262E7F0">
                <wp:extent cx="5731510" cy="3750945"/>
                <wp:effectExtent l="0" t="0" r="2540" b="1905"/>
                <wp:docPr id="573693011" name="Group 6" descr="Graph showing above ground biomass in each inundation zone in each reach in June 2024.  "/>
                <wp:cNvGraphicFramePr/>
                <a:graphic xmlns:a="http://schemas.openxmlformats.org/drawingml/2006/main">
                  <a:graphicData uri="http://schemas.microsoft.com/office/word/2010/wordprocessingGroup">
                    <wpg:wgp>
                      <wpg:cNvGrpSpPr/>
                      <wpg:grpSpPr>
                        <a:xfrm>
                          <a:off x="0" y="0"/>
                          <a:ext cx="5731510" cy="3750945"/>
                          <a:chOff x="0" y="0"/>
                          <a:chExt cx="5731510" cy="3750945"/>
                        </a:xfrm>
                      </wpg:grpSpPr>
                      <pic:pic xmlns:pic="http://schemas.openxmlformats.org/drawingml/2006/picture">
                        <pic:nvPicPr>
                          <pic:cNvPr id="1227673405" name="Picture 5"/>
                          <pic:cNvPicPr>
                            <a:picLocks noChangeAspect="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731510" cy="3750945"/>
                          </a:xfrm>
                          <a:prstGeom prst="rect">
                            <a:avLst/>
                          </a:prstGeom>
                          <a:noFill/>
                          <a:ln>
                            <a:noFill/>
                          </a:ln>
                        </pic:spPr>
                      </pic:pic>
                      <pic:pic xmlns:pic="http://schemas.openxmlformats.org/drawingml/2006/picture">
                        <pic:nvPicPr>
                          <pic:cNvPr id="1048" name="Picture 1048"/>
                          <pic:cNvPicPr>
                            <a:picLocks noChangeAspect="1"/>
                          </pic:cNvPicPr>
                        </pic:nvPicPr>
                        <pic:blipFill rotWithShape="1">
                          <a:blip r:embed="rId115" cstate="print">
                            <a:extLst>
                              <a:ext uri="{28A0092B-C50C-407E-A947-70E740481C1C}">
                                <a14:useLocalDpi xmlns:a14="http://schemas.microsoft.com/office/drawing/2010/main" val="0"/>
                              </a:ext>
                            </a:extLst>
                          </a:blip>
                          <a:srcRect l="86520" t="18298" r="908" b="61380"/>
                          <a:stretch/>
                        </pic:blipFill>
                        <pic:spPr bwMode="auto">
                          <a:xfrm>
                            <a:off x="4939145" y="277091"/>
                            <a:ext cx="671195" cy="69215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3F3CB966" id="Group 6" o:spid="_x0000_s1026" alt="Graph showing above ground biomass in each inundation zone in each reach in June 2024.  " style="width:451.3pt;height:295.35pt;mso-position-horizontal-relative:char;mso-position-vertical-relative:line" coordsize="57315,3750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rIw3BAgAABwgAAA4AAABkcnMvZTJvRG9jLnhtbNRVyW7bMBS8F+g/&#10;ELonWrxKiB0UTRMU6GI0LXqmKUoiIpEESS/5+w4pxY2ToinSBejBMtfHmXnzyLPzfdeSLTdWKLmI&#10;0tMkIlwyVQpZL6Ivny9P5hGxjsqStkryRXTLbXS+fPnibKcLnqlGtSU3BEGkLXZ6ETXO6SKOLWt4&#10;R+2p0lxislKmow5dU8eloTtE79o4S5JpvFOm1EYxbi1GL/rJaBniVxVn7mNVWe5Iu4iAzYWvCd+1&#10;/8bLM1rUhupGsAEGfQaKjgqJQw+hLqijZGPEo1CdYEZZVblTprpYVZVgPHAAmzR5wObKqI0OXOpi&#10;V+uDTJD2gU7PDss+bK+MvtYrAyV2uoYWoee57CvT+X+gJPsg2e1BMr53hGFwMhulkxTKMsyNZpMk&#10;H096UVkD5R/tY82bJ3bGdwfHR3C0YAV+gwZoPdLgaa9gl9sYHg1Bul+K0VFzs9EnSJemTqxFK9xt&#10;sB4S40HJ7Uqwlek7kHNliChRClk2m85G42QSEUk7WB/L/Okk6ON3+sX9VuqpvVPsxhKpXjdU1vyV&#10;1TAv4ng14+PloXt07roV+lK0rU+Xbw8MYfQHRvmBSL0JLxTbdFy6vqoMb0FWSdsIbSNiCt6tOViZ&#10;t2WKXKOiHRhpI6Trs20N+wS8oZysM9yxxmOpgGkYR14PE4HAd8yenYUFyXr3XpUITDdOhXL6HQse&#10;jAR1jXVXXHXEN8ACSEN4un1nPWYsvVviUUvltQxcWnk0gIV+JOD3iIcmCPT5R+P/cWgyxuV87M3U&#10;j4H4sd/+mD2JUe6rcM11QzXSnIYk/GW/Zj/zq38W5tNJ1j8N6TzLIQmqJk/wjwdimo7mwyMxmNe7&#10;xavzDPeO81Ge4nokuCqz2SzJQ23T4u4unc7SNMe0v0qneZZOwsn/2sbh2sVrE6pieBn9c3a/j/b9&#10;93v5DQAA//8DAFBLAwQUAAYACAAAACEANl5RsUQZAADkAwEAFAAAAGRycy9tZWRpYS9pbWFnZTEu&#10;ZW1m7F0NeFTVmT5JJjBJAAcMNGAIQwwY4mDCEJOoSG5IJn9GEiHoCKxGjIqPWUk1UkqpTFusuA/N&#10;spTtsog2tunW5kHq7oNVMFvTigjC2q7F3W5laVS27T6i61b2kT7lZ9/33DnzB5OfmUnmhtwDX77z&#10;d++593zne+/3nXPunQQhRAvogjfUpgtROV6Ic0iTepcJcV2JEHbXrZVCJIiTSQnCkyQE/geFe64U&#10;YvVVQryD3DkJQUXilsIkkbXZInAC4QDZQTjdtQlagshE3AZKtPW8BybciTqx7jieB8S6BVqirGdh&#10;JeEpzdYsYpyMC5GnCZGDeIZMe0q92WD+uFMTCaotX3nD91yiqdE1kONnafp16u0LMUNL8rWfpaX4&#10;4jO1sb544HlfTHTcqNoNjKdqwqOunSII7Drb3/xvbWvKs7UzcaAVtArEe2YdHkPCPS6ULCSObhTX&#10;gDJA6pw4vaw1C3/VeVQc5/fcjvwCEK+DQY2FZOSdv8B/U66ffRtJT6ljx+JYFUdVeT/ea9OQ9gaP&#10;pmK8Nsp3HSItIMo3D6WqH3CKS8pwIHVm4zw2nNsCYujzGK3sDeE59bozcGxoZS4hTpULjo3WgY0N&#10;qyYsuWiL40uNY0RtII8k7zgr1PR+R97lc11b3eiv8RXizLddwnNtvHTJJXqeq0jV/Lo076sfB+mS&#10;Z8e26oJDE2opJzX2Od5ICAE65I9znIbq0MdfnScPUOOduqXiVsjbp0NQivHJQryBzPFpQiAqzpa2&#10;5J4tbXbnVJIYb8lVx4bXIVEmG9T/+OJKh7YifxOIOmTVEhILEec9qnG4GXEZjqVX8hgGVcY+smqJ&#10;SQuQV+DNt4AHBvYb06r/GGc/ioSEr00OwGT2w0wQbldkgTJAjyFzBfhpPBuuRB+wr0kIYfv7bhSW&#10;gHit5AyKi8QE4dSzhJKDN+mTAY9TfYo+l/JwIO/P6OAUZBy2CjER18L7ZP9TDpQH5aKOi0QW2Tgf&#10;xxVxM9cb57UQ5zagH1pBQ4lzw4JBRtD1jgyX6H2qX11v2mKvHch4UzKHeHzjBkPEp8dPpQixGIOl&#10;PtWvx3V1bdl1dc3utiUkxtuy1XkiGTscI1tBm0CR63HSgPWYfYOmhORSj5N8z0z2w0wQ+sCQevwE&#10;5FELeSyFPJQes/8pB8qDcolGFqYeX9r2mqUF21VR278N81xi6yRXqtb3M1tMLqyJhR6nA/NzMXZ+&#10;A66ex53uippOd7P76F0kxitqohk7sdFjy4D1mH0DNRWSSz22jBg9ttEegDxOgCs9Zv9TDpQH5RKN&#10;LPrS43Q8mK2g0fg8HjV2wtZV8Al6g+yEqhdaL/IJmv7ltRplr/HZNxCsuQb1MkCsz9D6QpXkarwy&#10;X8XxHPXZErkT4AfAQPgEXGFQxRcdJRVfbHa3fInEuKNEHYuqHhXHKT0B11YmG9T/+OIY0tLe3Aq+&#10;CRSJLcE+smrJA8Yg9h+aEpJLDEqOGwYpOfB6GFTfsV9UPNkrD/oEOZBDAjr5j+AKg9j/lAPlQbmo&#10;4yKRRTbaMH0CdIIMfrtilhZjW6LgK5h7+LhfXe/41e4AWyL8vJmSeTg9/qcrhHgIA2Kdza/Hby3c&#10;M/2thU7HiTIS43umq/OEHzse9IQK/jjHa7S2hK7HYwasx+wbXonkUo/HRKjH4fu1P99+qrcrBqvH&#10;eyCPB9DJG2x+PWb/Uw6UB+USjSxMPfbrLuCz1CsmEXM9/sNTLvGpLcgnuNQz2/Ozm2OixwsmCjEB&#10;NmjiJL8e/7Hixpw/VjgdY6pJjN+YE83YiY0ejx2wHrNvKB/JpR6PHTF6XAJ5pEIeYyAP9Txm/1MO&#10;lAflEo0s+tLj5xOF2AUyfQJ9HQ5DyMZhJCkW6xdGmDv07C8X4ieLrJo16Xnc2C4Q58Jt4MIOuuPK&#10;6o71f18jKo77+Z7Ha2U+uPZwcU3rtqm12l94fLzDm0/elPSDmo6ja2o9Pzrs5yofvKP+kxpP/dra&#10;3vUptYrzOOaTc049kNI1q8eGy7KA3n16hW9emXZJgC+wEEkVfHEM5YvWLlY8/a6sp3SI58HUvLRR&#10;WV/l02dZgbQH9O+o9O0kIW7C85U+C68lHZQcQt0TdmWeTCc1u7snkHZljruqpahwJqnZPe4qUkvR&#10;ymual26aK8mNOGnp7vnblx27gdTs3j2ftH2ZuhbaTuoaeb0qH9EB+0ONqFwNisQfYr9P1qwRYmj0&#10;6xxKZrh8GdT9B8oLsvDJ61fopL+GvErRcQpDh1te6hpxwQOSUTYqhvOTzuJ+PgVdVrhsj9c6aWqF&#10;EP9aPth1wjvvvBNzAtakJsiJukTMBEbomNnwb5We2htqhOT7vFxPswqDpxb5FSurJNezBNMymoBp&#10;FPwL1bEcFJJw9M2ShcQ5/vvzJ5q9B+L6/adATI3PUB1ajrIG0NUoeAZj7jbwv4JyWZDH+2X9QNpx&#10;dckNO652u3WeMW1dttt9KMftXpedMe1QTsY01Q4xTMVxigCd8JQh7Q3+ONvIBVEnGKcNaeqBLgd0&#10;RfR7bzwtFUJ7uiKmelDyQaVIubFGSL7fy71pXjRDCvI57slVGLAeRP8sGawevIDnyLsY/O+BH4QC&#10;hNODnKyWopyscZU6Pzp7y/RxlXuR3jL96Oy9WUdnq7EfXg/C73Ew9WAI/W3PDyuELccVcz048/Uq&#10;qQdfSaiWXKXVmGc+xz25CgbWg2I8AxZgvfk+8F3g4fSgLa95aVted6POLUuOz+lutFzb3Xh8jmWJ&#10;5VrLElMPLrHfLtAvjJdd1PPrCtGUF3s9OLSzUo7/bruuDyqtxrzMX1UlyFUoQZqhX7to+J8HPxsj&#10;xHMY/5+Cv9GHHhwo2r7sQJHldp07ljkQX1lsud1R5Fi2stgR5NspncAdB9hF5vMgT9Pt3wyOhYA5&#10;18D4LNSxoZR4xBD1ngyRjDXTvJjbRT3L7pX2UM+yD71cT+tXLYSev6pKcpVpYD24xSrEP8AwXw/+&#10;GIyacM+D9PKW3PTyTTfpvHHyhkWbbtqN9IZFjZN3lzdOVmMfpwjjH5h6EBc96JjuglRj6yfDL+j9&#10;/l45/l98tbCWzwWVVkNez19VJbnKNLAevIu5+o24TgueBTOgC+H0oLm+Lbu5/pim80zL0cXHtLNI&#10;H12caTlbn2kx9cCgdpFW5BINSbG3i7a9pPsF267X/WSVVmNe5sMOIlfBwHpwN+bFCzD+28Fn9mEX&#10;7V1RUbN3xckGnXeWZSJet/JkQ+aKzrK6lZ1lsdSDX2P+6qg5bypHT9R2Ue9il/hlQcR6sABXUQDi&#10;vKm01exIqKDGdWj6EnOiM1EHw+yS+7K5NpODMhKCbx0oMM65xP7mTJ08GmEwc0UlqP/fmKy04hoy&#10;8O7gOHC2xXslJ7U80OzetRp73Lw8mrGejfOZ6wXoBBmGcn7oAbwf+UrM/QHPik8l/ntWtEr8V2nf&#10;Hcn8VVWyXGUqPTGgX/wo9g/+NFmI74Hf2ocd1NjmKGlsq1ik8/Truh+tWHQK6e5H06871ZZ+XTQ6&#10;kYt+MtcL9MESc784w+MS4lhs9QDrZeLtv6vmupl4+wty3cyXVmOe+ZwXJVdhwPOknoBngD9OLO7v&#10;GTDV29ZgngENOOb8FUI8jbkhhw3zpX3owRJtz/Ql2gm7zh+flor4s6BU7fFpz4L61wOPhua8wR/n&#10;vZl6MITPg9VboAd/irkeeJZ9JvWgZ++j+vqxN60kLPMx7iVXmQbWg80ThXgdkzo/AV/Rhz+wvvLG&#10;nPWVy+foPGuGE/GDIGdl1oyDoFjqgekP6PYoh0/U/sArO4bOH1Dj+hLjPHSPxMD9AT/+Y6rR91wY&#10;qmdBCa59EjZt0R/QwC/lDyyvczo+ASkezVjPRnvh/IFDCUJ0g0b8/qEIvksRYztov+D+yQj8YIgH&#10;+4dSkhyI2EH0gzn2AsOFCxtLn5N7IPE6I76nYkMh/UeILqZ+LU4XFNS44/WoeDKU5A6k6Uu34gJu&#10;B/8yOPfTsV5nGt5PTDuWqOoD6qOev+d3b+pA5jiNAT57flyu7/Md3PcwIFq5z60bkRdBHKeTwOWg&#10;BZN7dM8kVkmOdM+Ju2oF0pIj3TuhVKYlR7rgmhkyLbk8/nwN63fsAZf18e4c0r0T9HfotBOPy7Tk&#10;rLDxfDXLJWeagWkGrx8cwKE3wftUOX5JCD7MD4xzLPfnCzh59CWCGvs8h4pTb5YjvQW0PERvUpDH&#10;vmT9/uh0KvWr2X06de+tnWl7bz2dainvTLOUn06tK+lMqys5nbprbmfarrmnU09ld6adyj6duiCj&#10;M21BxunUTeM70zaNP516LDHW+mmHkqeDRqN+WrVR/H2jCJ67Zn+Z38/KAM4BDkslU3Hze2Pye3uF&#10;mm6vs1vyEOczajT21yzcuw33bgExRO2XRmWfp/Zpn289+14tbXTYG7AzUn3XjWSAfe73LTH2fTYH&#10;n/f92RlqzpH9EBiUbcFzqDjtjDuQ5rhpxQXQz/wMfqayz99Jdjr210f3rmAuzk2fku1WgjYn4f1i&#10;0Gh8/htrnFqTTkHmvSDa54WQjbDzT0A4Za0KSAkx/wfVPZ9Pkja35CgPSqPcfmibLJcc5UFplDel&#10;H5flkqM8KI3yhhcn1bJNyVEelEZ56+3FslxylAelUb717ApZLjnKg9Iod9/mkeWSozwojfLVndtk&#10;ueQoD0qjfN3nnbJccpQHpVG+ufZlWS45yoPSKN/xzGFZLjnKg9IoJz7w/iVHeVAa5cCNQf8L78/4&#10;sWWocWY57smNsdYKUjjzP8Cbacjn2OvPl4lVOTHtneR2EHlX/vk0p+N8WjuIvCt/9iSnY/akdhB5&#10;V/7iDKdjcUY7iLwrf22W07E2qx1E3pX/bI7T8WxOO4i8K/9gntNxMK8dRN6V/0kB5ucK2kHkXflT&#10;ip2OKcXtIPKu/IU3Ox0Lb24HkXfl31/udNxf3g4i78pvr3E62mvaQeRd+cTj/fXtEpf313flKywf&#10;CwGqOLrTQ0wnIapJJv/44+zPUGzOTMFzFDQasdlq+mbmt3p1HTF9jVh/s8D0/SUWj0bfzMTVy2MO&#10;Z0h8lxcXDnovKCA6/Dv0Er+9fz6qDvYlkA6y5ZEOsq2RVpa1UezlBtwK7eXfef3ytXCkLcizgkLt&#10;Ydqy7yQfnEebdG3WwXm0LacUH5xHG3F//cF5yjaM1k7MRtv05/l9bvrzB+DLvzJK/XkT2y4PbDOq&#10;HKPFXPh+QbZsx84nyjfUO10WzT9vPBM6TDzJ9PJbwDVQAQjzg8IOAgRJsoGroH7TJDQd4Hdesm3i&#10;FvHDpg4ETw1JL0GauMe6LwFnwHxhKy8GwSIs2WXiEfGguEf+7o5N5qr5byHKLxxbfmajnnkfjul9&#10;+f3D5P6THfmIpT07j3zE/AmIk//Hvl/sK0TcM1PPZx2GAvmXf9p6WK9l9Tvy/L2O4HqHJ7656ec4&#10;2b5X9PNk3Pa+RV0Hj/5HB//ie1CH3ubtiTMNenlG5eIjPG+Tt/1Z+cIVeNyHb76dyHT1mEOvsV5G&#10;0sQ1PF6F7zr1+u4ncl9m+auNOWtY39atX0fKfp2rNKqI5rVS9L75YF7QFBDlQ1t1kjfOukwzHyGx&#10;EX9IaSj4AMIrBC/EM0reEGsEBB5bF5BmlM8OhgbEC0B5IPV8Qtd5cpFmWzxftjfO+nzeXDbfb7mM&#10;fKJY49S7G+8p/+ePMuOCU6ptjj2OQRtIBSPgFEytiHCqI2d4cUoYBKfc6K8PQFswr0mcOgFO2YYG&#10;5vWFU/OAVMSpOSATq/pYa/Z2rNWg86lDgVXnnhwbN6xi20bFKqhaRFhlnzO8WNVjMKwqsupYtRk8&#10;Eqxymlh1WaxlDAVWbag+WREP/492Fds2KlbBfYkIqzryhherjOL/Kbvqt2N0rJo3NjKsmm9ilYlV&#10;0mYMnqsiXpzz7IsbVrFto2LVFZFi1dzhxSqj+YBPYUKTPuB74JHYVYUmVplYFQarHt/XHjesYttG&#10;xSq4MBHZVU25w4tVRvMB51t0rHoCPBKsut7EKhOrwmDVuQ+r4oZVbNuoWDVS5quM5gP+JwRKuyof&#10;ixORYFWRiVUmVoXBqgs/Olker/kqtm1UrBopdpXRfMBvAqeIVfyOTyRYVWxilYlVYbAqreB3i+KF&#10;VWzbqFg1MUIf0J4/un3AAvQbserr4JFgVYmJVSZWYeyE7gOdOlZUdJ4sjsueBdW2UbFqpNhVRvEB&#10;mzi8IMybsIDaBv6tMPtAuW8t3P4q7iVdLNaINvAiEPdZTQYNdJ9VMzCS7xaPxvdWY71HYOKJt8rP&#10;Vd0cF2xQbRsVGzDEIprLtl89vHaMUXyuTeiv76DTtgETTkCoJ8NgA+fdwmFDE8oeFA+Lx0DN2Ovf&#10;Ju4D3/G1icjnXkxihSKmiRtMMz5Q/DD3lOvvf/A7IOg2BhvIIykWv1kewV73WOPa3y53xc3mUW2b&#10;uIYRhRDpuy9GWaPbjHuYDIOGNs8jlvA2Tyrq9YVrNUG49iAsoIeD8CsU14h5g8U20zbS35lF1w36&#10;u2ChflPHzjsq4mUbqbaNiiF8hvO9s8G+Pzfce72N4je1or/uAobQNpoDDAlnG2F7ZVgMcbPPxTpp&#10;Ez2Mv8QG2jyBNhDjph1kvq+CYYDgKZ345+1xs4NU20bFsJEy92Mk/+55YBftoP9LDm8H8dkwcDuI&#10;/l0whoXaQSpt4pqJa0Q14tpvDhyMG66ptk1c06VxOfh3RTC8iGvr8V5LuDntVNxuX7jWAI9uDb5O&#10;YQfdJ9aCWoQTxxC/OD9Ff472GTnTs0Ess4FMbDOxDcMAwVN67slEV7zW61TbRsU2/ExqZH7nKP1u&#10;SxP6aw4MXWLbM+DhsM1crwt+H03E6DcHYj2v/dnrn8dtTkq1bVRswFCPCBuaskfvet1PYe9wTmoM&#10;nLZwc1L9+XMXr9f5bRzluykbiPaPips2j2nzUGdp8xw/fmXcbB7VtlFxjfo3EubajbRetxCdRpvn&#10;6dTwNg+K+vTnzPU69X3FkWEb/bYlwxWv9TrVtlExhNcVCYb0DvNeJiOt1z0JDKFttARAEc42Mtfr&#10;YM9pfdgxMfKjrKPk+3I/T5obNztItW1UDDPX6/T3QqYAy8eBMkCTvHFsxbjom72bkPdLYBftoOk4&#10;INzcT3/+XbAdxPW6fecC/bg8tEOaA1L5TJv+XR+4iP5hsI4SXPvhH1xxwzXVtlFxjbobiW023PvM&#10;jeTf3Q08I659HwsC4XAtFf1qrtcJj4jTnu7Rgm3FE+6LG7apto2KbeZ63eBstiZg1m34UQRi2xvg&#10;4bDNXK8bGXNS81ffFbc5KdW2iQ1QKoRI9ykZaf/l7wGonJPKx0dBw81J9efPmet1HA1Dgx+jxeaZ&#10;cu/auNk8qm2j4hoe2xH5c8P921JG8ufuB57R5nndFt7m6c+fC56nMt+vI8pJnIvRHHys9zJN/Wx9&#10;3Gwj1bZRMWSkzHUbab3ux8AQ2kbrbeFtI3O9zlyvw/AQeI1JhhlakvqdQ5GlpfjiM7Wxvnhf65vn&#10;DjwZNztItW1UDKMfEtG89jD/HpSR/Ls/2XQ7qHJSeDuoP/8u2A4y36+LpQ00Wvy7NcXb44Zrqm2j&#10;4prp3w1uTnszngNPAs/o3x25Mjyu9effme/XDe1+zNGCbfObv1Fx7lVXXL55p9o2KraNlN+aMpLf&#10;eRWcianYj/A5+EPglG1o6M/vrMObw/eKh4RdzPPtpZqNk3APldpTZe6nMvdT6ePKU7q0JMcVLwxT&#10;bRsVw0bK3JlR/M5WDKoKGF/EMDtstOgxrNDEMPSpDYT3iF1CnDK/S86+CFlzdd39jbhhmGrbqBhm&#10;+piD8zFbMbpabDqGVeMDK9FjWJGJYehTdKmJYZrf7nTO+1YOcOw1Yhnjnq6i8qWHJwyLLxmu7cFi&#10;2AsXLlygWFXo9josFmHJLhOP4Pvb9+DLRV7Zg2d4K5ZfOLb8zEY9wXn93pffP0zuP9mRj1jas1P/&#10;nsJIwTCj+JI56MsH0H8vQR5HwD+BIesVDbvVFzAAw+5r346yMrEK3iS/P2UXVZDnGu/X1O1iEWS7&#10;Rvwl5Pso/tlFLtqz432eR8SXwb+EIx5Ezmp8WzQftW7AueZ7KR/8OtA0UBnIDlJlin8BeQtA5Myr&#10;BfEYRRxHmSCWqTp2xOeCpoIWgVhXlbEe6zPNcw3U/zW/gRz5+ubFGDO9/Jb/mjssvx8arm3qwDiQ&#10;DaQC3JWg9BKkWxN0fTlk4pvspg/ffDtR4vWYQ68RpzOSJq5R/Uf+Xadwsdz9RO7LLH+1MWcN07bu&#10;X+wrRHnKfp2rNKqI5rWC7rVPFymbgb6P2Ii6D4C+g4N2g+8D5/Ghge3UhWRCpDI0IN+J9w9ngJt4&#10;4LdLQn0r1X2zNF1PLN6Mwe53uFgni8pvmTU7Tnigt80xMxg8GC57ZyKui3o06G+ij9LfvVN4sB4C&#10;pb2zM0I8mCP2LsrE8QPFA/P3Xy7/33+58PscV8KBumHxy0KxV7VtVJzCFG9EONWRN7zfyTOKX9aM&#10;/qqHwbkRD53J6LwT4JRtaOAzti4kU9ktxLrl8L0eho+l/CVy+jsDxa0e1N0LMtrv3lm1NAt9O3SL&#10;UL8plQSzo1BL8+2hnIkyGo6rvPWUjce+VaEmHffGF0a9oRbpSqTniC6VBR7y3k5AyaWi2cjkdVEO&#10;leCZIBuIfZio6WVIigkgNCeDDX8Z/38AAAD//wMAUEsDBBQABgAIAAAAIQDjd2JfLC4AALiZAQAU&#10;AAAAZHJzL21lZGlhL2ltYWdlMi5lbWbsXQt8FNW5P0kWWGLEJYSHirCJCR2iyBIDCg1kwmYT8hDC&#10;U54SIQi0CKEGVIS6KFqr1GLl16tI09xeKxW1jdaqrVpivddSsRYVqZdaL/aqtZb00t7Un/GKuf/v&#10;zHz7CMzuTnZ3dhP3wJfvPL45Z87j/53vnDkzmyaEWAdit/JcIWYPFuJUV1cX0Q1fFWJWlRBOzxUV&#10;QqSJZ+5PExU2IfrxBTq/eogQa84X4nWEx6YFJ9YUZ4hRd9gEMhAXg5wgZHdRmpomRsLvAKU72v4A&#10;Jhama0Sy6z4Soh5Esi41XcqhaDhvaZ5qE1nSL0ShKkQ+/CNk2FuqR4P5/UWqSOOyfOnOQx6x605P&#10;JNcXqNp9auULMVrN8JU/Sh3o8+eqA3z+wHxb0y+ewuUG+i9CvlyPUWp/nz9X7efzB+YfSZ6B92BX&#10;RUYJCnaBqI35/hGUru5Lw2vIQ7zu8lerpZ94Wtr2S9FmfG/5Bu09akyLr71/mtdS+n7XitJXP1lR&#10;alfT+s34UIgSEJWLbhVU9sUI0/BYB8Lwkq46R4jfn+0fc8fnC7EbrcVjjq6hcZGBawJdPMZcFt0c&#10;KG5jru4HHtG4LKFjLlMV3nxUcwSIOoCqzM5xz9+r3/r1g9WEvxvQ5utA1BaFaniMRSIzBvk4kDeN&#10;BXIhr2mZ9h9CdLxYFIjdXdM8wvu/bkHt6I2sHYEBm4KyRoJYz8DrAHkl6X1SrPqx2Gfuy7vQI9oc&#10;5aL1Ox7RUpKYcdeahnuY6MkMGHcTtrUHjTvv+ffMIKJxtwu0A0TjDnokvRh+6j/uuzvgl+5ITgXp&#10;FXKcRvna1fSQOo/KoWu4TPaTzhsaMM8QLuh+tsLTqOuEQjU+OLBkjCbDWHCc5xGu7JBjQRzDWMi9&#10;uyo2YyEj5Figsqj/uUzyUtnaWMjw6arUWBAi5jaQtwhjYUTIsSCxetcNMRoLtpBjIVAvCJRJY0Fy&#10;qRdsqbEQYE/HfCycrPaIk+eGHQtpzvUxGgv9Ih4LVCYNBcnlWOiXGgvxHAt1KzEWhgWNhcrHGoPs&#10;Bam3P7s56rFA+drV/iHHQuAcIVAmjQXJ5VjonxoL8RwLbTd5hHiwPDPAduw+Fkhvu+4bI9csu9A1&#10;PbUdtbEwIORYCJwjqEwaCpLLsTAgNRbiORYcd3rE8b+GHAsSq5f/KUZ6wR5yLATpBZRJY0EQl2PB&#10;nhoL8RwLM77rEXVKyDmCsOrdOSJGY2FgyLEQqBeoTBoKksuxMPC0seDAwtUW572VL8ya0vs7txBP&#10;TbermRk/QrvvBdF+gANcOEHLHDMcC2ZVe+3HfLxl6M5qipf8OxOrjv/4b1Vto7/u4xxPvP72f6ty&#10;vDqkWv3tr32c44k7c05UtazJq/aOs1f7OMdTORgDgZSjZnoduC0b6M0HlnTROnceiBaiPdnzoDyG&#10;qpmnjbHPsGg92df2LdQE7WG1DSkX3gyP2f2oRYsWwb7MzKhH31If07i0g8txefmfKsRzLTMwZ1S0&#10;LXVWEecwiZDT4ldUSq5FYY5ZUSm9aUL+S/U9tYb/WU/M16beTeWizVYe674//sZe2eetfx1ZTX3P&#10;Ye5mGV++tFJyjkRYelN973vuFN++f6RcHH865n3vvf0BiXvv7efLMcBh7mYtfkWl5ByZwn3IZ7wx&#10;x3392+XC+cuY970Y81dN57/0FU3n62Hu5jYZD51PnF2q763t+5b+2INyxXa+rztaIYrerxSSr5qh&#10;cT3M/VyEeNLxxNmldL61fS9G47lEWmz7nmy7NS9L3Is11RruOcz9LONh2xFnl8K9tX3feJlHtGbF&#10;vu9P3KH1/Qm71vcc5n6meMI5cXYp3Fvb98dnecTh/rHte9L1P/tvqevVnIYqqfP1MHezjEdfS86R&#10;qb63tu/VNR5R/8/Y23rjFIn3lqU/0nCvh7mbtfgVlZJzZErnW9v3C714xnSnO9bre++zbbLP695Q&#10;5fqew9zNMh44l5wjU7i3tu/v2Im+fzPmuPeO0+Z77AnLMcBh7mYtHut7SmeXwr21fd92n0eoztjO&#10;92TnnyrVbL1TB3Suh7mfZTzsfOLsIuj7g9jLf64v7Of34AxvjPd2fiHomdHJMtN9j+7Cfv5ZGRfD&#10;4wTRfj6fQUVQuq6um0vl8yP57O+s057LtOCC3X3h2V/i+3GKEP+uP/szd04YHSWfy9iAp08QoH48&#10;j3rPSX+EkP13wl4pOcLKWm811maVkiNcf+NaGZYc4UbnHBmWHGHvr6fIsOQI71p/oQxLjnDL0CwZ&#10;lhzh+hv/UkX5Sy6v/4UMe38NLuV3yjDuR4aRr54OrsnPoOsh79cpCFOa0J8VnM7TxJmeHXkHCtEE&#10;iue5f0ueTfdgfKbuK/VuxQgJGv/zRPl8KfUuinxvqVjtg+/IpPSE8fuTqXGfGvcBZyuSdX6M8fpg&#10;SnTrg6yQ64P7PvvPalojwB6D/ZWVWh8EjK/k6sfMDKP1gTQR6A/Z3OcP1mxw4gg7a+6RYckRPv7W&#10;f8qw5DJ9cDVd6qwBR/jwwxNlWHKEW08ukmHJEa6f9XUZlhxh+5X3yLDkCN+w5d9kWHKEDz/8MxmW&#10;HGGcW5RhyRGm8UflS47w6esCjjnz+mAk1gYOUGp9oH2zAE3pAHkl9eV3iVN2UspOwiCnvRIwcg6Q&#10;V1Jq3FMz+M4k2r/I3xxI6YmUngAakklPRGtXBmKb/PMn7nFv3eD22FT/fkgu6mwH0XdGiNOHdVSQ&#10;C9QP5ATB5JfkAGdXlaN9/6Z7OB8RREZl03OHLJADxC4THgcHwOeAGlEoyf4M33oJSBK76GbgbMKW&#10;Vya+JtaKq+V3eeoPfXvwfsTPKM+6rwkXOnQuhfFnR9GGez67WYjV8FMWTz/11DRKu/FZ7brjB133&#10;0nXsXOwRl91F8Ts3XiOvb3szWE6IXClZ9QstH8eLGoepKZ1+u+L4Nc/I+3Lp1z9eOetHJMBh+GT5&#10;zcqX5feFFu7fd6ush35/w8cfqqX7J8f3Q36Wt01Em3zZJt7KPyCve/ahf/yQ5B3Pa/fzsJ4P3w/F&#10;N2yWXS4KkA/1CVV/mO6n/cRs3U/XUJhk4NLn4Q9RMRI6zsKrSuAVSAxoPpKTjq6t1f3MZAXxpw4R&#10;LlAhiO9hEAaOgjDfT57up2vonaM+835QH5pvYq2nWhbf5t534NKE6Ckum8YyjUEHiF1v0lPi9ej0&#10;VONr2vWspzjMeqpdWSZhHKmeYnmpp5ZZp6cWovPOghLqROeRnqqBvjqTnqK4UHqqSEyUemos5FK6&#10;Kvz3pOxJupaIh656/Zz8hOkqKru36yrvb6PTVSdfCdZVHGZd1ankmtJVLC91Va71uupzGI+kq+qg&#10;s3qiqybCqiqEnkrpqt79rcV46KpTy3MSpquo7N6uq8Rb0emqxt8H6yoOs65qVkpN6SqWl7qq1Hpd&#10;laHrqvngPdFVl6Xsqj7xXdhY66o3u+rdSqstIbqKy+7tuko9Ep2uan0jWFdxmHVVu3K1KV3F8lJX&#10;XW2drqqHLfQuyG7X7KrF4GfSVfStbqM1IO13TYBd5RIXlLJtRTy1FkytBTEM4LylpDf2iY/KE7G/&#10;zmX3dp0V732rTqXAlM5ieamzCqzXWWcP0HTWcvCe6Szaufp+eUpn9Y0z4vGws061vJwwnUVl93ad&#10;5X05Ojvr5G+C7SwOs53VrLhN6SyWlzrLbb3Oyu6v6awG8J7pLNrB0p4L0h5Wys5K7WNhGOhOs7Pm&#10;lj2SMJ1FZfd2nRXvcwztyipTOovlpc5aZb3OGt5P01lrwXums2gnK6Wz+srvHMXDznr43bsSprOo&#10;7N6us+K/NhxrSmd1Kpq81FljrddZI22azloP3hOdVST3s1I6K6Wzzvw7lLSndCpjUcJ0FpXd23VW&#10;m342ga1X0+dFu51tcPny09aMzUqlKZ3F8lJnVVqvs3KxyU5nG64D75nOov2srq7UflZqP2uEBJX/&#10;/RXeg3+4/LyE6Swqu7frrHifcWhX1prSWSwvddZa63XWGHQo6Sz6bdme6azUfpZInXc3fL+K7KxH&#10;Mp92J+q5IZXd63VWlO/lNOpnJXzn3X1nJzQ7q1MZZ0pnsbzUWeOs11kXQV+RztoG6pnOov2sbY+m&#10;7KyUnWVkZ53l+mB6onQWld3bdVb814Y1pnRWs6LJS51VY73OcsGeJ511C3hPdNalqf0sfLRxmie1&#10;n3Xm/Sz1/YHlD9qqEnKmlMvu9TorSjuL33dmO4vDfNahXbnWlM5ieamzrrVWZynozCvwkuhe8O+D&#10;90RnzRQbRBP03SQQ2VpDQQUgZCfCvQvdAF25EPRF/KZRrJ/PLd/zjvvU6pkJ0Q1cdm/XDfE+b96p&#10;TDClG1he6oYJ1umGHcDu88DlgwBxP+xzf2ygG/DKjOF583qkrRXrxSZQA75x0SRWgY8TgxHPZ6JI&#10;X/D6jPQG+yPVH6lvKWjfPenL33ypXjwzYTYPl93b9Zr3cJTnO3/X7XynHmabp1mZZUqvsbzUa7Os&#10;02t3QMdMhj4jm+e7OHNgZPNkQq4WFOhkBfGnHpFVQXptLSyg9dLuYf1FnP2k10jncThS3Zayjegb&#10;SZobrWbwt3vEKHWgz5+rDvD5C1Xj93jm76kvT5RtxGX3eh2iv0undwlYrvRG+t2ok/r3XHjdxGHW&#10;Ie3KRlM6hOWlDtlonQ5pRK1vgQ4h2+gKDFAj2whHxw11yEKkrRI3SJtoPf6SbiC9QLqC9QT5I9UV&#10;KTuo79tBT5x1f8LsIC67t+swVf92AaClO3M6rPVosB3EYdZhncpEUzqM5aUOm2idDqP13UHoLrKD&#10;hkJRGdlB4dZ3wXYQre8mB+kw0mWB+ozDKb1mbKvwyLR/Qb4/Nf2alxOm17js3q7XvLpe4rFj2jbr&#10;9k3Pk749ck3fNStzTek1lpd6ba51eo3Wd3Ohz0iv/QveNzbSa5mQq/U3lvTJCuJPPUJ1WNFtwFdZ&#10;naBVYjNonShCPOsyWs+RfUac9rLGgCjNAUrptpRuwzCA85YOzbV5EvW8jsvu9botzt/Wa1c2mdJt&#10;LC912ybrdFs9RtR0u6bbngI30m1YmhrqtnlISz2vQyP04IxBrJ/X5X38acL2pLjsXq8b4vzdgk5l&#10;sindwPJSN0y2TjfQeu4t2Du0J+XEos1oTyrceu7053V+G4fsGyayecj+YXsoZfOkbB4MBzhv6ZXT&#10;hibM5uGye7teU/Vvl2ttSn9N7lPpz/t4r73V9/yP13NXmtJrzYomL/XaldbpNVrPzYPSovXc45nG&#10;Ng+SDG2eeqQF71OlntehSeDw3lmMfmc01rbR4lfP9STqeR2X3dt1SLy/Sd6u3GhKh7C81CE3WqdD&#10;GjHSvwcdQrbRGigKI9so9bwO9pwawo6Jka6wf0H2tZvHXZIwO4jL7u06LN52UKcy1ZQOY3mpw6Za&#10;p8Noffff0F1kB7lARns/4dZ3wXYQPa8LXscVIkwUuL6jcGp9F0Ivon3I2b8geu2DYxUJ02tcdq/X&#10;a753c7WxY3p9F+a75s3KElN6jeWlXltinV6j9d166DPSa0+cbazXMiFXy02lc1lB/KlHOPW87szv&#10;i8VqffdF0W3HDq5KmG7jsnu9bovzGat2ZZsp3cbyUrdts063kV5ahhfgSLe9Bm5ks0X2vE790yTk&#10;R7YY7btHao+lzpDH7gz50bzlCduT4rJ7u27wxvkMeadSZko3sLzUDWXW6QZaz/0D9g7tSU05x3hP&#10;Ktx6LvW8Dg1J+9g+F7s97S+KzTPyg80Js3m47N6u19RD2nM13zA0+7xOP8fge17nO9fAz+uWm9Jr&#10;zYomL/Xacuv0mlzPQZ+RzXPIYWzzhFvPBe9TpZ7XaeMqdrot1s/rRm++KWG2EZfd23VI/J/XbTel&#10;Q9oVTV7qkO3W6ZBGDPanoUPINroFOiT1vE540SReUfcDj2hc5ilWtW+rIC71vA5tYKOGgIv2HeHH&#10;P/pGwuwgLru367D4v1/nMaXDOhVNXuowj3U6jNZ3pxyaHVSdbWwHhVvfBdtB9Lyuq4v2f2gfiJ7R&#10;EWc/x1M40v2h1HvDff+94flluxOm17js3q7X4v098WZlpSm9xvJSr620Tq/R+u4O6DNa370yxFiv&#10;ZUKuFhToZAXxpx6Rqed1qed1NDbM2mxFE76VD1P4AO35kd9bOMk9d9FwS755Z1S2Wd32GDBAdWf3&#10;HGUAZxO2vDLxNXwz7Wq8bSpE/aFvD94PPqM8674myDh0TrLkdhRtuOezm4VYDX8a6OmnnppG8Tc+&#10;q113/GDwnpSLEqW77C7Kb+fGa+T18f7mXbtymyndxvJSt91mnW7LRyNSW07DA7lD4NfDONO7Rms2&#10;/S8GoKFu2420MrEC7w7TO8NOUYn+3KB/Ac8ppqNvN4hr0b/X4Z9TKCjPCZvua+JG8OtxxVrErMH3&#10;YMZDajLyulSn8eCXgM4DlYGcIE5jPhxxJSDiFFcNomuYRsA/EkRpLOOEfxzoXNB0EMlyGsmRPIUp&#10;r0htytQzx56vSU/XMRe4awrqLPktGKOyCQNZIAeIXSY8Dg6AzwE1pml4OZhs+u3VYD1o+qyV/v6x&#10;b2/e9z6ylm+nUmVKv7G81G9V1um3eeij1aDRGUI8Cj4d/Ez6Dd1oqN/qkFYEFTQaPKUPwp8JLVA1&#10;nNjQXuRiYe/UrJqRIH0wyU1lm9UHSWfvxPl8UrOy2pQ+YHmpD1Zbrw8yoAfI3rmwh/oA+1BTyE6I&#10;VB+k9pz6/p7T/nFjPGlH5luyLqO1IOlWzXlLuexer6fifKagXfmmKT3F8lJPfdM6PdWAjl0Jg9OB&#10;81JjzxJiA/iZ7BaaY2v1UcBMVhB/yPZZjLXXeqyxLoWfidY7keqtNsg+CUq23yqwq2fbaG1HNjp/&#10;Bxyq3FGsnu37Nm4F0khHO0B0/+mq/xniIMTlgMg5QOS3q+n2fHDKl/IkmxB5Brnz1TShIqYYRP1B&#10;VLN+4gHvuokH5iz6gUe5dZmHruG4h+b+wENpFH7t+mWeXKTZQStAdO9UBseNgp/KZteABeqcwVod&#10;6BqWY34d4igPclRPkuF+hdfL/gEBftTbS+teug5DRJbHeWTr8VSnIbo/DZzahmQwBOU5XPJT/DAQ&#10;X0tpDhC7KfBQGq2Zzgc5QOwuhMcJ+smXWnw6LL2gpdSZvrJ0+GcrSqkPiIzSbUgLrHv3sucgvRE3&#10;yPc+EGF2vO80ID09by52IK6TX6O9lpNN8q4uupdApz752t/eRETd1OOPb0dDNjpPfY94hi7k1MPi&#10;nJ/IeJbfN1o8Q3LO5z955PObhZhQd3UVXbJLz4fKofqQ614m4Z3iibfp8k6KgONrWn7xnryfVp1r&#10;qf6//7rkDy9SueyWPNTwAoUdP9Xq06AnXH7ToH10n+QaNssh5xtzVBZhTgGNBFWWV8nfJ6T7IleV&#10;I8RR6iy4XBCN1xUgHk/58BNhiE6TrJufiv0SaARIvwU5hkmMxzrFsx/5excg7AKxW4nBP3swft8B&#10;EZ930b/Fl42ZTaSF+NpAzEDUG3BvKueFaJ+fyqV6U13I75cXAXXx+0mme13at01ArP/+SYbvJ7Au&#10;+QDVJAD5XMwLF52j1eWI+vbiI2pH/YkKIvK/vZivNa6L3FaTZeJPGXuoXO6fUfBTezenCbEEvGMI&#10;7gmVjKR+yyF/OYjGPnFyzEV6mvy2IMVxvclPju+brmN/P70vL0bcaNR/Auo/CvV3of42xFF9qd5U&#10;f2oHvq4ndc9DftSPNGYV3U/3EkmduVyjvstCxutx3+nAAfed7YqcKtsVHfX5c4nIn1PF+fTk/pO5&#10;7wag/mtR/wGoP/cd1ZfqTfWndoim7vHsu3/inj/AvX+Escd9V7Iop7ZkUUf9vOVE5M+pjeb+k7nv&#10;TqL+76L+/4P6c99RfaneVH9qh2jqHs++ewd6YiDG3hsOf981reqoBdXv/Kok8vfZvjtGehL1fwv1&#10;576j+qLuRPXUDvHoO9afpA8j0Z/d58TGxypxpX8eMNKrLw0W4rcYm89n+/v3wY1NNQ9u7Kj/9+uJ&#10;yN9UE00drcQm11tWPqD+RnPir1D/g6j/C6g/9y/Vl+pN9ad2iKbuebgHDJ8Qc6KxzcblGvVd6xDM&#10;Cf2F+GGOv+/+Nu3rOX+btsX1aRkR+b+ew/kYz4leFbeoO7+fyo2874zrEc6eoXUVObN99wjq34D6&#10;P4z6c99RfaneVH9qh2jqnod7ilff3TcUvy2EBdbdw/x919+z5QKQa9gMSeS/IJr7T+a+uxf1L0b9&#10;70X9ue+ovqg7kYvaIZq6x7Pvtg/H3hLm9M0j/H2XV5NdmFezxXXJTCLyZxdGc//J3HdbUf981P8m&#10;1J/7jupL9ab6UztEU3ejvot2TlzywJtSz/C9kX6DCvGtPTnejjXTEsR7iSD0NHSMC2OVbFcb4qBu&#10;5Dq4XwD/7JytM0YOI+qo/+wcoq0zikeeKKzNI+qoLx5JdKJwnbK1eMclRB316xSircV7ixsmPzmF&#10;qKN+bzFRw2S+F9LZfI9pKI/j4fXm4w8RXJnGgv1Uv8jHkX+NjcumcX6URzj9XaQLc/vytXyvGYhg&#10;fz/cN7ftVmT+BNp2ItqWx5HVbcv3hVuMqD3zIBh6TvC3HUR71I6LFi3CpX7H99i9HRdDpA70DtrR&#10;jbX9uRBYi5uzIQ5jWO6nIMnHs4ZsnZE1pHiWxp8ra8ounvUgwk3Zz5U9OOS5Mi7H2E4wHmeMTbrH&#10;gHHpqz+ifX66p0jHlNm2oN+puRcFpGGg/RFtYtQW5aNPFJaPrvVofLfj0VG1niMIPzpqt+PI6N2O&#10;2LeFdyqqrTu/P5K2aNCvMtsWrcDWRejMj8DLgDGjtvhwwSdrPlxg36zxD5c8M9++ecRC++Zn5n+4&#10;ZMTCD5eEbwtvgP7x+6luyTIu7gcgvoK2eAP8zhDj4tHLGiY/elmJW+M7xufAX355iTvnsh3jyy/f&#10;MT58WyQ/Rm5B/V/D/P0s+N5BxuPibffbi992ly/TeNPCWvibysuX1bqbFjaVNy3sC23xFejLoWgH&#10;en/wYAjdmVOXU5VTt3u2ztWts3bPfhRhcBVc7QttMRdj4f/QFjvBXw/RFrVLc2prlx6ZrfF5FU8u&#10;OTL7bYSfXDKv4u2l8yr6QluUOIS4HW2xCfzbwIqR7ty6pqN265qdCzTe4D6xeueCnLU7F5xY3eDO&#10;Wdvg7gttkZ+NORXzx3LwzBD64smmpponm/Yu0vi8qSPhr920d9HIpnlTazfNmxr7tvBO06dGML8/&#10;kjn1XP1Cs3PqoBx8YxyGeCW4F/tGRuNis/r1nM3qE/kan2krhP+XoEJ1pu2XoPBt4VUD6ubzU93O&#10;PKf6629VW3w8VIhZmE9dw3AeDFgxaou7K7ZccHfFAqfGm8+bDv8x0PSK5vOOgfpCW/zXcCFuhc48&#10;d4QQh0Poi/212YX7a4ddrPFBylXwfwy6qnaQ8jEo9m3ht7sxdHx4iQQjRf4BGOTje+y+HrkSUvmg&#10;dGR+LfjZ4LSuo7I6sjrqO7KOpPO1MMW87EdyRGuvM497f52QT1zrtxgFPAd6H/gPrB+6W75rQfU0&#10;SyWyXfAMKGvkog5QSVb57A5QSda6qg5QSdbusg5QSdZzkztAJVnvTegAlWRlFXaASrKK8zpAJVlL&#10;z+sAlWTtyO4AlWQ9mtkBKkGbx6fdvb627qm+QXMFOR4PocZVAcbTP4ExHldb+m9xPTUruv2mM48r&#10;6+rH44pww/W7AvWMZlxRu2zpf9T1nawtoKOuH2dvAR11vTRiC+io60+jtoCOuj7P3wI66hp2Efac&#10;LzrqKpqwBXTUNfOyLaCjrmumbgEddd3i3gI66tpTtQV0VLb5U7OOurjPjPHsVf2d7PcTTgLbPQ9h&#10;qE/5nIT3rEYibAfVgFSQC9QP5AQBgpIcAX46o0LnvjiNw6STiDBOSyXT/fMn7nFv3eD20L1cCHKC&#10;up+d+nTlC+6s7zR5OA+jdFuM8piDfBpRAcLAz3COAszndlHF4AYk6N2/Nt/vfGr3oe0u4vdSfqG9&#10;Q+h4UeMwFaXTb1ccv+YZ+U6iq9vvhnIYPXsvvWPYrHyZjo50Ldy/71YKO/R3E4ePP1RL7y6So3h6&#10;F5H8LC/PmH45ujOm1N4wY+QYhHoR2bqf6kBhGpvk5ul0KxL+OQh7w+BLgVXc1mmOrq3tFisriD91&#10;iHeBCkFzQNTnNIZyQNx+8IrYnrtDhh3/Jc+zKX/WzqMdz84toXJ+860H5Lm1I/mZB+geOb7l/Kon&#10;5Pk6XZ5kyXm3tkj549klJN61FUDNLUkTqv29/STPYWo7cu/OaXmBeMtf9sr86BoKs6O2CnT/8sM9&#10;Mn/qF3K+dtTvf8mSD+V5Py0VZ6z0c3cnn9DO3VFbkmOOrjrt3B2lKSDqWyonT/fTveXCjyr5zofG&#10;Swe1LL7Nve/ApSF1UG7tPvfP/15vqIM4nepzIcgJ6q6nWCYfaURG6ZQHj0dqk2TTQeL16N7Pa9R/&#10;K4vfz+Mw66B2ZRl1f8Q6iOWlDlpmnQ5aiL6ZBdA8CyPhKfA8DHDA7jRHcT7s6KmygvhTh3CRmOj7&#10;JgzP5TQGkgEXr5+THxYX18y+IiQuKJ3qEwoXkeaRzLiI9/fgOpVcOWwinZtZXuIi13pcbIdSJ1x8&#10;CN4TXEzE7Exz81hQsuHi1PKcsLjIfnxySFxQejhcRJpHMuMi/t/iKTWFi2ZFk5e4KLUeF5XYsyRc&#10;/Bi8J7i4LEnnize76t1Kqy0kLiqLv+U+4BhjiAtOD4ULlsmHXiDqbkdxOuWRzLiI/3dcrjaFi3ZF&#10;k5e4uNo6XNSjn84DHs7O1HDRBH4mXJAtbGRHzUPaBMwXLjFvOs8ZxJNp3iB87BMflVPdjGwhGrvr&#10;GrND4oPSaWzHIo9kxke81xmdSoEpfLC8xEeB9figcxM0b0zB5kTP8EErDf/3J5MRH6daXg6Lj6KW&#10;U+Wk94nOpPspPRw+Is0jmfHh9X1zHg0hXa78G+le4MnfaOt4XodzmNfhzYrbFD5YXuLDbT0+7scG&#10;OOGDNo16hg9acSQ3PuaWPRIWH3ctPxoSH5QeDh+R5pHM+Ij3Xnm7ssoUPlhe4mOV9fhYjjOIhI+X&#10;wHuGD1p5JDc+Hn73rrD4eH/UT0Lig9LD4SPSPJIZH/G3r8aawkenoslLfIy1Hh8F/TR87ATvCT6K&#10;5PojufFxKmNRWHxMfecbIfFB6eHwEWkeyYyPtleie87h0q9n+4rDfvuq0hQ+mhVNXuKj0np8/BUL&#10;cJo/5qDze4aP5F9/PFx+Xlh8jPtyWUh8UHo4fESaRzLjI977uu3KWlP4YHmJj7XW4+NxgILwMQI4&#10;6Rk+kn/98Ujm0/K7OKH2ntque9+dDzuR6Ezrc0oPh49I80hqfER5VqdR/81xnj84zPNHpzLOFD5Y&#10;XuJjnPX4uB7YIHy8A+oZPpJ//XGW64PpVLdQ+Kj+kyMkPig9HD4izSOZ8RF/+6rGFD6aFU1e4qPG&#10;enxMxbghfDwI3hN8XCrXHznuZH3+ob4/sPxBW1XI54ODf3Vx+fl33+ShuYOo+/zB6aHwwTKR5JHU&#10;+Ihy/uCznTx/cJjnj3blWlP4YHmJj2utxcdPAYhVOONJH6h8xeCsJ5JCPh+cie+JNuHxySTIEUaG&#10;ggpAOJ4izygm+rzV8j3vuE+tnhkSH7+86azy9oLthvjg9FD4YBkjfHA65ZHM+Ij38/NOZYIpfLC8&#10;xMcE6/CxA/10CfDxGnDxG4DgcseZ5w8602z0/LweadH+NjmNl0RjqHrxzLBzzKHi7SHnGE6n+hjZ&#10;cSyTDxmi7vMUp1MeyYwh7+Ho9rhO/q7bM0Q9zHNMszLLFIZYXmJolnUYugP9lInOojnmAPZ/jeaY&#10;TMiFwlDw7z/27HewacwkGkfz99SXh5uLHvr+zpBzEadTfYxwxDL5kCHqjiNOpzySGkdvRIkj/Uw9&#10;22onfWfstXzblY2mcMTyEkcbrcNRI/ppFTqL5qIG4MhoLsIjSEMcLaQ8xA3y69br8ZfPqZC9xmsb&#10;8heAksV2e+Ks+8POOxv3HAg573A6jXUjvLAMYYWoO144nfJIZrzE/3eHJ5rCS6eiyUu8TLQOLzvQ&#10;T6eAE5p3mnF+xWjeCWe7Bc879LvD2vqG8UKc/YwjCicThqZf83JYDP1j8amQGOJ0Gv9GGGKZfMgQ&#10;dccQp1MeyYwh79Eo55xu74Ke9O03aPk2K3NNYYjlJYbmWochst3+CuwQhrYDKEYYyoRcKNstFr9x&#10;S2Mm0bbb0Fyb/P3odNyLEQa21xd4Qu2zcTrVJxZ5JDWOfL8PiMpKlyv/RnyOsttz/pO+cwNsu20y&#10;haN2RZOXONpkHY7qUesFAAnh6ENwIxxlQM4IR/OQpu+ziWTdZ8v7+NOwa5sTgy7whNpn4/RQ+GCZ&#10;fLQJUfd5htMpj6TGR5zPGXcqk03hg+UlPiZbh48d6KfXML/Q2mYd3t0yWtuEs9X6wj7bldOGhp1j&#10;Vrw8JeQcw+k0/o3mGJYh/BB1xxCnUx7JjCFVf+cdt6k7c3NMq75Px/sDHPbvs11pCkPNiiYvMXSl&#10;dRgiW+0xYIfmmBV4b95ojglnqwWvd3rvPtviV8/1hNtnO3yzGnIu4vRQOGIZIxxxerLjKN7v2Lcr&#10;N5rCEctLHN1oHY4agSM7Nr9oLqLfIzKai/raPlvzuEvCzjuTTi0KOe9weii8sIwRXjg92fES73mn&#10;U5lqCi8sL/Ey1Tq87ABeWoATmnfKQEbzTjjbLXjeoX02bynvp41FGYU6kZ/jKS6Z9tk+OFYRFkOb&#10;/3hDSAxxeigMsYwRhjg96TGkn8NEN+rOpO2mPxvy2W6+Z0W8z7bEFIaaFU1eYmiJdRgi2+1uYIcw&#10;lD/YGEPhbLe+ss927OCqsDgqPfjtkDji9FA4YhkjHHF60uPo99HtV7fq+90+HPn2v3mfbZspHLUr&#10;mrzE0TbrcFQPHHUCP4Sju7KNcRThPlvSnmc7mrc87Npm0/fvCrm24fRQ+GAZI3xwerLjw+ubF/Rp&#10;Rv5yUOTf9uQzA4wPDvMeQadSZgofLC/xUWYdPnag+k3AB61tzhlivLYJZ6v1hX22kR9sDjvHjN+2&#10;J+Qcw+mhMMQyRhji9GTHkHooyjlG3+tmDLX69r7ZVltuCkPNiiYvMbTcOgyRrVYH7NAc0w8LEaP1&#10;TjhbLXi903v32UZvvinsXPTBld8LORdxeigcsYwRjjg92XEU/3227aZw1K5o8hJH263DUSNwRL9x&#10;SnPR/hzjuaiv7bM9/tE3ws479w/bH3Le4fRQeGEZI7xwerLjJf7n2Tym8NKpaPISLx7r8LIDeHFj&#10;vqF5571hxvNOONsteN7pnefZ5pftDouhn9/+85AY4vRQGGIZIwxxerJjKN7fE2hWVprCEMtLDK20&#10;DkNku00YrmHo1yOMMRTOduut+2xFE76Foew9AColv7dwknvuouFB78V5Hm7NTy9oOUDnAWY/1Jq/&#10;93CDe8/aqb734ozSA3FkJMM4MkrvjqPHMKrQZT7n+72IBP1GSLzfi2tXbjOFI5aXOLrNOhzlpwlx&#10;C3rFgQ77HPwtg+8tU38bnWfbjbQysQJvjm7GOwlOUSm+Bv8msR5PfpxiOt6Z24DfobpaXId/Tpz8&#10;XI2/DZC5Efx6XLEWMWvwDsN4SE1GXpfqNB78EtB5oDKQE8RpzKECRAmIOMVVg+gaJqgG+dsYlMYy&#10;TvjHgc4FTQeRLKeR3Eg9THkl8pnU6Ri/wF1TUBf07Z3u+Hv7Do/7pdm3lFN/ERml25B2IcgZQiaS&#10;PALPEx1MNoy/GuU+h37m1bfP4TsDq+XbqVSZwjjLS4xXWYfxeehjwvhfMoT4PXgOOj8dvLtLQ4QR&#10;xuuQVoRfvRoNnlyYmOSuWTUjJCZo3rvi71sMMcHpoTDBMkaY4HTKIxATSTfvxfn5UrOy2hQmWF5i&#10;YrX1mHgJmPgcfdYO3hNMjMW1NF8kEhNkA+IWdOct3T9ujCftyPwgW7D7mdCXP53lueXl23y2oFF6&#10;ICaMZBgTRulJj4k474e3K980hQmWl5j4pnWYaKARhPM/ixxCfAJ+GPxMmKD+NJon5iFtMey99bDr&#10;LoWfiWysSDBSAbkckB1UWV7lBiyDfu8sD+EsEDUo54db9Sp6PM1h7Kf7DJQP9MtyUDk7yHNFxUUX&#10;q5q9RPZidzxRBFGh6pcZNabFh7mf5rWUvt+1ovTVT1aUBsq0pl88BddJF+jPV7U6UMJFAf5Ran9Z&#10;N4rPVfv5/HY1w0Z1Ij2T7mj7A6XDOUBeSc5DHrHrTk+xmuG7ZpQ60OeP5J5y1QGm5APzPEN74bZw&#10;zkv1t5eRzBjIOCBLfUWuQA0OjzaoU8T32/KMR7Q9UJ6par/dOwJlTNjW3kXjxOeeunCGuLRghoII&#10;GlsYEvKpsh18hR5H8vk6oS7T4NWd30/XfQlEZZCfXPu2CZLzWKV49iN/7wKEXaAhWID8EY1wC/gV&#10;/bTfD525dPOQmUuLhva/ioj8m4fwtQNwLftxuTfg3lSEdedV2Ufl0pjfBdoBojFvV23pxfBTvXlc&#10;7YJfusYKEi8jP6dRu9nVfhkliHPp8bjlYEdtSU5vU+lH24q0tO1DMaYdiKBriAgc1N5oh4jadjnk&#10;LgfRtcTJMRd5afpJAH+baxL+9qbruM3QxLLtL0bcR8OEeBKJj6DtNyOB5Kitqc2p7akP+LqetLuC&#10;/KielC/XORN+auD3QG+BqD8K1fB4iURmDPJxIE8qj1yBGhyOGlOtwNTx24Mw9eYDS8JiKh/3QoSm&#10;jxg/Sx54U17B7W+En6Hou0mo8A7wh8DRjWLB0mOOBUu/mz3oKiLyH3NwPj3px2jxQ21kV/tHgZ/+&#10;vn5FFX1jyQ4/tStRqLaNFD/c5jI7/OE2ozLZj/b14ecE8HM2Eh9D2/8OnOSoranNqe2pD/i6nrS7&#10;gvz6FH7uAH7ET4LwU/lYY1zw0/hYJVrP329G+HGg765Hp94M/mdw/BfTl74zdPrSPcM/XUZE/nei&#10;0oPR4ofayK4OiAI/AyzBD7e5bPiAtjfCz5+Bn5lo8B+h7R39NfxQW1ObU9tTHxQgH8LAAOCO/Qh6&#10;8/GHCF5VMvnH76f+NsJPHtIoT7KlqW9eAbWBknkuQj19djf5MwY+7/mfdfeU21StLrh9n+02En7S&#10;jTUgFeQC0bh2gsieI3KA2DVgQ5h+l50dhwPa+IxlUxtTOzr4QnCa3wPDcxBuRIE0BvaivcF8bhfd&#10;CJyt27OQk/vflb+BfXyibd92KkQ6qj+TFlPneE/KvXv8uJxXS8bYZlCKo+XU9+g6Drs0cfz9iYzf&#10;OML2GfU9p1/VrP2WtdaC+H3vNu03qg8f1PhA/Xr9dkXbvlL5G9otP9DKebzyDy+SCIfx1Ra9/BlU&#10;TNcz9fOa6X4O6/kOH3/h9z+/WcuU4ndufO8RCpWM0eTpt7ltM2zivn3/IfPh384+/Cvtfta+oHG+&#10;H4pv2Cy73DdPUXsPA1H/jABl6366hsIUD5c+D38aQf8KDE7ARfRMsQUct3Wa64+Y2m6xsoL4s1Cm&#10;bRArxVeFE7+2dznCREU6na+HGcOD0JkK4ug+6F7zdD/lVwH/K6A2UK/D5KMPJQ6TKJv6jdrUAWKX&#10;SExuK7Ctp/tgTHLYxTenYxJYrKIoTo8XJrcVrJdDNlJMsrzE5HrrMfkHHZPVUODRYbL4i4vJE88m&#10;DpMoO9kwiflPzsOMSQ53xySwuIEwyek9xeTxfcHzJId5ntw4QkIy4nmS5SUmu6zH5G3AIs2THVFj&#10;clLUmNyJ/vGC4jlP2lW7DdWV8wrviWF/2lGs2tmO8NmeK3Q5sjNqQQ0gdithZ84ezCGk6XbnWLHf&#10;H9nNzg1IOKM3D7E037HdMBJ+B4jaI13V0hAUsDfk/jr5Hbr//wEAAP//AwBQSwMEFAAGAAgAAAAh&#10;APTG7zTdAAAABQEAAA8AAABkcnMvZG93bnJldi54bWxMj0FLw0AQhe+C/2EZwZvdTaXVptmUUtRT&#10;EWwF6W2anSah2dmQ3Sbpv3f1opeBx3u89022Gm0jeup87VhDMlEgiAtnai41fO5fH55B+IBssHFM&#10;Gq7kYZXf3mSYGjfwB/W7UIpYwj5FDVUIbSqlLyqy6CeuJY7eyXUWQ5RdKU2HQyy3jZwqNZcWa44L&#10;Fba0qag47y5Ww9uAw/oxeem359PmetjP3r+2CWl9fzeulyACjeEvDD/4ER3yyHR0FzZeNBriI+H3&#10;Rm+hpnMQRw2zhXoCmWfyP33+DQAA//8DAFBLAwQUAAYACAAAACEAf0Iy4sMAAAClAQAAGQAAAGRy&#10;cy9fcmVscy9lMm9Eb2MueG1sLnJlbHO8kMsKwjAQRfeC/xBmb9N2ISKm3YjgVuoHDMm0DTYPkij6&#10;9wZEsCC4czkz3HMPs2vvZmI3ClE7K6AqSmBkpVPaDgLO3WG1ARYTWoWTsyTgQRHaZrnYnWjClENx&#10;1D6yTLFRwJiS33Ie5UgGY+E82XzpXTCY8hgG7lFecCBel+Wah08GNDMmOyoB4ahqYN3D5+bfbNf3&#10;WtLeyashm75UcG1ydwZiGCgJMKQ0vpZ1QaYH/t2h+o9D9Xbgs+c2TwAAAP//AwBQSwECLQAUAAYA&#10;CAAAACEApuZR+wwBAAAVAgAAEwAAAAAAAAAAAAAAAAAAAAAAW0NvbnRlbnRfVHlwZXNdLnhtbFBL&#10;AQItABQABgAIAAAAIQA4/SH/1gAAAJQBAAALAAAAAAAAAAAAAAAAAD0BAABfcmVscy8ucmVsc1BL&#10;AQItABQABgAIAAAAIQBs6yMNwQIAAAcIAAAOAAAAAAAAAAAAAAAAADwCAABkcnMvZTJvRG9jLnht&#10;bFBLAQItABQABgAIAAAAIQA2XlGxRBkAAOQDAQAUAAAAAAAAAAAAAAAAACkFAABkcnMvbWVkaWEv&#10;aW1hZ2UxLmVtZlBLAQItABQABgAIAAAAIQDjd2JfLC4AALiZAQAUAAAAAAAAAAAAAAAAAJ8eAABk&#10;cnMvbWVkaWEvaW1hZ2UyLmVtZlBLAQItABQABgAIAAAAIQD0xu803QAAAAUBAAAPAAAAAAAAAAAA&#10;AAAAAP1MAABkcnMvZG93bnJldi54bWxQSwECLQAUAAYACAAAACEAf0Iy4sMAAAClAQAAGQAAAAAA&#10;AAAAAAAAAAAHTgAAZHJzL19yZWxzL2Uyb0RvYy54bWwucmVsc1BLBQYAAAAABwAHAL4BAAABTwAA&#10;AAA=&#10;">
                <v:shape id="Picture 5" o:spid="_x0000_s1027" type="#_x0000_t75" style="position:absolute;width:57315;height:37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OfUygAAAOMAAAAPAAAAZHJzL2Rvd25yZXYueG1sRE/NagIx&#10;EL4X+g5hCt5q0q3VdmuUolgE24NaCr0Nm+lm6WaybKKuPr0RhB7n+5/xtHO12FMbKs8aHvoKBHHh&#10;TcWlhq/t4v4ZRIjIBmvPpOFIAaaT25sx5sYfeE37TSxFCuGQowYbY5NLGQpLDkPfN8SJ+/Wtw5jO&#10;tpSmxUMKd7XMlBpKhxWnBosNzSwVf5ud07A8evtzWr9/q485L1an2ee2ci9a9+66t1cQkbr4L766&#10;lybNz7LRcPQ4UE9w+SkBICdnAAAA//8DAFBLAQItABQABgAIAAAAIQDb4fbL7gAAAIUBAAATAAAA&#10;AAAAAAAAAAAAAAAAAABbQ29udGVudF9UeXBlc10ueG1sUEsBAi0AFAAGAAgAAAAhAFr0LFu/AAAA&#10;FQEAAAsAAAAAAAAAAAAAAAAAHwEAAF9yZWxzLy5yZWxzUEsBAi0AFAAGAAgAAAAhAGSE59TKAAAA&#10;4wAAAA8AAAAAAAAAAAAAAAAABwIAAGRycy9kb3ducmV2LnhtbFBLBQYAAAAAAwADALcAAAD+AgAA&#10;AAA=&#10;">
                  <v:imagedata r:id="rId116" o:title=""/>
                </v:shape>
                <v:shape id="Picture 1048" o:spid="_x0000_s1028" type="#_x0000_t75" style="position:absolute;left:49391;top:2770;width:6712;height:6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tpKxQAAAN0AAAAPAAAAZHJzL2Rvd25yZXYueG1sRI/NTgMx&#10;DITvSLxDZKTeaAKqECxNKwQtcOFAy2GPZuP9UTfOauO2y9vjAxI3WzOe+bxcT7E3Jxpzl9jDzdyB&#10;Ia5S6Ljx8LXfXt+DyYIcsE9MHn4ow3p1ebHEIqQzf9JpJ43REM4FemhFhsLaXLUUMc/TQKxancaI&#10;ouvY2DDiWcNjb2+du7MRO9aGFgd6bqk67I7RQ/MgJZX7AV+2m/q7doePt/JVvJ9dTU+PYIQm+Tf/&#10;Xb8HxXcLxdVvdAS7+gUAAP//AwBQSwECLQAUAAYACAAAACEA2+H2y+4AAACFAQAAEwAAAAAAAAAA&#10;AAAAAAAAAAAAW0NvbnRlbnRfVHlwZXNdLnhtbFBLAQItABQABgAIAAAAIQBa9CxbvwAAABUBAAAL&#10;AAAAAAAAAAAAAAAAAB8BAABfcmVscy8ucmVsc1BLAQItABQABgAIAAAAIQCX5tpKxQAAAN0AAAAP&#10;AAAAAAAAAAAAAAAAAAcCAABkcnMvZG93bnJldi54bWxQSwUGAAAAAAMAAwC3AAAA+QIAAAAA&#10;">
                  <v:imagedata r:id="rId117" o:title="" croptop="11992f" cropbottom="40226f" cropleft="56702f" cropright="595f"/>
                </v:shape>
                <w10:anchorlock/>
              </v:group>
            </w:pict>
          </mc:Fallback>
        </mc:AlternateContent>
      </w:r>
    </w:p>
    <w:p w14:paraId="1CBCA11F" w14:textId="17FC20AF" w:rsidR="00134F05" w:rsidRDefault="00134F05" w:rsidP="00134F05">
      <w:pPr>
        <w:pStyle w:val="Caption"/>
      </w:pPr>
      <w:bookmarkStart w:id="346" w:name="_Ref190164546"/>
      <w:bookmarkStart w:id="347" w:name="_Toc200464499"/>
      <w:r>
        <w:t xml:space="preserve">Figure </w:t>
      </w:r>
      <w:r>
        <w:fldChar w:fldCharType="begin"/>
      </w:r>
      <w:r>
        <w:instrText>SEQ Figure \* ARABIC</w:instrText>
      </w:r>
      <w:r>
        <w:fldChar w:fldCharType="separate"/>
      </w:r>
      <w:r w:rsidR="00102828">
        <w:rPr>
          <w:noProof/>
        </w:rPr>
        <w:t>48</w:t>
      </w:r>
      <w:r>
        <w:fldChar w:fldCharType="end"/>
      </w:r>
      <w:bookmarkEnd w:id="346"/>
      <w:r>
        <w:t>.</w:t>
      </w:r>
      <w:r w:rsidRPr="00865189">
        <w:t xml:space="preserve"> </w:t>
      </w:r>
      <w:r>
        <w:t>Above ground biomass in each inundation zone in each reach in June 2024 (error bars = ± 1 SE).</w:t>
      </w:r>
      <w:bookmarkEnd w:id="347"/>
      <w:r w:rsidRPr="00825C20">
        <w:t xml:space="preserve">  </w:t>
      </w:r>
    </w:p>
    <w:bookmarkEnd w:id="342"/>
    <w:bookmarkEnd w:id="343"/>
    <w:bookmarkEnd w:id="344"/>
    <w:p w14:paraId="0B7DD1FF" w14:textId="77777777" w:rsidR="00134F05" w:rsidRDefault="00134F05" w:rsidP="00134F05">
      <w:pPr>
        <w:spacing w:before="0" w:after="160" w:line="259" w:lineRule="auto"/>
        <w:jc w:val="left"/>
        <w:rPr>
          <w:rFonts w:eastAsiaTheme="majorEastAsia" w:cstheme="majorBidi"/>
          <w:b/>
          <w:i/>
          <w:color w:val="44546A" w:themeColor="text2"/>
          <w:sz w:val="24"/>
          <w:szCs w:val="24"/>
        </w:rPr>
      </w:pPr>
      <w:r>
        <w:br w:type="page"/>
      </w:r>
    </w:p>
    <w:p w14:paraId="74EDCBCC" w14:textId="77777777" w:rsidR="00134F05" w:rsidRDefault="00134F05" w:rsidP="00134F05">
      <w:pPr>
        <w:pStyle w:val="Heading3"/>
      </w:pPr>
      <w:r>
        <w:lastRenderedPageBreak/>
        <w:t>Evaluation</w:t>
      </w:r>
    </w:p>
    <w:p w14:paraId="61B038BC" w14:textId="2ADDEECF" w:rsidR="00134F05" w:rsidRDefault="00134F05" w:rsidP="00134F05">
      <w:pPr>
        <w:pStyle w:val="Caption"/>
      </w:pPr>
      <w:bookmarkStart w:id="348" w:name="_Toc97556527"/>
      <w:bookmarkStart w:id="349" w:name="_Toc200464536"/>
      <w:r>
        <w:t xml:space="preserve">Table </w:t>
      </w:r>
      <w:r>
        <w:fldChar w:fldCharType="begin"/>
      </w:r>
      <w:r>
        <w:instrText>SEQ Table \* ARABIC</w:instrText>
      </w:r>
      <w:r>
        <w:fldChar w:fldCharType="separate"/>
      </w:r>
      <w:r w:rsidR="00102828">
        <w:rPr>
          <w:noProof/>
        </w:rPr>
        <w:t>12</w:t>
      </w:r>
      <w:r>
        <w:fldChar w:fldCharType="end"/>
      </w:r>
      <w:r>
        <w:t>.</w:t>
      </w:r>
      <w:r w:rsidRPr="00865189">
        <w:t xml:space="preserve"> </w:t>
      </w:r>
      <w:r w:rsidRPr="00BE09D3">
        <w:t>Littoral Vegetation Diversity and Productivity</w:t>
      </w:r>
      <w:r>
        <w:t xml:space="preserve"> evaluation questions and answers. CEW = Commonwealth environmental water.</w:t>
      </w:r>
      <w:bookmarkEnd w:id="345"/>
      <w:bookmarkEnd w:id="348"/>
      <w:bookmarkEnd w:id="3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le showing Littoral Vegetation Diversity and Productivity evaluation questions and answers across three sampling events."/>
      </w:tblPr>
      <w:tblGrid>
        <w:gridCol w:w="1346"/>
        <w:gridCol w:w="3043"/>
        <w:gridCol w:w="2550"/>
        <w:gridCol w:w="2077"/>
      </w:tblGrid>
      <w:tr w:rsidR="00134F05" w:rsidRPr="0041543F" w14:paraId="7794F98B" w14:textId="77777777" w:rsidTr="004E76E8">
        <w:trPr>
          <w:cantSplit/>
          <w:trHeight w:val="415"/>
          <w:tblHeader/>
        </w:trPr>
        <w:tc>
          <w:tcPr>
            <w:tcW w:w="746" w:type="pct"/>
            <w:vMerge w:val="restart"/>
            <w:tcBorders>
              <w:top w:val="single" w:sz="4" w:space="0" w:color="auto"/>
              <w:left w:val="single" w:sz="4" w:space="0" w:color="auto"/>
              <w:right w:val="single" w:sz="4" w:space="0" w:color="auto"/>
            </w:tcBorders>
          </w:tcPr>
          <w:p w14:paraId="407D663A" w14:textId="77777777" w:rsidR="00134F05" w:rsidRPr="0041543F" w:rsidRDefault="00134F05" w:rsidP="00D035C2">
            <w:pPr>
              <w:pStyle w:val="TableHeading"/>
              <w:spacing w:line="240" w:lineRule="auto"/>
              <w:jc w:val="center"/>
              <w:rPr>
                <w:sz w:val="19"/>
                <w:szCs w:val="19"/>
              </w:rPr>
            </w:pPr>
            <w:r>
              <w:rPr>
                <w:sz w:val="19"/>
                <w:szCs w:val="19"/>
              </w:rPr>
              <w:t>C</w:t>
            </w:r>
            <w:r w:rsidRPr="0041543F">
              <w:rPr>
                <w:sz w:val="19"/>
                <w:szCs w:val="19"/>
              </w:rPr>
              <w:t xml:space="preserve">EWO evaluation questions </w:t>
            </w:r>
          </w:p>
        </w:tc>
        <w:tc>
          <w:tcPr>
            <w:tcW w:w="4254" w:type="pct"/>
            <w:gridSpan w:val="3"/>
            <w:tcBorders>
              <w:top w:val="single" w:sz="4" w:space="0" w:color="auto"/>
              <w:left w:val="single" w:sz="4" w:space="0" w:color="auto"/>
              <w:bottom w:val="single" w:sz="4" w:space="0" w:color="auto"/>
              <w:right w:val="single" w:sz="4" w:space="0" w:color="auto"/>
            </w:tcBorders>
          </w:tcPr>
          <w:p w14:paraId="25C7A86C" w14:textId="77777777" w:rsidR="00134F05" w:rsidRPr="0041543F" w:rsidRDefault="00134F05" w:rsidP="00D035C2">
            <w:pPr>
              <w:pStyle w:val="TableHeading"/>
              <w:spacing w:line="240" w:lineRule="auto"/>
              <w:jc w:val="center"/>
              <w:rPr>
                <w:sz w:val="19"/>
                <w:szCs w:val="19"/>
              </w:rPr>
            </w:pPr>
            <w:r w:rsidRPr="0041543F">
              <w:rPr>
                <w:sz w:val="19"/>
                <w:szCs w:val="19"/>
              </w:rPr>
              <w:t>Outcomes of CEW</w:t>
            </w:r>
            <w:r>
              <w:rPr>
                <w:sz w:val="19"/>
                <w:szCs w:val="19"/>
              </w:rPr>
              <w:t xml:space="preserve"> delivery </w:t>
            </w:r>
          </w:p>
        </w:tc>
      </w:tr>
      <w:tr w:rsidR="00134F05" w:rsidRPr="0041543F" w14:paraId="2B62A6F9" w14:textId="77777777" w:rsidTr="004E76E8">
        <w:trPr>
          <w:cantSplit/>
          <w:trHeight w:val="415"/>
          <w:tblHeader/>
        </w:trPr>
        <w:tc>
          <w:tcPr>
            <w:tcW w:w="746" w:type="pct"/>
            <w:vMerge/>
            <w:tcBorders>
              <w:left w:val="single" w:sz="4" w:space="0" w:color="auto"/>
              <w:right w:val="single" w:sz="4" w:space="0" w:color="auto"/>
            </w:tcBorders>
          </w:tcPr>
          <w:p w14:paraId="2936402F" w14:textId="77777777" w:rsidR="00134F05" w:rsidRDefault="00134F05" w:rsidP="00D035C2">
            <w:pPr>
              <w:pStyle w:val="TableHeading"/>
              <w:spacing w:line="240" w:lineRule="auto"/>
              <w:jc w:val="center"/>
              <w:rPr>
                <w:sz w:val="19"/>
                <w:szCs w:val="19"/>
              </w:rPr>
            </w:pPr>
          </w:p>
        </w:tc>
        <w:tc>
          <w:tcPr>
            <w:tcW w:w="1688" w:type="pct"/>
            <w:tcBorders>
              <w:top w:val="single" w:sz="4" w:space="0" w:color="auto"/>
              <w:left w:val="single" w:sz="4" w:space="0" w:color="auto"/>
              <w:right w:val="single" w:sz="4" w:space="0" w:color="auto"/>
            </w:tcBorders>
          </w:tcPr>
          <w:p w14:paraId="21491A20" w14:textId="77777777" w:rsidR="00134F05" w:rsidRPr="0041543F" w:rsidRDefault="00134F05" w:rsidP="00D035C2">
            <w:pPr>
              <w:pStyle w:val="TableHeading"/>
              <w:spacing w:line="240" w:lineRule="auto"/>
              <w:jc w:val="center"/>
              <w:rPr>
                <w:sz w:val="19"/>
                <w:szCs w:val="19"/>
              </w:rPr>
            </w:pPr>
            <w:r>
              <w:rPr>
                <w:sz w:val="19"/>
                <w:szCs w:val="19"/>
              </w:rPr>
              <w:t>2019-20</w:t>
            </w:r>
          </w:p>
        </w:tc>
        <w:tc>
          <w:tcPr>
            <w:tcW w:w="1414" w:type="pct"/>
            <w:tcBorders>
              <w:top w:val="single" w:sz="4" w:space="0" w:color="auto"/>
              <w:left w:val="single" w:sz="4" w:space="0" w:color="auto"/>
              <w:right w:val="single" w:sz="4" w:space="0" w:color="auto"/>
            </w:tcBorders>
          </w:tcPr>
          <w:p w14:paraId="0C7C094E" w14:textId="77777777" w:rsidR="00134F05" w:rsidRPr="0041543F" w:rsidRDefault="00134F05" w:rsidP="00D035C2">
            <w:pPr>
              <w:pStyle w:val="TableHeading"/>
              <w:spacing w:line="240" w:lineRule="auto"/>
              <w:jc w:val="center"/>
              <w:rPr>
                <w:sz w:val="19"/>
                <w:szCs w:val="19"/>
              </w:rPr>
            </w:pPr>
            <w:r>
              <w:rPr>
                <w:sz w:val="19"/>
                <w:szCs w:val="19"/>
              </w:rPr>
              <w:t>2020-21</w:t>
            </w:r>
          </w:p>
        </w:tc>
        <w:tc>
          <w:tcPr>
            <w:tcW w:w="1152" w:type="pct"/>
            <w:tcBorders>
              <w:top w:val="single" w:sz="4" w:space="0" w:color="auto"/>
              <w:left w:val="single" w:sz="4" w:space="0" w:color="auto"/>
              <w:right w:val="single" w:sz="4" w:space="0" w:color="auto"/>
            </w:tcBorders>
          </w:tcPr>
          <w:p w14:paraId="0D7DBA59" w14:textId="77777777" w:rsidR="00134F05" w:rsidRDefault="00134F05" w:rsidP="00D035C2">
            <w:pPr>
              <w:pStyle w:val="TableHeading"/>
              <w:spacing w:line="240" w:lineRule="auto"/>
              <w:jc w:val="center"/>
              <w:rPr>
                <w:sz w:val="19"/>
                <w:szCs w:val="19"/>
              </w:rPr>
            </w:pPr>
            <w:r>
              <w:rPr>
                <w:sz w:val="19"/>
                <w:szCs w:val="19"/>
              </w:rPr>
              <w:t>2023-24</w:t>
            </w:r>
          </w:p>
        </w:tc>
      </w:tr>
      <w:tr w:rsidR="00134F05" w:rsidRPr="0041543F" w14:paraId="3F7C8FDD" w14:textId="77777777" w:rsidTr="004E76E8">
        <w:trPr>
          <w:cantSplit/>
          <w:trHeight w:val="608"/>
        </w:trPr>
        <w:tc>
          <w:tcPr>
            <w:tcW w:w="746" w:type="pct"/>
            <w:tcBorders>
              <w:top w:val="single" w:sz="4" w:space="0" w:color="auto"/>
              <w:left w:val="single" w:sz="4" w:space="0" w:color="auto"/>
              <w:bottom w:val="single" w:sz="4" w:space="0" w:color="auto"/>
              <w:right w:val="single" w:sz="4" w:space="0" w:color="auto"/>
            </w:tcBorders>
          </w:tcPr>
          <w:p w14:paraId="02AC729B" w14:textId="77777777" w:rsidR="00134F05" w:rsidRPr="002B6ECA" w:rsidRDefault="00134F05" w:rsidP="00D035C2">
            <w:pPr>
              <w:pStyle w:val="TableHeading"/>
              <w:spacing w:line="240" w:lineRule="auto"/>
              <w:jc w:val="left"/>
              <w:rPr>
                <w:b w:val="0"/>
                <w:sz w:val="19"/>
                <w:szCs w:val="19"/>
              </w:rPr>
            </w:pPr>
            <w:r w:rsidRPr="00BE09D3">
              <w:rPr>
                <w:b w:val="0"/>
                <w:sz w:val="19"/>
                <w:szCs w:val="19"/>
              </w:rPr>
              <w:t xml:space="preserve">What did </w:t>
            </w:r>
            <w:r>
              <w:rPr>
                <w:b w:val="0"/>
                <w:sz w:val="19"/>
                <w:szCs w:val="19"/>
              </w:rPr>
              <w:t xml:space="preserve">CEW </w:t>
            </w:r>
            <w:r w:rsidRPr="00BE09D3">
              <w:rPr>
                <w:b w:val="0"/>
                <w:sz w:val="19"/>
                <w:szCs w:val="19"/>
              </w:rPr>
              <w:t>contribute to littoral understorey vegetation diversity</w:t>
            </w:r>
            <w:r>
              <w:rPr>
                <w:b w:val="0"/>
                <w:sz w:val="19"/>
                <w:szCs w:val="19"/>
              </w:rPr>
              <w:t>?</w:t>
            </w:r>
            <w:r w:rsidRPr="00BE09D3">
              <w:rPr>
                <w:b w:val="0"/>
                <w:sz w:val="19"/>
                <w:szCs w:val="19"/>
              </w:rPr>
              <w:t xml:space="preserve"> </w:t>
            </w:r>
          </w:p>
        </w:tc>
        <w:tc>
          <w:tcPr>
            <w:tcW w:w="1688" w:type="pct"/>
            <w:tcBorders>
              <w:top w:val="single" w:sz="4" w:space="0" w:color="auto"/>
              <w:left w:val="single" w:sz="4" w:space="0" w:color="auto"/>
              <w:bottom w:val="single" w:sz="4" w:space="0" w:color="auto"/>
              <w:right w:val="single" w:sz="4" w:space="0" w:color="auto"/>
            </w:tcBorders>
            <w:shd w:val="clear" w:color="auto" w:fill="70AD47" w:themeFill="accent6"/>
          </w:tcPr>
          <w:p w14:paraId="2CB5571D" w14:textId="77777777" w:rsidR="00134F05" w:rsidRDefault="00134F05" w:rsidP="00D035C2">
            <w:pPr>
              <w:pStyle w:val="TableHeading"/>
              <w:spacing w:line="240" w:lineRule="auto"/>
              <w:jc w:val="left"/>
              <w:rPr>
                <w:b w:val="0"/>
                <w:sz w:val="19"/>
                <w:szCs w:val="19"/>
              </w:rPr>
            </w:pPr>
            <w:r>
              <w:rPr>
                <w:b w:val="0"/>
                <w:sz w:val="19"/>
                <w:szCs w:val="19"/>
              </w:rPr>
              <w:t xml:space="preserve">CEW delivery increased native plant species diversity </w:t>
            </w:r>
            <w:r w:rsidRPr="00A7450B">
              <w:rPr>
                <w:b w:val="0"/>
                <w:sz w:val="19"/>
                <w:szCs w:val="19"/>
              </w:rPr>
              <w:t xml:space="preserve">by </w:t>
            </w:r>
            <w:r>
              <w:rPr>
                <w:b w:val="0"/>
                <w:sz w:val="19"/>
                <w:szCs w:val="19"/>
              </w:rPr>
              <w:t>40</w:t>
            </w:r>
            <w:r w:rsidRPr="00A7450B">
              <w:rPr>
                <w:b w:val="0"/>
                <w:sz w:val="19"/>
                <w:szCs w:val="19"/>
              </w:rPr>
              <w:t>–</w:t>
            </w:r>
            <w:r>
              <w:rPr>
                <w:b w:val="0"/>
                <w:sz w:val="19"/>
                <w:szCs w:val="19"/>
              </w:rPr>
              <w:t>100</w:t>
            </w:r>
            <w:r w:rsidRPr="00A7450B">
              <w:rPr>
                <w:b w:val="0"/>
                <w:sz w:val="19"/>
                <w:szCs w:val="19"/>
              </w:rPr>
              <w:t xml:space="preserve">% </w:t>
            </w:r>
            <w:r>
              <w:rPr>
                <w:b w:val="0"/>
                <w:sz w:val="19"/>
                <w:szCs w:val="19"/>
              </w:rPr>
              <w:t xml:space="preserve">across all reaches in the LMR. This was evidenced by consistently higher native species richness in inundated zones in each reach compared to non-inundated areas, higher native species richness (albeit lower than inundated zones) on the edge of the inundation footprint, where there was increased soil moisture due to capillary action, and different plant communities in the inundated zones (despite there being few significant indicators) compared to non-inundated zones. CEW delivery in the form of a spring pulse produced conditions suitable for the recruitment of specialised riparian species that are adapted to fluctuating water levels and do not inhabit terrestrial or truly aquatic habitats, increasing plant functional diversity. </w:t>
            </w:r>
          </w:p>
          <w:p w14:paraId="43DBACDC" w14:textId="77777777" w:rsidR="00134F05" w:rsidRPr="00B8740E" w:rsidRDefault="00134F05" w:rsidP="00D035C2">
            <w:pPr>
              <w:pStyle w:val="TableHeading"/>
              <w:spacing w:line="240" w:lineRule="auto"/>
              <w:jc w:val="left"/>
              <w:rPr>
                <w:b w:val="0"/>
                <w:i/>
                <w:iCs/>
                <w:sz w:val="19"/>
                <w:szCs w:val="19"/>
              </w:rPr>
            </w:pPr>
            <w:r>
              <w:rPr>
                <w:b w:val="0"/>
                <w:sz w:val="19"/>
                <w:szCs w:val="19"/>
              </w:rPr>
              <w:t xml:space="preserve">Twenty-four native species responded positively to delivery of CEW either by recruitment or increased abundance (Ye </w:t>
            </w:r>
            <w:r w:rsidRPr="005E5C2F">
              <w:rPr>
                <w:b w:val="0"/>
                <w:i/>
                <w:iCs/>
                <w:sz w:val="19"/>
                <w:szCs w:val="19"/>
              </w:rPr>
              <w:t>et al.</w:t>
            </w:r>
            <w:r>
              <w:rPr>
                <w:b w:val="0"/>
                <w:sz w:val="19"/>
                <w:szCs w:val="19"/>
              </w:rPr>
              <w:t xml:space="preserve"> 2021).</w:t>
            </w:r>
          </w:p>
        </w:tc>
        <w:tc>
          <w:tcPr>
            <w:tcW w:w="1414" w:type="pct"/>
            <w:tcBorders>
              <w:top w:val="single" w:sz="4" w:space="0" w:color="auto"/>
              <w:left w:val="single" w:sz="4" w:space="0" w:color="auto"/>
              <w:bottom w:val="single" w:sz="4" w:space="0" w:color="auto"/>
              <w:right w:val="single" w:sz="4" w:space="0" w:color="auto"/>
            </w:tcBorders>
            <w:shd w:val="clear" w:color="auto" w:fill="70AD47" w:themeFill="accent6"/>
          </w:tcPr>
          <w:p w14:paraId="5D833CAD" w14:textId="77777777" w:rsidR="00134F05" w:rsidRDefault="00134F05" w:rsidP="00D035C2">
            <w:pPr>
              <w:pStyle w:val="TableHeading"/>
              <w:spacing w:line="240" w:lineRule="auto"/>
              <w:jc w:val="left"/>
              <w:rPr>
                <w:b w:val="0"/>
                <w:sz w:val="19"/>
                <w:szCs w:val="19"/>
              </w:rPr>
            </w:pPr>
            <w:bookmarkStart w:id="350" w:name="_Hlk63982760"/>
            <w:r>
              <w:rPr>
                <w:b w:val="0"/>
                <w:sz w:val="19"/>
                <w:szCs w:val="19"/>
              </w:rPr>
              <w:t xml:space="preserve">CEW delivery increased native plant species diversity by </w:t>
            </w:r>
            <w:r w:rsidRPr="00A7450B">
              <w:rPr>
                <w:b w:val="0"/>
                <w:sz w:val="19"/>
                <w:szCs w:val="19"/>
              </w:rPr>
              <w:t xml:space="preserve">42–82% </w:t>
            </w:r>
            <w:r>
              <w:rPr>
                <w:b w:val="0"/>
                <w:sz w:val="19"/>
                <w:szCs w:val="19"/>
              </w:rPr>
              <w:t xml:space="preserve">across all reaches in the LMR. This was evidenced by consistently higher native species richness in inundated zones in each reach compared to non-inundated areas and different plant communities in the inundated zones compared to non-inundated zones. </w:t>
            </w:r>
            <w:bookmarkStart w:id="351" w:name="_Hlk63983865"/>
            <w:bookmarkStart w:id="352" w:name="_Hlk63984273"/>
            <w:r>
              <w:rPr>
                <w:b w:val="0"/>
                <w:sz w:val="19"/>
                <w:szCs w:val="19"/>
              </w:rPr>
              <w:t>CEW delivery in the form of a spring pulse produced conditions suitable</w:t>
            </w:r>
            <w:bookmarkEnd w:id="351"/>
            <w:r>
              <w:rPr>
                <w:b w:val="0"/>
                <w:sz w:val="19"/>
                <w:szCs w:val="19"/>
              </w:rPr>
              <w:t xml:space="preserve"> for the recruitment of specialised riparian species that are adapted to fluctuating water levels and do not inhabit terrestrial or truly aquatic habitats, increasing plant functional diversity. </w:t>
            </w:r>
            <w:bookmarkEnd w:id="352"/>
          </w:p>
          <w:bookmarkEnd w:id="350"/>
          <w:p w14:paraId="0EBBA100" w14:textId="2174E560" w:rsidR="00134F05" w:rsidRPr="006B375C" w:rsidRDefault="00134F05" w:rsidP="00D035C2">
            <w:pPr>
              <w:pStyle w:val="TableHeading"/>
              <w:spacing w:line="240" w:lineRule="auto"/>
              <w:jc w:val="left"/>
              <w:rPr>
                <w:b w:val="0"/>
                <w:sz w:val="19"/>
                <w:szCs w:val="19"/>
              </w:rPr>
            </w:pPr>
            <w:r>
              <w:rPr>
                <w:b w:val="0"/>
                <w:sz w:val="19"/>
                <w:szCs w:val="19"/>
              </w:rPr>
              <w:t xml:space="preserve">Twenty-eight native </w:t>
            </w:r>
            <w:r w:rsidR="004C1582">
              <w:rPr>
                <w:b w:val="0"/>
                <w:sz w:val="19"/>
                <w:szCs w:val="19"/>
              </w:rPr>
              <w:t>species responded</w:t>
            </w:r>
            <w:r>
              <w:rPr>
                <w:b w:val="0"/>
                <w:sz w:val="19"/>
                <w:szCs w:val="19"/>
              </w:rPr>
              <w:t xml:space="preserve"> positively to delivery of CEW either by recruitment or increased abundance (Ye </w:t>
            </w:r>
            <w:r w:rsidRPr="00E74905">
              <w:rPr>
                <w:b w:val="0"/>
                <w:i/>
                <w:iCs/>
                <w:sz w:val="19"/>
                <w:szCs w:val="19"/>
              </w:rPr>
              <w:t>et al.</w:t>
            </w:r>
            <w:r>
              <w:rPr>
                <w:b w:val="0"/>
                <w:sz w:val="19"/>
                <w:szCs w:val="19"/>
              </w:rPr>
              <w:t xml:space="preserve"> 2022).</w:t>
            </w:r>
          </w:p>
        </w:tc>
        <w:tc>
          <w:tcPr>
            <w:tcW w:w="1152"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F1C42E8" w14:textId="77777777" w:rsidR="00134F05" w:rsidRDefault="00134F05" w:rsidP="00D035C2">
            <w:pPr>
              <w:pStyle w:val="TableHeading"/>
              <w:spacing w:line="240" w:lineRule="auto"/>
              <w:jc w:val="left"/>
              <w:rPr>
                <w:b w:val="0"/>
                <w:sz w:val="19"/>
                <w:szCs w:val="19"/>
              </w:rPr>
            </w:pPr>
            <w:r>
              <w:rPr>
                <w:b w:val="0"/>
                <w:sz w:val="19"/>
                <w:szCs w:val="19"/>
              </w:rPr>
              <w:t>CEW delivery had no impact on species diversity at any of the assessed reaches in the LMR. Native species richness was either the same or lower in areas inundated by CEW compared to areas not inundated.</w:t>
            </w:r>
          </w:p>
          <w:p w14:paraId="47706FC4" w14:textId="1C905C55" w:rsidR="00134F05" w:rsidRDefault="00134F05" w:rsidP="00D035C2">
            <w:pPr>
              <w:pStyle w:val="TableHeading"/>
              <w:spacing w:line="240" w:lineRule="auto"/>
              <w:jc w:val="left"/>
              <w:rPr>
                <w:b w:val="0"/>
                <w:sz w:val="19"/>
                <w:szCs w:val="19"/>
              </w:rPr>
            </w:pPr>
            <w:r>
              <w:rPr>
                <w:b w:val="0"/>
                <w:sz w:val="19"/>
                <w:szCs w:val="19"/>
              </w:rPr>
              <w:t>However, environmental water delivery in 2023-24 may have prevented a “false start” for some species. Maintaining water levels at elevations where decreasing water levels will expose the sediment (providing conditions for breaking seed dormancy and germination) but then inundating the same sediment drowning plants before they have the opportunity to complete their life cycle and replenish the seed bank.</w:t>
            </w:r>
          </w:p>
        </w:tc>
      </w:tr>
      <w:tr w:rsidR="00134F05" w:rsidRPr="0041543F" w14:paraId="015B0392" w14:textId="77777777" w:rsidTr="004E76E8">
        <w:trPr>
          <w:cantSplit/>
          <w:trHeight w:val="1316"/>
        </w:trPr>
        <w:tc>
          <w:tcPr>
            <w:tcW w:w="746" w:type="pct"/>
            <w:tcBorders>
              <w:top w:val="single" w:sz="4" w:space="0" w:color="auto"/>
              <w:left w:val="single" w:sz="4" w:space="0" w:color="auto"/>
              <w:right w:val="single" w:sz="4" w:space="0" w:color="auto"/>
            </w:tcBorders>
          </w:tcPr>
          <w:p w14:paraId="28A7ED13" w14:textId="77777777" w:rsidR="00134F05" w:rsidRPr="00BE09D3" w:rsidRDefault="00134F05" w:rsidP="00D035C2">
            <w:pPr>
              <w:pStyle w:val="TableHeading"/>
              <w:spacing w:line="240" w:lineRule="auto"/>
              <w:jc w:val="left"/>
              <w:rPr>
                <w:b w:val="0"/>
                <w:sz w:val="19"/>
                <w:szCs w:val="19"/>
              </w:rPr>
            </w:pPr>
            <w:r w:rsidRPr="00BE09D3">
              <w:rPr>
                <w:b w:val="0"/>
                <w:sz w:val="19"/>
                <w:szCs w:val="19"/>
              </w:rPr>
              <w:lastRenderedPageBreak/>
              <w:t xml:space="preserve">What did </w:t>
            </w:r>
            <w:r>
              <w:rPr>
                <w:b w:val="0"/>
                <w:sz w:val="19"/>
                <w:szCs w:val="19"/>
              </w:rPr>
              <w:t xml:space="preserve">CEW </w:t>
            </w:r>
            <w:r w:rsidRPr="00BE09D3">
              <w:rPr>
                <w:b w:val="0"/>
                <w:sz w:val="19"/>
                <w:szCs w:val="19"/>
              </w:rPr>
              <w:t>contribute to above-ground biomass produced by understorey littoral vegetation?</w:t>
            </w:r>
          </w:p>
        </w:tc>
        <w:tc>
          <w:tcPr>
            <w:tcW w:w="1688" w:type="pct"/>
            <w:tcBorders>
              <w:top w:val="single" w:sz="4" w:space="0" w:color="auto"/>
              <w:left w:val="single" w:sz="4" w:space="0" w:color="auto"/>
              <w:right w:val="single" w:sz="4" w:space="0" w:color="auto"/>
            </w:tcBorders>
            <w:shd w:val="clear" w:color="auto" w:fill="D9D9D9" w:themeFill="background1" w:themeFillShade="D9"/>
          </w:tcPr>
          <w:p w14:paraId="4D3EB8EF" w14:textId="77777777" w:rsidR="00134F05" w:rsidRDefault="00134F05" w:rsidP="00D035C2">
            <w:pPr>
              <w:pStyle w:val="TableHeading"/>
              <w:spacing w:line="240" w:lineRule="auto"/>
              <w:jc w:val="left"/>
              <w:rPr>
                <w:b w:val="0"/>
                <w:sz w:val="19"/>
                <w:szCs w:val="19"/>
              </w:rPr>
            </w:pPr>
            <w:r>
              <w:rPr>
                <w:b w:val="0"/>
                <w:sz w:val="19"/>
                <w:szCs w:val="19"/>
              </w:rPr>
              <w:t xml:space="preserve">Biomass production due to CEW was inconclusive and varied depending on reach with no clear pattern in relation to CEW delivery. The only reach that responded as hypothesised was Lock 6 with greater biomass in the </w:t>
            </w:r>
            <w:r w:rsidRPr="00240018">
              <w:rPr>
                <w:b w:val="0"/>
                <w:i/>
                <w:iCs/>
                <w:sz w:val="19"/>
                <w:szCs w:val="19"/>
              </w:rPr>
              <w:t>Inundated</w:t>
            </w:r>
            <w:r>
              <w:rPr>
                <w:b w:val="0"/>
                <w:sz w:val="19"/>
                <w:szCs w:val="19"/>
              </w:rPr>
              <w:t xml:space="preserve"> and </w:t>
            </w:r>
            <w:r w:rsidRPr="00240018">
              <w:rPr>
                <w:b w:val="0"/>
                <w:i/>
                <w:iCs/>
                <w:sz w:val="19"/>
                <w:szCs w:val="19"/>
              </w:rPr>
              <w:t>Inundation extent</w:t>
            </w:r>
            <w:r>
              <w:rPr>
                <w:b w:val="0"/>
                <w:sz w:val="19"/>
                <w:szCs w:val="19"/>
              </w:rPr>
              <w:t xml:space="preserve"> zones.</w:t>
            </w:r>
          </w:p>
        </w:tc>
        <w:tc>
          <w:tcPr>
            <w:tcW w:w="1414" w:type="pct"/>
            <w:tcBorders>
              <w:top w:val="single" w:sz="4" w:space="0" w:color="auto"/>
              <w:left w:val="single" w:sz="4" w:space="0" w:color="auto"/>
              <w:right w:val="single" w:sz="4" w:space="0" w:color="auto"/>
            </w:tcBorders>
            <w:shd w:val="clear" w:color="auto" w:fill="70AD47" w:themeFill="accent6"/>
          </w:tcPr>
          <w:p w14:paraId="7A498A27" w14:textId="77777777" w:rsidR="00134F05" w:rsidRDefault="00134F05" w:rsidP="00D035C2">
            <w:pPr>
              <w:pStyle w:val="TableHeading"/>
              <w:spacing w:line="240" w:lineRule="auto"/>
              <w:jc w:val="left"/>
              <w:rPr>
                <w:b w:val="0"/>
                <w:sz w:val="19"/>
                <w:szCs w:val="19"/>
              </w:rPr>
            </w:pPr>
            <w:r>
              <w:rPr>
                <w:b w:val="0"/>
                <w:sz w:val="19"/>
                <w:szCs w:val="19"/>
              </w:rPr>
              <w:t xml:space="preserve">CEW delivery increased above-ground biomass by </w:t>
            </w:r>
            <w:r w:rsidRPr="008D7494">
              <w:rPr>
                <w:b w:val="0"/>
                <w:sz w:val="19"/>
                <w:szCs w:val="19"/>
              </w:rPr>
              <w:t xml:space="preserve">121–292% </w:t>
            </w:r>
            <w:r>
              <w:rPr>
                <w:b w:val="0"/>
                <w:sz w:val="19"/>
                <w:szCs w:val="19"/>
              </w:rPr>
              <w:t xml:space="preserve">via increasing soil moisture in the </w:t>
            </w:r>
            <w:r w:rsidRPr="00CE1F81">
              <w:rPr>
                <w:b w:val="0"/>
                <w:i/>
                <w:iCs/>
                <w:sz w:val="19"/>
                <w:szCs w:val="19"/>
              </w:rPr>
              <w:t>Inundation extent</w:t>
            </w:r>
            <w:r>
              <w:rPr>
                <w:b w:val="0"/>
                <w:sz w:val="19"/>
                <w:szCs w:val="19"/>
              </w:rPr>
              <w:t xml:space="preserve"> zone. Increased above-ground biomass was also observed in the </w:t>
            </w:r>
            <w:r w:rsidRPr="00531B3F">
              <w:rPr>
                <w:b w:val="0"/>
                <w:i/>
                <w:iCs/>
                <w:sz w:val="19"/>
                <w:szCs w:val="19"/>
              </w:rPr>
              <w:t>Inundated</w:t>
            </w:r>
            <w:r>
              <w:rPr>
                <w:b w:val="0"/>
                <w:sz w:val="19"/>
                <w:szCs w:val="19"/>
              </w:rPr>
              <w:t xml:space="preserve"> zone across all reaches and at </w:t>
            </w:r>
            <w:r w:rsidRPr="004C69EB">
              <w:rPr>
                <w:b w:val="0"/>
                <w:i/>
                <w:iCs/>
                <w:sz w:val="19"/>
                <w:szCs w:val="19"/>
              </w:rPr>
              <w:t>Pool level</w:t>
            </w:r>
            <w:r>
              <w:rPr>
                <w:b w:val="0"/>
                <w:sz w:val="19"/>
                <w:szCs w:val="19"/>
              </w:rPr>
              <w:t xml:space="preserve"> downstream of Locks 1 and 4, compared to the </w:t>
            </w:r>
            <w:r w:rsidRPr="004C69EB">
              <w:rPr>
                <w:b w:val="0"/>
                <w:i/>
                <w:iCs/>
                <w:sz w:val="19"/>
                <w:szCs w:val="19"/>
              </w:rPr>
              <w:t>Not inundated</w:t>
            </w:r>
            <w:r>
              <w:rPr>
                <w:b w:val="0"/>
                <w:sz w:val="19"/>
                <w:szCs w:val="19"/>
              </w:rPr>
              <w:t xml:space="preserve"> zone.</w:t>
            </w:r>
          </w:p>
        </w:tc>
        <w:tc>
          <w:tcPr>
            <w:tcW w:w="1152" w:type="pct"/>
            <w:tcBorders>
              <w:top w:val="single" w:sz="4" w:space="0" w:color="auto"/>
              <w:left w:val="single" w:sz="4" w:space="0" w:color="auto"/>
              <w:right w:val="single" w:sz="4" w:space="0" w:color="auto"/>
            </w:tcBorders>
            <w:shd w:val="clear" w:color="auto" w:fill="E2EFD9" w:themeFill="accent6" w:themeFillTint="33"/>
          </w:tcPr>
          <w:p w14:paraId="7245F87F" w14:textId="77777777" w:rsidR="00134F05" w:rsidRDefault="00134F05" w:rsidP="00D035C2">
            <w:pPr>
              <w:pStyle w:val="TableHeading"/>
              <w:spacing w:line="240" w:lineRule="auto"/>
              <w:jc w:val="left"/>
              <w:rPr>
                <w:b w:val="0"/>
                <w:sz w:val="19"/>
                <w:szCs w:val="19"/>
              </w:rPr>
            </w:pPr>
            <w:r>
              <w:rPr>
                <w:b w:val="0"/>
                <w:sz w:val="19"/>
                <w:szCs w:val="19"/>
              </w:rPr>
              <w:t>CEW delivery had no impact on biomass with the highest biomass across all reaches (except downstream of Lock 4) being in the zone not inundated by CEW. Biomass generally decreased with decreasing elevation at each reach.</w:t>
            </w:r>
          </w:p>
        </w:tc>
      </w:tr>
    </w:tbl>
    <w:p w14:paraId="1BA4AD04" w14:textId="77777777" w:rsidR="00134F05" w:rsidRPr="00BF0490" w:rsidRDefault="00134F05" w:rsidP="00134F05">
      <w:pPr>
        <w:spacing w:before="0" w:after="0" w:line="240" w:lineRule="auto"/>
        <w:jc w:val="left"/>
        <w:rPr>
          <w:color w:val="auto"/>
          <w:kern w:val="0"/>
          <w:sz w:val="19"/>
          <w:szCs w:val="19"/>
          <w:lang w:val="en-US" w:bidi="en-US"/>
        </w:rPr>
      </w:pPr>
      <w:r w:rsidRPr="00BF0490">
        <w:rPr>
          <w:color w:val="auto"/>
          <w:kern w:val="0"/>
          <w:sz w:val="19"/>
          <w:szCs w:val="19"/>
          <w:lang w:val="en-US" w:bidi="en-US"/>
        </w:rPr>
        <w:t>Contribution (to what extent CEW contributed towards the outcome, with the significance of the outcome considered):</w:t>
      </w:r>
    </w:p>
    <w:tbl>
      <w:tblPr>
        <w:tblW w:w="7278" w:type="dxa"/>
        <w:tblLook w:val="04A0" w:firstRow="1" w:lastRow="0" w:firstColumn="1" w:lastColumn="0" w:noHBand="0" w:noVBand="1"/>
      </w:tblPr>
      <w:tblGrid>
        <w:gridCol w:w="222"/>
        <w:gridCol w:w="1066"/>
        <w:gridCol w:w="222"/>
        <w:gridCol w:w="1069"/>
        <w:gridCol w:w="222"/>
        <w:gridCol w:w="1704"/>
        <w:gridCol w:w="222"/>
        <w:gridCol w:w="727"/>
        <w:gridCol w:w="222"/>
        <w:gridCol w:w="1144"/>
        <w:gridCol w:w="222"/>
        <w:gridCol w:w="1210"/>
      </w:tblGrid>
      <w:tr w:rsidR="00134F05" w:rsidRPr="00BF0490" w14:paraId="6DA232C9" w14:textId="77777777" w:rsidTr="00D035C2">
        <w:tc>
          <w:tcPr>
            <w:tcW w:w="222" w:type="dxa"/>
            <w:shd w:val="clear" w:color="auto" w:fill="D9D9D9" w:themeFill="background1" w:themeFillShade="D9"/>
          </w:tcPr>
          <w:p w14:paraId="178E360B" w14:textId="77777777" w:rsidR="00134F05" w:rsidRPr="00BF0490" w:rsidRDefault="00134F05" w:rsidP="00D035C2">
            <w:pPr>
              <w:contextualSpacing/>
              <w:rPr>
                <w:sz w:val="19"/>
                <w:szCs w:val="19"/>
              </w:rPr>
            </w:pPr>
          </w:p>
        </w:tc>
        <w:tc>
          <w:tcPr>
            <w:tcW w:w="1066" w:type="dxa"/>
            <w:vAlign w:val="center"/>
          </w:tcPr>
          <w:p w14:paraId="45BBFCD4" w14:textId="77777777" w:rsidR="00134F05" w:rsidRPr="00BF0490" w:rsidRDefault="00134F05" w:rsidP="00D035C2">
            <w:pPr>
              <w:contextualSpacing/>
              <w:rPr>
                <w:sz w:val="19"/>
                <w:szCs w:val="19"/>
              </w:rPr>
            </w:pPr>
            <w:r w:rsidRPr="00BF0490">
              <w:rPr>
                <w:sz w:val="19"/>
                <w:szCs w:val="19"/>
              </w:rPr>
              <w:t>Unknown</w:t>
            </w:r>
          </w:p>
        </w:tc>
        <w:tc>
          <w:tcPr>
            <w:tcW w:w="222" w:type="dxa"/>
            <w:shd w:val="clear" w:color="auto" w:fill="FF0000"/>
            <w:vAlign w:val="center"/>
          </w:tcPr>
          <w:p w14:paraId="57DF3562" w14:textId="77777777" w:rsidR="00134F05" w:rsidRPr="00BF0490" w:rsidRDefault="00134F05" w:rsidP="00D035C2">
            <w:pPr>
              <w:contextualSpacing/>
              <w:rPr>
                <w:sz w:val="19"/>
                <w:szCs w:val="19"/>
              </w:rPr>
            </w:pPr>
          </w:p>
        </w:tc>
        <w:tc>
          <w:tcPr>
            <w:tcW w:w="1069" w:type="dxa"/>
            <w:vAlign w:val="center"/>
          </w:tcPr>
          <w:p w14:paraId="290FC306" w14:textId="77777777" w:rsidR="00134F05" w:rsidRPr="00BF0490" w:rsidRDefault="00134F05" w:rsidP="00D035C2">
            <w:pPr>
              <w:contextualSpacing/>
              <w:rPr>
                <w:sz w:val="19"/>
                <w:szCs w:val="19"/>
              </w:rPr>
            </w:pPr>
            <w:r w:rsidRPr="00BF0490">
              <w:rPr>
                <w:sz w:val="19"/>
                <w:szCs w:val="19"/>
              </w:rPr>
              <w:t>Negative</w:t>
            </w:r>
          </w:p>
        </w:tc>
        <w:tc>
          <w:tcPr>
            <w:tcW w:w="222" w:type="dxa"/>
            <w:shd w:val="clear" w:color="auto" w:fill="E2EFD9" w:themeFill="accent6" w:themeFillTint="33"/>
            <w:vAlign w:val="center"/>
          </w:tcPr>
          <w:p w14:paraId="5CB98F86" w14:textId="77777777" w:rsidR="00134F05" w:rsidRPr="00BF0490" w:rsidRDefault="00134F05" w:rsidP="00D035C2">
            <w:pPr>
              <w:contextualSpacing/>
              <w:rPr>
                <w:sz w:val="19"/>
                <w:szCs w:val="19"/>
              </w:rPr>
            </w:pPr>
          </w:p>
        </w:tc>
        <w:tc>
          <w:tcPr>
            <w:tcW w:w="1704" w:type="dxa"/>
            <w:vAlign w:val="center"/>
          </w:tcPr>
          <w:p w14:paraId="55C3F96B" w14:textId="77777777" w:rsidR="00134F05" w:rsidRPr="00BF0490" w:rsidRDefault="00134F05" w:rsidP="00D035C2">
            <w:pPr>
              <w:contextualSpacing/>
              <w:rPr>
                <w:sz w:val="19"/>
                <w:szCs w:val="19"/>
              </w:rPr>
            </w:pPr>
            <w:r w:rsidRPr="00BF0490">
              <w:rPr>
                <w:sz w:val="19"/>
                <w:szCs w:val="19"/>
              </w:rPr>
              <w:t>None/negligible</w:t>
            </w:r>
          </w:p>
        </w:tc>
        <w:tc>
          <w:tcPr>
            <w:tcW w:w="222" w:type="dxa"/>
            <w:shd w:val="clear" w:color="auto" w:fill="A8D08D" w:themeFill="accent6" w:themeFillTint="99"/>
            <w:vAlign w:val="center"/>
          </w:tcPr>
          <w:p w14:paraId="5A4473BB" w14:textId="77777777" w:rsidR="00134F05" w:rsidRPr="00BF0490" w:rsidRDefault="00134F05" w:rsidP="00D035C2">
            <w:pPr>
              <w:contextualSpacing/>
              <w:rPr>
                <w:sz w:val="19"/>
                <w:szCs w:val="19"/>
              </w:rPr>
            </w:pPr>
          </w:p>
        </w:tc>
        <w:tc>
          <w:tcPr>
            <w:tcW w:w="727" w:type="dxa"/>
            <w:vAlign w:val="center"/>
          </w:tcPr>
          <w:p w14:paraId="0F18C26D" w14:textId="77777777" w:rsidR="00134F05" w:rsidRPr="00BF0490" w:rsidRDefault="00134F05" w:rsidP="00D035C2">
            <w:pPr>
              <w:contextualSpacing/>
              <w:rPr>
                <w:sz w:val="19"/>
                <w:szCs w:val="19"/>
              </w:rPr>
            </w:pPr>
            <w:r w:rsidRPr="00BF0490">
              <w:rPr>
                <w:sz w:val="19"/>
                <w:szCs w:val="19"/>
              </w:rPr>
              <w:t>Minor</w:t>
            </w:r>
          </w:p>
        </w:tc>
        <w:tc>
          <w:tcPr>
            <w:tcW w:w="222" w:type="dxa"/>
            <w:shd w:val="clear" w:color="auto" w:fill="70AD47" w:themeFill="accent6"/>
            <w:vAlign w:val="center"/>
          </w:tcPr>
          <w:p w14:paraId="43E77BE1" w14:textId="77777777" w:rsidR="00134F05" w:rsidRPr="00BF0490" w:rsidRDefault="00134F05" w:rsidP="00D035C2">
            <w:pPr>
              <w:contextualSpacing/>
              <w:rPr>
                <w:sz w:val="19"/>
                <w:szCs w:val="19"/>
              </w:rPr>
            </w:pPr>
          </w:p>
        </w:tc>
        <w:tc>
          <w:tcPr>
            <w:tcW w:w="1144" w:type="dxa"/>
            <w:vAlign w:val="center"/>
          </w:tcPr>
          <w:p w14:paraId="22884DFE" w14:textId="77777777" w:rsidR="00134F05" w:rsidRPr="00BF0490" w:rsidRDefault="00134F05" w:rsidP="00D035C2">
            <w:pPr>
              <w:contextualSpacing/>
              <w:rPr>
                <w:sz w:val="19"/>
                <w:szCs w:val="19"/>
              </w:rPr>
            </w:pPr>
            <w:r w:rsidRPr="00BF0490">
              <w:rPr>
                <w:sz w:val="19"/>
                <w:szCs w:val="19"/>
              </w:rPr>
              <w:t>Moderate</w:t>
            </w:r>
          </w:p>
        </w:tc>
        <w:tc>
          <w:tcPr>
            <w:tcW w:w="222" w:type="dxa"/>
            <w:shd w:val="clear" w:color="auto" w:fill="5B9BD5" w:themeFill="accent1"/>
          </w:tcPr>
          <w:p w14:paraId="6224C849" w14:textId="77777777" w:rsidR="00134F05" w:rsidRPr="00BF0490" w:rsidRDefault="00134F05" w:rsidP="00D035C2">
            <w:pPr>
              <w:contextualSpacing/>
              <w:rPr>
                <w:sz w:val="19"/>
                <w:szCs w:val="19"/>
              </w:rPr>
            </w:pPr>
          </w:p>
        </w:tc>
        <w:tc>
          <w:tcPr>
            <w:tcW w:w="236" w:type="dxa"/>
            <w:vAlign w:val="center"/>
          </w:tcPr>
          <w:p w14:paraId="38248F82" w14:textId="77777777" w:rsidR="00134F05" w:rsidRPr="00BF0490" w:rsidRDefault="00134F05" w:rsidP="00D035C2">
            <w:pPr>
              <w:contextualSpacing/>
              <w:jc w:val="left"/>
              <w:rPr>
                <w:sz w:val="19"/>
                <w:szCs w:val="19"/>
              </w:rPr>
            </w:pPr>
            <w:r w:rsidRPr="00BF0490">
              <w:rPr>
                <w:sz w:val="19"/>
                <w:szCs w:val="19"/>
              </w:rPr>
              <w:t>Substantial</w:t>
            </w:r>
          </w:p>
        </w:tc>
      </w:tr>
    </w:tbl>
    <w:p w14:paraId="02832A95" w14:textId="77777777" w:rsidR="00134F05" w:rsidRDefault="00134F05" w:rsidP="00134F05"/>
    <w:p w14:paraId="7D05366B" w14:textId="77777777" w:rsidR="00134F05" w:rsidRDefault="00134F05" w:rsidP="00134F05">
      <w:pPr>
        <w:pStyle w:val="Heading3"/>
      </w:pPr>
      <w:r w:rsidRPr="00E35C12">
        <w:t>Discussion</w:t>
      </w:r>
    </w:p>
    <w:p w14:paraId="4C05B217" w14:textId="2607F26B" w:rsidR="00134F05" w:rsidRDefault="00134F05" w:rsidP="00134F05">
      <w:r>
        <w:t xml:space="preserve">Delivery of Commonwealth environmental water in 2023-24 was markedly different compared to the two previous water years (2019-20 and 2020-21) when vegetation was assessed in the LMR. In 2019-20 and 2020-21, Commonwealth environmental water was delivered to produce a small in-channel pulse during spring/early summer that was added to entitlement flows. </w:t>
      </w:r>
      <w:r w:rsidR="005651E1">
        <w:t>Most</w:t>
      </w:r>
      <w:r>
        <w:t xml:space="preserve"> of the water used to create the peak was </w:t>
      </w:r>
      <w:r w:rsidRPr="00FD0A44">
        <w:t>Commonwealth environmental water</w:t>
      </w:r>
      <w:r>
        <w:t xml:space="preserve"> (Ye </w:t>
      </w:r>
      <w:r w:rsidRPr="00656ADA">
        <w:rPr>
          <w:i/>
          <w:iCs/>
        </w:rPr>
        <w:t>et al.</w:t>
      </w:r>
      <w:r>
        <w:t xml:space="preserve"> 2021,</w:t>
      </w:r>
      <w:r w:rsidRPr="00656ADA">
        <w:rPr>
          <w:i/>
          <w:iCs/>
        </w:rPr>
        <w:t xml:space="preserve"> </w:t>
      </w:r>
      <w:r>
        <w:t>2022). Water delivered in this way causes water levels to rise in weir tailwaters, in turn inundating the littoral zone and providing conditions favourable for the recruitment of amphibious and flood dependent species, primarily when water levels recede. Furthermore, the water level increase recharges soil moisture within and adjacent to the inundation footprint. This provides conditions favourable for growth for species that can tolerate or respond to inundation or can access the increased soil moisture adjacent to the inundation footprint.</w:t>
      </w:r>
    </w:p>
    <w:p w14:paraId="118DF9A5" w14:textId="77777777" w:rsidR="00134F05" w:rsidRDefault="00134F05" w:rsidP="00134F05">
      <w:r>
        <w:t xml:space="preserve">Contrastingly, in 2023-24, environmental water was delivered to slow the recession following a large, unregulated in-channel flow, prevent water levels from falling between flow pulses and enhance the smaller peak (both magnitude and duration). For most of the remainder of the water year, flow was enhanced by environmental water. </w:t>
      </w:r>
    </w:p>
    <w:p w14:paraId="0EAEE7E4" w14:textId="77777777" w:rsidR="00134F05" w:rsidRDefault="00134F05" w:rsidP="00134F05">
      <w:r>
        <w:t xml:space="preserve">The surveys in December 2019 and February 2021 were undertaken during a period of low flows with the previous overbank flood occurring in late 2016. The flow pulses delivered to the LMR that were comprised almost entirely of environmental water, inundated what was predominantly a dry landscape. Therefore, much of the area suitable for the recruitment of floodplain and amphibious species was due to the delivery of environmental water. The remainder of the floodplain remained dry and was a hostile environment for all but the most drought tolerant amphibious and floodplain taxa. </w:t>
      </w:r>
    </w:p>
    <w:p w14:paraId="6702CB1A" w14:textId="0871E047" w:rsidR="00134F05" w:rsidRDefault="00134F05" w:rsidP="00134F05">
      <w:pPr>
        <w:rPr>
          <w:bCs/>
        </w:rPr>
      </w:pPr>
      <w:r>
        <w:lastRenderedPageBreak/>
        <w:t xml:space="preserve">Contrastingly, the 2023-24 survey was undertaken at the end of a period of high flows, which included the </w:t>
      </w:r>
      <w:r w:rsidR="005F65E3">
        <w:t xml:space="preserve">third </w:t>
      </w:r>
      <w:r>
        <w:t>largest flood in the LMR in recorded history</w:t>
      </w:r>
      <w:r w:rsidR="005651E1">
        <w:t>, peaking in December 2022,</w:t>
      </w:r>
      <w:r>
        <w:t xml:space="preserve"> and a large (bankfull) in-channel flow pulse that peaked in </w:t>
      </w:r>
      <w:r w:rsidR="005651E1">
        <w:t>September</w:t>
      </w:r>
      <w:r>
        <w:t xml:space="preserve"> 2023. Environmental water delivery increased inundation duration in an already wet landscape, when conditions on the floodplain and upper littoral zone were already suitable for the recruitment and growth of amphibious and flood dependent species. The </w:t>
      </w:r>
      <w:r w:rsidRPr="00DA7AAA">
        <w:rPr>
          <w:i/>
          <w:iCs/>
        </w:rPr>
        <w:t>Not inundated</w:t>
      </w:r>
      <w:r>
        <w:t xml:space="preserve"> zone in each reach, whilst not inundated with environmental water, was inundated by an unregulated flow pulse eight months prior to the surveys (and the </w:t>
      </w:r>
      <w:r w:rsidR="005F65E3">
        <w:t xml:space="preserve">third </w:t>
      </w:r>
      <w:r>
        <w:t>largest natural flood on record 14 months prior) and was the most species rich zone across all reaches. In addition, this zone had the highest biomass in the reaches downstream of Lock 1 and Lock 6. Besides high flows, above average rainfall was recorded for the Riverland region of S</w:t>
      </w:r>
      <w:r w:rsidR="00031CB0">
        <w:t>outh Australia</w:t>
      </w:r>
      <w:r>
        <w:t xml:space="preserve"> (</w:t>
      </w:r>
      <w:r>
        <w:rPr>
          <w:bCs/>
        </w:rPr>
        <w:t>Bureau of Meteorology 2025), including an intense rainfall event of over 100 mm in less than 24 hours at Lock 6. Whilst local rainfall usually has little impact on river levels, it contributes to soil moisture and in turn plant survivorship.</w:t>
      </w:r>
    </w:p>
    <w:p w14:paraId="713683E7" w14:textId="006AB53B" w:rsidR="00134F05" w:rsidRDefault="00134F05" w:rsidP="00134F05">
      <w:r>
        <w:t xml:space="preserve">The </w:t>
      </w:r>
      <w:r w:rsidRPr="00BA5B56">
        <w:rPr>
          <w:i/>
          <w:iCs/>
        </w:rPr>
        <w:t xml:space="preserve">Inundation extent </w:t>
      </w:r>
      <w:r>
        <w:t xml:space="preserve">zone in </w:t>
      </w:r>
      <w:r w:rsidR="005651E1">
        <w:t xml:space="preserve">the first two </w:t>
      </w:r>
      <w:r>
        <w:t xml:space="preserve">surveys typically had less species than the </w:t>
      </w:r>
      <w:r>
        <w:rPr>
          <w:i/>
          <w:iCs/>
        </w:rPr>
        <w:t>I</w:t>
      </w:r>
      <w:r w:rsidRPr="00243A87">
        <w:rPr>
          <w:i/>
          <w:iCs/>
        </w:rPr>
        <w:t>nundated zone</w:t>
      </w:r>
      <w:r>
        <w:t xml:space="preserve"> but often had the highest biomass because increased soil moisture in the root zone of existing vegetation, increasing plant growth. However, in the 2023-24 survey, species richness was even lower than the </w:t>
      </w:r>
      <w:r w:rsidRPr="00BA5B56">
        <w:rPr>
          <w:i/>
          <w:iCs/>
        </w:rPr>
        <w:t>Not inundated</w:t>
      </w:r>
      <w:r>
        <w:t xml:space="preserve"> zone and biomass was similar (not statistically significant), indicating that the </w:t>
      </w:r>
      <w:r w:rsidRPr="00BA5B56">
        <w:rPr>
          <w:i/>
          <w:iCs/>
        </w:rPr>
        <w:t xml:space="preserve">Inundation extent </w:t>
      </w:r>
      <w:r>
        <w:t xml:space="preserve">zone was no more favourable for plant growth than the </w:t>
      </w:r>
      <w:r w:rsidRPr="00BA5B56">
        <w:rPr>
          <w:i/>
          <w:iCs/>
        </w:rPr>
        <w:t>Not inundated</w:t>
      </w:r>
      <w:r>
        <w:t xml:space="preserve"> zone.</w:t>
      </w:r>
    </w:p>
    <w:p w14:paraId="536F1E7E" w14:textId="77777777" w:rsidR="00134F05" w:rsidRDefault="00134F05" w:rsidP="00134F05">
      <w:r w:rsidRPr="00067A09">
        <w:t xml:space="preserve">The Inundated zone was highly variable in 2023-24. The lowest elevation quadrats were often devoid of vegetation; hence, lower species richness (except downstream of Lock 1) and biomass. Plants were present in the mid and upper elevation quadrats, but plants were smaller, cover was lower and there were usually less species than the adjacent quadrats in the upper two zones. The duration </w:t>
      </w:r>
      <w:r>
        <w:t xml:space="preserve">that </w:t>
      </w:r>
      <w:r w:rsidRPr="00067A09">
        <w:t>the quadrats at the different elevations in this zone were inundated was variable.</w:t>
      </w:r>
      <w:r>
        <w:t xml:space="preserve"> The low elevation quadrats were inundated continuously for the 2023-24 water year (and prior) and were not exposed until approximately two weeks before the surveys were undertaken. The mid and upper elevation quadrats were continuously inundated until December 2023, with the mid elevation quadrats inundated again in February 2024 for four weeks. </w:t>
      </w:r>
    </w:p>
    <w:p w14:paraId="68F19F10" w14:textId="5E88E3CF" w:rsidR="00134F05" w:rsidRDefault="00134F05" w:rsidP="00134F05">
      <w:r>
        <w:t xml:space="preserve">For the 2023-24 monitoring season, the quadrats at </w:t>
      </w:r>
      <w:r w:rsidRPr="001B114C">
        <w:rPr>
          <w:i/>
          <w:iCs/>
        </w:rPr>
        <w:t>Pool level</w:t>
      </w:r>
      <w:r>
        <w:t xml:space="preserve"> were continuously inundated for 1,037 days and exposed for only 14 days prior to the surveys being undertaken (and inundated again 14 days later). Therefore, there was a small window with conditions suitable for the surveys to be undertaken, which was not sufficient for plants to germinate and grow. Typically, four to six weeks post inundation are minimal for plants to germinate and grow to a size they can be detected and identified.</w:t>
      </w:r>
    </w:p>
    <w:p w14:paraId="18701A1B" w14:textId="42011AC5" w:rsidR="00134F05" w:rsidRDefault="00134F05" w:rsidP="00134F05">
      <w:r>
        <w:t>Whilst the delivery of environmental water in 2023-24 did not result in a clear benefit for the vegetation in terms of diversity or productivity, it may have prevented a “false start” from occurring for some species. Modelled water levels without environmental water in tailwaters showed water levels decreasing around 100 cm (compared to with environmental water) in early October followed by water levels increasing by approximately 80 cm in early November (</w:t>
      </w:r>
      <w:r w:rsidR="00D714D9">
        <w:rPr>
          <w:iCs/>
        </w:rPr>
        <w:fldChar w:fldCharType="begin"/>
      </w:r>
      <w:r w:rsidR="00D714D9">
        <w:instrText xml:space="preserve"> REF _Ref155710234 \h </w:instrText>
      </w:r>
      <w:r w:rsidR="00D714D9">
        <w:rPr>
          <w:iCs/>
        </w:rPr>
      </w:r>
      <w:r w:rsidR="00D714D9">
        <w:rPr>
          <w:iCs/>
        </w:rPr>
        <w:fldChar w:fldCharType="separate"/>
      </w:r>
      <w:r w:rsidR="00102828">
        <w:t xml:space="preserve">Figure </w:t>
      </w:r>
      <w:r w:rsidR="00102828">
        <w:rPr>
          <w:noProof/>
        </w:rPr>
        <w:t>9</w:t>
      </w:r>
      <w:r w:rsidR="00D714D9">
        <w:rPr>
          <w:iCs/>
        </w:rPr>
        <w:fldChar w:fldCharType="end"/>
      </w:r>
      <w:r>
        <w:t>). Environmental water delivery maintained (and enhanced) water levels during this period (</w:t>
      </w:r>
      <w:r w:rsidR="00D714D9">
        <w:rPr>
          <w:iCs/>
        </w:rPr>
        <w:fldChar w:fldCharType="begin"/>
      </w:r>
      <w:r w:rsidR="00D714D9">
        <w:instrText xml:space="preserve"> REF _Ref155710234 \h </w:instrText>
      </w:r>
      <w:r w:rsidR="00D714D9">
        <w:rPr>
          <w:iCs/>
        </w:rPr>
      </w:r>
      <w:r w:rsidR="00D714D9">
        <w:rPr>
          <w:iCs/>
        </w:rPr>
        <w:fldChar w:fldCharType="separate"/>
      </w:r>
      <w:r w:rsidR="00102828">
        <w:t xml:space="preserve">Figure </w:t>
      </w:r>
      <w:r w:rsidR="00102828">
        <w:rPr>
          <w:noProof/>
        </w:rPr>
        <w:t>9</w:t>
      </w:r>
      <w:r w:rsidR="00D714D9">
        <w:rPr>
          <w:iCs/>
        </w:rPr>
        <w:fldChar w:fldCharType="end"/>
      </w:r>
      <w:r w:rsidR="00D714D9">
        <w:rPr>
          <w:iCs/>
        </w:rPr>
        <w:t xml:space="preserve">) </w:t>
      </w:r>
      <w:r>
        <w:t xml:space="preserve">preventing seeds from germinating (many amphibious and floodplain species require exposure for breaking of seed dormancy and germination) (Nicol 2004) but not having sufficient time to </w:t>
      </w:r>
      <w:r>
        <w:lastRenderedPageBreak/>
        <w:t xml:space="preserve">complete their life cycle and replenish the seed bank. Most native floodplain and amphibious species are adapted to unpredictable, fluctuating water levels and can cope with false starts without completely depleting their seed banks (i.e. Thompson and Grime (1979) Type IV seed banks) (Leck and Brock 2000; Nicol 2004). However, repeated “false starts” will in time deplete the soil seed bank and in turn reduce resilience of the plant community. There is little risk that the six weeks of extended inundation by environmental water delivery in 2023-24 resulted in propagule mortality as the seeds and asexual propagules of most native species will remain viable whilst submerged for longer periods (for example, </w:t>
      </w:r>
      <w:r w:rsidRPr="00CD71CA">
        <w:rPr>
          <w:i/>
          <w:iCs/>
        </w:rPr>
        <w:t>Cyperus gymnocaulos</w:t>
      </w:r>
      <w:r>
        <w:t xml:space="preserve"> rhizomes were observed sprouting after seven years of inundation) (Nicol 2004).    </w:t>
      </w:r>
    </w:p>
    <w:p w14:paraId="1FA649DD" w14:textId="77777777" w:rsidR="00134F05" w:rsidRDefault="00134F05" w:rsidP="00134F05">
      <w:r>
        <w:t>Given the ability of the propagule banks of amphibious and floodplain species to persist through extended inundation as well as desiccation, it is expected that the littoral vegetation at low elevations close to and at pool level will recover. Furthermore, environmental water delivery in 2023-24 may have maintained littoral vegetation resilience by avoiding a “false start”, which may have occurred without environmental water delivery.</w:t>
      </w:r>
    </w:p>
    <w:p w14:paraId="496C64C6" w14:textId="77777777" w:rsidR="00134F05" w:rsidRDefault="00134F05" w:rsidP="00134F05">
      <w:r>
        <w:t xml:space="preserve">River red gums that germinated in response to the spring 2019 flow pulse (Ye </w:t>
      </w:r>
      <w:r w:rsidRPr="00656ADA">
        <w:rPr>
          <w:i/>
          <w:iCs/>
        </w:rPr>
        <w:t>et al.</w:t>
      </w:r>
      <w:r>
        <w:t xml:space="preserve"> 2021) and had reached sapling stage in February 2021 (Ye </w:t>
      </w:r>
      <w:r w:rsidRPr="00656ADA">
        <w:rPr>
          <w:i/>
          <w:iCs/>
        </w:rPr>
        <w:t>et al.</w:t>
      </w:r>
      <w:r>
        <w:t xml:space="preserve"> 2022) did not survive the extended inundation due to the 2022-23 flood. However, red gum seedlings and small saplings that were recruited following the 2022-23 flood were observed widespread across reaches and elevations in 2023-24.      </w:t>
      </w:r>
    </w:p>
    <w:p w14:paraId="5E62D054" w14:textId="77777777" w:rsidR="00134F05" w:rsidRDefault="00134F05" w:rsidP="00134F05">
      <w:pPr>
        <w:pStyle w:val="Heading3"/>
      </w:pPr>
      <w:r>
        <w:t>Management implications</w:t>
      </w:r>
    </w:p>
    <w:p w14:paraId="0FDEFC89" w14:textId="77777777" w:rsidR="00134F05" w:rsidRDefault="00134F05" w:rsidP="00134F05">
      <w:r>
        <w:t xml:space="preserve">In contrast to the 2019-20 and 2021-22 water years, results from 2023-24 did not show a noticeable benefit to the littoral vegetation. However, with the antecedent conditions of the second largest recorded flood and large in-channel flow pulse, the best use of environmental water in the 2023-24 water year for the LMR was to slow water level recession after the in-channel pulse and maintain and enhance flows (and water levels) between the two peaks. In addition to having benefits for other riverine biota, it is likely that environmental water delivery prevented a “false start” for some plant species, maintaining the soil seed bank, and resilience. </w:t>
      </w:r>
    </w:p>
    <w:p w14:paraId="788ADB53" w14:textId="77777777" w:rsidR="00134F05" w:rsidRDefault="00134F05" w:rsidP="00134F05">
      <w:r>
        <w:t>Whilst the red gums that germinated in response to the 2019-20 flow pulse did not survive past sapling stage due to the 2022-23 flood, there was widespread germination after the flood. Future spring pulses, which are now a feature of environmental water delivery in the LMR during dry years, will be important in providing water for the long-term survival of red gums at lower elevations in weir pool tailwaters in years without unregulated flows. Whilst these plants may not persist as seedlings and saplings during periods of high flows, spring pulses will be important in ensuring their survival during droughts to reach a size when they will persist during floods.</w:t>
      </w:r>
    </w:p>
    <w:p w14:paraId="020CEAE7" w14:textId="04F20605" w:rsidR="00134F05" w:rsidRDefault="00CD12F7" w:rsidP="00134F05">
      <w:r>
        <w:t xml:space="preserve">In the immediate years, we recommend monitoring </w:t>
      </w:r>
      <w:r w:rsidR="00134F05">
        <w:t xml:space="preserve">in the reaches downstream of Lock 4 and Lock 6 </w:t>
      </w:r>
      <w:r w:rsidR="00372163">
        <w:t xml:space="preserve">under </w:t>
      </w:r>
      <w:r w:rsidR="00134F05">
        <w:t xml:space="preserve">a </w:t>
      </w:r>
      <w:r w:rsidR="00372163">
        <w:t xml:space="preserve">hydrologically </w:t>
      </w:r>
      <w:r w:rsidR="00134F05">
        <w:t>dry scenario</w:t>
      </w:r>
      <w:r w:rsidR="00372163">
        <w:t xml:space="preserve"> with</w:t>
      </w:r>
      <w:r w:rsidR="00134F05">
        <w:t xml:space="preserve"> a</w:t>
      </w:r>
      <w:r w:rsidR="00372163">
        <w:t xml:space="preserve"> typical</w:t>
      </w:r>
      <w:r w:rsidR="00134F05">
        <w:t xml:space="preserve"> in-channel spring flow pulse comprising of environmental water. This monitoring will determine whether the vegetation at the lower elevations has recovered and whether red gums have persisted as a result of the flow pulse delivered in spring 2024.</w:t>
      </w:r>
    </w:p>
    <w:p w14:paraId="449C5B30" w14:textId="77777777" w:rsidR="00134F05" w:rsidRDefault="00134F05" w:rsidP="00134F05">
      <w:pPr>
        <w:pStyle w:val="Heading3"/>
      </w:pPr>
      <w:bookmarkStart w:id="353" w:name="_Hlk201314192"/>
      <w:r>
        <w:lastRenderedPageBreak/>
        <w:t>Conclusions</w:t>
      </w:r>
    </w:p>
    <w:p w14:paraId="3D630DEB" w14:textId="6EE0043F" w:rsidR="00134F05" w:rsidRDefault="00134F05" w:rsidP="00134F05">
      <w:r>
        <w:t xml:space="preserve">The dry scenario management of environmental water in the LMR, to produce an in-channel spring flow pulse, had benefits for vegetation in tailwaters. This management action produces a rise in water levels downstream of </w:t>
      </w:r>
      <w:r w:rsidR="0080636F">
        <w:t xml:space="preserve">the weirs (tailwaters), </w:t>
      </w:r>
      <w:r w:rsidR="00082986">
        <w:t xml:space="preserve">resulting in a maximum increase in inundated area of 1,621 ha </w:t>
      </w:r>
      <w:r w:rsidR="00E74905">
        <w:t xml:space="preserve">and </w:t>
      </w:r>
      <w:r w:rsidR="00082986">
        <w:t>1,397 ha in 2019-20 and 2020-21</w:t>
      </w:r>
      <w:r w:rsidR="00E74905">
        <w:t>,</w:t>
      </w:r>
      <w:r w:rsidR="00082986">
        <w:t xml:space="preserve"> respectively (</w:t>
      </w:r>
      <w:r w:rsidR="00082986">
        <w:fldChar w:fldCharType="begin"/>
      </w:r>
      <w:r w:rsidR="00082986">
        <w:instrText xml:space="preserve"> REF _Ref153960871 \h </w:instrText>
      </w:r>
      <w:r w:rsidR="00082986">
        <w:fldChar w:fldCharType="separate"/>
      </w:r>
      <w:r w:rsidR="00102828">
        <w:t xml:space="preserve">Table </w:t>
      </w:r>
      <w:r w:rsidR="00102828">
        <w:rPr>
          <w:noProof/>
        </w:rPr>
        <w:t>4</w:t>
      </w:r>
      <w:r w:rsidR="00082986">
        <w:fldChar w:fldCharType="end"/>
      </w:r>
      <w:r w:rsidR="00082986">
        <w:t>)</w:t>
      </w:r>
      <w:r w:rsidR="00E34A17">
        <w:t xml:space="preserve"> due to </w:t>
      </w:r>
      <w:r w:rsidR="00082986">
        <w:t>Commonwealth environmental water</w:t>
      </w:r>
      <w:r w:rsidR="00E34A17">
        <w:t>. W</w:t>
      </w:r>
      <w:r>
        <w:t>ater level variability</w:t>
      </w:r>
      <w:r w:rsidR="00E34A17">
        <w:t xml:space="preserve"> also increased</w:t>
      </w:r>
      <w:r>
        <w:t xml:space="preserve">, providing conditions suitable for recruitment of flood dependent and amphibious species. The vegetation zonation patterns observed in the littoral zones of tailwaters in December 2019 and February 2021, were due to the presence of species only observed in the areas inundated by the spring flow pulses. The areas outside of the inundation footprints were often species intolerant of inundation or drought tolerant amphibious and flood dependent species that recruited after previous unregulated flows. </w:t>
      </w:r>
    </w:p>
    <w:bookmarkEnd w:id="353"/>
    <w:p w14:paraId="1C19B3CF" w14:textId="77777777" w:rsidR="00134F05" w:rsidRPr="00F14B73" w:rsidRDefault="00134F05" w:rsidP="00134F05">
      <w:r>
        <w:t xml:space="preserve">Whilst vegetation zonation was evident in June 2024, following a period of high flows, the vegetation was different from the communities observed in 2019-20 and 2020-21. Species with higher water requirements (amphibious and flood dependent taxa) were more abundant at the higher elevations and the vegetation was generally denser at these elevations. The lower elevations were generally less densely vegetated due to extended inundation and less exposure time prior to the survey.  </w:t>
      </w:r>
    </w:p>
    <w:p w14:paraId="2113D1F6" w14:textId="2F46124F" w:rsidR="00134F05" w:rsidRDefault="00134F05" w:rsidP="00134F05">
      <w:r>
        <w:t>Environmental water delivery in 2023-24 did not have a noticeable benefit to the littoral vegetation, but it may have prevented a “false start”, which may have depleted the seed bank and reduced resilience. The pattern of environmental water delivery in 2023-24 to manage flow and water level recession has benefits for other riverine biota. Such water delivery should not be seen as a trade-off between vegetation and other biota as it likely has no negative impacts and has probably benefitted the vegetation in the longer-term.</w:t>
      </w:r>
    </w:p>
    <w:p w14:paraId="38F7D9B7" w14:textId="4CEEC9E6" w:rsidR="00CB491D" w:rsidRDefault="00CB491D" w:rsidP="00620A12">
      <w:pPr>
        <w:rPr>
          <w:rFonts w:eastAsiaTheme="majorEastAsia" w:cstheme="majorBidi"/>
          <w:b/>
          <w:i/>
          <w:color w:val="44546A" w:themeColor="text2"/>
          <w:sz w:val="26"/>
          <w:szCs w:val="24"/>
        </w:rPr>
      </w:pPr>
      <w:r>
        <w:br w:type="page"/>
      </w:r>
    </w:p>
    <w:p w14:paraId="17680CA3" w14:textId="51729A94" w:rsidR="00CB491D" w:rsidRPr="00C002ED" w:rsidRDefault="00CB491D" w:rsidP="00CB491D">
      <w:pPr>
        <w:pStyle w:val="Heading2"/>
        <w:rPr>
          <w:i/>
        </w:rPr>
      </w:pPr>
      <w:bookmarkStart w:id="354" w:name="_Toc3558339"/>
      <w:bookmarkStart w:id="355" w:name="_Ref95295870"/>
      <w:bookmarkStart w:id="356" w:name="_Ref127874596"/>
      <w:bookmarkStart w:id="357" w:name="_Ref129007005"/>
      <w:bookmarkStart w:id="358" w:name="_Toc200467864"/>
      <w:r w:rsidRPr="00C002ED">
        <w:lastRenderedPageBreak/>
        <w:t xml:space="preserve">Microinvertebrate </w:t>
      </w:r>
      <w:bookmarkEnd w:id="354"/>
      <w:bookmarkEnd w:id="355"/>
      <w:bookmarkEnd w:id="356"/>
      <w:bookmarkEnd w:id="357"/>
      <w:r w:rsidR="00BD3C09" w:rsidRPr="00C002ED">
        <w:t>Assemblage</w:t>
      </w:r>
      <w:bookmarkEnd w:id="358"/>
    </w:p>
    <w:p w14:paraId="2BB94135" w14:textId="77777777" w:rsidR="00BD3C09" w:rsidRPr="00C002ED" w:rsidRDefault="00BD3C09" w:rsidP="00BD3C09">
      <w:pPr>
        <w:pStyle w:val="Heading3"/>
      </w:pPr>
      <w:bookmarkStart w:id="359" w:name="_Hlk97197712"/>
      <w:r w:rsidRPr="00C002ED">
        <w:t>Background</w:t>
      </w:r>
    </w:p>
    <w:p w14:paraId="52A92AFF" w14:textId="68EE468D" w:rsidR="00C002ED" w:rsidRPr="00BF0005" w:rsidRDefault="00C002ED" w:rsidP="00C002ED">
      <w:r w:rsidRPr="00BF0005">
        <w:t xml:space="preserve">To date, more than 400 species of planktonic and littoral microinvertebrates (protists, rotifers and microcrustaceans) have been identified in the </w:t>
      </w:r>
      <w:r>
        <w:t>LMR</w:t>
      </w:r>
      <w:r w:rsidRPr="00BF0005">
        <w:t xml:space="preserve"> and Lower Lakes. This assemblage provides an important food resource for a range of higher order </w:t>
      </w:r>
      <w:r w:rsidRPr="00291D53">
        <w:t>consumers</w:t>
      </w:r>
      <w:r>
        <w:t xml:space="preserve"> such as macroinvertebrates, fish and birds </w:t>
      </w:r>
      <w:r>
        <w:rPr>
          <w:noProof/>
        </w:rPr>
        <w:t xml:space="preserve">(Shiel </w:t>
      </w:r>
      <w:r w:rsidRPr="00DE532D">
        <w:rPr>
          <w:i/>
          <w:iCs/>
          <w:noProof/>
        </w:rPr>
        <w:t>et al.</w:t>
      </w:r>
      <w:r>
        <w:rPr>
          <w:noProof/>
        </w:rPr>
        <w:t xml:space="preserve"> 1982; Shiel and Aldridge 2011; Shiel and Tan 2013a</w:t>
      </w:r>
      <w:r w:rsidR="005C7AFB">
        <w:rPr>
          <w:noProof/>
        </w:rPr>
        <w:t>,</w:t>
      </w:r>
      <w:r>
        <w:rPr>
          <w:noProof/>
        </w:rPr>
        <w:t xml:space="preserve"> 2013b; Bice </w:t>
      </w:r>
      <w:r w:rsidRPr="00CE4912">
        <w:rPr>
          <w:i/>
          <w:iCs/>
          <w:noProof/>
        </w:rPr>
        <w:t>et al.</w:t>
      </w:r>
      <w:r>
        <w:rPr>
          <w:noProof/>
        </w:rPr>
        <w:t xml:space="preserve"> 2023)</w:t>
      </w:r>
      <w:r w:rsidRPr="00291D53">
        <w:t xml:space="preserve">. </w:t>
      </w:r>
      <w:r w:rsidRPr="00BF0005">
        <w:t xml:space="preserve">Different habitat types </w:t>
      </w:r>
      <w:r>
        <w:t>support</w:t>
      </w:r>
      <w:r w:rsidRPr="00BF0005">
        <w:t xml:space="preserve"> different assemblages of microinvertebrates within riverine ecosystems, and at the simplest level can be classified as either littoral, limnetic, lotic or benthic. </w:t>
      </w:r>
    </w:p>
    <w:p w14:paraId="3EE35865" w14:textId="77777777" w:rsidR="00C002ED" w:rsidRPr="00BF0005" w:rsidRDefault="00C002ED" w:rsidP="00C002ED">
      <w:r w:rsidRPr="00BF0005">
        <w:t>Microinvertebrates are rapid responders to flows</w:t>
      </w:r>
      <w:r>
        <w:t>.</w:t>
      </w:r>
      <w:r w:rsidRPr="00BF0005">
        <w:t xml:space="preserve"> </w:t>
      </w:r>
      <w:r>
        <w:t>W</w:t>
      </w:r>
      <w:r w:rsidRPr="00BF0005">
        <w:t xml:space="preserve">ithin habitats that undergo wetting and drying cycles (e.g. the littoral zone and floodplains), </w:t>
      </w:r>
      <w:r>
        <w:t xml:space="preserve">these </w:t>
      </w:r>
      <w:r w:rsidRPr="00BF0005">
        <w:t xml:space="preserve">organisms start to emerge from an egg-bank and begin to reproduce within hours of </w:t>
      </w:r>
      <w:r w:rsidRPr="00291D53">
        <w:t xml:space="preserve">inundation </w:t>
      </w:r>
      <w:r>
        <w:rPr>
          <w:noProof/>
        </w:rPr>
        <w:t>(Tan and Shiel 1993)</w:t>
      </w:r>
      <w:r w:rsidRPr="00291D53">
        <w:t xml:space="preserve">. </w:t>
      </w:r>
      <w:r w:rsidRPr="00BF0005">
        <w:t xml:space="preserve">Therefore, a healthy egg-bank, which is primarily a result of </w:t>
      </w:r>
      <w:r>
        <w:t xml:space="preserve">a </w:t>
      </w:r>
      <w:r w:rsidRPr="00BF0005">
        <w:t xml:space="preserve">long-term flooding regime, is an important driver of the magnitude of response to inundation </w:t>
      </w:r>
      <w:r>
        <w:rPr>
          <w:noProof/>
        </w:rPr>
        <w:t>(Boulton and Lloyd 1992)</w:t>
      </w:r>
      <w:r w:rsidRPr="00291D53">
        <w:t xml:space="preserve">. Once </w:t>
      </w:r>
      <w:r w:rsidRPr="00BF0005">
        <w:t xml:space="preserve">inundated, longer water residence times will result in higher </w:t>
      </w:r>
      <w:r>
        <w:t>density</w:t>
      </w:r>
      <w:r w:rsidRPr="00BF0005">
        <w:t xml:space="preserve"> and biomass of organisms and result in a shift from rotifer to crustacean dominated </w:t>
      </w:r>
      <w:r w:rsidRPr="00291D53">
        <w:t>communities</w:t>
      </w:r>
      <w:r>
        <w:t xml:space="preserve"> </w:t>
      </w:r>
      <w:r>
        <w:rPr>
          <w:noProof/>
        </w:rPr>
        <w:t xml:space="preserve">(e.g. Basu and Pick 1996; Baranyi </w:t>
      </w:r>
      <w:r w:rsidRPr="000C1238">
        <w:rPr>
          <w:i/>
          <w:iCs/>
          <w:noProof/>
        </w:rPr>
        <w:t xml:space="preserve">et al. </w:t>
      </w:r>
      <w:r>
        <w:rPr>
          <w:noProof/>
        </w:rPr>
        <w:t xml:space="preserve">2002; Obertegger </w:t>
      </w:r>
      <w:r w:rsidRPr="000C1238">
        <w:rPr>
          <w:i/>
          <w:iCs/>
          <w:noProof/>
        </w:rPr>
        <w:t>et al.</w:t>
      </w:r>
      <w:r>
        <w:rPr>
          <w:noProof/>
        </w:rPr>
        <w:t xml:space="preserve"> 2007)</w:t>
      </w:r>
      <w:r w:rsidRPr="00291D53">
        <w:t xml:space="preserve">. </w:t>
      </w:r>
      <w:r w:rsidRPr="00BF0005">
        <w:t>Therefore, habitats such as littoral zones and floodplains favour the development of abundant</w:t>
      </w:r>
      <w:r>
        <w:t xml:space="preserve"> and diverse</w:t>
      </w:r>
      <w:r w:rsidRPr="00BF0005">
        <w:t xml:space="preserve"> microinvertebrate communities which can then be transferred between habitats, through hydrological mixing</w:t>
      </w:r>
      <w:r>
        <w:t>, connectivity</w:t>
      </w:r>
      <w:r w:rsidRPr="00BF0005">
        <w:t xml:space="preserve"> and exchange. Once in the</w:t>
      </w:r>
      <w:r>
        <w:t xml:space="preserve"> pelagic zone of</w:t>
      </w:r>
      <w:r w:rsidRPr="00BF0005">
        <w:t xml:space="preserve"> main river channel, only some organisms will survive, with a component of the persistent community, reproducing within areas of the main river channel. Which component persists will largely depend on factors such as season and hydraulics. </w:t>
      </w:r>
    </w:p>
    <w:p w14:paraId="32C2F9C7" w14:textId="77777777" w:rsidR="00C002ED" w:rsidRPr="00BF0005" w:rsidRDefault="00C002ED" w:rsidP="00C002ED">
      <w:r w:rsidRPr="00BF0005">
        <w:t xml:space="preserve">Therefore, Commonwealth environmental water can facilitate the maintenance and development of microinvertebrate assemblages within the Lower Murray region by:  </w:t>
      </w:r>
    </w:p>
    <w:p w14:paraId="7CF50E06" w14:textId="701C0E5D" w:rsidR="00C002ED" w:rsidRPr="00BF0005" w:rsidRDefault="00C002ED" w:rsidP="00C002ED">
      <w:pPr>
        <w:pStyle w:val="ListParagraph"/>
        <w:numPr>
          <w:ilvl w:val="0"/>
          <w:numId w:val="13"/>
        </w:numPr>
      </w:pPr>
      <w:r>
        <w:t xml:space="preserve">Inundating areas </w:t>
      </w:r>
      <w:r w:rsidRPr="00BF0005">
        <w:t xml:space="preserve">adjacent to the main river channel and therefore </w:t>
      </w:r>
      <w:r>
        <w:t>supporting</w:t>
      </w:r>
      <w:r w:rsidRPr="00BF0005">
        <w:t xml:space="preserve"> populations that can act as a source to the main river channel community</w:t>
      </w:r>
      <w:r w:rsidR="00D31B78">
        <w:t>;</w:t>
      </w:r>
    </w:p>
    <w:p w14:paraId="6027E800" w14:textId="203BBE23" w:rsidR="00C002ED" w:rsidRPr="00BF0005" w:rsidRDefault="00C002ED" w:rsidP="00C002ED">
      <w:pPr>
        <w:pStyle w:val="ListParagraph"/>
        <w:numPr>
          <w:ilvl w:val="0"/>
          <w:numId w:val="13"/>
        </w:numPr>
      </w:pPr>
      <w:r w:rsidRPr="00BF0005">
        <w:t>Improving lateral</w:t>
      </w:r>
      <w:r>
        <w:t xml:space="preserve"> </w:t>
      </w:r>
      <w:r w:rsidRPr="00BF0005">
        <w:t>and longitudinal hydrological connectivity</w:t>
      </w:r>
      <w:r>
        <w:t xml:space="preserve"> </w:t>
      </w:r>
      <w:r w:rsidRPr="00BF0005">
        <w:t>which promotes the dispersal of organisms</w:t>
      </w:r>
      <w:r w:rsidR="00D31B78">
        <w:t>;</w:t>
      </w:r>
      <w:r>
        <w:t xml:space="preserve"> and</w:t>
      </w:r>
    </w:p>
    <w:p w14:paraId="75FC3086" w14:textId="77777777" w:rsidR="00C002ED" w:rsidRPr="00BF0005" w:rsidRDefault="00C002ED" w:rsidP="00C002ED">
      <w:pPr>
        <w:pStyle w:val="ListParagraph"/>
        <w:numPr>
          <w:ilvl w:val="0"/>
          <w:numId w:val="13"/>
        </w:numPr>
      </w:pPr>
      <w:r w:rsidRPr="00BF0005">
        <w:t>Improving the flow regime over the long</w:t>
      </w:r>
      <w:r>
        <w:t>-</w:t>
      </w:r>
      <w:r w:rsidRPr="00BF0005">
        <w:t xml:space="preserve">term to promote a more diverse and </w:t>
      </w:r>
      <w:r>
        <w:t>dense</w:t>
      </w:r>
      <w:r w:rsidRPr="00BF0005">
        <w:t xml:space="preserve"> egg-bank and thus </w:t>
      </w:r>
      <w:r>
        <w:t xml:space="preserve">a </w:t>
      </w:r>
      <w:r w:rsidRPr="00BF0005">
        <w:t xml:space="preserve">more diverse and </w:t>
      </w:r>
      <w:r>
        <w:t>dense</w:t>
      </w:r>
      <w:r w:rsidRPr="00BF0005">
        <w:t xml:space="preserve"> community dispersed through lateral and longitudinal connectivity</w:t>
      </w:r>
      <w:r>
        <w:t>.</w:t>
      </w:r>
    </w:p>
    <w:p w14:paraId="7E18EC66" w14:textId="0CA5085A" w:rsidR="00C002ED" w:rsidRPr="00C002ED" w:rsidRDefault="00C002ED" w:rsidP="00C002ED">
      <w:r w:rsidRPr="00BF0005">
        <w:t>To determine the responses of the microinvertebrate community to Commonwealth environmental water deliveries</w:t>
      </w:r>
      <w:r>
        <w:t xml:space="preserve"> in the LMR from 2014–2024 (except 2018-19)</w:t>
      </w:r>
      <w:r w:rsidRPr="00BF0005">
        <w:t>, the</w:t>
      </w:r>
      <w:r>
        <w:t>ir</w:t>
      </w:r>
      <w:r w:rsidRPr="00BF0005">
        <w:t xml:space="preserve"> diversity and </w:t>
      </w:r>
      <w:r>
        <w:t>density</w:t>
      </w:r>
      <w:r w:rsidRPr="00BF0005">
        <w:t xml:space="preserve"> </w:t>
      </w:r>
      <w:r>
        <w:t xml:space="preserve">was assessed, with a focus on </w:t>
      </w:r>
      <w:r w:rsidRPr="003B133F">
        <w:t>rotifers and microcrustaceans</w:t>
      </w:r>
      <w:r>
        <w:t>,</w:t>
      </w:r>
      <w:r w:rsidRPr="003B133F">
        <w:t xml:space="preserve"> </w:t>
      </w:r>
      <w:r>
        <w:t>every year over the spring</w:t>
      </w:r>
      <w:r w:rsidRPr="00CE4912">
        <w:t>–</w:t>
      </w:r>
      <w:r>
        <w:t xml:space="preserve">summer period. These data were then used to develop models of the response of different microinvertebrate taxa to flow, floodplain inundation and water quality. The microinvertebrate response models were subsequently used with different modelled flow scenarios to evaluate the contribution of </w:t>
      </w:r>
      <w:r w:rsidRPr="00BF0005">
        <w:t>Commonwealth environmental water</w:t>
      </w:r>
      <w:r>
        <w:t xml:space="preserve"> to microinvertebrate outcomes (for more details on the modelling approach see Appendix D in Ye </w:t>
      </w:r>
      <w:r w:rsidRPr="000C1238">
        <w:rPr>
          <w:i/>
          <w:iCs/>
        </w:rPr>
        <w:t>et al.</w:t>
      </w:r>
      <w:r>
        <w:t xml:space="preserve"> 2021).</w:t>
      </w:r>
      <w:r w:rsidRPr="00BF0005">
        <w:t xml:space="preserve"> </w:t>
      </w:r>
    </w:p>
    <w:p w14:paraId="1D320449" w14:textId="77777777" w:rsidR="00C002ED" w:rsidRPr="005708C8" w:rsidRDefault="00C002ED" w:rsidP="00C002ED">
      <w:pPr>
        <w:rPr>
          <w:i/>
          <w:u w:val="single"/>
        </w:rPr>
      </w:pPr>
      <w:r w:rsidRPr="005708C8">
        <w:rPr>
          <w:i/>
          <w:u w:val="single"/>
        </w:rPr>
        <w:t>Major hypothes</w:t>
      </w:r>
      <w:r>
        <w:rPr>
          <w:i/>
          <w:u w:val="single"/>
        </w:rPr>
        <w:t>es</w:t>
      </w:r>
    </w:p>
    <w:p w14:paraId="22DB287B" w14:textId="77777777" w:rsidR="00C002ED" w:rsidRPr="00B32D8C" w:rsidRDefault="00C002ED" w:rsidP="00C002ED">
      <w:pPr>
        <w:pStyle w:val="ListParagraph"/>
        <w:numPr>
          <w:ilvl w:val="0"/>
          <w:numId w:val="16"/>
        </w:numPr>
        <w:ind w:left="714" w:hanging="357"/>
        <w:contextualSpacing w:val="0"/>
      </w:pPr>
      <w:r w:rsidRPr="00B32D8C">
        <w:lastRenderedPageBreak/>
        <w:t>H1: Overall microinvertebrate density</w:t>
      </w:r>
      <w:r>
        <w:t xml:space="preserve"> (H1a)</w:t>
      </w:r>
      <w:r w:rsidRPr="00B32D8C">
        <w:t>, and taxonomic richness</w:t>
      </w:r>
      <w:r>
        <w:t xml:space="preserve"> (H1b)</w:t>
      </w:r>
      <w:r w:rsidRPr="00B32D8C">
        <w:t>, will increase with environmental water delivery due to the combined effects of longitudinal transport and improved lateral connectivity with off-channel habitats;</w:t>
      </w:r>
    </w:p>
    <w:p w14:paraId="4CACC6DB" w14:textId="77777777" w:rsidR="00C002ED" w:rsidRPr="00B32D8C" w:rsidRDefault="00C002ED" w:rsidP="00C002ED">
      <w:pPr>
        <w:pStyle w:val="ListParagraph"/>
        <w:numPr>
          <w:ilvl w:val="0"/>
          <w:numId w:val="16"/>
        </w:numPr>
        <w:ind w:left="714" w:hanging="357"/>
        <w:contextualSpacing w:val="0"/>
      </w:pPr>
      <w:r w:rsidRPr="00B32D8C">
        <w:t>H2: The density will increase for ‘floodplain associated’</w:t>
      </w:r>
      <w:r w:rsidRPr="00B32D8C">
        <w:rPr>
          <w:rStyle w:val="FootnoteReference"/>
        </w:rPr>
        <w:footnoteReference w:id="8"/>
      </w:r>
      <w:r w:rsidRPr="00B32D8C">
        <w:t xml:space="preserve"> microinvertebrates during periods of greater floodplain inundation (H2a) and for those that are likely to be transported to the LMR from upstream during periods of high longitudinal connectivity (H2b)</w:t>
      </w:r>
      <w:r>
        <w:t xml:space="preserve"> due to environmental water</w:t>
      </w:r>
      <w:r w:rsidRPr="00B32D8C">
        <w:t>; and</w:t>
      </w:r>
    </w:p>
    <w:p w14:paraId="1B55A70A" w14:textId="77777777" w:rsidR="00C002ED" w:rsidRDefault="00C002ED" w:rsidP="00C002ED">
      <w:pPr>
        <w:pStyle w:val="ListParagraph"/>
        <w:numPr>
          <w:ilvl w:val="0"/>
          <w:numId w:val="16"/>
        </w:numPr>
        <w:ind w:left="714" w:hanging="357"/>
        <w:contextualSpacing w:val="0"/>
      </w:pPr>
      <w:r w:rsidRPr="00B32D8C">
        <w:t>H3: Environmental</w:t>
      </w:r>
      <w:r>
        <w:t xml:space="preserve"> water delivery</w:t>
      </w:r>
      <w:r w:rsidRPr="003D3BD3">
        <w:t xml:space="preserve"> during spring</w:t>
      </w:r>
      <w:r>
        <w:t xml:space="preserve"> and early summer</w:t>
      </w:r>
      <w:r w:rsidRPr="003D3BD3">
        <w:t xml:space="preserve"> will increase the </w:t>
      </w:r>
      <w:r>
        <w:t>density of preferred microinvertebrate prey species for large-bodied fish larvae.</w:t>
      </w:r>
    </w:p>
    <w:p w14:paraId="6FB467F0" w14:textId="323E11F4" w:rsidR="00BD3C09" w:rsidRDefault="00BD3C09" w:rsidP="00C002ED"/>
    <w:p w14:paraId="6EA3CCE3" w14:textId="77777777" w:rsidR="00BD3C09" w:rsidRPr="00E35C12" w:rsidRDefault="00BD3C09" w:rsidP="00BD3C09">
      <w:pPr>
        <w:pStyle w:val="Heading3"/>
      </w:pPr>
      <w:r w:rsidRPr="00E35C12">
        <w:t>Methods</w:t>
      </w:r>
    </w:p>
    <w:p w14:paraId="1CF80A91" w14:textId="77777777" w:rsidR="00BD3C09" w:rsidRPr="005767B3" w:rsidRDefault="00BD3C09" w:rsidP="00BD3C09">
      <w:pPr>
        <w:pStyle w:val="Heading4"/>
        <w:numPr>
          <w:ilvl w:val="3"/>
          <w:numId w:val="12"/>
        </w:numPr>
        <w:ind w:left="0"/>
        <w:rPr>
          <w:szCs w:val="21"/>
        </w:rPr>
      </w:pPr>
      <w:r w:rsidRPr="005767B3">
        <w:rPr>
          <w:szCs w:val="21"/>
        </w:rPr>
        <w:t>Sampling sites and procedure</w:t>
      </w:r>
    </w:p>
    <w:p w14:paraId="35812BC4" w14:textId="1A5F1475" w:rsidR="00C002ED" w:rsidRDefault="00C002ED" w:rsidP="00C002ED">
      <w:r>
        <w:t>Microinvertebrate sampling was conducted approximately two weeks apart between October and January 2019–2024 (</w:t>
      </w:r>
      <w:r>
        <w:fldChar w:fldCharType="begin"/>
      </w:r>
      <w:r>
        <w:instrText xml:space="preserve"> REF _Ref93648520 \h </w:instrText>
      </w:r>
      <w:r>
        <w:fldChar w:fldCharType="separate"/>
      </w:r>
      <w:r w:rsidR="00102828">
        <w:t xml:space="preserve">Table </w:t>
      </w:r>
      <w:r w:rsidR="00102828">
        <w:rPr>
          <w:noProof/>
        </w:rPr>
        <w:t>13</w:t>
      </w:r>
      <w:r>
        <w:fldChar w:fldCharType="end"/>
      </w:r>
      <w:r>
        <w:t>) at three core sites</w:t>
      </w:r>
      <w:r w:rsidRPr="000D1C09">
        <w:t>, concurrent</w:t>
      </w:r>
      <w:r>
        <w:t>ly with stream metabolism sampling (</w:t>
      </w:r>
      <w:r>
        <w:fldChar w:fldCharType="begin"/>
      </w:r>
      <w:r>
        <w:instrText xml:space="preserve"> REF _Ref95292053 \h </w:instrText>
      </w:r>
      <w:r>
        <w:fldChar w:fldCharType="separate"/>
      </w:r>
      <w:r w:rsidR="00102828" w:rsidRPr="004A541F">
        <w:t xml:space="preserve">Table </w:t>
      </w:r>
      <w:r w:rsidR="00102828">
        <w:rPr>
          <w:noProof/>
        </w:rPr>
        <w:t>14</w:t>
      </w:r>
      <w:r>
        <w:fldChar w:fldCharType="end"/>
      </w:r>
      <w:r>
        <w:t xml:space="preserve">; </w:t>
      </w:r>
      <w:r>
        <w:rPr>
          <w:highlight w:val="yellow"/>
        </w:rPr>
        <w:fldChar w:fldCharType="begin"/>
      </w:r>
      <w:r>
        <w:instrText xml:space="preserve"> REF _Ref469926522 \h </w:instrText>
      </w:r>
      <w:r>
        <w:rPr>
          <w:highlight w:val="yellow"/>
        </w:rPr>
      </w:r>
      <w:r>
        <w:rPr>
          <w:highlight w:val="yellow"/>
        </w:rPr>
        <w:fldChar w:fldCharType="separate"/>
      </w:r>
      <w:r w:rsidR="00102828">
        <w:t xml:space="preserve">Figure </w:t>
      </w:r>
      <w:r w:rsidR="00102828">
        <w:rPr>
          <w:noProof/>
        </w:rPr>
        <w:t>1</w:t>
      </w:r>
      <w:r>
        <w:rPr>
          <w:highlight w:val="yellow"/>
        </w:rPr>
        <w:fldChar w:fldCharType="end"/>
      </w:r>
      <w:r>
        <w:t xml:space="preserve">). </w:t>
      </w:r>
      <w:bookmarkStart w:id="360" w:name="_Ref30770213"/>
    </w:p>
    <w:p w14:paraId="3778BF8B" w14:textId="017B6313" w:rsidR="00C002ED" w:rsidRPr="00A63D3A" w:rsidRDefault="00C002ED" w:rsidP="00C002ED">
      <w:pPr>
        <w:pStyle w:val="Caption"/>
      </w:pPr>
      <w:bookmarkStart w:id="361" w:name="_Ref93648520"/>
      <w:bookmarkStart w:id="362" w:name="_Toc63758531"/>
      <w:bookmarkStart w:id="363" w:name="_Toc96702270"/>
      <w:bookmarkStart w:id="364" w:name="_Toc185607713"/>
      <w:bookmarkStart w:id="365" w:name="_Toc200464537"/>
      <w:bookmarkStart w:id="366" w:name="_Hlk207968754"/>
      <w:bookmarkEnd w:id="360"/>
      <w:r>
        <w:t xml:space="preserve">Table </w:t>
      </w:r>
      <w:r>
        <w:fldChar w:fldCharType="begin"/>
      </w:r>
      <w:r>
        <w:instrText>SEQ Table \* ARABIC</w:instrText>
      </w:r>
      <w:r>
        <w:fldChar w:fldCharType="separate"/>
      </w:r>
      <w:r w:rsidR="00102828">
        <w:rPr>
          <w:noProof/>
        </w:rPr>
        <w:t>13</w:t>
      </w:r>
      <w:r>
        <w:fldChar w:fldCharType="end"/>
      </w:r>
      <w:bookmarkEnd w:id="361"/>
      <w:r w:rsidRPr="00A63D3A">
        <w:t xml:space="preserve">. Microinvertebrate sampling dates from </w:t>
      </w:r>
      <w:r>
        <w:t>2019–2024</w:t>
      </w:r>
      <w:r w:rsidRPr="00A63D3A">
        <w:t xml:space="preserve"> in the Lower Murray River.</w:t>
      </w:r>
      <w:bookmarkEnd w:id="362"/>
      <w:bookmarkEnd w:id="363"/>
      <w:bookmarkEnd w:id="364"/>
      <w:r>
        <w:t xml:space="preserve"> </w:t>
      </w:r>
      <w:r w:rsidRPr="001052CC">
        <w:t xml:space="preserve">Refer to Ye </w:t>
      </w:r>
      <w:r w:rsidRPr="00182992">
        <w:rPr>
          <w:i/>
          <w:iCs/>
        </w:rPr>
        <w:t>et al.</w:t>
      </w:r>
      <w:r w:rsidRPr="001052CC">
        <w:t xml:space="preserve"> (2020a) for </w:t>
      </w:r>
      <w:r>
        <w:t>microinvertebrate</w:t>
      </w:r>
      <w:r w:rsidRPr="001052CC">
        <w:t xml:space="preserve"> sampling from 2014–201</w:t>
      </w:r>
      <w:r>
        <w:t>8</w:t>
      </w:r>
      <w:r w:rsidRPr="001052CC">
        <w:t>.</w:t>
      </w:r>
      <w:bookmarkEnd w:id="36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showing microinvertebrate sampling dates for each trip from 2019–2024 in the Lower Murray River."/>
      </w:tblPr>
      <w:tblGrid>
        <w:gridCol w:w="773"/>
        <w:gridCol w:w="1656"/>
        <w:gridCol w:w="1647"/>
        <w:gridCol w:w="1647"/>
        <w:gridCol w:w="1656"/>
        <w:gridCol w:w="1647"/>
      </w:tblGrid>
      <w:tr w:rsidR="00C002ED" w:rsidRPr="00A05904" w14:paraId="32E89983" w14:textId="77777777" w:rsidTr="00592718">
        <w:trPr>
          <w:trHeight w:val="340"/>
          <w:jc w:val="center"/>
        </w:trPr>
        <w:tc>
          <w:tcPr>
            <w:tcW w:w="792" w:type="dxa"/>
            <w:tcBorders>
              <w:top w:val="single" w:sz="4" w:space="0" w:color="auto"/>
              <w:bottom w:val="single" w:sz="4" w:space="0" w:color="auto"/>
            </w:tcBorders>
            <w:vAlign w:val="center"/>
          </w:tcPr>
          <w:bookmarkEnd w:id="366"/>
          <w:p w14:paraId="2E58F9F5" w14:textId="77777777" w:rsidR="00C002ED" w:rsidRDefault="00C002ED" w:rsidP="00592718">
            <w:pPr>
              <w:contextualSpacing/>
              <w:jc w:val="center"/>
              <w:rPr>
                <w:b/>
                <w:sz w:val="19"/>
                <w:szCs w:val="19"/>
              </w:rPr>
            </w:pPr>
            <w:r>
              <w:rPr>
                <w:b/>
                <w:sz w:val="19"/>
                <w:szCs w:val="19"/>
              </w:rPr>
              <w:t>Trip</w:t>
            </w:r>
          </w:p>
        </w:tc>
        <w:tc>
          <w:tcPr>
            <w:tcW w:w="8450" w:type="dxa"/>
            <w:gridSpan w:val="5"/>
            <w:tcBorders>
              <w:top w:val="single" w:sz="4" w:space="0" w:color="auto"/>
              <w:bottom w:val="single" w:sz="4" w:space="0" w:color="auto"/>
            </w:tcBorders>
            <w:vAlign w:val="center"/>
          </w:tcPr>
          <w:p w14:paraId="267A0A44" w14:textId="77777777" w:rsidR="00C002ED" w:rsidRDefault="00C002ED" w:rsidP="00592718">
            <w:pPr>
              <w:contextualSpacing/>
              <w:jc w:val="center"/>
              <w:rPr>
                <w:b/>
                <w:sz w:val="19"/>
                <w:szCs w:val="19"/>
              </w:rPr>
            </w:pPr>
            <w:r>
              <w:rPr>
                <w:b/>
                <w:sz w:val="19"/>
                <w:szCs w:val="19"/>
              </w:rPr>
              <w:t>Sampling dates</w:t>
            </w:r>
          </w:p>
        </w:tc>
      </w:tr>
      <w:tr w:rsidR="00C002ED" w:rsidRPr="00A05904" w14:paraId="6337A757" w14:textId="77777777" w:rsidTr="00592718">
        <w:trPr>
          <w:trHeight w:val="340"/>
          <w:jc w:val="center"/>
        </w:trPr>
        <w:tc>
          <w:tcPr>
            <w:tcW w:w="792" w:type="dxa"/>
            <w:tcBorders>
              <w:top w:val="single" w:sz="4" w:space="0" w:color="auto"/>
              <w:bottom w:val="single" w:sz="4" w:space="0" w:color="auto"/>
            </w:tcBorders>
            <w:vAlign w:val="center"/>
          </w:tcPr>
          <w:p w14:paraId="20560305" w14:textId="77777777" w:rsidR="00C002ED" w:rsidRDefault="00C002ED" w:rsidP="00592718">
            <w:pPr>
              <w:contextualSpacing/>
              <w:jc w:val="center"/>
              <w:rPr>
                <w:b/>
                <w:sz w:val="19"/>
                <w:szCs w:val="19"/>
              </w:rPr>
            </w:pPr>
          </w:p>
        </w:tc>
        <w:tc>
          <w:tcPr>
            <w:tcW w:w="1696" w:type="dxa"/>
            <w:tcBorders>
              <w:top w:val="single" w:sz="4" w:space="0" w:color="auto"/>
              <w:bottom w:val="single" w:sz="4" w:space="0" w:color="auto"/>
            </w:tcBorders>
            <w:vAlign w:val="center"/>
          </w:tcPr>
          <w:p w14:paraId="1EBE94C9" w14:textId="77777777" w:rsidR="00C002ED" w:rsidRDefault="00C002ED" w:rsidP="00592718">
            <w:pPr>
              <w:contextualSpacing/>
              <w:jc w:val="center"/>
              <w:rPr>
                <w:b/>
                <w:sz w:val="19"/>
                <w:szCs w:val="19"/>
              </w:rPr>
            </w:pPr>
            <w:r>
              <w:rPr>
                <w:b/>
                <w:sz w:val="19"/>
                <w:szCs w:val="19"/>
              </w:rPr>
              <w:t>2019-20</w:t>
            </w:r>
          </w:p>
        </w:tc>
        <w:tc>
          <w:tcPr>
            <w:tcW w:w="1686" w:type="dxa"/>
            <w:tcBorders>
              <w:top w:val="single" w:sz="4" w:space="0" w:color="auto"/>
              <w:bottom w:val="single" w:sz="4" w:space="0" w:color="auto"/>
            </w:tcBorders>
            <w:vAlign w:val="center"/>
          </w:tcPr>
          <w:p w14:paraId="105E9ED1" w14:textId="77777777" w:rsidR="00C002ED" w:rsidRDefault="00C002ED" w:rsidP="00592718">
            <w:pPr>
              <w:contextualSpacing/>
              <w:jc w:val="center"/>
              <w:rPr>
                <w:b/>
                <w:sz w:val="19"/>
                <w:szCs w:val="19"/>
              </w:rPr>
            </w:pPr>
            <w:r>
              <w:rPr>
                <w:b/>
                <w:sz w:val="19"/>
                <w:szCs w:val="19"/>
              </w:rPr>
              <w:t>2020-21</w:t>
            </w:r>
          </w:p>
        </w:tc>
        <w:tc>
          <w:tcPr>
            <w:tcW w:w="1686" w:type="dxa"/>
            <w:tcBorders>
              <w:top w:val="single" w:sz="4" w:space="0" w:color="auto"/>
              <w:bottom w:val="single" w:sz="4" w:space="0" w:color="auto"/>
            </w:tcBorders>
            <w:vAlign w:val="center"/>
          </w:tcPr>
          <w:p w14:paraId="18FF6975" w14:textId="77777777" w:rsidR="00C002ED" w:rsidRDefault="00C002ED" w:rsidP="00592718">
            <w:pPr>
              <w:contextualSpacing/>
              <w:jc w:val="center"/>
              <w:rPr>
                <w:b/>
                <w:sz w:val="19"/>
                <w:szCs w:val="19"/>
              </w:rPr>
            </w:pPr>
            <w:r>
              <w:rPr>
                <w:b/>
                <w:sz w:val="19"/>
                <w:szCs w:val="19"/>
              </w:rPr>
              <w:t>2021-22</w:t>
            </w:r>
          </w:p>
        </w:tc>
        <w:tc>
          <w:tcPr>
            <w:tcW w:w="1696" w:type="dxa"/>
            <w:tcBorders>
              <w:top w:val="single" w:sz="4" w:space="0" w:color="auto"/>
              <w:bottom w:val="single" w:sz="4" w:space="0" w:color="auto"/>
            </w:tcBorders>
            <w:vAlign w:val="center"/>
          </w:tcPr>
          <w:p w14:paraId="197D6374" w14:textId="77777777" w:rsidR="00C002ED" w:rsidRDefault="00C002ED" w:rsidP="00592718">
            <w:pPr>
              <w:contextualSpacing/>
              <w:jc w:val="center"/>
              <w:rPr>
                <w:b/>
                <w:sz w:val="19"/>
                <w:szCs w:val="19"/>
              </w:rPr>
            </w:pPr>
            <w:r>
              <w:rPr>
                <w:b/>
                <w:sz w:val="19"/>
                <w:szCs w:val="19"/>
              </w:rPr>
              <w:t>2022-23</w:t>
            </w:r>
          </w:p>
        </w:tc>
        <w:tc>
          <w:tcPr>
            <w:tcW w:w="1686" w:type="dxa"/>
            <w:tcBorders>
              <w:top w:val="single" w:sz="4" w:space="0" w:color="auto"/>
              <w:bottom w:val="single" w:sz="4" w:space="0" w:color="auto"/>
            </w:tcBorders>
            <w:vAlign w:val="center"/>
          </w:tcPr>
          <w:p w14:paraId="7A5D2A96" w14:textId="77777777" w:rsidR="00C002ED" w:rsidRDefault="00C002ED" w:rsidP="00592718">
            <w:pPr>
              <w:contextualSpacing/>
              <w:jc w:val="center"/>
              <w:rPr>
                <w:b/>
                <w:sz w:val="19"/>
                <w:szCs w:val="19"/>
              </w:rPr>
            </w:pPr>
            <w:r>
              <w:rPr>
                <w:b/>
                <w:sz w:val="19"/>
                <w:szCs w:val="19"/>
              </w:rPr>
              <w:t>2023-24</w:t>
            </w:r>
          </w:p>
        </w:tc>
      </w:tr>
      <w:tr w:rsidR="00C002ED" w:rsidRPr="0064108B" w14:paraId="7173933B" w14:textId="77777777" w:rsidTr="00592718">
        <w:trPr>
          <w:trHeight w:val="340"/>
          <w:jc w:val="center"/>
        </w:trPr>
        <w:tc>
          <w:tcPr>
            <w:tcW w:w="792" w:type="dxa"/>
            <w:vAlign w:val="center"/>
          </w:tcPr>
          <w:p w14:paraId="691B8F57" w14:textId="77777777" w:rsidR="00C002ED" w:rsidRDefault="00C002ED" w:rsidP="00592718">
            <w:pPr>
              <w:contextualSpacing/>
              <w:jc w:val="center"/>
              <w:rPr>
                <w:sz w:val="18"/>
                <w:szCs w:val="18"/>
              </w:rPr>
            </w:pPr>
            <w:r>
              <w:rPr>
                <w:sz w:val="18"/>
                <w:szCs w:val="18"/>
              </w:rPr>
              <w:t>1</w:t>
            </w:r>
          </w:p>
        </w:tc>
        <w:tc>
          <w:tcPr>
            <w:tcW w:w="1696" w:type="dxa"/>
            <w:vAlign w:val="center"/>
          </w:tcPr>
          <w:p w14:paraId="6156FB88" w14:textId="77777777" w:rsidR="00C002ED" w:rsidRDefault="00C002ED" w:rsidP="00592718">
            <w:pPr>
              <w:contextualSpacing/>
              <w:jc w:val="center"/>
              <w:rPr>
                <w:sz w:val="18"/>
                <w:szCs w:val="18"/>
              </w:rPr>
            </w:pPr>
            <w:r>
              <w:rPr>
                <w:sz w:val="18"/>
                <w:szCs w:val="18"/>
              </w:rPr>
              <w:t>8–11</w:t>
            </w:r>
            <w:r w:rsidRPr="007E5329">
              <w:rPr>
                <w:sz w:val="18"/>
                <w:szCs w:val="18"/>
              </w:rPr>
              <w:t>/10/2019</w:t>
            </w:r>
          </w:p>
        </w:tc>
        <w:tc>
          <w:tcPr>
            <w:tcW w:w="1686" w:type="dxa"/>
            <w:vAlign w:val="center"/>
          </w:tcPr>
          <w:p w14:paraId="60FC8511" w14:textId="77777777" w:rsidR="00C002ED" w:rsidRDefault="00C002ED" w:rsidP="00592718">
            <w:pPr>
              <w:contextualSpacing/>
              <w:jc w:val="center"/>
              <w:rPr>
                <w:sz w:val="18"/>
                <w:szCs w:val="18"/>
              </w:rPr>
            </w:pPr>
            <w:r w:rsidRPr="007E5329">
              <w:rPr>
                <w:sz w:val="18"/>
                <w:szCs w:val="18"/>
              </w:rPr>
              <w:t>11–13/10/2020</w:t>
            </w:r>
          </w:p>
        </w:tc>
        <w:tc>
          <w:tcPr>
            <w:tcW w:w="1686" w:type="dxa"/>
            <w:vAlign w:val="center"/>
          </w:tcPr>
          <w:p w14:paraId="5289D642" w14:textId="77777777" w:rsidR="00C002ED" w:rsidRDefault="00C002ED" w:rsidP="00592718">
            <w:pPr>
              <w:contextualSpacing/>
              <w:jc w:val="center"/>
              <w:rPr>
                <w:sz w:val="18"/>
                <w:szCs w:val="18"/>
              </w:rPr>
            </w:pPr>
            <w:r>
              <w:rPr>
                <w:sz w:val="18"/>
                <w:szCs w:val="18"/>
              </w:rPr>
              <w:t>11–13/10/2021</w:t>
            </w:r>
          </w:p>
        </w:tc>
        <w:tc>
          <w:tcPr>
            <w:tcW w:w="1696" w:type="dxa"/>
            <w:vAlign w:val="center"/>
          </w:tcPr>
          <w:p w14:paraId="0CED9033" w14:textId="77777777" w:rsidR="00C002ED" w:rsidRDefault="00C002ED" w:rsidP="00592718">
            <w:pPr>
              <w:contextualSpacing/>
              <w:jc w:val="center"/>
              <w:rPr>
                <w:sz w:val="18"/>
                <w:szCs w:val="18"/>
              </w:rPr>
            </w:pPr>
            <w:r>
              <w:rPr>
                <w:sz w:val="18"/>
                <w:szCs w:val="18"/>
              </w:rPr>
              <w:t>12–14/10/2022</w:t>
            </w:r>
          </w:p>
        </w:tc>
        <w:tc>
          <w:tcPr>
            <w:tcW w:w="1686" w:type="dxa"/>
          </w:tcPr>
          <w:p w14:paraId="10C1AF6D" w14:textId="77777777" w:rsidR="00C002ED" w:rsidRDefault="00C002ED" w:rsidP="00592718">
            <w:pPr>
              <w:contextualSpacing/>
              <w:jc w:val="center"/>
              <w:rPr>
                <w:sz w:val="18"/>
                <w:szCs w:val="18"/>
              </w:rPr>
            </w:pPr>
            <w:r w:rsidRPr="0064108B">
              <w:rPr>
                <w:sz w:val="18"/>
                <w:szCs w:val="18"/>
              </w:rPr>
              <w:t>10</w:t>
            </w:r>
            <w:r>
              <w:rPr>
                <w:sz w:val="18"/>
                <w:szCs w:val="18"/>
              </w:rPr>
              <w:t>–11</w:t>
            </w:r>
            <w:r w:rsidRPr="0064108B">
              <w:rPr>
                <w:sz w:val="18"/>
                <w:szCs w:val="18"/>
              </w:rPr>
              <w:t>/10/2023</w:t>
            </w:r>
          </w:p>
        </w:tc>
      </w:tr>
      <w:tr w:rsidR="00C002ED" w:rsidRPr="0064108B" w14:paraId="577CFA68" w14:textId="77777777" w:rsidTr="00592718">
        <w:trPr>
          <w:trHeight w:val="340"/>
          <w:jc w:val="center"/>
        </w:trPr>
        <w:tc>
          <w:tcPr>
            <w:tcW w:w="792" w:type="dxa"/>
            <w:vAlign w:val="center"/>
          </w:tcPr>
          <w:p w14:paraId="79E425D5" w14:textId="77777777" w:rsidR="00C002ED" w:rsidRPr="00510182" w:rsidRDefault="00C002ED" w:rsidP="00592718">
            <w:pPr>
              <w:contextualSpacing/>
              <w:jc w:val="center"/>
              <w:rPr>
                <w:sz w:val="18"/>
                <w:szCs w:val="18"/>
              </w:rPr>
            </w:pPr>
            <w:r>
              <w:rPr>
                <w:sz w:val="18"/>
                <w:szCs w:val="18"/>
              </w:rPr>
              <w:t>2</w:t>
            </w:r>
          </w:p>
        </w:tc>
        <w:tc>
          <w:tcPr>
            <w:tcW w:w="1696" w:type="dxa"/>
            <w:vAlign w:val="center"/>
          </w:tcPr>
          <w:p w14:paraId="408C4FB2" w14:textId="77777777" w:rsidR="00C002ED" w:rsidRDefault="00C002ED" w:rsidP="00592718">
            <w:pPr>
              <w:contextualSpacing/>
              <w:jc w:val="center"/>
              <w:rPr>
                <w:sz w:val="18"/>
                <w:szCs w:val="18"/>
              </w:rPr>
            </w:pPr>
            <w:r w:rsidRPr="007E5329">
              <w:rPr>
                <w:sz w:val="18"/>
                <w:szCs w:val="18"/>
              </w:rPr>
              <w:t>21</w:t>
            </w:r>
            <w:r>
              <w:rPr>
                <w:sz w:val="18"/>
                <w:szCs w:val="18"/>
              </w:rPr>
              <w:t>–24</w:t>
            </w:r>
            <w:r w:rsidRPr="007E5329">
              <w:rPr>
                <w:sz w:val="18"/>
                <w:szCs w:val="18"/>
              </w:rPr>
              <w:t>/10/2019</w:t>
            </w:r>
          </w:p>
        </w:tc>
        <w:tc>
          <w:tcPr>
            <w:tcW w:w="1686" w:type="dxa"/>
            <w:vAlign w:val="center"/>
          </w:tcPr>
          <w:p w14:paraId="61DA281E" w14:textId="77777777" w:rsidR="00C002ED" w:rsidRDefault="00C002ED" w:rsidP="00592718">
            <w:pPr>
              <w:contextualSpacing/>
              <w:jc w:val="center"/>
              <w:rPr>
                <w:sz w:val="18"/>
                <w:szCs w:val="18"/>
              </w:rPr>
            </w:pPr>
            <w:r w:rsidRPr="007E5329">
              <w:rPr>
                <w:sz w:val="18"/>
                <w:szCs w:val="18"/>
              </w:rPr>
              <w:t>25–27/10/2020</w:t>
            </w:r>
          </w:p>
        </w:tc>
        <w:tc>
          <w:tcPr>
            <w:tcW w:w="1686" w:type="dxa"/>
            <w:vAlign w:val="center"/>
          </w:tcPr>
          <w:p w14:paraId="0941F98B" w14:textId="77777777" w:rsidR="00C002ED" w:rsidRDefault="00C002ED" w:rsidP="00592718">
            <w:pPr>
              <w:contextualSpacing/>
              <w:jc w:val="center"/>
              <w:rPr>
                <w:sz w:val="18"/>
                <w:szCs w:val="18"/>
              </w:rPr>
            </w:pPr>
            <w:r>
              <w:rPr>
                <w:sz w:val="18"/>
                <w:szCs w:val="18"/>
              </w:rPr>
              <w:t>25–27/10/2021</w:t>
            </w:r>
          </w:p>
        </w:tc>
        <w:tc>
          <w:tcPr>
            <w:tcW w:w="1696" w:type="dxa"/>
            <w:vAlign w:val="center"/>
          </w:tcPr>
          <w:p w14:paraId="430EF986" w14:textId="77777777" w:rsidR="00C002ED" w:rsidRPr="000F44B6" w:rsidRDefault="00C002ED" w:rsidP="00592718">
            <w:pPr>
              <w:contextualSpacing/>
              <w:jc w:val="center"/>
              <w:rPr>
                <w:sz w:val="18"/>
                <w:szCs w:val="18"/>
              </w:rPr>
            </w:pPr>
            <w:r>
              <w:rPr>
                <w:sz w:val="18"/>
                <w:szCs w:val="18"/>
              </w:rPr>
              <w:t>24–26/10/2022</w:t>
            </w:r>
          </w:p>
        </w:tc>
        <w:tc>
          <w:tcPr>
            <w:tcW w:w="1686" w:type="dxa"/>
          </w:tcPr>
          <w:p w14:paraId="30877414" w14:textId="77777777" w:rsidR="00C002ED" w:rsidRDefault="00C002ED" w:rsidP="00592718">
            <w:pPr>
              <w:contextualSpacing/>
              <w:jc w:val="center"/>
              <w:rPr>
                <w:sz w:val="18"/>
                <w:szCs w:val="18"/>
              </w:rPr>
            </w:pPr>
            <w:r w:rsidRPr="0064108B">
              <w:rPr>
                <w:sz w:val="18"/>
                <w:szCs w:val="18"/>
              </w:rPr>
              <w:t>24–26/10/2023</w:t>
            </w:r>
          </w:p>
        </w:tc>
      </w:tr>
      <w:tr w:rsidR="00C002ED" w:rsidRPr="0064108B" w14:paraId="7238CBC1" w14:textId="77777777" w:rsidTr="00592718">
        <w:trPr>
          <w:trHeight w:val="340"/>
          <w:jc w:val="center"/>
        </w:trPr>
        <w:tc>
          <w:tcPr>
            <w:tcW w:w="792" w:type="dxa"/>
            <w:vAlign w:val="center"/>
          </w:tcPr>
          <w:p w14:paraId="709F4B22" w14:textId="77777777" w:rsidR="00C002ED" w:rsidRPr="00510182" w:rsidRDefault="00C002ED" w:rsidP="00592718">
            <w:pPr>
              <w:contextualSpacing/>
              <w:jc w:val="center"/>
              <w:rPr>
                <w:sz w:val="18"/>
                <w:szCs w:val="18"/>
              </w:rPr>
            </w:pPr>
            <w:r>
              <w:rPr>
                <w:sz w:val="18"/>
                <w:szCs w:val="18"/>
              </w:rPr>
              <w:t>3</w:t>
            </w:r>
          </w:p>
        </w:tc>
        <w:tc>
          <w:tcPr>
            <w:tcW w:w="1696" w:type="dxa"/>
            <w:vAlign w:val="center"/>
          </w:tcPr>
          <w:p w14:paraId="2A125203" w14:textId="77777777" w:rsidR="00C002ED" w:rsidRDefault="00C002ED" w:rsidP="00592718">
            <w:pPr>
              <w:contextualSpacing/>
              <w:jc w:val="center"/>
              <w:rPr>
                <w:sz w:val="18"/>
                <w:szCs w:val="18"/>
              </w:rPr>
            </w:pPr>
            <w:r w:rsidRPr="007E5329">
              <w:rPr>
                <w:sz w:val="18"/>
                <w:szCs w:val="18"/>
              </w:rPr>
              <w:t>4</w:t>
            </w:r>
            <w:r>
              <w:rPr>
                <w:sz w:val="18"/>
                <w:szCs w:val="18"/>
              </w:rPr>
              <w:t>–6</w:t>
            </w:r>
            <w:r w:rsidRPr="007E5329">
              <w:rPr>
                <w:sz w:val="18"/>
                <w:szCs w:val="18"/>
              </w:rPr>
              <w:t>/11/2019</w:t>
            </w:r>
          </w:p>
        </w:tc>
        <w:tc>
          <w:tcPr>
            <w:tcW w:w="1686" w:type="dxa"/>
            <w:vAlign w:val="center"/>
          </w:tcPr>
          <w:p w14:paraId="1BE0FDE8" w14:textId="77777777" w:rsidR="00C002ED" w:rsidRDefault="00C002ED" w:rsidP="00592718">
            <w:pPr>
              <w:contextualSpacing/>
              <w:jc w:val="center"/>
              <w:rPr>
                <w:sz w:val="18"/>
                <w:szCs w:val="18"/>
              </w:rPr>
            </w:pPr>
            <w:r w:rsidRPr="007E5329">
              <w:rPr>
                <w:sz w:val="18"/>
                <w:szCs w:val="18"/>
              </w:rPr>
              <w:t>9–11/11/2020</w:t>
            </w:r>
          </w:p>
        </w:tc>
        <w:tc>
          <w:tcPr>
            <w:tcW w:w="1686" w:type="dxa"/>
            <w:vAlign w:val="center"/>
          </w:tcPr>
          <w:p w14:paraId="21796554" w14:textId="77777777" w:rsidR="00C002ED" w:rsidRDefault="00C002ED" w:rsidP="00592718">
            <w:pPr>
              <w:contextualSpacing/>
              <w:jc w:val="center"/>
              <w:rPr>
                <w:sz w:val="18"/>
                <w:szCs w:val="18"/>
              </w:rPr>
            </w:pPr>
            <w:r>
              <w:rPr>
                <w:sz w:val="18"/>
                <w:szCs w:val="18"/>
              </w:rPr>
              <w:t>8–10/11/2021</w:t>
            </w:r>
          </w:p>
        </w:tc>
        <w:tc>
          <w:tcPr>
            <w:tcW w:w="1696" w:type="dxa"/>
            <w:vAlign w:val="center"/>
          </w:tcPr>
          <w:p w14:paraId="49311C42" w14:textId="77777777" w:rsidR="00C002ED" w:rsidRPr="000F44B6" w:rsidRDefault="00C002ED" w:rsidP="00592718">
            <w:pPr>
              <w:contextualSpacing/>
              <w:jc w:val="center"/>
              <w:rPr>
                <w:sz w:val="18"/>
                <w:szCs w:val="18"/>
              </w:rPr>
            </w:pPr>
            <w:r>
              <w:rPr>
                <w:sz w:val="18"/>
                <w:szCs w:val="18"/>
              </w:rPr>
              <w:t>7–9/11/2022</w:t>
            </w:r>
          </w:p>
        </w:tc>
        <w:tc>
          <w:tcPr>
            <w:tcW w:w="1686" w:type="dxa"/>
          </w:tcPr>
          <w:p w14:paraId="7C15FA85" w14:textId="77777777" w:rsidR="00C002ED" w:rsidRDefault="00C002ED" w:rsidP="00592718">
            <w:pPr>
              <w:contextualSpacing/>
              <w:jc w:val="center"/>
              <w:rPr>
                <w:sz w:val="18"/>
                <w:szCs w:val="18"/>
              </w:rPr>
            </w:pPr>
            <w:r w:rsidRPr="0064108B">
              <w:rPr>
                <w:sz w:val="18"/>
                <w:szCs w:val="18"/>
              </w:rPr>
              <w:t>7–9/11/2023</w:t>
            </w:r>
          </w:p>
        </w:tc>
      </w:tr>
      <w:tr w:rsidR="00C002ED" w:rsidRPr="0064108B" w14:paraId="0A2B58D9" w14:textId="77777777" w:rsidTr="00592718">
        <w:trPr>
          <w:trHeight w:val="340"/>
          <w:jc w:val="center"/>
        </w:trPr>
        <w:tc>
          <w:tcPr>
            <w:tcW w:w="792" w:type="dxa"/>
            <w:vAlign w:val="center"/>
          </w:tcPr>
          <w:p w14:paraId="07EDACAB" w14:textId="77777777" w:rsidR="00C002ED" w:rsidRPr="00510182" w:rsidRDefault="00C002ED" w:rsidP="00592718">
            <w:pPr>
              <w:contextualSpacing/>
              <w:jc w:val="center"/>
              <w:rPr>
                <w:sz w:val="18"/>
                <w:szCs w:val="18"/>
              </w:rPr>
            </w:pPr>
            <w:r>
              <w:rPr>
                <w:sz w:val="18"/>
                <w:szCs w:val="18"/>
              </w:rPr>
              <w:t>4</w:t>
            </w:r>
          </w:p>
        </w:tc>
        <w:tc>
          <w:tcPr>
            <w:tcW w:w="1696" w:type="dxa"/>
            <w:vAlign w:val="center"/>
          </w:tcPr>
          <w:p w14:paraId="4405D1D8" w14:textId="77777777" w:rsidR="00C002ED" w:rsidRDefault="00C002ED" w:rsidP="00592718">
            <w:pPr>
              <w:contextualSpacing/>
              <w:jc w:val="center"/>
              <w:rPr>
                <w:sz w:val="18"/>
                <w:szCs w:val="18"/>
              </w:rPr>
            </w:pPr>
            <w:r w:rsidRPr="007E5329">
              <w:rPr>
                <w:sz w:val="18"/>
                <w:szCs w:val="18"/>
              </w:rPr>
              <w:t>18</w:t>
            </w:r>
            <w:r>
              <w:rPr>
                <w:sz w:val="18"/>
                <w:szCs w:val="18"/>
              </w:rPr>
              <w:t>–19</w:t>
            </w:r>
            <w:r w:rsidRPr="007E5329">
              <w:rPr>
                <w:sz w:val="18"/>
                <w:szCs w:val="18"/>
              </w:rPr>
              <w:t>/11/2019</w:t>
            </w:r>
          </w:p>
        </w:tc>
        <w:tc>
          <w:tcPr>
            <w:tcW w:w="1686" w:type="dxa"/>
            <w:vAlign w:val="center"/>
          </w:tcPr>
          <w:p w14:paraId="2E502E60" w14:textId="77777777" w:rsidR="00C002ED" w:rsidRDefault="00C002ED" w:rsidP="00592718">
            <w:pPr>
              <w:contextualSpacing/>
              <w:jc w:val="center"/>
              <w:rPr>
                <w:sz w:val="18"/>
                <w:szCs w:val="18"/>
              </w:rPr>
            </w:pPr>
            <w:r w:rsidRPr="007E5329">
              <w:rPr>
                <w:sz w:val="18"/>
                <w:szCs w:val="18"/>
              </w:rPr>
              <w:t>24–26/11/2020</w:t>
            </w:r>
          </w:p>
        </w:tc>
        <w:tc>
          <w:tcPr>
            <w:tcW w:w="1686" w:type="dxa"/>
            <w:vAlign w:val="center"/>
          </w:tcPr>
          <w:p w14:paraId="550FE9B9" w14:textId="77777777" w:rsidR="00C002ED" w:rsidRDefault="00C002ED" w:rsidP="00592718">
            <w:pPr>
              <w:contextualSpacing/>
              <w:jc w:val="center"/>
              <w:rPr>
                <w:sz w:val="18"/>
                <w:szCs w:val="18"/>
              </w:rPr>
            </w:pPr>
            <w:r>
              <w:rPr>
                <w:sz w:val="18"/>
                <w:szCs w:val="18"/>
              </w:rPr>
              <w:t>22–24/11/2021</w:t>
            </w:r>
          </w:p>
        </w:tc>
        <w:tc>
          <w:tcPr>
            <w:tcW w:w="1696" w:type="dxa"/>
            <w:vAlign w:val="center"/>
          </w:tcPr>
          <w:p w14:paraId="5E8637AB" w14:textId="77777777" w:rsidR="00C002ED" w:rsidRPr="000F44B6" w:rsidRDefault="00C002ED" w:rsidP="00592718">
            <w:pPr>
              <w:contextualSpacing/>
              <w:jc w:val="center"/>
              <w:rPr>
                <w:sz w:val="18"/>
                <w:szCs w:val="18"/>
              </w:rPr>
            </w:pPr>
            <w:r>
              <w:rPr>
                <w:sz w:val="18"/>
                <w:szCs w:val="18"/>
              </w:rPr>
              <w:t>21–23/11/2022</w:t>
            </w:r>
          </w:p>
        </w:tc>
        <w:tc>
          <w:tcPr>
            <w:tcW w:w="1686" w:type="dxa"/>
          </w:tcPr>
          <w:p w14:paraId="5E1296AD" w14:textId="77777777" w:rsidR="00C002ED" w:rsidRDefault="00C002ED" w:rsidP="00592718">
            <w:pPr>
              <w:contextualSpacing/>
              <w:jc w:val="center"/>
              <w:rPr>
                <w:sz w:val="18"/>
                <w:szCs w:val="18"/>
              </w:rPr>
            </w:pPr>
            <w:r w:rsidRPr="0064108B">
              <w:rPr>
                <w:sz w:val="18"/>
                <w:szCs w:val="18"/>
              </w:rPr>
              <w:t>21</w:t>
            </w:r>
            <w:r>
              <w:rPr>
                <w:sz w:val="18"/>
                <w:szCs w:val="18"/>
              </w:rPr>
              <w:t>-</w:t>
            </w:r>
            <w:r w:rsidRPr="0064108B">
              <w:rPr>
                <w:sz w:val="18"/>
                <w:szCs w:val="18"/>
              </w:rPr>
              <w:t>23/11/2023</w:t>
            </w:r>
          </w:p>
        </w:tc>
      </w:tr>
      <w:tr w:rsidR="00C002ED" w:rsidRPr="0064108B" w14:paraId="7127D428" w14:textId="77777777" w:rsidTr="00592718">
        <w:trPr>
          <w:trHeight w:val="340"/>
          <w:jc w:val="center"/>
        </w:trPr>
        <w:tc>
          <w:tcPr>
            <w:tcW w:w="792" w:type="dxa"/>
            <w:vAlign w:val="center"/>
          </w:tcPr>
          <w:p w14:paraId="3BFC22D2" w14:textId="77777777" w:rsidR="00C002ED" w:rsidRPr="00510182" w:rsidRDefault="00C002ED" w:rsidP="00592718">
            <w:pPr>
              <w:contextualSpacing/>
              <w:jc w:val="center"/>
              <w:rPr>
                <w:sz w:val="18"/>
                <w:szCs w:val="18"/>
              </w:rPr>
            </w:pPr>
            <w:r>
              <w:rPr>
                <w:sz w:val="18"/>
                <w:szCs w:val="18"/>
              </w:rPr>
              <w:t>5</w:t>
            </w:r>
          </w:p>
        </w:tc>
        <w:tc>
          <w:tcPr>
            <w:tcW w:w="1696" w:type="dxa"/>
            <w:vAlign w:val="center"/>
          </w:tcPr>
          <w:p w14:paraId="52D0AFA6" w14:textId="77777777" w:rsidR="00C002ED" w:rsidRDefault="00C002ED" w:rsidP="00592718">
            <w:pPr>
              <w:contextualSpacing/>
              <w:jc w:val="center"/>
              <w:rPr>
                <w:sz w:val="18"/>
                <w:szCs w:val="18"/>
              </w:rPr>
            </w:pPr>
            <w:r w:rsidRPr="007E5329">
              <w:rPr>
                <w:sz w:val="18"/>
                <w:szCs w:val="18"/>
              </w:rPr>
              <w:t>2</w:t>
            </w:r>
            <w:r>
              <w:rPr>
                <w:sz w:val="18"/>
                <w:szCs w:val="18"/>
              </w:rPr>
              <w:t>–4</w:t>
            </w:r>
            <w:r w:rsidRPr="007E5329">
              <w:rPr>
                <w:sz w:val="18"/>
                <w:szCs w:val="18"/>
              </w:rPr>
              <w:t>/12/2019</w:t>
            </w:r>
          </w:p>
        </w:tc>
        <w:tc>
          <w:tcPr>
            <w:tcW w:w="1686" w:type="dxa"/>
            <w:vAlign w:val="center"/>
          </w:tcPr>
          <w:p w14:paraId="2AEF5995" w14:textId="77777777" w:rsidR="00C002ED" w:rsidRDefault="00C002ED" w:rsidP="00592718">
            <w:pPr>
              <w:contextualSpacing/>
              <w:jc w:val="center"/>
              <w:rPr>
                <w:sz w:val="18"/>
                <w:szCs w:val="18"/>
              </w:rPr>
            </w:pPr>
            <w:r w:rsidRPr="007E5329">
              <w:rPr>
                <w:sz w:val="18"/>
                <w:szCs w:val="18"/>
              </w:rPr>
              <w:t>7–9/12/2020</w:t>
            </w:r>
          </w:p>
        </w:tc>
        <w:tc>
          <w:tcPr>
            <w:tcW w:w="1686" w:type="dxa"/>
            <w:vAlign w:val="center"/>
          </w:tcPr>
          <w:p w14:paraId="3B4C80A5" w14:textId="77777777" w:rsidR="00C002ED" w:rsidRDefault="00C002ED" w:rsidP="00592718">
            <w:pPr>
              <w:contextualSpacing/>
              <w:jc w:val="center"/>
              <w:rPr>
                <w:sz w:val="18"/>
                <w:szCs w:val="18"/>
              </w:rPr>
            </w:pPr>
            <w:r>
              <w:rPr>
                <w:sz w:val="18"/>
                <w:szCs w:val="18"/>
              </w:rPr>
              <w:t>6–8/12/2021</w:t>
            </w:r>
          </w:p>
        </w:tc>
        <w:tc>
          <w:tcPr>
            <w:tcW w:w="1696" w:type="dxa"/>
            <w:vAlign w:val="center"/>
          </w:tcPr>
          <w:p w14:paraId="00F019C7" w14:textId="77777777" w:rsidR="00C002ED" w:rsidRPr="00510182" w:rsidRDefault="00C002ED" w:rsidP="00592718">
            <w:pPr>
              <w:contextualSpacing/>
              <w:jc w:val="center"/>
              <w:rPr>
                <w:sz w:val="18"/>
                <w:szCs w:val="18"/>
              </w:rPr>
            </w:pPr>
            <w:r>
              <w:rPr>
                <w:sz w:val="18"/>
                <w:szCs w:val="18"/>
              </w:rPr>
              <w:t>5–7/12/2022</w:t>
            </w:r>
          </w:p>
        </w:tc>
        <w:tc>
          <w:tcPr>
            <w:tcW w:w="1686" w:type="dxa"/>
          </w:tcPr>
          <w:p w14:paraId="1619A6FC" w14:textId="77777777" w:rsidR="00C002ED" w:rsidRDefault="00C002ED" w:rsidP="00592718">
            <w:pPr>
              <w:contextualSpacing/>
              <w:jc w:val="center"/>
              <w:rPr>
                <w:sz w:val="18"/>
                <w:szCs w:val="18"/>
              </w:rPr>
            </w:pPr>
            <w:r w:rsidRPr="0064108B">
              <w:rPr>
                <w:sz w:val="18"/>
                <w:szCs w:val="18"/>
              </w:rPr>
              <w:t>5–7/12/2023</w:t>
            </w:r>
          </w:p>
        </w:tc>
      </w:tr>
      <w:tr w:rsidR="00C002ED" w:rsidRPr="0064108B" w14:paraId="0FF574D4" w14:textId="77777777" w:rsidTr="00592718">
        <w:trPr>
          <w:trHeight w:val="340"/>
          <w:jc w:val="center"/>
        </w:trPr>
        <w:tc>
          <w:tcPr>
            <w:tcW w:w="792" w:type="dxa"/>
            <w:vAlign w:val="center"/>
          </w:tcPr>
          <w:p w14:paraId="2002FA3B" w14:textId="77777777" w:rsidR="00C002ED" w:rsidRPr="00510182" w:rsidRDefault="00C002ED" w:rsidP="00592718">
            <w:pPr>
              <w:contextualSpacing/>
              <w:jc w:val="center"/>
              <w:rPr>
                <w:sz w:val="18"/>
                <w:szCs w:val="18"/>
              </w:rPr>
            </w:pPr>
            <w:r>
              <w:rPr>
                <w:sz w:val="18"/>
                <w:szCs w:val="18"/>
              </w:rPr>
              <w:t>6</w:t>
            </w:r>
          </w:p>
        </w:tc>
        <w:tc>
          <w:tcPr>
            <w:tcW w:w="1696" w:type="dxa"/>
            <w:vAlign w:val="center"/>
          </w:tcPr>
          <w:p w14:paraId="2D4676B0" w14:textId="77777777" w:rsidR="00C002ED" w:rsidRPr="00133909" w:rsidRDefault="00C002ED" w:rsidP="00592718">
            <w:pPr>
              <w:contextualSpacing/>
              <w:jc w:val="center"/>
              <w:rPr>
                <w:sz w:val="18"/>
                <w:szCs w:val="18"/>
              </w:rPr>
            </w:pPr>
            <w:r w:rsidRPr="007E5329">
              <w:rPr>
                <w:sz w:val="18"/>
                <w:szCs w:val="18"/>
              </w:rPr>
              <w:t>1</w:t>
            </w:r>
            <w:r>
              <w:rPr>
                <w:sz w:val="18"/>
                <w:szCs w:val="18"/>
              </w:rPr>
              <w:t>6–18</w:t>
            </w:r>
            <w:r w:rsidRPr="007E5329">
              <w:rPr>
                <w:sz w:val="18"/>
                <w:szCs w:val="18"/>
              </w:rPr>
              <w:t>/12/2019</w:t>
            </w:r>
          </w:p>
        </w:tc>
        <w:tc>
          <w:tcPr>
            <w:tcW w:w="1686" w:type="dxa"/>
            <w:vAlign w:val="center"/>
          </w:tcPr>
          <w:p w14:paraId="0343FBD5" w14:textId="77777777" w:rsidR="00C002ED" w:rsidRPr="00133909" w:rsidRDefault="00C002ED" w:rsidP="00592718">
            <w:pPr>
              <w:contextualSpacing/>
              <w:jc w:val="center"/>
              <w:rPr>
                <w:sz w:val="18"/>
                <w:szCs w:val="18"/>
              </w:rPr>
            </w:pPr>
            <w:r w:rsidRPr="007E5329">
              <w:rPr>
                <w:sz w:val="18"/>
                <w:szCs w:val="18"/>
              </w:rPr>
              <w:t>21–23/12/2020</w:t>
            </w:r>
          </w:p>
        </w:tc>
        <w:tc>
          <w:tcPr>
            <w:tcW w:w="1686" w:type="dxa"/>
            <w:vAlign w:val="center"/>
          </w:tcPr>
          <w:p w14:paraId="6220CF34" w14:textId="77777777" w:rsidR="00C002ED" w:rsidRPr="00133909" w:rsidRDefault="00C002ED" w:rsidP="00592718">
            <w:pPr>
              <w:contextualSpacing/>
              <w:jc w:val="center"/>
              <w:rPr>
                <w:sz w:val="18"/>
                <w:szCs w:val="18"/>
              </w:rPr>
            </w:pPr>
            <w:r>
              <w:rPr>
                <w:sz w:val="18"/>
                <w:szCs w:val="18"/>
              </w:rPr>
              <w:t>20–22/12/2021</w:t>
            </w:r>
          </w:p>
        </w:tc>
        <w:tc>
          <w:tcPr>
            <w:tcW w:w="1696" w:type="dxa"/>
            <w:vAlign w:val="center"/>
          </w:tcPr>
          <w:p w14:paraId="1FB9D9E8" w14:textId="77777777" w:rsidR="00C002ED" w:rsidRPr="00510182" w:rsidRDefault="00C002ED" w:rsidP="00592718">
            <w:pPr>
              <w:contextualSpacing/>
              <w:jc w:val="center"/>
              <w:rPr>
                <w:sz w:val="18"/>
                <w:szCs w:val="18"/>
              </w:rPr>
            </w:pPr>
            <w:r w:rsidRPr="00133909">
              <w:rPr>
                <w:sz w:val="18"/>
                <w:szCs w:val="18"/>
              </w:rPr>
              <w:t>19</w:t>
            </w:r>
            <w:r>
              <w:rPr>
                <w:sz w:val="18"/>
                <w:szCs w:val="18"/>
              </w:rPr>
              <w:t>–</w:t>
            </w:r>
            <w:r w:rsidRPr="00133909">
              <w:rPr>
                <w:sz w:val="18"/>
                <w:szCs w:val="18"/>
              </w:rPr>
              <w:t>21/12/</w:t>
            </w:r>
            <w:r>
              <w:rPr>
                <w:sz w:val="18"/>
                <w:szCs w:val="18"/>
              </w:rPr>
              <w:t>20</w:t>
            </w:r>
            <w:r w:rsidRPr="00133909">
              <w:rPr>
                <w:sz w:val="18"/>
                <w:szCs w:val="18"/>
              </w:rPr>
              <w:t>22</w:t>
            </w:r>
          </w:p>
        </w:tc>
        <w:tc>
          <w:tcPr>
            <w:tcW w:w="1686" w:type="dxa"/>
          </w:tcPr>
          <w:p w14:paraId="37E965DC" w14:textId="77777777" w:rsidR="00C002ED" w:rsidRPr="00133909" w:rsidRDefault="00C002ED" w:rsidP="00592718">
            <w:pPr>
              <w:contextualSpacing/>
              <w:jc w:val="center"/>
              <w:rPr>
                <w:sz w:val="18"/>
                <w:szCs w:val="18"/>
              </w:rPr>
            </w:pPr>
            <w:r w:rsidRPr="0064108B">
              <w:rPr>
                <w:sz w:val="18"/>
                <w:szCs w:val="18"/>
              </w:rPr>
              <w:t>18-19/12/2023</w:t>
            </w:r>
          </w:p>
        </w:tc>
      </w:tr>
      <w:tr w:rsidR="00C002ED" w:rsidRPr="0064108B" w14:paraId="6DD0DA98" w14:textId="77777777" w:rsidTr="00592718">
        <w:trPr>
          <w:trHeight w:val="340"/>
          <w:jc w:val="center"/>
        </w:trPr>
        <w:tc>
          <w:tcPr>
            <w:tcW w:w="792" w:type="dxa"/>
            <w:vAlign w:val="center"/>
          </w:tcPr>
          <w:p w14:paraId="568F9C91" w14:textId="77777777" w:rsidR="00C002ED" w:rsidRPr="00510182" w:rsidRDefault="00C002ED" w:rsidP="00592718">
            <w:pPr>
              <w:contextualSpacing/>
              <w:jc w:val="center"/>
              <w:rPr>
                <w:sz w:val="18"/>
                <w:szCs w:val="18"/>
              </w:rPr>
            </w:pPr>
            <w:r>
              <w:rPr>
                <w:sz w:val="18"/>
                <w:szCs w:val="18"/>
              </w:rPr>
              <w:t>7</w:t>
            </w:r>
          </w:p>
        </w:tc>
        <w:tc>
          <w:tcPr>
            <w:tcW w:w="1696" w:type="dxa"/>
            <w:vAlign w:val="center"/>
          </w:tcPr>
          <w:p w14:paraId="5E763F50" w14:textId="77777777" w:rsidR="00C002ED" w:rsidRDefault="00C002ED" w:rsidP="00592718">
            <w:pPr>
              <w:contextualSpacing/>
              <w:jc w:val="center"/>
              <w:rPr>
                <w:sz w:val="18"/>
                <w:szCs w:val="18"/>
              </w:rPr>
            </w:pPr>
            <w:r>
              <w:rPr>
                <w:sz w:val="18"/>
                <w:szCs w:val="18"/>
              </w:rPr>
              <w:t>7–9</w:t>
            </w:r>
            <w:r w:rsidRPr="007E5329">
              <w:rPr>
                <w:sz w:val="18"/>
                <w:szCs w:val="18"/>
              </w:rPr>
              <w:t>/01/2020</w:t>
            </w:r>
          </w:p>
        </w:tc>
        <w:tc>
          <w:tcPr>
            <w:tcW w:w="1686" w:type="dxa"/>
            <w:vAlign w:val="center"/>
          </w:tcPr>
          <w:p w14:paraId="7967DBB1" w14:textId="77777777" w:rsidR="00C002ED" w:rsidRDefault="00C002ED" w:rsidP="00592718">
            <w:pPr>
              <w:contextualSpacing/>
              <w:jc w:val="center"/>
              <w:rPr>
                <w:sz w:val="18"/>
                <w:szCs w:val="18"/>
              </w:rPr>
            </w:pPr>
            <w:r w:rsidRPr="007E5329">
              <w:rPr>
                <w:sz w:val="18"/>
                <w:szCs w:val="18"/>
              </w:rPr>
              <w:t>6–7/01/2021</w:t>
            </w:r>
          </w:p>
        </w:tc>
        <w:tc>
          <w:tcPr>
            <w:tcW w:w="1686" w:type="dxa"/>
            <w:vAlign w:val="center"/>
          </w:tcPr>
          <w:p w14:paraId="20640A44" w14:textId="77777777" w:rsidR="00C002ED" w:rsidRDefault="00C002ED" w:rsidP="00592718">
            <w:pPr>
              <w:contextualSpacing/>
              <w:jc w:val="center"/>
              <w:rPr>
                <w:sz w:val="18"/>
                <w:szCs w:val="18"/>
              </w:rPr>
            </w:pPr>
            <w:r>
              <w:rPr>
                <w:sz w:val="18"/>
                <w:szCs w:val="18"/>
              </w:rPr>
              <w:t>5–7/01/2022</w:t>
            </w:r>
          </w:p>
        </w:tc>
        <w:tc>
          <w:tcPr>
            <w:tcW w:w="1696" w:type="dxa"/>
            <w:vAlign w:val="center"/>
          </w:tcPr>
          <w:p w14:paraId="38EA9B02" w14:textId="77777777" w:rsidR="00C002ED" w:rsidRPr="00510182" w:rsidRDefault="00C002ED" w:rsidP="00592718">
            <w:pPr>
              <w:contextualSpacing/>
              <w:jc w:val="center"/>
              <w:rPr>
                <w:sz w:val="18"/>
                <w:szCs w:val="18"/>
              </w:rPr>
            </w:pPr>
            <w:r>
              <w:rPr>
                <w:sz w:val="18"/>
                <w:szCs w:val="18"/>
              </w:rPr>
              <w:t>4–6/01/2023</w:t>
            </w:r>
          </w:p>
        </w:tc>
        <w:tc>
          <w:tcPr>
            <w:tcW w:w="1686" w:type="dxa"/>
          </w:tcPr>
          <w:p w14:paraId="1B49806F" w14:textId="77777777" w:rsidR="00C002ED" w:rsidRDefault="00C002ED" w:rsidP="00592718">
            <w:pPr>
              <w:contextualSpacing/>
              <w:jc w:val="center"/>
              <w:rPr>
                <w:sz w:val="18"/>
                <w:szCs w:val="18"/>
              </w:rPr>
            </w:pPr>
            <w:r w:rsidRPr="0064108B">
              <w:rPr>
                <w:sz w:val="18"/>
                <w:szCs w:val="18"/>
              </w:rPr>
              <w:t>9-10/01/2024</w:t>
            </w:r>
          </w:p>
        </w:tc>
      </w:tr>
      <w:tr w:rsidR="00C002ED" w:rsidRPr="00A05904" w14:paraId="577FE20B" w14:textId="77777777" w:rsidTr="00592718">
        <w:trPr>
          <w:trHeight w:val="340"/>
          <w:jc w:val="center"/>
        </w:trPr>
        <w:tc>
          <w:tcPr>
            <w:tcW w:w="792" w:type="dxa"/>
            <w:tcBorders>
              <w:bottom w:val="single" w:sz="4" w:space="0" w:color="auto"/>
            </w:tcBorders>
            <w:vAlign w:val="center"/>
          </w:tcPr>
          <w:p w14:paraId="005EE2DF" w14:textId="77777777" w:rsidR="00C002ED" w:rsidRDefault="00C002ED" w:rsidP="00592718">
            <w:pPr>
              <w:contextualSpacing/>
              <w:jc w:val="center"/>
              <w:rPr>
                <w:sz w:val="18"/>
                <w:szCs w:val="18"/>
              </w:rPr>
            </w:pPr>
            <w:r>
              <w:rPr>
                <w:sz w:val="18"/>
                <w:szCs w:val="18"/>
              </w:rPr>
              <w:t>8</w:t>
            </w:r>
          </w:p>
        </w:tc>
        <w:tc>
          <w:tcPr>
            <w:tcW w:w="1696" w:type="dxa"/>
            <w:tcBorders>
              <w:bottom w:val="single" w:sz="4" w:space="0" w:color="auto"/>
            </w:tcBorders>
            <w:vAlign w:val="center"/>
          </w:tcPr>
          <w:p w14:paraId="53323CFB" w14:textId="77777777" w:rsidR="00C002ED" w:rsidRDefault="00C002ED" w:rsidP="00592718">
            <w:pPr>
              <w:contextualSpacing/>
              <w:jc w:val="center"/>
              <w:rPr>
                <w:sz w:val="18"/>
                <w:szCs w:val="18"/>
              </w:rPr>
            </w:pPr>
          </w:p>
        </w:tc>
        <w:tc>
          <w:tcPr>
            <w:tcW w:w="1686" w:type="dxa"/>
            <w:tcBorders>
              <w:bottom w:val="single" w:sz="4" w:space="0" w:color="auto"/>
            </w:tcBorders>
            <w:vAlign w:val="center"/>
          </w:tcPr>
          <w:p w14:paraId="495A5D53" w14:textId="77777777" w:rsidR="00C002ED" w:rsidRDefault="00C002ED" w:rsidP="00592718">
            <w:pPr>
              <w:contextualSpacing/>
              <w:jc w:val="center"/>
              <w:rPr>
                <w:sz w:val="18"/>
                <w:szCs w:val="18"/>
              </w:rPr>
            </w:pPr>
          </w:p>
        </w:tc>
        <w:tc>
          <w:tcPr>
            <w:tcW w:w="1686" w:type="dxa"/>
            <w:tcBorders>
              <w:bottom w:val="single" w:sz="4" w:space="0" w:color="auto"/>
            </w:tcBorders>
            <w:vAlign w:val="center"/>
          </w:tcPr>
          <w:p w14:paraId="2ABB0FD9" w14:textId="77777777" w:rsidR="00C002ED" w:rsidRDefault="00C002ED" w:rsidP="00592718">
            <w:pPr>
              <w:contextualSpacing/>
              <w:jc w:val="center"/>
              <w:rPr>
                <w:sz w:val="18"/>
                <w:szCs w:val="18"/>
              </w:rPr>
            </w:pPr>
          </w:p>
        </w:tc>
        <w:tc>
          <w:tcPr>
            <w:tcW w:w="1696" w:type="dxa"/>
            <w:tcBorders>
              <w:bottom w:val="single" w:sz="4" w:space="0" w:color="auto"/>
            </w:tcBorders>
            <w:vAlign w:val="center"/>
          </w:tcPr>
          <w:p w14:paraId="655BB160" w14:textId="77777777" w:rsidR="00C002ED" w:rsidRDefault="00C002ED" w:rsidP="00592718">
            <w:pPr>
              <w:contextualSpacing/>
              <w:jc w:val="center"/>
              <w:rPr>
                <w:sz w:val="18"/>
                <w:szCs w:val="18"/>
              </w:rPr>
            </w:pPr>
            <w:r>
              <w:rPr>
                <w:sz w:val="18"/>
                <w:szCs w:val="18"/>
              </w:rPr>
              <w:t>17–19/01/2023</w:t>
            </w:r>
          </w:p>
        </w:tc>
        <w:tc>
          <w:tcPr>
            <w:tcW w:w="1686" w:type="dxa"/>
            <w:tcBorders>
              <w:bottom w:val="single" w:sz="4" w:space="0" w:color="auto"/>
            </w:tcBorders>
            <w:vAlign w:val="center"/>
          </w:tcPr>
          <w:p w14:paraId="09B09CE6" w14:textId="77777777" w:rsidR="00C002ED" w:rsidRDefault="00C002ED" w:rsidP="00592718">
            <w:pPr>
              <w:contextualSpacing/>
              <w:jc w:val="center"/>
              <w:rPr>
                <w:sz w:val="18"/>
                <w:szCs w:val="18"/>
              </w:rPr>
            </w:pPr>
          </w:p>
        </w:tc>
      </w:tr>
    </w:tbl>
    <w:p w14:paraId="600FAC91" w14:textId="77777777" w:rsidR="00C002ED" w:rsidRPr="00784272" w:rsidRDefault="00C002ED" w:rsidP="00C002ED">
      <w:bookmarkStart w:id="367" w:name="_Ref30770214"/>
      <w:bookmarkStart w:id="368" w:name="_Toc63758532"/>
    </w:p>
    <w:p w14:paraId="6C14BC90" w14:textId="0F9ADDCB" w:rsidR="00C002ED" w:rsidRPr="00C002ED" w:rsidRDefault="00C002ED" w:rsidP="00C002ED">
      <w:bookmarkStart w:id="369" w:name="_Ref93648529"/>
      <w:r>
        <w:t xml:space="preserve">A Perspex Haney plankton trap (4.5 L capacity) was used in mid-channel (by boat) to collect a composite sample from surface, middle and bottom (two traps each) resulting in the total volume of 27 L per replicate. Three replicate samples were taken at each site. The samples were filtered through a 37 µm-mesh plankton net suspended in a bucket and rinsed into a 200 ml PET bottle screwed to a purpose-built ferrule at the net end. The filtrate was then preserved in the field (100% ethanol) to a final concentration of ~75%, and a volume of &lt;200 ml. In the laboratory, the sample was decanted into a measuring cylinder, the volume noted, the cylinder agitated, and a 1 ml aliquot withdrawn using a Gilson auto pipette. This aliquot was run into a Pyrex 1 ml Sedgewick-Rafter cell, and the </w:t>
      </w:r>
      <w:r>
        <w:lastRenderedPageBreak/>
        <w:t>microinvertebrates present were counted and identified. Counts for each sample were based on a single subsample.</w:t>
      </w:r>
    </w:p>
    <w:p w14:paraId="7292BF78" w14:textId="153BC1EA" w:rsidR="00C002ED" w:rsidRPr="009E6272" w:rsidRDefault="00C002ED" w:rsidP="00605FB2">
      <w:pPr>
        <w:pStyle w:val="Captions"/>
        <w:rPr>
          <w:iCs/>
        </w:rPr>
      </w:pPr>
      <w:bookmarkStart w:id="370" w:name="_Ref95292053"/>
      <w:bookmarkStart w:id="371" w:name="_Toc96702271"/>
      <w:bookmarkStart w:id="372" w:name="_Toc185607714"/>
      <w:bookmarkStart w:id="373" w:name="_Toc200464538"/>
      <w:r w:rsidRPr="004A541F">
        <w:t xml:space="preserve">Table </w:t>
      </w:r>
      <w:r w:rsidR="002A56B0">
        <w:fldChar w:fldCharType="begin"/>
      </w:r>
      <w:r w:rsidR="002A56B0">
        <w:instrText xml:space="preserve"> SEQ Table \* ARABIC </w:instrText>
      </w:r>
      <w:r w:rsidR="002A56B0">
        <w:fldChar w:fldCharType="separate"/>
      </w:r>
      <w:r w:rsidR="00102828">
        <w:rPr>
          <w:noProof/>
        </w:rPr>
        <w:t>14</w:t>
      </w:r>
      <w:r w:rsidR="002A56B0">
        <w:rPr>
          <w:noProof/>
        </w:rPr>
        <w:fldChar w:fldCharType="end"/>
      </w:r>
      <w:bookmarkEnd w:id="367"/>
      <w:bookmarkEnd w:id="369"/>
      <w:bookmarkEnd w:id="370"/>
      <w:r>
        <w:rPr>
          <w:iCs/>
        </w:rPr>
        <w:t>.</w:t>
      </w:r>
      <w:r w:rsidRPr="009E6272">
        <w:t xml:space="preserve"> </w:t>
      </w:r>
      <w:r w:rsidRPr="00A05904">
        <w:t>Details of microinvertebrate sampling sites in the L</w:t>
      </w:r>
      <w:r>
        <w:t xml:space="preserve">ower </w:t>
      </w:r>
      <w:r w:rsidRPr="00A05904">
        <w:t>M</w:t>
      </w:r>
      <w:r>
        <w:t xml:space="preserve">urray </w:t>
      </w:r>
      <w:r w:rsidRPr="00A05904">
        <w:t>R</w:t>
      </w:r>
      <w:r>
        <w:t>iver</w:t>
      </w:r>
      <w:r w:rsidRPr="00A05904">
        <w:t>.</w:t>
      </w:r>
      <w:bookmarkEnd w:id="368"/>
      <w:bookmarkEnd w:id="371"/>
      <w:bookmarkEnd w:id="372"/>
      <w:bookmarkEnd w:id="37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displaying details of microinvertebrate sampling sites in the Lower Murray River."/>
      </w:tblPr>
      <w:tblGrid>
        <w:gridCol w:w="1177"/>
        <w:gridCol w:w="2839"/>
        <w:gridCol w:w="1059"/>
        <w:gridCol w:w="1276"/>
      </w:tblGrid>
      <w:tr w:rsidR="00C002ED" w:rsidRPr="000942B3" w14:paraId="45C5F4B5" w14:textId="77777777" w:rsidTr="00592718">
        <w:trPr>
          <w:trHeight w:val="340"/>
          <w:jc w:val="center"/>
        </w:trPr>
        <w:tc>
          <w:tcPr>
            <w:tcW w:w="0" w:type="auto"/>
            <w:tcBorders>
              <w:top w:val="single" w:sz="4" w:space="0" w:color="auto"/>
              <w:bottom w:val="single" w:sz="4" w:space="0" w:color="auto"/>
            </w:tcBorders>
            <w:vAlign w:val="bottom"/>
          </w:tcPr>
          <w:p w14:paraId="02C852D0" w14:textId="77777777" w:rsidR="00C002ED" w:rsidRPr="000942B3" w:rsidRDefault="00C002ED" w:rsidP="00592718">
            <w:pPr>
              <w:contextualSpacing/>
              <w:jc w:val="left"/>
              <w:rPr>
                <w:b/>
                <w:sz w:val="19"/>
                <w:szCs w:val="19"/>
              </w:rPr>
            </w:pPr>
            <w:r w:rsidRPr="000942B3">
              <w:rPr>
                <w:b/>
                <w:sz w:val="19"/>
                <w:szCs w:val="19"/>
              </w:rPr>
              <w:t>Zone</w:t>
            </w:r>
          </w:p>
        </w:tc>
        <w:tc>
          <w:tcPr>
            <w:tcW w:w="0" w:type="auto"/>
            <w:tcBorders>
              <w:top w:val="single" w:sz="4" w:space="0" w:color="auto"/>
              <w:bottom w:val="single" w:sz="4" w:space="0" w:color="auto"/>
            </w:tcBorders>
            <w:vAlign w:val="bottom"/>
          </w:tcPr>
          <w:p w14:paraId="5A1D9E8C" w14:textId="77777777" w:rsidR="00C002ED" w:rsidRPr="000942B3" w:rsidRDefault="00C002ED" w:rsidP="00592718">
            <w:pPr>
              <w:contextualSpacing/>
              <w:jc w:val="left"/>
              <w:rPr>
                <w:b/>
                <w:sz w:val="19"/>
                <w:szCs w:val="19"/>
              </w:rPr>
            </w:pPr>
            <w:r w:rsidRPr="000942B3">
              <w:rPr>
                <w:b/>
                <w:sz w:val="19"/>
                <w:szCs w:val="19"/>
              </w:rPr>
              <w:t>Site</w:t>
            </w:r>
          </w:p>
        </w:tc>
        <w:tc>
          <w:tcPr>
            <w:tcW w:w="0" w:type="auto"/>
            <w:tcBorders>
              <w:top w:val="single" w:sz="4" w:space="0" w:color="auto"/>
              <w:bottom w:val="single" w:sz="4" w:space="0" w:color="auto"/>
            </w:tcBorders>
            <w:vAlign w:val="bottom"/>
          </w:tcPr>
          <w:p w14:paraId="3D58486A" w14:textId="77777777" w:rsidR="00C002ED" w:rsidRPr="000942B3" w:rsidRDefault="00C002ED" w:rsidP="00592718">
            <w:pPr>
              <w:contextualSpacing/>
              <w:jc w:val="left"/>
              <w:rPr>
                <w:b/>
                <w:sz w:val="19"/>
                <w:szCs w:val="19"/>
              </w:rPr>
            </w:pPr>
            <w:r w:rsidRPr="000942B3">
              <w:rPr>
                <w:b/>
                <w:sz w:val="19"/>
                <w:szCs w:val="19"/>
              </w:rPr>
              <w:t>Latitude</w:t>
            </w:r>
          </w:p>
        </w:tc>
        <w:tc>
          <w:tcPr>
            <w:tcW w:w="0" w:type="auto"/>
            <w:tcBorders>
              <w:top w:val="single" w:sz="4" w:space="0" w:color="auto"/>
              <w:bottom w:val="single" w:sz="4" w:space="0" w:color="auto"/>
            </w:tcBorders>
            <w:vAlign w:val="bottom"/>
          </w:tcPr>
          <w:p w14:paraId="7EDED608" w14:textId="77777777" w:rsidR="00C002ED" w:rsidRPr="000942B3" w:rsidRDefault="00C002ED" w:rsidP="00592718">
            <w:pPr>
              <w:contextualSpacing/>
              <w:jc w:val="left"/>
              <w:rPr>
                <w:b/>
                <w:sz w:val="19"/>
                <w:szCs w:val="19"/>
              </w:rPr>
            </w:pPr>
            <w:r w:rsidRPr="000942B3">
              <w:rPr>
                <w:b/>
                <w:sz w:val="19"/>
                <w:szCs w:val="19"/>
              </w:rPr>
              <w:t>Longitude</w:t>
            </w:r>
          </w:p>
        </w:tc>
      </w:tr>
      <w:tr w:rsidR="00C002ED" w:rsidRPr="000942B3" w14:paraId="69821ECD" w14:textId="77777777" w:rsidTr="00592718">
        <w:trPr>
          <w:trHeight w:val="340"/>
          <w:jc w:val="center"/>
        </w:trPr>
        <w:tc>
          <w:tcPr>
            <w:tcW w:w="0" w:type="auto"/>
            <w:tcBorders>
              <w:top w:val="single" w:sz="4" w:space="0" w:color="auto"/>
            </w:tcBorders>
            <w:vAlign w:val="bottom"/>
          </w:tcPr>
          <w:p w14:paraId="56498AB6" w14:textId="77777777" w:rsidR="00C002ED" w:rsidRPr="000942B3" w:rsidRDefault="00C002ED" w:rsidP="00592718">
            <w:pPr>
              <w:contextualSpacing/>
              <w:jc w:val="left"/>
              <w:rPr>
                <w:sz w:val="19"/>
                <w:szCs w:val="19"/>
              </w:rPr>
            </w:pPr>
            <w:r w:rsidRPr="000942B3">
              <w:rPr>
                <w:sz w:val="19"/>
                <w:szCs w:val="19"/>
              </w:rPr>
              <w:t>Floodplain</w:t>
            </w:r>
          </w:p>
        </w:tc>
        <w:tc>
          <w:tcPr>
            <w:tcW w:w="0" w:type="auto"/>
            <w:tcBorders>
              <w:top w:val="single" w:sz="4" w:space="0" w:color="auto"/>
            </w:tcBorders>
            <w:vAlign w:val="bottom"/>
          </w:tcPr>
          <w:p w14:paraId="5E5B427B" w14:textId="77777777" w:rsidR="00C002ED" w:rsidRPr="000942B3" w:rsidRDefault="00C002ED" w:rsidP="00592718">
            <w:pPr>
              <w:contextualSpacing/>
              <w:jc w:val="left"/>
              <w:rPr>
                <w:sz w:val="19"/>
                <w:szCs w:val="19"/>
              </w:rPr>
            </w:pPr>
            <w:r w:rsidRPr="000942B3">
              <w:rPr>
                <w:sz w:val="19"/>
                <w:szCs w:val="19"/>
              </w:rPr>
              <w:t xml:space="preserve">5 km </w:t>
            </w:r>
            <w:r>
              <w:rPr>
                <w:sz w:val="19"/>
                <w:szCs w:val="19"/>
              </w:rPr>
              <w:t>downstream of</w:t>
            </w:r>
            <w:r w:rsidRPr="000942B3">
              <w:rPr>
                <w:sz w:val="19"/>
                <w:szCs w:val="19"/>
              </w:rPr>
              <w:t xml:space="preserve"> Lock 6</w:t>
            </w:r>
          </w:p>
        </w:tc>
        <w:tc>
          <w:tcPr>
            <w:tcW w:w="0" w:type="auto"/>
            <w:tcBorders>
              <w:top w:val="single" w:sz="4" w:space="0" w:color="auto"/>
            </w:tcBorders>
            <w:vAlign w:val="bottom"/>
          </w:tcPr>
          <w:p w14:paraId="6E1244C5" w14:textId="77777777" w:rsidR="00C002ED" w:rsidRPr="000942B3" w:rsidRDefault="00C002ED" w:rsidP="00592718">
            <w:pPr>
              <w:contextualSpacing/>
              <w:jc w:val="left"/>
              <w:rPr>
                <w:sz w:val="19"/>
                <w:szCs w:val="19"/>
              </w:rPr>
            </w:pPr>
            <w:r w:rsidRPr="000942B3">
              <w:rPr>
                <w:sz w:val="19"/>
                <w:szCs w:val="19"/>
              </w:rPr>
              <w:t>S</w:t>
            </w:r>
            <w:r>
              <w:rPr>
                <w:sz w:val="19"/>
                <w:szCs w:val="19"/>
              </w:rPr>
              <w:t>-</w:t>
            </w:r>
            <w:r w:rsidRPr="000942B3">
              <w:rPr>
                <w:sz w:val="19"/>
                <w:szCs w:val="19"/>
              </w:rPr>
              <w:t>34.0190</w:t>
            </w:r>
          </w:p>
        </w:tc>
        <w:tc>
          <w:tcPr>
            <w:tcW w:w="0" w:type="auto"/>
            <w:tcBorders>
              <w:top w:val="single" w:sz="4" w:space="0" w:color="auto"/>
            </w:tcBorders>
            <w:vAlign w:val="bottom"/>
          </w:tcPr>
          <w:p w14:paraId="4DE51C79" w14:textId="77777777" w:rsidR="00C002ED" w:rsidRPr="000942B3" w:rsidRDefault="00C002ED" w:rsidP="00592718">
            <w:pPr>
              <w:contextualSpacing/>
              <w:jc w:val="left"/>
              <w:rPr>
                <w:sz w:val="19"/>
                <w:szCs w:val="19"/>
              </w:rPr>
            </w:pPr>
            <w:r w:rsidRPr="000942B3">
              <w:rPr>
                <w:sz w:val="19"/>
                <w:szCs w:val="19"/>
              </w:rPr>
              <w:t>E</w:t>
            </w:r>
            <w:r>
              <w:rPr>
                <w:sz w:val="19"/>
                <w:szCs w:val="19"/>
              </w:rPr>
              <w:t>-</w:t>
            </w:r>
            <w:r w:rsidRPr="000942B3">
              <w:rPr>
                <w:sz w:val="19"/>
                <w:szCs w:val="19"/>
              </w:rPr>
              <w:t>140.87572</w:t>
            </w:r>
          </w:p>
        </w:tc>
      </w:tr>
      <w:tr w:rsidR="00C002ED" w:rsidRPr="000942B3" w14:paraId="08CD4018" w14:textId="77777777" w:rsidTr="00592718">
        <w:trPr>
          <w:trHeight w:val="340"/>
          <w:jc w:val="center"/>
        </w:trPr>
        <w:tc>
          <w:tcPr>
            <w:tcW w:w="0" w:type="auto"/>
            <w:vAlign w:val="bottom"/>
          </w:tcPr>
          <w:p w14:paraId="3FE49E4D" w14:textId="77777777" w:rsidR="00C002ED" w:rsidRPr="000942B3" w:rsidRDefault="00C002ED" w:rsidP="00592718">
            <w:pPr>
              <w:contextualSpacing/>
              <w:jc w:val="left"/>
              <w:rPr>
                <w:sz w:val="19"/>
                <w:szCs w:val="19"/>
              </w:rPr>
            </w:pPr>
            <w:r>
              <w:rPr>
                <w:sz w:val="19"/>
                <w:szCs w:val="19"/>
              </w:rPr>
              <w:t>Floodplain</w:t>
            </w:r>
          </w:p>
        </w:tc>
        <w:tc>
          <w:tcPr>
            <w:tcW w:w="0" w:type="auto"/>
            <w:vAlign w:val="bottom"/>
          </w:tcPr>
          <w:p w14:paraId="4099C52B" w14:textId="77777777" w:rsidR="00C002ED" w:rsidRPr="000942B3" w:rsidRDefault="00C002ED" w:rsidP="00592718">
            <w:pPr>
              <w:contextualSpacing/>
              <w:jc w:val="left"/>
              <w:rPr>
                <w:sz w:val="19"/>
                <w:szCs w:val="19"/>
              </w:rPr>
            </w:pPr>
            <w:r>
              <w:rPr>
                <w:sz w:val="19"/>
                <w:szCs w:val="19"/>
              </w:rPr>
              <w:t>15 km downstream of Lock 4</w:t>
            </w:r>
          </w:p>
        </w:tc>
        <w:tc>
          <w:tcPr>
            <w:tcW w:w="0" w:type="auto"/>
            <w:vAlign w:val="bottom"/>
          </w:tcPr>
          <w:p w14:paraId="662DCA40" w14:textId="77777777" w:rsidR="00C002ED" w:rsidRPr="000942B3" w:rsidRDefault="00C002ED" w:rsidP="00592718">
            <w:pPr>
              <w:contextualSpacing/>
              <w:jc w:val="left"/>
              <w:rPr>
                <w:sz w:val="19"/>
                <w:szCs w:val="19"/>
              </w:rPr>
            </w:pPr>
            <w:r>
              <w:rPr>
                <w:sz w:val="19"/>
                <w:szCs w:val="19"/>
              </w:rPr>
              <w:t>S-</w:t>
            </w:r>
            <w:r w:rsidRPr="00AF04AD">
              <w:rPr>
                <w:sz w:val="19"/>
                <w:szCs w:val="19"/>
              </w:rPr>
              <w:t>34.389</w:t>
            </w:r>
            <w:r>
              <w:rPr>
                <w:sz w:val="19"/>
                <w:szCs w:val="19"/>
              </w:rPr>
              <w:t>2</w:t>
            </w:r>
          </w:p>
        </w:tc>
        <w:tc>
          <w:tcPr>
            <w:tcW w:w="0" w:type="auto"/>
            <w:vAlign w:val="bottom"/>
          </w:tcPr>
          <w:p w14:paraId="05B4EBF8" w14:textId="77777777" w:rsidR="00C002ED" w:rsidRPr="000942B3" w:rsidRDefault="00C002ED" w:rsidP="00592718">
            <w:pPr>
              <w:contextualSpacing/>
              <w:jc w:val="left"/>
              <w:rPr>
                <w:sz w:val="19"/>
                <w:szCs w:val="19"/>
              </w:rPr>
            </w:pPr>
            <w:r>
              <w:rPr>
                <w:sz w:val="19"/>
                <w:szCs w:val="19"/>
              </w:rPr>
              <w:t>E-140.59477</w:t>
            </w:r>
          </w:p>
        </w:tc>
      </w:tr>
      <w:tr w:rsidR="00C002ED" w:rsidRPr="000942B3" w14:paraId="43DA88C6" w14:textId="77777777" w:rsidTr="00592718">
        <w:trPr>
          <w:trHeight w:val="340"/>
          <w:jc w:val="center"/>
        </w:trPr>
        <w:tc>
          <w:tcPr>
            <w:tcW w:w="0" w:type="auto"/>
            <w:tcBorders>
              <w:bottom w:val="single" w:sz="4" w:space="0" w:color="auto"/>
            </w:tcBorders>
            <w:vAlign w:val="bottom"/>
          </w:tcPr>
          <w:p w14:paraId="452098A2" w14:textId="77777777" w:rsidR="00C002ED" w:rsidRPr="000942B3" w:rsidRDefault="00C002ED" w:rsidP="00592718">
            <w:pPr>
              <w:contextualSpacing/>
              <w:jc w:val="left"/>
              <w:rPr>
                <w:sz w:val="19"/>
                <w:szCs w:val="19"/>
              </w:rPr>
            </w:pPr>
            <w:r w:rsidRPr="000942B3">
              <w:rPr>
                <w:sz w:val="19"/>
                <w:szCs w:val="19"/>
              </w:rPr>
              <w:t>Gorge</w:t>
            </w:r>
          </w:p>
        </w:tc>
        <w:tc>
          <w:tcPr>
            <w:tcW w:w="0" w:type="auto"/>
            <w:tcBorders>
              <w:bottom w:val="single" w:sz="4" w:space="0" w:color="auto"/>
            </w:tcBorders>
            <w:vAlign w:val="bottom"/>
          </w:tcPr>
          <w:p w14:paraId="0E8C565F" w14:textId="77777777" w:rsidR="00C002ED" w:rsidRPr="000942B3" w:rsidRDefault="00C002ED" w:rsidP="00592718">
            <w:pPr>
              <w:contextualSpacing/>
              <w:jc w:val="left"/>
              <w:rPr>
                <w:sz w:val="19"/>
                <w:szCs w:val="19"/>
              </w:rPr>
            </w:pPr>
            <w:r w:rsidRPr="000942B3">
              <w:rPr>
                <w:sz w:val="19"/>
                <w:szCs w:val="19"/>
              </w:rPr>
              <w:t xml:space="preserve">5 km </w:t>
            </w:r>
            <w:r>
              <w:rPr>
                <w:sz w:val="19"/>
                <w:szCs w:val="19"/>
              </w:rPr>
              <w:t>downstream of</w:t>
            </w:r>
            <w:r w:rsidRPr="000942B3">
              <w:rPr>
                <w:sz w:val="19"/>
                <w:szCs w:val="19"/>
              </w:rPr>
              <w:t xml:space="preserve"> Lock 1</w:t>
            </w:r>
          </w:p>
        </w:tc>
        <w:tc>
          <w:tcPr>
            <w:tcW w:w="0" w:type="auto"/>
            <w:tcBorders>
              <w:bottom w:val="single" w:sz="4" w:space="0" w:color="auto"/>
            </w:tcBorders>
            <w:vAlign w:val="bottom"/>
          </w:tcPr>
          <w:p w14:paraId="38DA33FC" w14:textId="77777777" w:rsidR="00C002ED" w:rsidRPr="000942B3" w:rsidRDefault="00C002ED" w:rsidP="00592718">
            <w:pPr>
              <w:contextualSpacing/>
              <w:jc w:val="left"/>
              <w:rPr>
                <w:sz w:val="19"/>
                <w:szCs w:val="19"/>
              </w:rPr>
            </w:pPr>
            <w:r w:rsidRPr="000942B3">
              <w:rPr>
                <w:sz w:val="19"/>
                <w:szCs w:val="19"/>
              </w:rPr>
              <w:t>S</w:t>
            </w:r>
            <w:r>
              <w:rPr>
                <w:sz w:val="19"/>
                <w:szCs w:val="19"/>
              </w:rPr>
              <w:t>-</w:t>
            </w:r>
            <w:r w:rsidRPr="000942B3">
              <w:rPr>
                <w:sz w:val="19"/>
                <w:szCs w:val="19"/>
              </w:rPr>
              <w:t>34.4052</w:t>
            </w:r>
          </w:p>
        </w:tc>
        <w:tc>
          <w:tcPr>
            <w:tcW w:w="0" w:type="auto"/>
            <w:tcBorders>
              <w:bottom w:val="single" w:sz="4" w:space="0" w:color="auto"/>
            </w:tcBorders>
            <w:vAlign w:val="bottom"/>
          </w:tcPr>
          <w:p w14:paraId="26090A3D" w14:textId="77777777" w:rsidR="00C002ED" w:rsidRPr="000942B3" w:rsidRDefault="00C002ED" w:rsidP="00592718">
            <w:pPr>
              <w:contextualSpacing/>
              <w:jc w:val="left"/>
              <w:rPr>
                <w:sz w:val="19"/>
                <w:szCs w:val="19"/>
              </w:rPr>
            </w:pPr>
            <w:r w:rsidRPr="000942B3">
              <w:rPr>
                <w:sz w:val="19"/>
                <w:szCs w:val="19"/>
              </w:rPr>
              <w:t>E</w:t>
            </w:r>
            <w:r>
              <w:rPr>
                <w:sz w:val="19"/>
                <w:szCs w:val="19"/>
              </w:rPr>
              <w:t>-</w:t>
            </w:r>
            <w:r w:rsidRPr="000942B3">
              <w:rPr>
                <w:sz w:val="19"/>
                <w:szCs w:val="19"/>
              </w:rPr>
              <w:t>139.61723</w:t>
            </w:r>
          </w:p>
        </w:tc>
      </w:tr>
    </w:tbl>
    <w:p w14:paraId="42265934" w14:textId="77777777" w:rsidR="00BD3C09" w:rsidRPr="00711892" w:rsidRDefault="00BD3C09" w:rsidP="00BD3C09"/>
    <w:p w14:paraId="5438E799" w14:textId="77777777" w:rsidR="00BD3C09" w:rsidRDefault="00BD3C09" w:rsidP="00BD3C09">
      <w:pPr>
        <w:pStyle w:val="Heading4"/>
        <w:numPr>
          <w:ilvl w:val="3"/>
          <w:numId w:val="12"/>
        </w:numPr>
        <w:ind w:left="0"/>
        <w:rPr>
          <w:szCs w:val="21"/>
        </w:rPr>
      </w:pPr>
      <w:r w:rsidRPr="005767B3">
        <w:rPr>
          <w:szCs w:val="21"/>
        </w:rPr>
        <w:t>Modelling and statistical analyses</w:t>
      </w:r>
    </w:p>
    <w:p w14:paraId="44AE2A49" w14:textId="18D38FFB" w:rsidR="00C002ED" w:rsidRPr="006F3AF9" w:rsidRDefault="00C002ED" w:rsidP="00C002ED">
      <w:r>
        <w:t>Both categorical and continuous predictors were used to build a model to predict the response of microinvertebrates to flow. Categorical predictors were month, water year, and lock/site, while continuous predictors were: (1) flow, (2) flow variability, (3) water quality and (4) inundated floodplain area (Appendix C). For flow, we calculated both short-term (mean flow on the date of sampling) and long-term flow (mean flow over the preceding 12-week period) predictors. Flow variability was quantified as the change in flow over the preceding 10-days prior to sampling (denoted ‘flow trend’ or ‘dQ10’). Water quality parameters used were daily temperature and electrical conductivity. Floodplain inundated area was quantified using the DEW MIKE model outputs (M. Gibbs, pers comm; see Appendix C for details). Values were summed over 28- and 60-day periods to estimate inundated floodplain area corresponding to an estimated minimum period required for the majority of taxa to emerge from the egg-bank and complete one or two life-cycles (pers. comms Russe</w:t>
      </w:r>
      <w:r w:rsidR="00D31B78">
        <w:t>l</w:t>
      </w:r>
      <w:r>
        <w:t xml:space="preserve">l Shiel). A global model including all predictors was fit first, then optimised using an automated procedure. Model predictive performance was assessed prior to use in modelling scenarios (see Appendix D in </w:t>
      </w:r>
      <w:r w:rsidRPr="00801C78">
        <w:rPr>
          <w:lang w:val="en-US"/>
        </w:rPr>
        <w:t xml:space="preserve">Ye </w:t>
      </w:r>
      <w:r w:rsidRPr="000C1238">
        <w:rPr>
          <w:i/>
          <w:iCs/>
          <w:lang w:val="en-US"/>
        </w:rPr>
        <w:t>et al.</w:t>
      </w:r>
      <w:r w:rsidRPr="00801C78">
        <w:rPr>
          <w:lang w:val="en-US"/>
        </w:rPr>
        <w:t xml:space="preserve"> 2021</w:t>
      </w:r>
      <w:r>
        <w:rPr>
          <w:lang w:val="en-US"/>
        </w:rPr>
        <w:t xml:space="preserve"> </w:t>
      </w:r>
      <w:r>
        <w:t xml:space="preserve">for details). </w:t>
      </w:r>
    </w:p>
    <w:p w14:paraId="6898FA60" w14:textId="641B3F25" w:rsidR="00C002ED" w:rsidRDefault="00C002ED" w:rsidP="00C002ED">
      <w:pPr>
        <w:rPr>
          <w:lang w:val="en-US"/>
        </w:rPr>
      </w:pPr>
      <w:r w:rsidRPr="00C720A7">
        <w:t>To assess the influence of Commonwealth environmental water on microinvertebrate density, taxonomic richness and community structure (including rotifers, cladocerans and copepods) over the long-term (</w:t>
      </w:r>
      <w:r>
        <w:t>9</w:t>
      </w:r>
      <w:r w:rsidRPr="00C720A7">
        <w:t xml:space="preserve"> years), variation between sampling years (i.e. 2014-15</w:t>
      </w:r>
      <w:r>
        <w:t xml:space="preserve"> to 2023-24 except 2018-19</w:t>
      </w:r>
      <w:r w:rsidRPr="00C720A7">
        <w:t>) and sites (202</w:t>
      </w:r>
      <w:r>
        <w:t>3-24</w:t>
      </w:r>
      <w:r w:rsidRPr="00C720A7">
        <w:t>, presented below) was investigated</w:t>
      </w:r>
      <w:r>
        <w:t xml:space="preserve">. </w:t>
      </w:r>
      <w:r>
        <w:rPr>
          <w:lang w:val="en-US"/>
        </w:rPr>
        <w:t>Firstly, models were fit to all existing data using observed flow conditions, and other predictors (see above) (f</w:t>
      </w:r>
      <w:r w:rsidRPr="00801C78">
        <w:rPr>
          <w:lang w:val="en-US"/>
        </w:rPr>
        <w:t>or more details see</w:t>
      </w:r>
      <w:r>
        <w:rPr>
          <w:lang w:val="en-US"/>
        </w:rPr>
        <w:t xml:space="preserve"> </w:t>
      </w:r>
      <w:r w:rsidRPr="00801C78">
        <w:rPr>
          <w:lang w:val="en-US"/>
        </w:rPr>
        <w:t xml:space="preserve">Ye </w:t>
      </w:r>
      <w:r w:rsidRPr="000C1238">
        <w:rPr>
          <w:i/>
          <w:iCs/>
          <w:lang w:val="en-US"/>
        </w:rPr>
        <w:t>et al.</w:t>
      </w:r>
      <w:r w:rsidRPr="00801C78">
        <w:rPr>
          <w:lang w:val="en-US"/>
        </w:rPr>
        <w:t xml:space="preserve"> 2021</w:t>
      </w:r>
      <w:r>
        <w:rPr>
          <w:lang w:val="en-US"/>
        </w:rPr>
        <w:t>). Secondly, the predictors were re-calculated using the modelled flow data for scenarios of without Commonwealth environmental water</w:t>
      </w:r>
      <w:r w:rsidRPr="006404EA">
        <w:rPr>
          <w:lang w:val="en-US"/>
        </w:rPr>
        <w:t xml:space="preserve"> (hereafter “</w:t>
      </w:r>
      <w:r w:rsidRPr="006404EA">
        <w:rPr>
          <w:i/>
          <w:iCs/>
          <w:lang w:val="en-US"/>
        </w:rPr>
        <w:t>No CEW</w:t>
      </w:r>
      <w:r w:rsidRPr="006404EA">
        <w:rPr>
          <w:lang w:val="en-US"/>
        </w:rPr>
        <w:t xml:space="preserve">”) and </w:t>
      </w:r>
      <w:r>
        <w:rPr>
          <w:lang w:val="en-US"/>
        </w:rPr>
        <w:t>without</w:t>
      </w:r>
      <w:r w:rsidRPr="006404EA">
        <w:rPr>
          <w:lang w:val="en-US"/>
        </w:rPr>
        <w:t xml:space="preserve"> </w:t>
      </w:r>
      <w:r>
        <w:rPr>
          <w:lang w:val="en-US"/>
        </w:rPr>
        <w:t xml:space="preserve">any </w:t>
      </w:r>
      <w:r w:rsidRPr="006404EA">
        <w:rPr>
          <w:lang w:val="en-US"/>
        </w:rPr>
        <w:t>environmental water</w:t>
      </w:r>
      <w:r>
        <w:rPr>
          <w:lang w:val="en-US"/>
        </w:rPr>
        <w:t xml:space="preserve"> </w:t>
      </w:r>
      <w:r w:rsidRPr="006404EA">
        <w:rPr>
          <w:lang w:val="en-US"/>
        </w:rPr>
        <w:t>(</w:t>
      </w:r>
      <w:r>
        <w:rPr>
          <w:lang w:val="en-US"/>
        </w:rPr>
        <w:t xml:space="preserve">hereafter </w:t>
      </w:r>
      <w:r w:rsidRPr="006404EA">
        <w:rPr>
          <w:lang w:val="en-US"/>
        </w:rPr>
        <w:t>“</w:t>
      </w:r>
      <w:r w:rsidRPr="006404EA">
        <w:rPr>
          <w:i/>
          <w:iCs/>
          <w:lang w:val="en-US"/>
        </w:rPr>
        <w:t>No eWater</w:t>
      </w:r>
      <w:r w:rsidRPr="006404EA">
        <w:rPr>
          <w:lang w:val="en-US"/>
        </w:rPr>
        <w:t>”). Finally</w:t>
      </w:r>
      <w:r>
        <w:rPr>
          <w:lang w:val="en-US"/>
        </w:rPr>
        <w:t xml:space="preserve">, models were re-run using the predictors observed and those calculated on modelled flow scenarios and the predicted microinvertebrate metrics (see below) were compared between the three scenarios using paired t-tests to determine whether predicted changes in microinvertebrates differed from observed variability (i.e. whether such a result would be expected at random). The overall contribution of environmental water was calculated as the difference between the observed and modelled </w:t>
      </w:r>
      <w:r w:rsidRPr="00FE1CE8">
        <w:rPr>
          <w:i/>
          <w:iCs/>
          <w:lang w:val="en-US"/>
        </w:rPr>
        <w:t>No eWater</w:t>
      </w:r>
      <w:r>
        <w:rPr>
          <w:lang w:val="en-US"/>
        </w:rPr>
        <w:t xml:space="preserve"> scenarios. The difference between the observed and </w:t>
      </w:r>
      <w:r w:rsidRPr="00FE1CE8">
        <w:rPr>
          <w:i/>
          <w:iCs/>
          <w:lang w:val="en-US"/>
        </w:rPr>
        <w:t>No CEW</w:t>
      </w:r>
      <w:r>
        <w:rPr>
          <w:lang w:val="en-US"/>
        </w:rPr>
        <w:t xml:space="preserve"> scenarios was the contribution of Commonwealth environmental water. Models were built to test each hypothesis above using following microinvertebrate metrics:</w:t>
      </w:r>
    </w:p>
    <w:p w14:paraId="4FCA1622" w14:textId="77777777" w:rsidR="00C002ED" w:rsidRDefault="00C002ED" w:rsidP="00C002ED">
      <w:pPr>
        <w:pStyle w:val="ListParagraph"/>
        <w:numPr>
          <w:ilvl w:val="0"/>
          <w:numId w:val="14"/>
        </w:numPr>
        <w:rPr>
          <w:lang w:val="en-US"/>
        </w:rPr>
      </w:pPr>
      <w:r>
        <w:rPr>
          <w:lang w:val="en-US"/>
        </w:rPr>
        <w:t>H1: (a) density of microinvertebrates (estimated as the mean of three replicates) and (b) taxonomic richness (total taxa within the three replicates);</w:t>
      </w:r>
    </w:p>
    <w:p w14:paraId="16BFE75A" w14:textId="64678FF1" w:rsidR="00C002ED" w:rsidRDefault="00C002ED" w:rsidP="00C002ED">
      <w:pPr>
        <w:pStyle w:val="ListParagraph"/>
        <w:numPr>
          <w:ilvl w:val="0"/>
          <w:numId w:val="14"/>
        </w:numPr>
        <w:rPr>
          <w:lang w:val="en-US"/>
        </w:rPr>
      </w:pPr>
      <w:r>
        <w:rPr>
          <w:lang w:val="en-US"/>
        </w:rPr>
        <w:lastRenderedPageBreak/>
        <w:t>H2: Density of microinvertebrate taxa with assumed greater dependence on: (i) lateral connectivity (due to the longer period of time to complete their life cycle), and (ii) longitudinal transport. Category (i) taxa were littoral and pelagic cladocerans, and calanoid and cyclopoid copepods, comprising 32 taxa (</w:t>
      </w:r>
      <w:r>
        <w:rPr>
          <w:lang w:val="en-US"/>
        </w:rPr>
        <w:fldChar w:fldCharType="begin"/>
      </w:r>
      <w:r>
        <w:rPr>
          <w:lang w:val="en-US"/>
        </w:rPr>
        <w:instrText xml:space="preserve"> REF _Ref58064141 \h </w:instrText>
      </w:r>
      <w:r>
        <w:rPr>
          <w:lang w:val="en-US"/>
        </w:rPr>
      </w:r>
      <w:r>
        <w:rPr>
          <w:lang w:val="en-US"/>
        </w:rPr>
        <w:fldChar w:fldCharType="separate"/>
      </w:r>
      <w:r w:rsidR="00102828">
        <w:t xml:space="preserve">Table </w:t>
      </w:r>
      <w:r w:rsidR="00102828">
        <w:rPr>
          <w:noProof/>
        </w:rPr>
        <w:t>15</w:t>
      </w:r>
      <w:r>
        <w:rPr>
          <w:lang w:val="en-US"/>
        </w:rPr>
        <w:fldChar w:fldCharType="end"/>
      </w:r>
      <w:r>
        <w:rPr>
          <w:lang w:val="en-US"/>
        </w:rPr>
        <w:t>a). Category (ii) taxa (</w:t>
      </w:r>
      <w:r>
        <w:rPr>
          <w:lang w:val="en-US"/>
        </w:rPr>
        <w:fldChar w:fldCharType="begin"/>
      </w:r>
      <w:r>
        <w:rPr>
          <w:lang w:val="en-US"/>
        </w:rPr>
        <w:instrText xml:space="preserve"> REF _Ref58064141 \h </w:instrText>
      </w:r>
      <w:r>
        <w:rPr>
          <w:lang w:val="en-US"/>
        </w:rPr>
      </w:r>
      <w:r>
        <w:rPr>
          <w:lang w:val="en-US"/>
        </w:rPr>
        <w:fldChar w:fldCharType="separate"/>
      </w:r>
      <w:r w:rsidR="00102828">
        <w:t xml:space="preserve">Table </w:t>
      </w:r>
      <w:r w:rsidR="00102828">
        <w:rPr>
          <w:noProof/>
        </w:rPr>
        <w:t>15</w:t>
      </w:r>
      <w:r>
        <w:rPr>
          <w:lang w:val="en-US"/>
        </w:rPr>
        <w:fldChar w:fldCharType="end"/>
      </w:r>
      <w:r>
        <w:rPr>
          <w:lang w:val="en-US"/>
        </w:rPr>
        <w:t xml:space="preserve">b) were primarily pelagic rotifers, with their dependence inferred from their known biogeographical range (R. Shiel, pers comm, 2020) along with prior reports indicating the importance of upstream taxa in influencing the turnover of Lower Murray microinvertebrate </w:t>
      </w:r>
      <w:r w:rsidRPr="00291D53">
        <w:rPr>
          <w:lang w:val="en-US"/>
        </w:rPr>
        <w:t xml:space="preserve">assemblages (Ye </w:t>
      </w:r>
      <w:r w:rsidRPr="000C1238">
        <w:rPr>
          <w:i/>
          <w:iCs/>
          <w:lang w:val="en-US"/>
        </w:rPr>
        <w:t>et al.</w:t>
      </w:r>
      <w:r w:rsidRPr="00291D53">
        <w:rPr>
          <w:lang w:val="en-US"/>
        </w:rPr>
        <w:t xml:space="preserve"> 2020</w:t>
      </w:r>
      <w:r>
        <w:rPr>
          <w:lang w:val="en-US"/>
        </w:rPr>
        <w:t>a</w:t>
      </w:r>
      <w:r w:rsidRPr="00291D53">
        <w:rPr>
          <w:lang w:val="en-US"/>
        </w:rPr>
        <w:t>)</w:t>
      </w:r>
      <w:r>
        <w:rPr>
          <w:lang w:val="en-US"/>
        </w:rPr>
        <w:t>;</w:t>
      </w:r>
    </w:p>
    <w:p w14:paraId="5B1B28BB" w14:textId="0CCDE7F2" w:rsidR="00C002ED" w:rsidRPr="005A3684" w:rsidRDefault="00C002ED" w:rsidP="00C002ED">
      <w:pPr>
        <w:pStyle w:val="ListParagraph"/>
        <w:numPr>
          <w:ilvl w:val="0"/>
          <w:numId w:val="14"/>
        </w:numPr>
        <w:rPr>
          <w:lang w:val="en-US"/>
        </w:rPr>
      </w:pPr>
      <w:r w:rsidRPr="005A3684">
        <w:rPr>
          <w:lang w:val="en-US"/>
        </w:rPr>
        <w:t>H3: Density of microinvertebrate taxa identified as preferred prey species</w:t>
      </w:r>
      <w:r>
        <w:rPr>
          <w:lang w:val="en-US"/>
        </w:rPr>
        <w:t xml:space="preserve"> for larval fish of large-bodied native species</w:t>
      </w:r>
      <w:r w:rsidRPr="005A3684">
        <w:rPr>
          <w:lang w:val="en-US"/>
        </w:rPr>
        <w:t xml:space="preserve">, based on findings from the LTIM (Ye </w:t>
      </w:r>
      <w:r w:rsidRPr="005A3684">
        <w:rPr>
          <w:i/>
          <w:iCs/>
          <w:lang w:val="en-US"/>
        </w:rPr>
        <w:t>et al.</w:t>
      </w:r>
      <w:r w:rsidRPr="005A3684">
        <w:rPr>
          <w:lang w:val="en-US"/>
        </w:rPr>
        <w:t xml:space="preserve"> 2020</w:t>
      </w:r>
      <w:r>
        <w:rPr>
          <w:lang w:val="en-US"/>
        </w:rPr>
        <w:t>a</w:t>
      </w:r>
      <w:r w:rsidRPr="005A3684">
        <w:rPr>
          <w:lang w:val="en-US"/>
        </w:rPr>
        <w:t>) and</w:t>
      </w:r>
      <w:r>
        <w:rPr>
          <w:lang w:val="en-US"/>
        </w:rPr>
        <w:t xml:space="preserve"> the</w:t>
      </w:r>
      <w:r w:rsidRPr="005A3684">
        <w:rPr>
          <w:lang w:val="en-US"/>
        </w:rPr>
        <w:t xml:space="preserve"> </w:t>
      </w:r>
      <w:r>
        <w:rPr>
          <w:lang w:val="en-US"/>
        </w:rPr>
        <w:t>Flow-</w:t>
      </w:r>
      <w:r w:rsidRPr="005A3684">
        <w:rPr>
          <w:lang w:val="en-US"/>
        </w:rPr>
        <w:t>MER</w:t>
      </w:r>
      <w:r>
        <w:rPr>
          <w:lang w:val="en-US"/>
        </w:rPr>
        <w:t xml:space="preserve"> Research Project</w:t>
      </w:r>
      <w:r w:rsidRPr="005A3684">
        <w:rPr>
          <w:lang w:val="en-US"/>
        </w:rPr>
        <w:t xml:space="preserve"> (</w:t>
      </w:r>
      <w:r>
        <w:rPr>
          <w:lang w:val="en-US"/>
        </w:rPr>
        <w:t xml:space="preserve">Bice </w:t>
      </w:r>
      <w:r w:rsidRPr="006404EA">
        <w:rPr>
          <w:i/>
          <w:iCs/>
          <w:lang w:val="en-US"/>
        </w:rPr>
        <w:t>et al.</w:t>
      </w:r>
      <w:r>
        <w:rPr>
          <w:lang w:val="en-US"/>
        </w:rPr>
        <w:t xml:space="preserve"> 2023</w:t>
      </w:r>
      <w:r w:rsidRPr="005A3684">
        <w:rPr>
          <w:lang w:val="en-US"/>
        </w:rPr>
        <w:t>)</w:t>
      </w:r>
      <w:r w:rsidRPr="002F2906">
        <w:rPr>
          <w:lang w:val="en-US"/>
        </w:rPr>
        <w:t xml:space="preserve"> </w:t>
      </w:r>
      <w:r w:rsidRPr="00611C0A">
        <w:rPr>
          <w:lang w:val="en-US"/>
        </w:rPr>
        <w:t>(</w:t>
      </w:r>
      <w:r w:rsidRPr="00F70F8E">
        <w:rPr>
          <w:szCs w:val="21"/>
          <w:lang w:val="en-US"/>
        </w:rPr>
        <w:fldChar w:fldCharType="begin"/>
      </w:r>
      <w:r w:rsidRPr="00F70F8E">
        <w:rPr>
          <w:szCs w:val="21"/>
          <w:lang w:val="en-US"/>
        </w:rPr>
        <w:instrText xml:space="preserve"> REF _Ref121745944 \h  \* MERGEFORMAT </w:instrText>
      </w:r>
      <w:r w:rsidRPr="00F70F8E">
        <w:rPr>
          <w:szCs w:val="21"/>
          <w:lang w:val="en-US"/>
        </w:rPr>
      </w:r>
      <w:r w:rsidRPr="00F70F8E">
        <w:rPr>
          <w:szCs w:val="21"/>
          <w:lang w:val="en-US"/>
        </w:rPr>
        <w:fldChar w:fldCharType="separate"/>
      </w:r>
      <w:r w:rsidR="00102828" w:rsidRPr="00102828">
        <w:rPr>
          <w:rFonts w:eastAsia="MS Mincho" w:cs="Arial"/>
          <w:noProof/>
          <w:color w:val="auto"/>
          <w:kern w:val="0"/>
          <w:szCs w:val="21"/>
          <w:lang w:val="en-US"/>
        </w:rPr>
        <w:t>Table 16</w:t>
      </w:r>
      <w:r w:rsidRPr="00F70F8E">
        <w:rPr>
          <w:szCs w:val="21"/>
          <w:lang w:val="en-US"/>
        </w:rPr>
        <w:fldChar w:fldCharType="end"/>
      </w:r>
      <w:r w:rsidRPr="00611C0A">
        <w:rPr>
          <w:lang w:val="en-US"/>
        </w:rPr>
        <w:t>).</w:t>
      </w:r>
    </w:p>
    <w:p w14:paraId="3BF68140" w14:textId="77777777" w:rsidR="00C002ED" w:rsidRPr="00B55F1B" w:rsidRDefault="00C002ED" w:rsidP="00C002ED">
      <w:pPr>
        <w:spacing w:before="0" w:after="160" w:line="259" w:lineRule="auto"/>
        <w:jc w:val="left"/>
        <w:rPr>
          <w:lang w:val="en-US"/>
        </w:rPr>
      </w:pPr>
    </w:p>
    <w:p w14:paraId="7AC93CA1" w14:textId="370B56C9" w:rsidR="00C002ED" w:rsidRDefault="00C002ED" w:rsidP="00605FB2">
      <w:pPr>
        <w:pStyle w:val="Captions"/>
      </w:pPr>
      <w:bookmarkStart w:id="374" w:name="_Ref58064141"/>
      <w:bookmarkStart w:id="375" w:name="_Toc63758533"/>
      <w:bookmarkStart w:id="376" w:name="_Toc69387745"/>
      <w:bookmarkStart w:id="377" w:name="_Toc185607715"/>
      <w:bookmarkStart w:id="378" w:name="_Toc200464539"/>
      <w:r>
        <w:t xml:space="preserve">Table </w:t>
      </w:r>
      <w:r w:rsidR="002A56B0">
        <w:fldChar w:fldCharType="begin"/>
      </w:r>
      <w:r w:rsidR="002A56B0">
        <w:instrText xml:space="preserve"> SEQ Table \* ARABIC </w:instrText>
      </w:r>
      <w:r w:rsidR="002A56B0">
        <w:fldChar w:fldCharType="separate"/>
      </w:r>
      <w:r w:rsidR="00102828">
        <w:rPr>
          <w:noProof/>
        </w:rPr>
        <w:t>15</w:t>
      </w:r>
      <w:r w:rsidR="002A56B0">
        <w:rPr>
          <w:noProof/>
        </w:rPr>
        <w:fldChar w:fldCharType="end"/>
      </w:r>
      <w:bookmarkEnd w:id="374"/>
      <w:r>
        <w:t>. Taxa used to quantify the influence of environmental water on</w:t>
      </w:r>
      <w:bookmarkEnd w:id="375"/>
      <w:r>
        <w:t xml:space="preserve"> lateral and longitudinal connectivity.</w:t>
      </w:r>
      <w:bookmarkEnd w:id="376"/>
      <w:bookmarkEnd w:id="377"/>
      <w:bookmarkEnd w:id="378"/>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showing Taxa used to quantify the influence of environmental water on lateral and longitudinal connectivity."/>
      </w:tblPr>
      <w:tblGrid>
        <w:gridCol w:w="2385"/>
        <w:gridCol w:w="6682"/>
      </w:tblGrid>
      <w:tr w:rsidR="00C002ED" w14:paraId="71A09AAC" w14:textId="77777777" w:rsidTr="00592718">
        <w:tc>
          <w:tcPr>
            <w:tcW w:w="2385" w:type="dxa"/>
            <w:tcBorders>
              <w:top w:val="single" w:sz="4" w:space="0" w:color="auto"/>
              <w:bottom w:val="single" w:sz="4" w:space="0" w:color="auto"/>
            </w:tcBorders>
          </w:tcPr>
          <w:p w14:paraId="1527D82A" w14:textId="77777777" w:rsidR="00C002ED" w:rsidRDefault="00C002ED" w:rsidP="00592718">
            <w:pPr>
              <w:pStyle w:val="TableHeading"/>
              <w:rPr>
                <w:lang w:val="en-US"/>
              </w:rPr>
            </w:pPr>
            <w:r>
              <w:rPr>
                <w:lang w:val="en-US"/>
              </w:rPr>
              <w:t>Dependence group</w:t>
            </w:r>
          </w:p>
        </w:tc>
        <w:tc>
          <w:tcPr>
            <w:tcW w:w="6682" w:type="dxa"/>
            <w:tcBorders>
              <w:top w:val="single" w:sz="4" w:space="0" w:color="auto"/>
              <w:bottom w:val="single" w:sz="4" w:space="0" w:color="auto"/>
            </w:tcBorders>
          </w:tcPr>
          <w:p w14:paraId="349C777C" w14:textId="77777777" w:rsidR="00C002ED" w:rsidRDefault="00C002ED" w:rsidP="00592718">
            <w:pPr>
              <w:pStyle w:val="TableHeading"/>
              <w:rPr>
                <w:lang w:val="en-US"/>
              </w:rPr>
            </w:pPr>
            <w:r>
              <w:rPr>
                <w:lang w:val="en-US"/>
              </w:rPr>
              <w:t>Taxa</w:t>
            </w:r>
          </w:p>
        </w:tc>
      </w:tr>
      <w:tr w:rsidR="00C002ED" w14:paraId="1FA22BBF" w14:textId="77777777" w:rsidTr="00592718">
        <w:tc>
          <w:tcPr>
            <w:tcW w:w="2385" w:type="dxa"/>
            <w:tcBorders>
              <w:top w:val="single" w:sz="4" w:space="0" w:color="auto"/>
              <w:bottom w:val="single" w:sz="4" w:space="0" w:color="auto"/>
            </w:tcBorders>
          </w:tcPr>
          <w:p w14:paraId="395AB564" w14:textId="77777777" w:rsidR="00C002ED" w:rsidRPr="00887EF3" w:rsidRDefault="00C002ED" w:rsidP="00592718">
            <w:pPr>
              <w:pStyle w:val="TableHeading"/>
              <w:rPr>
                <w:lang w:val="en-US"/>
              </w:rPr>
            </w:pPr>
            <w:r>
              <w:rPr>
                <w:lang w:val="en-US"/>
              </w:rPr>
              <w:t>(a) </w:t>
            </w:r>
            <w:r w:rsidRPr="00887EF3">
              <w:rPr>
                <w:lang w:val="en-US"/>
              </w:rPr>
              <w:t>Lateral connectivity</w:t>
            </w:r>
          </w:p>
        </w:tc>
        <w:tc>
          <w:tcPr>
            <w:tcW w:w="6682" w:type="dxa"/>
            <w:tcBorders>
              <w:top w:val="single" w:sz="4" w:space="0" w:color="auto"/>
              <w:bottom w:val="single" w:sz="4" w:space="0" w:color="auto"/>
            </w:tcBorders>
          </w:tcPr>
          <w:p w14:paraId="67ED8F5F" w14:textId="77777777" w:rsidR="00C002ED" w:rsidRPr="00064CF4" w:rsidRDefault="00C002ED" w:rsidP="00592718">
            <w:pPr>
              <w:pStyle w:val="TableText"/>
              <w:rPr>
                <w:i/>
                <w:iCs/>
                <w:lang w:val="en-US"/>
              </w:rPr>
            </w:pPr>
            <w:r w:rsidRPr="00064CF4">
              <w:rPr>
                <w:i/>
                <w:iCs/>
                <w:lang w:val="en-US"/>
              </w:rPr>
              <w:t xml:space="preserve">Acanthocyclops </w:t>
            </w:r>
            <w:r w:rsidRPr="00064CF4">
              <w:rPr>
                <w:lang w:val="en-US"/>
              </w:rPr>
              <w:t>cf</w:t>
            </w:r>
            <w:r w:rsidRPr="00064CF4">
              <w:rPr>
                <w:i/>
                <w:iCs/>
                <w:lang w:val="en-US"/>
              </w:rPr>
              <w:t xml:space="preserve">. vernalis, Armatalona macrocopa, Australocyclops australis, Boeckella triarticulata, Bosmina meridionalis, Calamoecia ampulla, Calamoecia sp., </w:t>
            </w:r>
            <w:r w:rsidRPr="00064CF4">
              <w:rPr>
                <w:lang w:val="en-US"/>
              </w:rPr>
              <w:t>calanoid and cyclopoid copepodites</w:t>
            </w:r>
            <w:r w:rsidRPr="00064CF4">
              <w:rPr>
                <w:i/>
                <w:iCs/>
                <w:lang w:val="en-US"/>
              </w:rPr>
              <w:t xml:space="preserve">, Ceriodaphnia cornuta, Ceriodaphnia </w:t>
            </w:r>
            <w:r w:rsidRPr="00064CF4">
              <w:rPr>
                <w:lang w:val="en-US"/>
              </w:rPr>
              <w:t>sp</w:t>
            </w:r>
            <w:r w:rsidRPr="00064CF4">
              <w:rPr>
                <w:i/>
                <w:iCs/>
                <w:lang w:val="en-US"/>
              </w:rPr>
              <w:t xml:space="preserve">., Chydorus </w:t>
            </w:r>
            <w:r w:rsidRPr="00064CF4">
              <w:rPr>
                <w:lang w:val="en-US"/>
              </w:rPr>
              <w:t>cf</w:t>
            </w:r>
            <w:r w:rsidRPr="00064CF4">
              <w:rPr>
                <w:i/>
                <w:iCs/>
                <w:lang w:val="en-US"/>
              </w:rPr>
              <w:t>. eurynotus, Daphnia carinata s.l., D</w:t>
            </w:r>
            <w:r>
              <w:rPr>
                <w:i/>
                <w:iCs/>
                <w:lang w:val="en-US"/>
              </w:rPr>
              <w:t>.</w:t>
            </w:r>
            <w:r w:rsidRPr="00064CF4">
              <w:rPr>
                <w:i/>
                <w:iCs/>
                <w:lang w:val="en-US"/>
              </w:rPr>
              <w:t xml:space="preserve"> galeata, D</w:t>
            </w:r>
            <w:r>
              <w:rPr>
                <w:i/>
                <w:iCs/>
                <w:lang w:val="en-US"/>
              </w:rPr>
              <w:t xml:space="preserve">. </w:t>
            </w:r>
            <w:r w:rsidRPr="00064CF4">
              <w:rPr>
                <w:i/>
                <w:iCs/>
                <w:lang w:val="en-US"/>
              </w:rPr>
              <w:t xml:space="preserve">lumholtzi, Daphnia sp., Diaphanosoma excisum, Gladioferens </w:t>
            </w:r>
            <w:r w:rsidRPr="00064CF4">
              <w:rPr>
                <w:lang w:val="en-US"/>
              </w:rPr>
              <w:t>sp</w:t>
            </w:r>
            <w:r w:rsidRPr="00064CF4">
              <w:rPr>
                <w:i/>
                <w:iCs/>
                <w:lang w:val="en-US"/>
              </w:rPr>
              <w:t xml:space="preserve">., Ilyocryptus </w:t>
            </w:r>
            <w:r w:rsidRPr="00064CF4">
              <w:rPr>
                <w:lang w:val="en-US"/>
              </w:rPr>
              <w:t>sp</w:t>
            </w:r>
            <w:r w:rsidRPr="00064CF4">
              <w:rPr>
                <w:i/>
                <w:iCs/>
                <w:lang w:val="en-US"/>
              </w:rPr>
              <w:t>., Leberis</w:t>
            </w:r>
            <w:r>
              <w:rPr>
                <w:i/>
                <w:iCs/>
                <w:lang w:val="en-US"/>
              </w:rPr>
              <w:t xml:space="preserve"> </w:t>
            </w:r>
            <w:r>
              <w:rPr>
                <w:i/>
                <w:iCs/>
              </w:rPr>
              <w:t>diaphanus</w:t>
            </w:r>
            <w:r w:rsidRPr="00064CF4">
              <w:rPr>
                <w:i/>
                <w:iCs/>
                <w:lang w:val="en-US"/>
              </w:rPr>
              <w:t xml:space="preserve">, Macrothrix </w:t>
            </w:r>
            <w:r w:rsidRPr="00064CF4">
              <w:rPr>
                <w:lang w:val="en-US"/>
              </w:rPr>
              <w:t>sp</w:t>
            </w:r>
            <w:r w:rsidRPr="00064CF4">
              <w:rPr>
                <w:i/>
                <w:iCs/>
                <w:lang w:val="en-US"/>
              </w:rPr>
              <w:t xml:space="preserve">., Mesocyclops notius, Microcyclops varicans, Moina </w:t>
            </w:r>
            <w:r w:rsidRPr="00CE2E28">
              <w:rPr>
                <w:lang w:val="en-US"/>
              </w:rPr>
              <w:t>cf.</w:t>
            </w:r>
            <w:r w:rsidRPr="00064CF4">
              <w:rPr>
                <w:i/>
                <w:iCs/>
                <w:lang w:val="en-US"/>
              </w:rPr>
              <w:t xml:space="preserve"> australiensis, Moina </w:t>
            </w:r>
            <w:r w:rsidRPr="00064CF4">
              <w:rPr>
                <w:lang w:val="en-US"/>
              </w:rPr>
              <w:t>cf</w:t>
            </w:r>
            <w:r w:rsidRPr="00064CF4">
              <w:rPr>
                <w:i/>
                <w:iCs/>
                <w:lang w:val="en-US"/>
              </w:rPr>
              <w:t>. tenuicornis, Moina micrura, Neothrix</w:t>
            </w:r>
            <w:r w:rsidRPr="00CE2E28">
              <w:rPr>
                <w:lang w:val="en-US"/>
              </w:rPr>
              <w:t xml:space="preserve"> sp</w:t>
            </w:r>
            <w:r w:rsidRPr="00064CF4">
              <w:rPr>
                <w:i/>
                <w:iCs/>
                <w:lang w:val="en-US"/>
              </w:rPr>
              <w:t>.,</w:t>
            </w:r>
            <w:r>
              <w:rPr>
                <w:i/>
                <w:iCs/>
                <w:lang w:val="en-US"/>
              </w:rPr>
              <w:t xml:space="preserve"> </w:t>
            </w:r>
            <w:r w:rsidRPr="00064CF4">
              <w:rPr>
                <w:i/>
                <w:iCs/>
                <w:lang w:val="en-US"/>
              </w:rPr>
              <w:t xml:space="preserve">Pseudochydorus globosus, Pseudomonospilus diporus, Simocephalus </w:t>
            </w:r>
            <w:r w:rsidRPr="00064CF4">
              <w:rPr>
                <w:lang w:val="en-US"/>
              </w:rPr>
              <w:t>sp</w:t>
            </w:r>
            <w:r w:rsidRPr="00064CF4">
              <w:rPr>
                <w:i/>
                <w:iCs/>
                <w:lang w:val="en-US"/>
              </w:rPr>
              <w:t xml:space="preserve">., Thermocyclops </w:t>
            </w:r>
            <w:r w:rsidRPr="00064CF4">
              <w:rPr>
                <w:lang w:val="en-US"/>
              </w:rPr>
              <w:t>sp</w:t>
            </w:r>
            <w:r w:rsidRPr="00064CF4">
              <w:rPr>
                <w:i/>
                <w:iCs/>
                <w:lang w:val="en-US"/>
              </w:rPr>
              <w:t>.</w:t>
            </w:r>
          </w:p>
        </w:tc>
      </w:tr>
      <w:tr w:rsidR="00C002ED" w14:paraId="62A7876D" w14:textId="77777777" w:rsidTr="00592718">
        <w:tc>
          <w:tcPr>
            <w:tcW w:w="2385" w:type="dxa"/>
            <w:tcBorders>
              <w:top w:val="single" w:sz="4" w:space="0" w:color="auto"/>
              <w:bottom w:val="single" w:sz="4" w:space="0" w:color="auto"/>
            </w:tcBorders>
          </w:tcPr>
          <w:p w14:paraId="2B74F802" w14:textId="77777777" w:rsidR="00C002ED" w:rsidRPr="00887EF3" w:rsidRDefault="00C002ED" w:rsidP="00592718">
            <w:pPr>
              <w:pStyle w:val="TableHeading"/>
              <w:rPr>
                <w:lang w:val="en-US"/>
              </w:rPr>
            </w:pPr>
            <w:r>
              <w:rPr>
                <w:lang w:val="en-US"/>
              </w:rPr>
              <w:t>(b) </w:t>
            </w:r>
            <w:r w:rsidRPr="00887EF3">
              <w:rPr>
                <w:lang w:val="en-US"/>
              </w:rPr>
              <w:t>Longitudinal connectivity</w:t>
            </w:r>
          </w:p>
        </w:tc>
        <w:tc>
          <w:tcPr>
            <w:tcW w:w="6682" w:type="dxa"/>
            <w:tcBorders>
              <w:top w:val="single" w:sz="4" w:space="0" w:color="auto"/>
              <w:bottom w:val="single" w:sz="4" w:space="0" w:color="auto"/>
            </w:tcBorders>
          </w:tcPr>
          <w:p w14:paraId="415B325A" w14:textId="77777777" w:rsidR="00C002ED" w:rsidRPr="001E2700" w:rsidRDefault="00C002ED" w:rsidP="00592718">
            <w:pPr>
              <w:rPr>
                <w:i/>
                <w:iCs/>
                <w:sz w:val="20"/>
                <w:lang w:val="en-US"/>
              </w:rPr>
            </w:pPr>
            <w:r w:rsidRPr="001E2700">
              <w:rPr>
                <w:i/>
                <w:iCs/>
                <w:sz w:val="20"/>
                <w:lang w:val="en-US"/>
              </w:rPr>
              <w:t xml:space="preserve">Anuraeopsis coelata, Anuraeopsis fissa, Brachionus bidens, B. calyciflorus amphiceros, B. diversicornis, B. falcatus, Cephalodella catellina, Collotheca </w:t>
            </w:r>
            <w:r w:rsidRPr="00CE2E28">
              <w:rPr>
                <w:sz w:val="20"/>
                <w:lang w:val="en-US"/>
              </w:rPr>
              <w:t>cf.</w:t>
            </w:r>
            <w:r w:rsidRPr="001E2700">
              <w:rPr>
                <w:i/>
                <w:iCs/>
                <w:sz w:val="20"/>
                <w:lang w:val="en-US"/>
              </w:rPr>
              <w:t xml:space="preserve"> tenuilobata, Conochilus dossuarius, C. natans, C. unicornis, Filinia longiseta, F. pejleri, F. terminalis, Keratella australis, K. cochlearis, K. lenzi, K. procurva, K. slacki, Polyarthra remata, P. vulgaris, Synchaeta oblonga, S. pectinata, Trichocerca pusilla </w:t>
            </w:r>
            <w:r w:rsidRPr="00511A4B">
              <w:rPr>
                <w:sz w:val="20"/>
                <w:lang w:val="en-US"/>
              </w:rPr>
              <w:t>complex</w:t>
            </w:r>
            <w:r w:rsidRPr="001E2700">
              <w:rPr>
                <w:i/>
                <w:iCs/>
                <w:sz w:val="20"/>
                <w:lang w:val="en-US"/>
              </w:rPr>
              <w:t>, T. similis, T. similis grandis</w:t>
            </w:r>
          </w:p>
        </w:tc>
      </w:tr>
    </w:tbl>
    <w:p w14:paraId="50034D8B" w14:textId="77777777" w:rsidR="00C002ED" w:rsidRDefault="00C002ED" w:rsidP="00C002ED">
      <w:pPr>
        <w:spacing w:before="0" w:after="160" w:line="259" w:lineRule="auto"/>
        <w:jc w:val="left"/>
      </w:pPr>
      <w:bookmarkStart w:id="379" w:name="_Ref57920136"/>
      <w:bookmarkStart w:id="380" w:name="_Ref69310760"/>
      <w:bookmarkStart w:id="381" w:name="_Toc63758534"/>
      <w:bookmarkStart w:id="382" w:name="_Toc69387746"/>
    </w:p>
    <w:p w14:paraId="29C2AB62" w14:textId="77777777" w:rsidR="00C002ED" w:rsidRDefault="00C002ED" w:rsidP="00C002ED">
      <w:pPr>
        <w:spacing w:before="0" w:after="160" w:line="259" w:lineRule="auto"/>
        <w:jc w:val="left"/>
      </w:pPr>
      <w:r>
        <w:br w:type="page"/>
      </w:r>
    </w:p>
    <w:p w14:paraId="2C3598EF" w14:textId="2C8C7615" w:rsidR="00C002ED" w:rsidRPr="00512B61" w:rsidRDefault="00C002ED" w:rsidP="00605FB2">
      <w:pPr>
        <w:pStyle w:val="Captions"/>
        <w:rPr>
          <w:noProof/>
        </w:rPr>
      </w:pPr>
      <w:bookmarkStart w:id="383" w:name="_Ref121745944"/>
      <w:bookmarkStart w:id="384" w:name="_Toc185607716"/>
      <w:bookmarkStart w:id="385" w:name="_Toc200464540"/>
      <w:r w:rsidRPr="00512B61">
        <w:rPr>
          <w:noProof/>
        </w:rPr>
        <w:lastRenderedPageBreak/>
        <w:t xml:space="preserve">Table </w:t>
      </w:r>
      <w:r>
        <w:rPr>
          <w:noProof/>
        </w:rPr>
        <w:fldChar w:fldCharType="begin"/>
      </w:r>
      <w:r>
        <w:rPr>
          <w:noProof/>
        </w:rPr>
        <w:instrText xml:space="preserve"> SEQ Table \* ARABIC </w:instrText>
      </w:r>
      <w:r>
        <w:rPr>
          <w:noProof/>
        </w:rPr>
        <w:fldChar w:fldCharType="separate"/>
      </w:r>
      <w:r w:rsidR="00102828">
        <w:rPr>
          <w:noProof/>
        </w:rPr>
        <w:t>16</w:t>
      </w:r>
      <w:r>
        <w:rPr>
          <w:noProof/>
        </w:rPr>
        <w:fldChar w:fldCharType="end"/>
      </w:r>
      <w:bookmarkEnd w:id="379"/>
      <w:bookmarkEnd w:id="380"/>
      <w:bookmarkEnd w:id="383"/>
      <w:r w:rsidRPr="00512B61">
        <w:rPr>
          <w:noProof/>
        </w:rPr>
        <w:t xml:space="preserve">. Microinvertebrate </w:t>
      </w:r>
      <w:bookmarkEnd w:id="381"/>
      <w:bookmarkEnd w:id="382"/>
      <w:r w:rsidRPr="00512B61">
        <w:rPr>
          <w:noProof/>
        </w:rPr>
        <w:t xml:space="preserve">prey species for fish larvae of large-bodied native species (Murray cod, golden perch and silver perch) identified from gut content analysis used in modelling fish prey species density. </w:t>
      </w:r>
      <w:r>
        <w:rPr>
          <w:noProof/>
        </w:rPr>
        <w:t>Nauplii of c</w:t>
      </w:r>
      <w:r w:rsidRPr="00512B61">
        <w:rPr>
          <w:noProof/>
        </w:rPr>
        <w:t>alanoid and cyclopoid were excluded in calculations.</w:t>
      </w:r>
      <w:bookmarkEnd w:id="384"/>
      <w:bookmarkEnd w:id="385"/>
      <w:r w:rsidRPr="00512B61">
        <w:rPr>
          <w:noProof/>
        </w:rPr>
        <w:t xml:space="preserve"> </w:t>
      </w:r>
    </w:p>
    <w:tbl>
      <w:tblPr>
        <w:tblStyle w:val="TableGrid"/>
        <w:tblW w:w="81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showing microinvertebrate prey species for fish larvae of large-bodied native species identified from gut content analysis and used in modelling fish prey species density."/>
      </w:tblPr>
      <w:tblGrid>
        <w:gridCol w:w="3555"/>
        <w:gridCol w:w="2154"/>
        <w:gridCol w:w="2452"/>
      </w:tblGrid>
      <w:tr w:rsidR="00C002ED" w:rsidRPr="00D6433C" w14:paraId="517A2492" w14:textId="77777777" w:rsidTr="00592718">
        <w:trPr>
          <w:trHeight w:val="340"/>
          <w:jc w:val="center"/>
        </w:trPr>
        <w:tc>
          <w:tcPr>
            <w:tcW w:w="3555" w:type="dxa"/>
            <w:tcBorders>
              <w:top w:val="single" w:sz="4" w:space="0" w:color="auto"/>
              <w:bottom w:val="single" w:sz="4" w:space="0" w:color="auto"/>
            </w:tcBorders>
          </w:tcPr>
          <w:p w14:paraId="1F38C37F" w14:textId="77777777" w:rsidR="00C002ED" w:rsidRPr="00D6433C" w:rsidRDefault="00C002ED" w:rsidP="00592718">
            <w:pPr>
              <w:pStyle w:val="TableHeading"/>
              <w:spacing w:before="0" w:after="0" w:line="240" w:lineRule="auto"/>
              <w:contextualSpacing/>
              <w:jc w:val="center"/>
              <w:rPr>
                <w:lang w:val="en-US"/>
              </w:rPr>
            </w:pPr>
            <w:r w:rsidRPr="00D6433C">
              <w:rPr>
                <w:lang w:val="en-US"/>
              </w:rPr>
              <w:t>Taxon</w:t>
            </w:r>
          </w:p>
        </w:tc>
        <w:tc>
          <w:tcPr>
            <w:tcW w:w="2154" w:type="dxa"/>
            <w:tcBorders>
              <w:top w:val="single" w:sz="4" w:space="0" w:color="auto"/>
              <w:bottom w:val="single" w:sz="4" w:space="0" w:color="auto"/>
            </w:tcBorders>
          </w:tcPr>
          <w:p w14:paraId="5FB09B3A" w14:textId="77777777" w:rsidR="00C002ED" w:rsidRPr="00D6433C" w:rsidRDefault="00C002ED" w:rsidP="00592718">
            <w:pPr>
              <w:pStyle w:val="TableHeading"/>
              <w:spacing w:before="0" w:after="0" w:line="240" w:lineRule="auto"/>
              <w:contextualSpacing/>
              <w:jc w:val="center"/>
              <w:rPr>
                <w:lang w:val="en-US"/>
              </w:rPr>
            </w:pPr>
            <w:r w:rsidRPr="00D6433C">
              <w:rPr>
                <w:lang w:val="en-US"/>
              </w:rPr>
              <w:t>Family</w:t>
            </w:r>
          </w:p>
        </w:tc>
        <w:tc>
          <w:tcPr>
            <w:tcW w:w="2452" w:type="dxa"/>
            <w:tcBorders>
              <w:top w:val="single" w:sz="4" w:space="0" w:color="auto"/>
              <w:bottom w:val="single" w:sz="4" w:space="0" w:color="auto"/>
            </w:tcBorders>
          </w:tcPr>
          <w:p w14:paraId="153FF3D6" w14:textId="77777777" w:rsidR="00C002ED" w:rsidRPr="00D6433C" w:rsidRDefault="00C002ED" w:rsidP="00592718">
            <w:pPr>
              <w:pStyle w:val="TableHeading"/>
              <w:spacing w:before="0" w:after="0" w:line="240" w:lineRule="auto"/>
              <w:contextualSpacing/>
              <w:jc w:val="center"/>
              <w:rPr>
                <w:lang w:val="en-US"/>
              </w:rPr>
            </w:pPr>
            <w:r>
              <w:rPr>
                <w:lang w:val="en-US"/>
              </w:rPr>
              <w:t>Phylum/Order</w:t>
            </w:r>
          </w:p>
        </w:tc>
      </w:tr>
      <w:tr w:rsidR="00C002ED" w:rsidRPr="00D6433C" w14:paraId="0D143B58" w14:textId="77777777" w:rsidTr="00592718">
        <w:trPr>
          <w:trHeight w:val="340"/>
          <w:jc w:val="center"/>
        </w:trPr>
        <w:tc>
          <w:tcPr>
            <w:tcW w:w="3555" w:type="dxa"/>
            <w:tcBorders>
              <w:top w:val="single" w:sz="4" w:space="0" w:color="auto"/>
            </w:tcBorders>
          </w:tcPr>
          <w:p w14:paraId="55D9C7FC" w14:textId="77777777" w:rsidR="00C002ED" w:rsidRPr="00D6433C" w:rsidRDefault="00C002ED" w:rsidP="00592718">
            <w:pPr>
              <w:pStyle w:val="TableHeading"/>
              <w:spacing w:before="0" w:after="0" w:line="240" w:lineRule="auto"/>
              <w:contextualSpacing/>
              <w:jc w:val="center"/>
              <w:rPr>
                <w:i/>
                <w:iCs/>
                <w:lang w:val="en-US"/>
              </w:rPr>
            </w:pPr>
            <w:r w:rsidRPr="00D6433C">
              <w:rPr>
                <w:i/>
                <w:iCs/>
                <w:lang w:val="en-US"/>
              </w:rPr>
              <w:t>Bosmina meridionalis</w:t>
            </w:r>
          </w:p>
        </w:tc>
        <w:tc>
          <w:tcPr>
            <w:tcW w:w="2154" w:type="dxa"/>
            <w:tcBorders>
              <w:top w:val="single" w:sz="4" w:space="0" w:color="auto"/>
            </w:tcBorders>
          </w:tcPr>
          <w:p w14:paraId="1ED9EB4F" w14:textId="77777777" w:rsidR="00C002ED" w:rsidRPr="00D6433C" w:rsidRDefault="00C002ED" w:rsidP="00592718">
            <w:pPr>
              <w:pStyle w:val="TableText"/>
              <w:spacing w:before="0" w:after="0" w:line="240" w:lineRule="auto"/>
              <w:contextualSpacing/>
              <w:jc w:val="center"/>
              <w:rPr>
                <w:lang w:val="en-US"/>
              </w:rPr>
            </w:pPr>
            <w:r w:rsidRPr="00D6433C">
              <w:rPr>
                <w:lang w:val="en-US"/>
              </w:rPr>
              <w:t>Bosminidae</w:t>
            </w:r>
          </w:p>
        </w:tc>
        <w:tc>
          <w:tcPr>
            <w:tcW w:w="2452" w:type="dxa"/>
            <w:tcBorders>
              <w:top w:val="single" w:sz="4" w:space="0" w:color="auto"/>
            </w:tcBorders>
          </w:tcPr>
          <w:p w14:paraId="29250A98" w14:textId="77777777" w:rsidR="00C002ED" w:rsidRPr="00D6433C" w:rsidRDefault="00C002ED" w:rsidP="00592718">
            <w:pPr>
              <w:pStyle w:val="TableText"/>
              <w:spacing w:before="0" w:after="0" w:line="240" w:lineRule="auto"/>
              <w:contextualSpacing/>
              <w:jc w:val="center"/>
              <w:rPr>
                <w:lang w:val="en-US"/>
              </w:rPr>
            </w:pPr>
            <w:r w:rsidRPr="00D6433C">
              <w:rPr>
                <w:lang w:val="en-US"/>
              </w:rPr>
              <w:t>Cladocera</w:t>
            </w:r>
          </w:p>
        </w:tc>
      </w:tr>
      <w:tr w:rsidR="00C002ED" w:rsidRPr="00D6433C" w14:paraId="1B836FF1" w14:textId="77777777" w:rsidTr="00592718">
        <w:trPr>
          <w:trHeight w:val="340"/>
          <w:jc w:val="center"/>
        </w:trPr>
        <w:tc>
          <w:tcPr>
            <w:tcW w:w="3555" w:type="dxa"/>
          </w:tcPr>
          <w:p w14:paraId="5C355571" w14:textId="77777777" w:rsidR="00C002ED" w:rsidRPr="00D6433C" w:rsidRDefault="00C002ED" w:rsidP="00592718">
            <w:pPr>
              <w:pStyle w:val="TableHeading"/>
              <w:spacing w:before="0" w:after="0" w:line="240" w:lineRule="auto"/>
              <w:contextualSpacing/>
              <w:jc w:val="center"/>
              <w:rPr>
                <w:i/>
                <w:iCs/>
                <w:lang w:val="en-US"/>
              </w:rPr>
            </w:pPr>
            <w:r w:rsidRPr="00BD1E38">
              <w:rPr>
                <w:lang w:val="en-US"/>
              </w:rPr>
              <w:t>Daphni</w:t>
            </w:r>
            <w:r>
              <w:rPr>
                <w:lang w:val="en-US"/>
              </w:rPr>
              <w:t>i</w:t>
            </w:r>
            <w:r w:rsidRPr="00BD1E38">
              <w:rPr>
                <w:lang w:val="en-US"/>
              </w:rPr>
              <w:t>dae</w:t>
            </w:r>
            <w:r w:rsidRPr="00D6433C">
              <w:rPr>
                <w:i/>
                <w:iCs/>
                <w:lang w:val="en-US"/>
              </w:rPr>
              <w:t xml:space="preserve"> </w:t>
            </w:r>
            <w:r w:rsidRPr="00940BEB">
              <w:rPr>
                <w:lang w:val="en-US"/>
              </w:rPr>
              <w:t>species</w:t>
            </w:r>
          </w:p>
        </w:tc>
        <w:tc>
          <w:tcPr>
            <w:tcW w:w="2154" w:type="dxa"/>
          </w:tcPr>
          <w:p w14:paraId="051BABEB" w14:textId="77777777" w:rsidR="00C002ED" w:rsidRPr="00D6433C" w:rsidRDefault="00C002ED" w:rsidP="00592718">
            <w:pPr>
              <w:pStyle w:val="TableText"/>
              <w:spacing w:before="0" w:after="0" w:line="240" w:lineRule="auto"/>
              <w:contextualSpacing/>
              <w:jc w:val="center"/>
              <w:rPr>
                <w:lang w:val="en-US"/>
              </w:rPr>
            </w:pPr>
            <w:r w:rsidRPr="00D6433C">
              <w:rPr>
                <w:lang w:val="en-US"/>
              </w:rPr>
              <w:t>Daphni</w:t>
            </w:r>
            <w:r>
              <w:rPr>
                <w:lang w:val="en-US"/>
              </w:rPr>
              <w:t>i</w:t>
            </w:r>
            <w:r w:rsidRPr="00D6433C">
              <w:rPr>
                <w:lang w:val="en-US"/>
              </w:rPr>
              <w:t>dae</w:t>
            </w:r>
          </w:p>
        </w:tc>
        <w:tc>
          <w:tcPr>
            <w:tcW w:w="2452" w:type="dxa"/>
          </w:tcPr>
          <w:p w14:paraId="119EFE03" w14:textId="77777777" w:rsidR="00C002ED" w:rsidRPr="00D6433C" w:rsidRDefault="00C002ED" w:rsidP="00592718">
            <w:pPr>
              <w:pStyle w:val="TableText"/>
              <w:spacing w:before="0" w:after="0" w:line="240" w:lineRule="auto"/>
              <w:contextualSpacing/>
              <w:jc w:val="center"/>
              <w:rPr>
                <w:lang w:val="en-US"/>
              </w:rPr>
            </w:pPr>
            <w:r w:rsidRPr="00D6433C">
              <w:rPr>
                <w:lang w:val="en-US"/>
              </w:rPr>
              <w:t>Cladocera</w:t>
            </w:r>
          </w:p>
        </w:tc>
      </w:tr>
      <w:tr w:rsidR="00C002ED" w:rsidRPr="00D6433C" w14:paraId="143423AF" w14:textId="77777777" w:rsidTr="00592718">
        <w:trPr>
          <w:trHeight w:val="340"/>
          <w:jc w:val="center"/>
        </w:trPr>
        <w:tc>
          <w:tcPr>
            <w:tcW w:w="3555" w:type="dxa"/>
          </w:tcPr>
          <w:p w14:paraId="1C6A2288" w14:textId="77777777" w:rsidR="00C002ED" w:rsidRPr="00D6433C" w:rsidRDefault="00C002ED" w:rsidP="00592718">
            <w:pPr>
              <w:pStyle w:val="TableHeading"/>
              <w:spacing w:before="0" w:after="0" w:line="240" w:lineRule="auto"/>
              <w:contextualSpacing/>
              <w:jc w:val="center"/>
              <w:rPr>
                <w:i/>
                <w:iCs/>
                <w:lang w:val="en-US"/>
              </w:rPr>
            </w:pPr>
            <w:r w:rsidRPr="00BD1E38">
              <w:rPr>
                <w:lang w:val="en-US"/>
              </w:rPr>
              <w:t>Chydoridae</w:t>
            </w:r>
            <w:r>
              <w:rPr>
                <w:i/>
                <w:iCs/>
                <w:lang w:val="en-US"/>
              </w:rPr>
              <w:t xml:space="preserve"> </w:t>
            </w:r>
            <w:r w:rsidRPr="00940BEB">
              <w:rPr>
                <w:lang w:val="en-US"/>
              </w:rPr>
              <w:t>species</w:t>
            </w:r>
          </w:p>
        </w:tc>
        <w:tc>
          <w:tcPr>
            <w:tcW w:w="2154" w:type="dxa"/>
          </w:tcPr>
          <w:p w14:paraId="2EBB74CD" w14:textId="77777777" w:rsidR="00C002ED" w:rsidRPr="00D6433C" w:rsidRDefault="00C002ED" w:rsidP="00592718">
            <w:pPr>
              <w:pStyle w:val="TableText"/>
              <w:spacing w:before="0" w:after="0" w:line="240" w:lineRule="auto"/>
              <w:contextualSpacing/>
              <w:jc w:val="center"/>
              <w:rPr>
                <w:lang w:val="en-US"/>
              </w:rPr>
            </w:pPr>
            <w:r>
              <w:rPr>
                <w:lang w:val="en-US"/>
              </w:rPr>
              <w:t>Chydoridae</w:t>
            </w:r>
          </w:p>
        </w:tc>
        <w:tc>
          <w:tcPr>
            <w:tcW w:w="2452" w:type="dxa"/>
          </w:tcPr>
          <w:p w14:paraId="687CBB8E" w14:textId="77777777" w:rsidR="00C002ED" w:rsidRPr="00D6433C" w:rsidRDefault="00C002ED" w:rsidP="00592718">
            <w:pPr>
              <w:pStyle w:val="TableText"/>
              <w:spacing w:before="0" w:after="0" w:line="240" w:lineRule="auto"/>
              <w:contextualSpacing/>
              <w:jc w:val="center"/>
              <w:rPr>
                <w:lang w:val="en-US"/>
              </w:rPr>
            </w:pPr>
            <w:r w:rsidRPr="00276612">
              <w:t>Cladocera</w:t>
            </w:r>
          </w:p>
        </w:tc>
      </w:tr>
      <w:tr w:rsidR="00C002ED" w:rsidRPr="00A35CF4" w14:paraId="3509C885" w14:textId="77777777" w:rsidTr="00592718">
        <w:trPr>
          <w:trHeight w:val="340"/>
          <w:jc w:val="center"/>
        </w:trPr>
        <w:tc>
          <w:tcPr>
            <w:tcW w:w="3555" w:type="dxa"/>
          </w:tcPr>
          <w:p w14:paraId="2F49B609" w14:textId="77777777" w:rsidR="00C002ED" w:rsidRPr="00A35CF4" w:rsidRDefault="00C002ED" w:rsidP="00592718">
            <w:pPr>
              <w:pStyle w:val="TableHeading"/>
              <w:spacing w:before="0" w:after="0" w:line="240" w:lineRule="auto"/>
              <w:contextualSpacing/>
              <w:jc w:val="center"/>
              <w:rPr>
                <w:i/>
                <w:iCs/>
                <w:lang w:val="en-US"/>
              </w:rPr>
            </w:pPr>
            <w:r w:rsidRPr="00BD1E38">
              <w:rPr>
                <w:lang w:val="en-US"/>
              </w:rPr>
              <w:t>Ilyocryptidae</w:t>
            </w:r>
            <w:r>
              <w:rPr>
                <w:i/>
                <w:iCs/>
                <w:lang w:val="en-US"/>
              </w:rPr>
              <w:t xml:space="preserve"> </w:t>
            </w:r>
            <w:r w:rsidRPr="00940BEB">
              <w:rPr>
                <w:lang w:val="en-US"/>
              </w:rPr>
              <w:t>species</w:t>
            </w:r>
          </w:p>
        </w:tc>
        <w:tc>
          <w:tcPr>
            <w:tcW w:w="2154" w:type="dxa"/>
          </w:tcPr>
          <w:p w14:paraId="39D9395B" w14:textId="77777777" w:rsidR="00C002ED" w:rsidRDefault="00C002ED" w:rsidP="00592718">
            <w:pPr>
              <w:pStyle w:val="TableText"/>
              <w:spacing w:before="0" w:after="0" w:line="240" w:lineRule="auto"/>
              <w:contextualSpacing/>
              <w:jc w:val="center"/>
              <w:rPr>
                <w:lang w:val="en-US"/>
              </w:rPr>
            </w:pPr>
            <w:r w:rsidRPr="004C6C5A">
              <w:t>Ilyocryptidae</w:t>
            </w:r>
          </w:p>
        </w:tc>
        <w:tc>
          <w:tcPr>
            <w:tcW w:w="2452" w:type="dxa"/>
          </w:tcPr>
          <w:p w14:paraId="5D7A39D7" w14:textId="77777777" w:rsidR="00C002ED" w:rsidRPr="00A35CF4" w:rsidRDefault="00C002ED" w:rsidP="00592718">
            <w:pPr>
              <w:pStyle w:val="TableText"/>
              <w:spacing w:before="0" w:after="0" w:line="240" w:lineRule="auto"/>
              <w:contextualSpacing/>
              <w:jc w:val="center"/>
              <w:rPr>
                <w:lang w:val="en-US"/>
              </w:rPr>
            </w:pPr>
            <w:r>
              <w:t>Cl</w:t>
            </w:r>
            <w:r w:rsidRPr="004C6C5A">
              <w:t>adocera</w:t>
            </w:r>
          </w:p>
        </w:tc>
      </w:tr>
      <w:tr w:rsidR="00C002ED" w:rsidRPr="00D6433C" w14:paraId="6ECCC304" w14:textId="77777777" w:rsidTr="00592718">
        <w:trPr>
          <w:trHeight w:val="340"/>
          <w:jc w:val="center"/>
        </w:trPr>
        <w:tc>
          <w:tcPr>
            <w:tcW w:w="3555" w:type="dxa"/>
          </w:tcPr>
          <w:p w14:paraId="535E60DF" w14:textId="77777777" w:rsidR="00C002ED" w:rsidRPr="00D6433C" w:rsidRDefault="00C002ED" w:rsidP="00592718">
            <w:pPr>
              <w:pStyle w:val="TableHeading"/>
              <w:spacing w:before="0" w:after="0" w:line="240" w:lineRule="auto"/>
              <w:contextualSpacing/>
              <w:jc w:val="center"/>
              <w:rPr>
                <w:i/>
                <w:iCs/>
                <w:lang w:val="en-US"/>
              </w:rPr>
            </w:pPr>
            <w:r w:rsidRPr="00BD1E38">
              <w:rPr>
                <w:lang w:val="en-US"/>
              </w:rPr>
              <w:t>Macrothricidae</w:t>
            </w:r>
            <w:r>
              <w:rPr>
                <w:i/>
                <w:iCs/>
                <w:lang w:val="en-US"/>
              </w:rPr>
              <w:t xml:space="preserve"> </w:t>
            </w:r>
            <w:r w:rsidRPr="00940BEB">
              <w:rPr>
                <w:lang w:val="en-US"/>
              </w:rPr>
              <w:t>species</w:t>
            </w:r>
          </w:p>
        </w:tc>
        <w:tc>
          <w:tcPr>
            <w:tcW w:w="2154" w:type="dxa"/>
          </w:tcPr>
          <w:p w14:paraId="66B71A95" w14:textId="77777777" w:rsidR="00C002ED" w:rsidRPr="00D6433C" w:rsidRDefault="00C002ED" w:rsidP="00592718">
            <w:pPr>
              <w:pStyle w:val="TableText"/>
              <w:spacing w:before="0" w:after="0" w:line="240" w:lineRule="auto"/>
              <w:contextualSpacing/>
              <w:jc w:val="center"/>
              <w:rPr>
                <w:lang w:val="en-US"/>
              </w:rPr>
            </w:pPr>
            <w:r w:rsidRPr="005D2CED">
              <w:rPr>
                <w:lang w:val="en-US"/>
              </w:rPr>
              <w:t>Macrothricidae</w:t>
            </w:r>
          </w:p>
        </w:tc>
        <w:tc>
          <w:tcPr>
            <w:tcW w:w="2452" w:type="dxa"/>
          </w:tcPr>
          <w:p w14:paraId="1983C296" w14:textId="77777777" w:rsidR="00C002ED" w:rsidRPr="00D6433C" w:rsidRDefault="00C002ED" w:rsidP="00592718">
            <w:pPr>
              <w:pStyle w:val="TableText"/>
              <w:spacing w:before="0" w:after="0" w:line="240" w:lineRule="auto"/>
              <w:contextualSpacing/>
              <w:jc w:val="center"/>
              <w:rPr>
                <w:lang w:val="en-US"/>
              </w:rPr>
            </w:pPr>
            <w:r w:rsidRPr="00276612">
              <w:t>Cladocera</w:t>
            </w:r>
          </w:p>
        </w:tc>
      </w:tr>
      <w:tr w:rsidR="00C002ED" w:rsidRPr="00D6433C" w14:paraId="6F145643" w14:textId="77777777" w:rsidTr="00592718">
        <w:trPr>
          <w:trHeight w:val="340"/>
          <w:jc w:val="center"/>
        </w:trPr>
        <w:tc>
          <w:tcPr>
            <w:tcW w:w="3555" w:type="dxa"/>
          </w:tcPr>
          <w:p w14:paraId="40625814" w14:textId="77777777" w:rsidR="00C002ED" w:rsidRPr="00D6433C" w:rsidRDefault="00C002ED" w:rsidP="00592718">
            <w:pPr>
              <w:pStyle w:val="TableHeading"/>
              <w:spacing w:before="0" w:after="0" w:line="240" w:lineRule="auto"/>
              <w:contextualSpacing/>
              <w:jc w:val="center"/>
              <w:rPr>
                <w:i/>
                <w:iCs/>
                <w:lang w:val="en-US"/>
              </w:rPr>
            </w:pPr>
            <w:r w:rsidRPr="00BD1E38">
              <w:rPr>
                <w:lang w:val="en-US"/>
              </w:rPr>
              <w:t>Moinidae</w:t>
            </w:r>
            <w:r>
              <w:rPr>
                <w:i/>
                <w:iCs/>
                <w:lang w:val="en-US"/>
              </w:rPr>
              <w:t xml:space="preserve"> </w:t>
            </w:r>
            <w:r w:rsidRPr="00940BEB">
              <w:rPr>
                <w:lang w:val="en-US"/>
              </w:rPr>
              <w:t>species</w:t>
            </w:r>
          </w:p>
        </w:tc>
        <w:tc>
          <w:tcPr>
            <w:tcW w:w="2154" w:type="dxa"/>
          </w:tcPr>
          <w:p w14:paraId="17D9D933" w14:textId="77777777" w:rsidR="00C002ED" w:rsidRPr="00D6433C" w:rsidRDefault="00C002ED" w:rsidP="00592718">
            <w:pPr>
              <w:pStyle w:val="TableText"/>
              <w:spacing w:before="0" w:after="0" w:line="240" w:lineRule="auto"/>
              <w:contextualSpacing/>
              <w:jc w:val="center"/>
              <w:rPr>
                <w:lang w:val="en-US"/>
              </w:rPr>
            </w:pPr>
            <w:r>
              <w:rPr>
                <w:lang w:val="en-US"/>
              </w:rPr>
              <w:t>Moinidae</w:t>
            </w:r>
          </w:p>
        </w:tc>
        <w:tc>
          <w:tcPr>
            <w:tcW w:w="2452" w:type="dxa"/>
          </w:tcPr>
          <w:p w14:paraId="1B6E3C84" w14:textId="77777777" w:rsidR="00C002ED" w:rsidRPr="00D6433C" w:rsidRDefault="00C002ED" w:rsidP="00592718">
            <w:pPr>
              <w:pStyle w:val="TableText"/>
              <w:spacing w:before="0" w:after="0" w:line="240" w:lineRule="auto"/>
              <w:contextualSpacing/>
              <w:jc w:val="center"/>
              <w:rPr>
                <w:lang w:val="en-US"/>
              </w:rPr>
            </w:pPr>
            <w:r w:rsidRPr="00276612">
              <w:t>Cladocera</w:t>
            </w:r>
          </w:p>
        </w:tc>
      </w:tr>
      <w:tr w:rsidR="00C002ED" w:rsidRPr="00D6433C" w14:paraId="0DC95470" w14:textId="77777777" w:rsidTr="00592718">
        <w:trPr>
          <w:trHeight w:val="340"/>
          <w:jc w:val="center"/>
        </w:trPr>
        <w:tc>
          <w:tcPr>
            <w:tcW w:w="3555" w:type="dxa"/>
          </w:tcPr>
          <w:p w14:paraId="7A3E3F06" w14:textId="77777777" w:rsidR="00C002ED" w:rsidRPr="00D6433C" w:rsidRDefault="00C002ED" w:rsidP="00592718">
            <w:pPr>
              <w:pStyle w:val="TableHeading"/>
              <w:spacing w:before="0" w:after="0" w:line="240" w:lineRule="auto"/>
              <w:contextualSpacing/>
              <w:jc w:val="center"/>
              <w:rPr>
                <w:i/>
                <w:iCs/>
                <w:lang w:val="en-US"/>
              </w:rPr>
            </w:pPr>
            <w:r w:rsidRPr="00BD1E38">
              <w:rPr>
                <w:lang w:val="en-US"/>
              </w:rPr>
              <w:t>Neotrichidae</w:t>
            </w:r>
            <w:r>
              <w:rPr>
                <w:i/>
                <w:iCs/>
                <w:lang w:val="en-US"/>
              </w:rPr>
              <w:t xml:space="preserve"> </w:t>
            </w:r>
            <w:r w:rsidRPr="00940BEB">
              <w:rPr>
                <w:lang w:val="en-US"/>
              </w:rPr>
              <w:t>species</w:t>
            </w:r>
          </w:p>
        </w:tc>
        <w:tc>
          <w:tcPr>
            <w:tcW w:w="2154" w:type="dxa"/>
          </w:tcPr>
          <w:p w14:paraId="4104BE98" w14:textId="77777777" w:rsidR="00C002ED" w:rsidRPr="00D6433C" w:rsidRDefault="00C002ED" w:rsidP="00592718">
            <w:pPr>
              <w:pStyle w:val="TableText"/>
              <w:spacing w:before="0" w:after="0" w:line="240" w:lineRule="auto"/>
              <w:contextualSpacing/>
              <w:jc w:val="center"/>
              <w:rPr>
                <w:lang w:val="en-US"/>
              </w:rPr>
            </w:pPr>
            <w:r w:rsidRPr="00B02158">
              <w:rPr>
                <w:lang w:val="en-US"/>
              </w:rPr>
              <w:t>Neotrichidae</w:t>
            </w:r>
          </w:p>
        </w:tc>
        <w:tc>
          <w:tcPr>
            <w:tcW w:w="2452" w:type="dxa"/>
          </w:tcPr>
          <w:p w14:paraId="6E1098F8" w14:textId="77777777" w:rsidR="00C002ED" w:rsidRPr="00D6433C" w:rsidRDefault="00C002ED" w:rsidP="00592718">
            <w:pPr>
              <w:pStyle w:val="TableText"/>
              <w:spacing w:before="0" w:after="0" w:line="240" w:lineRule="auto"/>
              <w:contextualSpacing/>
              <w:jc w:val="center"/>
              <w:rPr>
                <w:lang w:val="en-US"/>
              </w:rPr>
            </w:pPr>
            <w:r w:rsidRPr="00D6433C">
              <w:rPr>
                <w:lang w:val="en-US"/>
              </w:rPr>
              <w:t>Cladocera</w:t>
            </w:r>
          </w:p>
        </w:tc>
      </w:tr>
      <w:tr w:rsidR="00C002ED" w:rsidRPr="00D6433C" w14:paraId="342CDFB4" w14:textId="77777777" w:rsidTr="00592718">
        <w:trPr>
          <w:trHeight w:val="340"/>
          <w:jc w:val="center"/>
        </w:trPr>
        <w:tc>
          <w:tcPr>
            <w:tcW w:w="3555" w:type="dxa"/>
          </w:tcPr>
          <w:p w14:paraId="7FB9075A" w14:textId="77777777" w:rsidR="00C002ED" w:rsidRPr="00F95667" w:rsidRDefault="00C002ED" w:rsidP="00592718">
            <w:pPr>
              <w:pStyle w:val="TableHeading"/>
              <w:spacing w:before="0" w:after="0" w:line="240" w:lineRule="auto"/>
              <w:contextualSpacing/>
              <w:jc w:val="center"/>
              <w:rPr>
                <w:i/>
                <w:iCs/>
                <w:lang w:val="en-US"/>
              </w:rPr>
            </w:pPr>
            <w:r w:rsidRPr="00BD1E38">
              <w:rPr>
                <w:lang w:val="en-US"/>
              </w:rPr>
              <w:t>Sididae</w:t>
            </w:r>
            <w:r>
              <w:rPr>
                <w:i/>
                <w:iCs/>
                <w:lang w:val="en-US"/>
              </w:rPr>
              <w:t xml:space="preserve"> </w:t>
            </w:r>
            <w:r w:rsidRPr="00940BEB">
              <w:rPr>
                <w:lang w:val="en-US"/>
              </w:rPr>
              <w:t>species</w:t>
            </w:r>
          </w:p>
        </w:tc>
        <w:tc>
          <w:tcPr>
            <w:tcW w:w="2154" w:type="dxa"/>
          </w:tcPr>
          <w:p w14:paraId="785C1083" w14:textId="77777777" w:rsidR="00C002ED" w:rsidRPr="00B02158" w:rsidRDefault="00C002ED" w:rsidP="00592718">
            <w:pPr>
              <w:pStyle w:val="TableText"/>
              <w:spacing w:before="0" w:after="0" w:line="240" w:lineRule="auto"/>
              <w:contextualSpacing/>
              <w:jc w:val="center"/>
              <w:rPr>
                <w:lang w:val="en-US"/>
              </w:rPr>
            </w:pPr>
            <w:r w:rsidRPr="005D2CED">
              <w:rPr>
                <w:lang w:val="en-US"/>
              </w:rPr>
              <w:t>Sididae</w:t>
            </w:r>
          </w:p>
        </w:tc>
        <w:tc>
          <w:tcPr>
            <w:tcW w:w="2452" w:type="dxa"/>
          </w:tcPr>
          <w:p w14:paraId="7EF26580" w14:textId="77777777" w:rsidR="00C002ED" w:rsidRPr="00D6433C" w:rsidRDefault="00C002ED" w:rsidP="00592718">
            <w:pPr>
              <w:pStyle w:val="TableText"/>
              <w:spacing w:before="0" w:after="0" w:line="240" w:lineRule="auto"/>
              <w:contextualSpacing/>
              <w:jc w:val="center"/>
              <w:rPr>
                <w:lang w:val="en-US"/>
              </w:rPr>
            </w:pPr>
            <w:r w:rsidRPr="00A35CF4">
              <w:rPr>
                <w:lang w:val="en-US"/>
              </w:rPr>
              <w:t>Cladocera</w:t>
            </w:r>
          </w:p>
        </w:tc>
      </w:tr>
      <w:tr w:rsidR="00C002ED" w:rsidRPr="00A35CF4" w14:paraId="7AC4ACDA" w14:textId="77777777" w:rsidTr="00592718">
        <w:trPr>
          <w:trHeight w:val="340"/>
          <w:jc w:val="center"/>
        </w:trPr>
        <w:tc>
          <w:tcPr>
            <w:tcW w:w="3555" w:type="dxa"/>
          </w:tcPr>
          <w:p w14:paraId="388ECE23" w14:textId="77777777" w:rsidR="00C002ED" w:rsidRPr="00A35CF4" w:rsidRDefault="00C002ED" w:rsidP="00592718">
            <w:pPr>
              <w:pStyle w:val="TableHeading"/>
              <w:spacing w:before="0" w:after="0" w:line="240" w:lineRule="auto"/>
              <w:contextualSpacing/>
              <w:jc w:val="center"/>
              <w:rPr>
                <w:i/>
                <w:iCs/>
                <w:lang w:val="en-US"/>
              </w:rPr>
            </w:pPr>
            <w:r>
              <w:rPr>
                <w:lang w:val="en-US"/>
              </w:rPr>
              <w:t>Calanoida</w:t>
            </w:r>
            <w:r w:rsidRPr="00BD1E38">
              <w:rPr>
                <w:lang w:val="en-US"/>
              </w:rPr>
              <w:t xml:space="preserve"> species</w:t>
            </w:r>
          </w:p>
        </w:tc>
        <w:tc>
          <w:tcPr>
            <w:tcW w:w="2154" w:type="dxa"/>
          </w:tcPr>
          <w:p w14:paraId="5986F512" w14:textId="77777777" w:rsidR="00C002ED" w:rsidRPr="005D2CED" w:rsidRDefault="00C002ED" w:rsidP="00592718">
            <w:pPr>
              <w:pStyle w:val="TableText"/>
              <w:spacing w:before="0" w:after="0" w:line="240" w:lineRule="auto"/>
              <w:contextualSpacing/>
              <w:jc w:val="center"/>
              <w:rPr>
                <w:lang w:val="en-US"/>
              </w:rPr>
            </w:pPr>
            <w:r w:rsidRPr="00D6433C">
              <w:rPr>
                <w:lang w:val="en-US"/>
              </w:rPr>
              <w:t>Centropagidae</w:t>
            </w:r>
          </w:p>
        </w:tc>
        <w:tc>
          <w:tcPr>
            <w:tcW w:w="2452" w:type="dxa"/>
          </w:tcPr>
          <w:p w14:paraId="2974A402" w14:textId="77777777" w:rsidR="00C002ED" w:rsidRPr="00A35CF4" w:rsidRDefault="00C002ED" w:rsidP="00592718">
            <w:pPr>
              <w:pStyle w:val="TableText"/>
              <w:spacing w:before="0" w:after="0" w:line="240" w:lineRule="auto"/>
              <w:contextualSpacing/>
              <w:jc w:val="center"/>
              <w:rPr>
                <w:lang w:val="en-US"/>
              </w:rPr>
            </w:pPr>
            <w:r w:rsidRPr="00D6433C">
              <w:rPr>
                <w:lang w:val="en-US"/>
              </w:rPr>
              <w:t>Calanoida</w:t>
            </w:r>
          </w:p>
        </w:tc>
      </w:tr>
      <w:tr w:rsidR="00C002ED" w:rsidRPr="00D6433C" w14:paraId="65ED6B70" w14:textId="77777777" w:rsidTr="00592718">
        <w:trPr>
          <w:trHeight w:val="340"/>
          <w:jc w:val="center"/>
        </w:trPr>
        <w:tc>
          <w:tcPr>
            <w:tcW w:w="3555" w:type="dxa"/>
            <w:tcBorders>
              <w:bottom w:val="single" w:sz="4" w:space="0" w:color="auto"/>
            </w:tcBorders>
          </w:tcPr>
          <w:p w14:paraId="66281603" w14:textId="77777777" w:rsidR="00C002ED" w:rsidRPr="00F95667" w:rsidRDefault="00C002ED" w:rsidP="00592718">
            <w:pPr>
              <w:pStyle w:val="TableHeading"/>
              <w:spacing w:before="0" w:after="0" w:line="240" w:lineRule="auto"/>
              <w:contextualSpacing/>
              <w:jc w:val="center"/>
              <w:rPr>
                <w:i/>
                <w:iCs/>
                <w:lang w:val="en-US"/>
              </w:rPr>
            </w:pPr>
            <w:r w:rsidRPr="00BD1E38">
              <w:rPr>
                <w:lang w:val="en-US"/>
              </w:rPr>
              <w:t>Cyclop</w:t>
            </w:r>
            <w:r>
              <w:rPr>
                <w:lang w:val="en-US"/>
              </w:rPr>
              <w:t>o</w:t>
            </w:r>
            <w:r w:rsidRPr="00BD1E38">
              <w:rPr>
                <w:lang w:val="en-US"/>
              </w:rPr>
              <w:t>ida</w:t>
            </w:r>
            <w:r>
              <w:rPr>
                <w:i/>
                <w:iCs/>
                <w:lang w:val="en-US"/>
              </w:rPr>
              <w:t xml:space="preserve"> </w:t>
            </w:r>
            <w:r w:rsidRPr="00940BEB">
              <w:rPr>
                <w:lang w:val="en-US"/>
              </w:rPr>
              <w:t>species</w:t>
            </w:r>
          </w:p>
        </w:tc>
        <w:tc>
          <w:tcPr>
            <w:tcW w:w="2154" w:type="dxa"/>
            <w:tcBorders>
              <w:bottom w:val="single" w:sz="4" w:space="0" w:color="auto"/>
            </w:tcBorders>
          </w:tcPr>
          <w:p w14:paraId="2AE163CF" w14:textId="77777777" w:rsidR="00C002ED" w:rsidRPr="00B02158" w:rsidRDefault="00C002ED" w:rsidP="00592718">
            <w:pPr>
              <w:pStyle w:val="TableText"/>
              <w:spacing w:before="0" w:after="0" w:line="240" w:lineRule="auto"/>
              <w:contextualSpacing/>
              <w:jc w:val="center"/>
              <w:rPr>
                <w:lang w:val="en-US"/>
              </w:rPr>
            </w:pPr>
            <w:r>
              <w:rPr>
                <w:lang w:val="en-US"/>
              </w:rPr>
              <w:t>Cyclopidae</w:t>
            </w:r>
          </w:p>
        </w:tc>
        <w:tc>
          <w:tcPr>
            <w:tcW w:w="2452" w:type="dxa"/>
            <w:tcBorders>
              <w:bottom w:val="single" w:sz="4" w:space="0" w:color="auto"/>
            </w:tcBorders>
          </w:tcPr>
          <w:p w14:paraId="23BEB333" w14:textId="77777777" w:rsidR="00C002ED" w:rsidRPr="00D6433C" w:rsidRDefault="00C002ED" w:rsidP="00592718">
            <w:pPr>
              <w:pStyle w:val="TableText"/>
              <w:spacing w:before="0" w:after="0" w:line="240" w:lineRule="auto"/>
              <w:contextualSpacing/>
              <w:jc w:val="center"/>
              <w:rPr>
                <w:lang w:val="en-US"/>
              </w:rPr>
            </w:pPr>
            <w:r>
              <w:rPr>
                <w:lang w:val="en-US"/>
              </w:rPr>
              <w:t>Cyclopoida</w:t>
            </w:r>
          </w:p>
        </w:tc>
      </w:tr>
    </w:tbl>
    <w:p w14:paraId="2969AC37" w14:textId="77777777" w:rsidR="00BD3C09" w:rsidRPr="00F67123" w:rsidRDefault="00BD3C09" w:rsidP="00BD3C09"/>
    <w:p w14:paraId="560074CD" w14:textId="77777777" w:rsidR="00BD3C09" w:rsidRDefault="00BD3C09" w:rsidP="00BD3C09">
      <w:pPr>
        <w:pStyle w:val="Heading3"/>
      </w:pPr>
      <w:r>
        <w:t xml:space="preserve"> </w:t>
      </w:r>
      <w:r w:rsidRPr="00E35C12">
        <w:t>Results</w:t>
      </w:r>
    </w:p>
    <w:p w14:paraId="459A414A" w14:textId="77777777" w:rsidR="00C002ED" w:rsidRPr="002E6941" w:rsidRDefault="00C002ED" w:rsidP="00C002ED">
      <w:pPr>
        <w:rPr>
          <w:i/>
          <w:iCs/>
          <w:u w:val="single"/>
        </w:rPr>
      </w:pPr>
      <w:r w:rsidRPr="002E6941">
        <w:rPr>
          <w:i/>
          <w:iCs/>
          <w:u w:val="single"/>
        </w:rPr>
        <w:t xml:space="preserve">All </w:t>
      </w:r>
      <w:r w:rsidRPr="00C93AF3">
        <w:rPr>
          <w:i/>
          <w:iCs/>
          <w:u w:val="single"/>
        </w:rPr>
        <w:t>year’s</w:t>
      </w:r>
      <w:r w:rsidRPr="002E6941">
        <w:rPr>
          <w:i/>
          <w:iCs/>
          <w:u w:val="single"/>
        </w:rPr>
        <w:t xml:space="preserve"> density and </w:t>
      </w:r>
      <w:r>
        <w:rPr>
          <w:i/>
          <w:iCs/>
          <w:u w:val="single"/>
        </w:rPr>
        <w:t>diversity (</w:t>
      </w:r>
      <w:r w:rsidRPr="002E6941">
        <w:rPr>
          <w:i/>
          <w:iCs/>
          <w:u w:val="single"/>
        </w:rPr>
        <w:t>taxonomic richness</w:t>
      </w:r>
      <w:r>
        <w:rPr>
          <w:i/>
          <w:iCs/>
          <w:u w:val="single"/>
        </w:rPr>
        <w:t>)</w:t>
      </w:r>
      <w:r w:rsidRPr="002E6941">
        <w:rPr>
          <w:i/>
          <w:iCs/>
          <w:u w:val="single"/>
        </w:rPr>
        <w:t xml:space="preserve"> patterns</w:t>
      </w:r>
    </w:p>
    <w:p w14:paraId="49C790B8" w14:textId="21D0B133" w:rsidR="005D0C73" w:rsidRDefault="00C002ED" w:rsidP="00C002ED">
      <w:r w:rsidRPr="009F2877">
        <w:t>In general, low-flow years</w:t>
      </w:r>
      <w:r>
        <w:t xml:space="preserve"> (2014-15 to 2020-21)</w:t>
      </w:r>
      <w:r w:rsidRPr="009F2877">
        <w:t xml:space="preserve"> yielded lower mean annual densities</w:t>
      </w:r>
      <w:r>
        <w:t xml:space="preserve"> (between </w:t>
      </w:r>
      <w:r w:rsidR="00365089">
        <w:t xml:space="preserve">610 </w:t>
      </w:r>
      <w:r>
        <w:t xml:space="preserve">and </w:t>
      </w:r>
      <w:r w:rsidR="00365089">
        <w:t>1,058</w:t>
      </w:r>
      <w:r>
        <w:t xml:space="preserve"> ind/L) and taxonomic richness (between </w:t>
      </w:r>
      <w:r w:rsidR="00365089">
        <w:t>13</w:t>
      </w:r>
      <w:r>
        <w:t xml:space="preserve"> and </w:t>
      </w:r>
      <w:r w:rsidR="00365089">
        <w:t>19 taxa</w:t>
      </w:r>
      <w:r>
        <w:t>)</w:t>
      </w:r>
      <w:r w:rsidRPr="009F2877">
        <w:t>, while higher flow years</w:t>
      </w:r>
      <w:r>
        <w:t xml:space="preserve"> (2021-22 to 2023-24) </w:t>
      </w:r>
      <w:r w:rsidRPr="009F2877">
        <w:t>—</w:t>
      </w:r>
      <w:r>
        <w:t xml:space="preserve"> </w:t>
      </w:r>
      <w:r w:rsidRPr="009F2877">
        <w:t>especially those resulting in overbank flows—were associated with greater densities</w:t>
      </w:r>
      <w:r>
        <w:t xml:space="preserve"> (between </w:t>
      </w:r>
      <w:r w:rsidR="00365089">
        <w:t>1,188</w:t>
      </w:r>
      <w:r>
        <w:t xml:space="preserve"> and </w:t>
      </w:r>
      <w:r w:rsidR="00365089">
        <w:t>2,185</w:t>
      </w:r>
      <w:r>
        <w:t xml:space="preserve"> ind/L) and taxonomic richness (between </w:t>
      </w:r>
      <w:r w:rsidR="00365089">
        <w:t>17</w:t>
      </w:r>
      <w:r>
        <w:t xml:space="preserve"> and </w:t>
      </w:r>
      <w:r w:rsidR="00365089">
        <w:t>23</w:t>
      </w:r>
      <w:r>
        <w:t xml:space="preserve"> </w:t>
      </w:r>
      <w:r w:rsidR="00365089">
        <w:t>taxa</w:t>
      </w:r>
      <w:r>
        <w:t>)</w:t>
      </w:r>
      <w:r w:rsidR="002A56B0">
        <w:t xml:space="preserve"> (</w:t>
      </w:r>
      <w:r w:rsidR="002A56B0">
        <w:fldChar w:fldCharType="begin"/>
      </w:r>
      <w:r w:rsidR="002A56B0">
        <w:instrText xml:space="preserve"> REF _Ref196905100 \h </w:instrText>
      </w:r>
      <w:r w:rsidR="002A56B0">
        <w:fldChar w:fldCharType="separate"/>
      </w:r>
      <w:r w:rsidR="00102828">
        <w:t xml:space="preserve">Figure </w:t>
      </w:r>
      <w:r w:rsidR="00102828">
        <w:rPr>
          <w:noProof/>
        </w:rPr>
        <w:t>49</w:t>
      </w:r>
      <w:r w:rsidR="002A56B0">
        <w:fldChar w:fldCharType="end"/>
      </w:r>
      <w:r w:rsidR="002A56B0">
        <w:t>)</w:t>
      </w:r>
      <w:r w:rsidRPr="009F2877">
        <w:t>. However, the flood year 2016-17 presented an exception, showing unexpectedly low densities</w:t>
      </w:r>
      <w:r>
        <w:t xml:space="preserve"> </w:t>
      </w:r>
      <w:r w:rsidR="00365089">
        <w:t>(</w:t>
      </w:r>
      <w:r w:rsidR="00365089" w:rsidRPr="00365089">
        <w:t>mean [± 95% CI]</w:t>
      </w:r>
      <w:r w:rsidR="00365089">
        <w:t xml:space="preserve"> = 713</w:t>
      </w:r>
      <w:r w:rsidR="00365089" w:rsidRPr="00365089">
        <w:t xml:space="preserve"> [</w:t>
      </w:r>
      <w:r w:rsidR="00365089">
        <w:t>524</w:t>
      </w:r>
      <w:r w:rsidR="00365089" w:rsidRPr="00365089">
        <w:t xml:space="preserve">, </w:t>
      </w:r>
      <w:r w:rsidR="00365089">
        <w:t>901</w:t>
      </w:r>
      <w:r w:rsidR="00365089" w:rsidRPr="00365089">
        <w:t xml:space="preserve">] ind/L) </w:t>
      </w:r>
      <w:r>
        <w:t>and taxonomic richness</w:t>
      </w:r>
      <w:r w:rsidR="00365089">
        <w:t xml:space="preserve"> (17</w:t>
      </w:r>
      <w:r w:rsidR="00365089" w:rsidRPr="00365089">
        <w:t xml:space="preserve"> [</w:t>
      </w:r>
      <w:r w:rsidR="00365089">
        <w:t>15</w:t>
      </w:r>
      <w:r w:rsidR="00365089" w:rsidRPr="00365089">
        <w:t xml:space="preserve">, </w:t>
      </w:r>
      <w:r w:rsidR="00365089">
        <w:t>19] taxa)</w:t>
      </w:r>
      <w:r w:rsidRPr="009F2877">
        <w:t xml:space="preserve">. </w:t>
      </w:r>
    </w:p>
    <w:p w14:paraId="7301DD41" w14:textId="77777777" w:rsidR="005D0C73" w:rsidRDefault="005D0C73">
      <w:pPr>
        <w:spacing w:before="0" w:after="160" w:line="259" w:lineRule="auto"/>
        <w:jc w:val="left"/>
      </w:pPr>
      <w:r>
        <w:br w:type="page"/>
      </w:r>
    </w:p>
    <w:p w14:paraId="0807BEB6" w14:textId="74704B57" w:rsidR="00C002ED" w:rsidRPr="00FC7535" w:rsidRDefault="005D0C73" w:rsidP="005D0C73">
      <w:pPr>
        <w:jc w:val="center"/>
      </w:pPr>
      <w:r>
        <w:rPr>
          <w:noProof/>
        </w:rPr>
        <w:lastRenderedPageBreak/>
        <w:drawing>
          <wp:inline distT="0" distB="0" distL="0" distR="0" wp14:anchorId="13074DAE" wp14:editId="798DBC11">
            <wp:extent cx="5731510" cy="3805555"/>
            <wp:effectExtent l="0" t="0" r="2540" b="4445"/>
            <wp:docPr id="491950755" name="Picture 3" descr="Graph showing annual mean observed density and taxonomic richness for 2014–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50755" name="Picture 3" descr="Graph showing annual mean observed density and taxonomic richness for 2014–2024."/>
                    <pic:cNvPicPr/>
                  </pic:nvPicPr>
                  <pic:blipFill rotWithShape="1">
                    <a:blip r:embed="rId118" cstate="print">
                      <a:extLst>
                        <a:ext uri="{28A0092B-C50C-407E-A947-70E740481C1C}">
                          <a14:useLocalDpi xmlns:a14="http://schemas.microsoft.com/office/drawing/2010/main" val="0"/>
                        </a:ext>
                      </a:extLst>
                    </a:blip>
                    <a:srcRect t="8054"/>
                    <a:stretch/>
                  </pic:blipFill>
                  <pic:spPr bwMode="auto">
                    <a:xfrm>
                      <a:off x="0" y="0"/>
                      <a:ext cx="5731510" cy="3805555"/>
                    </a:xfrm>
                    <a:prstGeom prst="rect">
                      <a:avLst/>
                    </a:prstGeom>
                    <a:ln>
                      <a:noFill/>
                    </a:ln>
                    <a:extLst>
                      <a:ext uri="{53640926-AAD7-44D8-BBD7-CCE9431645EC}">
                        <a14:shadowObscured xmlns:a14="http://schemas.microsoft.com/office/drawing/2010/main"/>
                      </a:ext>
                    </a:extLst>
                  </pic:spPr>
                </pic:pic>
              </a:graphicData>
            </a:graphic>
          </wp:inline>
        </w:drawing>
      </w:r>
    </w:p>
    <w:p w14:paraId="2C2BF3C1" w14:textId="1682CED5" w:rsidR="00C002ED" w:rsidRDefault="002A56B0" w:rsidP="002A56B0">
      <w:pPr>
        <w:pStyle w:val="Caption"/>
      </w:pPr>
      <w:bookmarkStart w:id="386" w:name="_Ref196905100"/>
      <w:bookmarkStart w:id="387" w:name="_Toc200464500"/>
      <w:r>
        <w:t xml:space="preserve">Figure </w:t>
      </w:r>
      <w:r>
        <w:fldChar w:fldCharType="begin"/>
      </w:r>
      <w:r>
        <w:instrText>SEQ Figure \* ARABIC</w:instrText>
      </w:r>
      <w:r>
        <w:fldChar w:fldCharType="separate"/>
      </w:r>
      <w:r w:rsidR="00102828">
        <w:rPr>
          <w:noProof/>
        </w:rPr>
        <w:t>49</w:t>
      </w:r>
      <w:r>
        <w:fldChar w:fldCharType="end"/>
      </w:r>
      <w:bookmarkEnd w:id="386"/>
      <w:r w:rsidR="00C002ED">
        <w:rPr>
          <w:noProof/>
        </w:rPr>
        <w:t>.</w:t>
      </w:r>
      <w:r w:rsidR="00C002ED">
        <w:t xml:space="preserve"> Annual mean observed density (individuals/litre, ind/L) and taxonomic richness (number of taxa) for 2014</w:t>
      </w:r>
      <w:r w:rsidR="005D0C73">
        <w:t>–2024, except 2018-19 (no sampling, n.s.)</w:t>
      </w:r>
      <w:r w:rsidR="00C002ED">
        <w:t>. (a) annual mean density and (b) annual mean taxonomic richness and date. Error bars show 95% confidence limits.</w:t>
      </w:r>
      <w:bookmarkEnd w:id="387"/>
    </w:p>
    <w:p w14:paraId="1B06187F" w14:textId="77777777" w:rsidR="00C002ED" w:rsidRDefault="00C002ED" w:rsidP="00C002ED">
      <w:pPr>
        <w:rPr>
          <w:i/>
          <w:iCs/>
          <w:u w:val="single"/>
        </w:rPr>
      </w:pPr>
      <w:r>
        <w:rPr>
          <w:i/>
          <w:iCs/>
          <w:u w:val="single"/>
        </w:rPr>
        <w:t>2023-24 density patterns</w:t>
      </w:r>
    </w:p>
    <w:p w14:paraId="53E67988" w14:textId="7B77BBBB" w:rsidR="00C002ED" w:rsidRDefault="00C002ED" w:rsidP="00C002ED">
      <w:r>
        <w:t>During 2023-24, mean observed density ranged from 129 [106, 151] to 4,496 [2,571, 6,421] ind/L (mean [± 95% CI])</w:t>
      </w:r>
      <w:r w:rsidR="0025367A">
        <w:t xml:space="preserve"> (</w:t>
      </w:r>
      <w:r w:rsidR="0025367A">
        <w:fldChar w:fldCharType="begin"/>
      </w:r>
      <w:r w:rsidR="0025367A">
        <w:instrText xml:space="preserve"> REF _Ref93648939 \h </w:instrText>
      </w:r>
      <w:r w:rsidR="0025367A">
        <w:fldChar w:fldCharType="separate"/>
      </w:r>
      <w:r w:rsidR="00102828">
        <w:t xml:space="preserve">Figure </w:t>
      </w:r>
      <w:r w:rsidR="00102828">
        <w:rPr>
          <w:noProof/>
        </w:rPr>
        <w:t>50</w:t>
      </w:r>
      <w:r w:rsidR="0025367A">
        <w:fldChar w:fldCharType="end"/>
      </w:r>
      <w:r w:rsidR="0025367A">
        <w:t>a)</w:t>
      </w:r>
      <w:r>
        <w:t xml:space="preserve">, with an annual mean of </w:t>
      </w:r>
      <w:r w:rsidR="0025367A">
        <w:t>1,996</w:t>
      </w:r>
      <w:r>
        <w:t xml:space="preserve"> ind/L</w:t>
      </w:r>
      <w:r w:rsidR="0025367A">
        <w:t xml:space="preserve"> (</w:t>
      </w:r>
      <w:r w:rsidR="0025367A">
        <w:fldChar w:fldCharType="begin"/>
      </w:r>
      <w:r w:rsidR="0025367A">
        <w:instrText xml:space="preserve"> REF _Ref196905100 \h </w:instrText>
      </w:r>
      <w:r w:rsidR="0025367A">
        <w:fldChar w:fldCharType="separate"/>
      </w:r>
      <w:r w:rsidR="00102828">
        <w:t xml:space="preserve">Figure </w:t>
      </w:r>
      <w:r w:rsidR="00102828">
        <w:rPr>
          <w:noProof/>
        </w:rPr>
        <w:t>49</w:t>
      </w:r>
      <w:r w:rsidR="0025367A">
        <w:fldChar w:fldCharType="end"/>
      </w:r>
      <w:r w:rsidR="0025367A">
        <w:t>)</w:t>
      </w:r>
      <w:r>
        <w:t>. Generally, sites downstream of Lock 1 and Lock 4 tended to have comparable mean densities from early October to late November; however, Lock 1 had lower densities from early December (</w:t>
      </w:r>
      <w:r w:rsidR="00D714D9">
        <w:fldChar w:fldCharType="begin"/>
      </w:r>
      <w:r w:rsidR="00D714D9">
        <w:instrText xml:space="preserve"> REF _Ref93648939 \h </w:instrText>
      </w:r>
      <w:r w:rsidR="00D714D9">
        <w:fldChar w:fldCharType="separate"/>
      </w:r>
      <w:r w:rsidR="00102828">
        <w:t xml:space="preserve">Figure </w:t>
      </w:r>
      <w:r w:rsidR="00102828">
        <w:rPr>
          <w:noProof/>
        </w:rPr>
        <w:t>50</w:t>
      </w:r>
      <w:r w:rsidR="00D714D9">
        <w:fldChar w:fldCharType="end"/>
      </w:r>
      <w:r>
        <w:t>a). For Lock 6, the mean density was below the overall mean for all but the early December sampling (</w:t>
      </w:r>
      <w:r>
        <w:fldChar w:fldCharType="begin"/>
      </w:r>
      <w:r>
        <w:instrText xml:space="preserve"> REF _Ref93648939 \h </w:instrText>
      </w:r>
      <w:r>
        <w:fldChar w:fldCharType="separate"/>
      </w:r>
      <w:r w:rsidR="00102828">
        <w:t xml:space="preserve">Figure </w:t>
      </w:r>
      <w:r w:rsidR="00102828">
        <w:rPr>
          <w:noProof/>
        </w:rPr>
        <w:t>50</w:t>
      </w:r>
      <w:r>
        <w:fldChar w:fldCharType="end"/>
      </w:r>
      <w:r>
        <w:t>a). The highest mean density recorded for the study period occurred on 6 December 2023, downstream of Lock 4, peaking at 4,496 [2,571, 6,421] ind/L. Mean density downstream of Lock 6 also peaked on 6 December 2023 with 3,486 [923, 6,050] ind/L, whereas it peaked on 25 October 2023 at downstream of Lock 1 with 3,670 [3,594, 3,747] ind/L.</w:t>
      </w:r>
    </w:p>
    <w:p w14:paraId="4BD1357D" w14:textId="77777777" w:rsidR="00C002ED" w:rsidRDefault="00C002ED" w:rsidP="00C002ED">
      <w:pPr>
        <w:tabs>
          <w:tab w:val="center" w:pos="4513"/>
        </w:tabs>
        <w:rPr>
          <w:i/>
          <w:iCs/>
          <w:u w:val="single"/>
        </w:rPr>
      </w:pPr>
      <w:r>
        <w:rPr>
          <w:i/>
          <w:iCs/>
          <w:u w:val="single"/>
        </w:rPr>
        <w:t>2023-24 diversity patterns (taxonomic richness)</w:t>
      </w:r>
    </w:p>
    <w:p w14:paraId="33FDE982" w14:textId="0C1A4787" w:rsidR="00C002ED" w:rsidRDefault="00C002ED" w:rsidP="00C002ED">
      <w:r>
        <w:t>Mean taxonomic richness ranged from 9 [8, 10] taxa to 32 [30, 34]</w:t>
      </w:r>
      <w:r w:rsidR="0025367A">
        <w:t xml:space="preserve"> (</w:t>
      </w:r>
      <w:r w:rsidR="0025367A">
        <w:fldChar w:fldCharType="begin"/>
      </w:r>
      <w:r w:rsidR="0025367A">
        <w:instrText xml:space="preserve"> REF _Ref93648939 \h </w:instrText>
      </w:r>
      <w:r w:rsidR="0025367A">
        <w:fldChar w:fldCharType="separate"/>
      </w:r>
      <w:r w:rsidR="00102828">
        <w:t xml:space="preserve">Figure </w:t>
      </w:r>
      <w:r w:rsidR="00102828">
        <w:rPr>
          <w:noProof/>
        </w:rPr>
        <w:t>50</w:t>
      </w:r>
      <w:r w:rsidR="0025367A">
        <w:fldChar w:fldCharType="end"/>
      </w:r>
      <w:r w:rsidR="0025367A">
        <w:t>b)</w:t>
      </w:r>
      <w:r>
        <w:t>, with an annual mean of 21 taxa/L</w:t>
      </w:r>
      <w:r w:rsidR="0025367A">
        <w:t xml:space="preserve"> (</w:t>
      </w:r>
      <w:r w:rsidR="0025367A">
        <w:fldChar w:fldCharType="begin"/>
      </w:r>
      <w:r w:rsidR="0025367A">
        <w:instrText xml:space="preserve"> REF _Ref196905100 \h </w:instrText>
      </w:r>
      <w:r w:rsidR="0025367A">
        <w:fldChar w:fldCharType="separate"/>
      </w:r>
      <w:r w:rsidR="00102828">
        <w:t xml:space="preserve">Figure </w:t>
      </w:r>
      <w:r w:rsidR="00102828">
        <w:rPr>
          <w:noProof/>
        </w:rPr>
        <w:t>49</w:t>
      </w:r>
      <w:r w:rsidR="0025367A">
        <w:fldChar w:fldCharType="end"/>
      </w:r>
      <w:r w:rsidR="0025367A">
        <w:t>)</w:t>
      </w:r>
      <w:r>
        <w:t>, and generally had overlapping confidence intervals at all sites throughout the 2023-24 water year except at Lock 1 on 10 January 2024 (</w:t>
      </w:r>
      <w:r>
        <w:fldChar w:fldCharType="begin"/>
      </w:r>
      <w:r>
        <w:instrText xml:space="preserve"> REF _Ref93648939 \h </w:instrText>
      </w:r>
      <w:r>
        <w:fldChar w:fldCharType="separate"/>
      </w:r>
      <w:r w:rsidR="00102828">
        <w:t xml:space="preserve">Figure </w:t>
      </w:r>
      <w:r w:rsidR="00102828">
        <w:rPr>
          <w:noProof/>
        </w:rPr>
        <w:t>50</w:t>
      </w:r>
      <w:r>
        <w:fldChar w:fldCharType="end"/>
      </w:r>
      <w:r>
        <w:t>b). Taxonomic richness peaked at all sites on 19 December 2023.</w:t>
      </w:r>
    </w:p>
    <w:p w14:paraId="2EF3E5B0" w14:textId="77777777" w:rsidR="00C002ED" w:rsidRDefault="00C002ED" w:rsidP="00365089">
      <w:pPr>
        <w:keepNext/>
        <w:jc w:val="center"/>
      </w:pPr>
      <w:r>
        <w:rPr>
          <w:noProof/>
        </w:rPr>
        <w:lastRenderedPageBreak/>
        <w:drawing>
          <wp:inline distT="0" distB="0" distL="0" distR="0" wp14:anchorId="02851EF5" wp14:editId="305B3A65">
            <wp:extent cx="5220000" cy="6927805"/>
            <wp:effectExtent l="0" t="0" r="0" b="6985"/>
            <wp:docPr id="1570219026" name="Picture 1" descr="Graph showing observed density and taxonomic richness for 2023-24 sampling downstream of each 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19026" name="Picture 1" descr="Graph showing observed density and taxonomic richness for 2023-24 sampling downstream of each lock."/>
                    <pic:cNvPicPr/>
                  </pic:nvPicPr>
                  <pic:blipFill>
                    <a:blip r:embed="rId119"/>
                    <a:stretch>
                      <a:fillRect/>
                    </a:stretch>
                  </pic:blipFill>
                  <pic:spPr>
                    <a:xfrm>
                      <a:off x="0" y="0"/>
                      <a:ext cx="5220000" cy="6927805"/>
                    </a:xfrm>
                    <a:prstGeom prst="rect">
                      <a:avLst/>
                    </a:prstGeom>
                  </pic:spPr>
                </pic:pic>
              </a:graphicData>
            </a:graphic>
          </wp:inline>
        </w:drawing>
      </w:r>
    </w:p>
    <w:p w14:paraId="6ADE2EDB" w14:textId="3D179763" w:rsidR="00365089" w:rsidRDefault="00C002ED" w:rsidP="00365089">
      <w:pPr>
        <w:pStyle w:val="Caption"/>
        <w:rPr>
          <w:i/>
          <w:iCs/>
          <w:u w:val="single"/>
        </w:rPr>
      </w:pPr>
      <w:bookmarkStart w:id="388" w:name="_Ref93648939"/>
      <w:bookmarkStart w:id="389" w:name="_Toc63758498"/>
      <w:bookmarkStart w:id="390" w:name="_Toc69387706"/>
      <w:bookmarkStart w:id="391" w:name="_Toc200464501"/>
      <w:r>
        <w:t xml:space="preserve">Figure </w:t>
      </w:r>
      <w:r>
        <w:fldChar w:fldCharType="begin"/>
      </w:r>
      <w:r>
        <w:instrText>SEQ Figure \* ARABIC</w:instrText>
      </w:r>
      <w:r>
        <w:fldChar w:fldCharType="separate"/>
      </w:r>
      <w:r w:rsidR="00102828">
        <w:rPr>
          <w:noProof/>
        </w:rPr>
        <w:t>50</w:t>
      </w:r>
      <w:r>
        <w:fldChar w:fldCharType="end"/>
      </w:r>
      <w:bookmarkEnd w:id="388"/>
      <w:r>
        <w:rPr>
          <w:noProof/>
        </w:rPr>
        <w:t>.</w:t>
      </w:r>
      <w:r>
        <w:t xml:space="preserve"> Observed density (individuals/litre, ind/L) and taxonomic richness (number of taxa) for 2023-24 sampling downstream of each lock. (a) mean density and (b) mean taxonomic richness of three sub-samples at each site (lock, indicated by colour) and date. Error bars show 95% confidence limits</w:t>
      </w:r>
      <w:bookmarkEnd w:id="389"/>
      <w:bookmarkEnd w:id="390"/>
      <w:r>
        <w:t>, horizontal dotted black lines show mean for the water year and solid grey lines show flow to SA.</w:t>
      </w:r>
      <w:bookmarkEnd w:id="391"/>
    </w:p>
    <w:p w14:paraId="069F7F3C" w14:textId="77777777" w:rsidR="00365089" w:rsidRDefault="00365089">
      <w:pPr>
        <w:spacing w:before="0" w:after="160" w:line="259" w:lineRule="auto"/>
        <w:jc w:val="left"/>
        <w:rPr>
          <w:i/>
          <w:iCs/>
          <w:u w:val="single"/>
        </w:rPr>
      </w:pPr>
      <w:r>
        <w:rPr>
          <w:i/>
          <w:iCs/>
          <w:u w:val="single"/>
        </w:rPr>
        <w:br w:type="page"/>
      </w:r>
    </w:p>
    <w:p w14:paraId="0FE0EEF7" w14:textId="68B86FA2" w:rsidR="00C002ED" w:rsidRDefault="00C002ED" w:rsidP="00C002ED">
      <w:pPr>
        <w:rPr>
          <w:i/>
          <w:iCs/>
          <w:u w:val="single"/>
        </w:rPr>
      </w:pPr>
      <w:r>
        <w:rPr>
          <w:i/>
          <w:iCs/>
          <w:u w:val="single"/>
        </w:rPr>
        <w:lastRenderedPageBreak/>
        <w:t>Functional group density</w:t>
      </w:r>
    </w:p>
    <w:p w14:paraId="433C2EC8" w14:textId="0AEE4BB4" w:rsidR="00C002ED" w:rsidRDefault="00C002ED" w:rsidP="00C002ED">
      <w:pPr>
        <w:rPr>
          <w:i/>
          <w:iCs/>
          <w:u w:val="single"/>
        </w:rPr>
      </w:pPr>
      <w:r>
        <w:t>The distribution of functional group density among sampling sites during 2023-24 shows the dominance of littoral (facultatively pelagic) and pelagic rotifers with Lock 1 and 4 having similar density patterns in the first half of the sampling period (</w:t>
      </w:r>
      <w:r>
        <w:fldChar w:fldCharType="begin"/>
      </w:r>
      <w:r>
        <w:instrText xml:space="preserve"> REF _Ref57901311 \h </w:instrText>
      </w:r>
      <w:r>
        <w:fldChar w:fldCharType="separate"/>
      </w:r>
      <w:r w:rsidR="00102828">
        <w:t xml:space="preserve">Figure </w:t>
      </w:r>
      <w:r w:rsidR="00102828">
        <w:rPr>
          <w:noProof/>
        </w:rPr>
        <w:t>51</w:t>
      </w:r>
      <w:r>
        <w:fldChar w:fldCharType="end"/>
      </w:r>
      <w:r>
        <w:t>).</w:t>
      </w:r>
    </w:p>
    <w:p w14:paraId="76DB7935" w14:textId="77777777" w:rsidR="00C002ED" w:rsidRDefault="00C002ED" w:rsidP="00C002ED">
      <w:pPr>
        <w:jc w:val="center"/>
      </w:pPr>
      <w:r>
        <w:rPr>
          <w:noProof/>
        </w:rPr>
        <w:drawing>
          <wp:inline distT="0" distB="0" distL="0" distR="0" wp14:anchorId="74797BDD" wp14:editId="6A38B3F7">
            <wp:extent cx="5731510" cy="6302375"/>
            <wp:effectExtent l="0" t="0" r="0" b="0"/>
            <wp:docPr id="575767881" name="Picture 1" descr="A graph for each Lock showing functional group density by sampling date for the 2023-24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67881" name="Picture 1" descr="A graph for each Lock showing functional group density by sampling date for the 2023-24 season."/>
                    <pic:cNvPicPr/>
                  </pic:nvPicPr>
                  <pic:blipFill>
                    <a:blip r:embed="rId120"/>
                    <a:stretch>
                      <a:fillRect/>
                    </a:stretch>
                  </pic:blipFill>
                  <pic:spPr>
                    <a:xfrm>
                      <a:off x="0" y="0"/>
                      <a:ext cx="5731510" cy="6302375"/>
                    </a:xfrm>
                    <a:prstGeom prst="rect">
                      <a:avLst/>
                    </a:prstGeom>
                  </pic:spPr>
                </pic:pic>
              </a:graphicData>
            </a:graphic>
          </wp:inline>
        </w:drawing>
      </w:r>
    </w:p>
    <w:p w14:paraId="27029738" w14:textId="1C51C18B" w:rsidR="00365089" w:rsidRDefault="00C002ED" w:rsidP="00365089">
      <w:pPr>
        <w:pStyle w:val="Caption"/>
        <w:rPr>
          <w:i/>
          <w:iCs/>
          <w:u w:val="single"/>
        </w:rPr>
      </w:pPr>
      <w:bookmarkStart w:id="392" w:name="_Ref57901311"/>
      <w:bookmarkStart w:id="393" w:name="_Toc63758499"/>
      <w:bookmarkStart w:id="394" w:name="_Toc69387707"/>
      <w:bookmarkStart w:id="395" w:name="_Toc200464502"/>
      <w:r>
        <w:t xml:space="preserve">Figure </w:t>
      </w:r>
      <w:r>
        <w:fldChar w:fldCharType="begin"/>
      </w:r>
      <w:r>
        <w:instrText>SEQ Figure \* ARABIC</w:instrText>
      </w:r>
      <w:r>
        <w:fldChar w:fldCharType="separate"/>
      </w:r>
      <w:r w:rsidR="00102828">
        <w:rPr>
          <w:noProof/>
        </w:rPr>
        <w:t>51</w:t>
      </w:r>
      <w:r>
        <w:fldChar w:fldCharType="end"/>
      </w:r>
      <w:bookmarkEnd w:id="392"/>
      <w:r>
        <w:t>. Functional group density (individuals/litre, ind/L) by sampling date and location for the 2023-24 season. Three sub-samples were collected at a single sampling site located 5–15 km downstream of each lock shown in the panel caption.</w:t>
      </w:r>
      <w:bookmarkEnd w:id="393"/>
      <w:bookmarkEnd w:id="394"/>
      <w:r>
        <w:t xml:space="preserve"> Solid lines represent river flow to SA (black) and below Lock 4 (red) and Lock 1 (blue).</w:t>
      </w:r>
      <w:bookmarkEnd w:id="395"/>
    </w:p>
    <w:p w14:paraId="4CA57032" w14:textId="77777777" w:rsidR="00365089" w:rsidRDefault="00365089" w:rsidP="00C002ED">
      <w:pPr>
        <w:rPr>
          <w:i/>
          <w:iCs/>
          <w:u w:val="single"/>
        </w:rPr>
      </w:pPr>
    </w:p>
    <w:p w14:paraId="565B33F3" w14:textId="77777777" w:rsidR="00365089" w:rsidRDefault="00365089">
      <w:pPr>
        <w:spacing w:before="0" w:after="160" w:line="259" w:lineRule="auto"/>
        <w:jc w:val="left"/>
        <w:rPr>
          <w:i/>
          <w:iCs/>
          <w:u w:val="single"/>
        </w:rPr>
      </w:pPr>
      <w:r>
        <w:rPr>
          <w:i/>
          <w:iCs/>
          <w:u w:val="single"/>
        </w:rPr>
        <w:br w:type="page"/>
      </w:r>
    </w:p>
    <w:p w14:paraId="2D9D1A0B" w14:textId="01CDFC78" w:rsidR="00C002ED" w:rsidRDefault="00C002ED" w:rsidP="00C002ED">
      <w:pPr>
        <w:rPr>
          <w:i/>
          <w:iCs/>
          <w:u w:val="single"/>
        </w:rPr>
      </w:pPr>
      <w:r>
        <w:rPr>
          <w:i/>
          <w:iCs/>
          <w:u w:val="single"/>
        </w:rPr>
        <w:lastRenderedPageBreak/>
        <w:t>Modelled responses to environmental flows</w:t>
      </w:r>
    </w:p>
    <w:p w14:paraId="7EFCF474" w14:textId="77777777" w:rsidR="00C002ED" w:rsidRDefault="00C002ED" w:rsidP="00C002ED">
      <w:pPr>
        <w:rPr>
          <w:i/>
          <w:iCs/>
          <w:color w:val="2F5496" w:themeColor="accent5" w:themeShade="BF"/>
          <w:sz w:val="18"/>
          <w:szCs w:val="16"/>
        </w:rPr>
      </w:pPr>
      <w:r>
        <w:rPr>
          <w:i/>
          <w:iCs/>
          <w:color w:val="2F5496" w:themeColor="accent5" w:themeShade="BF"/>
          <w:sz w:val="18"/>
          <w:szCs w:val="16"/>
        </w:rPr>
        <w:t>H1: Density and taxonomic richness</w:t>
      </w:r>
    </w:p>
    <w:p w14:paraId="493B0BE3" w14:textId="7CC4FD38" w:rsidR="00C002ED" w:rsidRDefault="00C002ED" w:rsidP="00C002ED">
      <w:bookmarkStart w:id="396" w:name="_Hlk195335346"/>
      <w:r>
        <w:t>The modelling for 2023-24 estimated that environmental water increased mean microinvertebrate density by 269 [18, 519] ind/L (</w:t>
      </w:r>
      <w:r>
        <w:rPr>
          <w:i/>
          <w:iCs/>
        </w:rPr>
        <w:t>t</w:t>
      </w:r>
      <w:r>
        <w:t xml:space="preserve"> = 2.24, df = 20, p-value = 0.037) and that Commonwealth water contributed 76% of this increase (</w:t>
      </w:r>
      <w:r>
        <w:fldChar w:fldCharType="begin"/>
      </w:r>
      <w:r>
        <w:instrText xml:space="preserve"> REF _Ref63781993 \h </w:instrText>
      </w:r>
      <w:r>
        <w:fldChar w:fldCharType="separate"/>
      </w:r>
      <w:r w:rsidR="00102828">
        <w:t xml:space="preserve">Figure </w:t>
      </w:r>
      <w:r w:rsidR="00102828">
        <w:rPr>
          <w:noProof/>
        </w:rPr>
        <w:t>52</w:t>
      </w:r>
      <w:r>
        <w:fldChar w:fldCharType="end"/>
      </w:r>
      <w:r>
        <w:t>a). Mean taxonomic richness for 2023-24 was estimated to have had a negligible change due to environmental water (-0.41 [-3.97, 3.16] species/L (</w:t>
      </w:r>
      <w:r>
        <w:rPr>
          <w:i/>
          <w:iCs/>
        </w:rPr>
        <w:t>t</w:t>
      </w:r>
      <w:r>
        <w:t xml:space="preserve"> = -0.24, df = 20, p-value = 0.814) or CEW (-1.4 [-4.7, 1.9] species/L; </w:t>
      </w:r>
      <w:r>
        <w:rPr>
          <w:i/>
          <w:iCs/>
        </w:rPr>
        <w:t>t</w:t>
      </w:r>
      <w:r>
        <w:t xml:space="preserve"> = -0.88, df = 20, </w:t>
      </w:r>
      <w:r>
        <w:rPr>
          <w:i/>
          <w:iCs/>
        </w:rPr>
        <w:t>p</w:t>
      </w:r>
      <w:r>
        <w:t xml:space="preserve"> = 0.39) (</w:t>
      </w:r>
      <w:r>
        <w:fldChar w:fldCharType="begin"/>
      </w:r>
      <w:r>
        <w:instrText xml:space="preserve"> REF _Ref63781993 \h </w:instrText>
      </w:r>
      <w:r>
        <w:fldChar w:fldCharType="separate"/>
      </w:r>
      <w:r w:rsidR="00102828">
        <w:t xml:space="preserve">Figure </w:t>
      </w:r>
      <w:r w:rsidR="00102828">
        <w:rPr>
          <w:noProof/>
        </w:rPr>
        <w:t>52</w:t>
      </w:r>
      <w:r>
        <w:fldChar w:fldCharType="end"/>
      </w:r>
      <w:r>
        <w:t>b).</w:t>
      </w:r>
    </w:p>
    <w:bookmarkEnd w:id="396"/>
    <w:p w14:paraId="7943E624" w14:textId="77777777" w:rsidR="00C002ED" w:rsidRDefault="00C002ED" w:rsidP="00C002ED">
      <w:pPr>
        <w:keepNext/>
        <w:spacing w:before="0" w:after="160" w:line="256" w:lineRule="auto"/>
        <w:jc w:val="left"/>
      </w:pPr>
      <w:r>
        <w:rPr>
          <w:noProof/>
        </w:rPr>
        <w:drawing>
          <wp:inline distT="0" distB="0" distL="0" distR="0" wp14:anchorId="3C5F7C54" wp14:editId="08B0CBB9">
            <wp:extent cx="5734050" cy="5495925"/>
            <wp:effectExtent l="0" t="0" r="0" b="9525"/>
            <wp:docPr id="1334807902" name="Picture 1" descr="Graphs showing modelled microinvertebrate density and  taxonomic richness by water year over the period 2014−2024. Observed data is compared against modelled data of no environmental 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807902" name="Picture 1" descr="Graphs showing modelled microinvertebrate density and  taxonomic richness by water year over the period 2014−2024. Observed data is compared against modelled data of no environmental water. "/>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734050" cy="5495925"/>
                    </a:xfrm>
                    <a:prstGeom prst="rect">
                      <a:avLst/>
                    </a:prstGeom>
                    <a:noFill/>
                    <a:ln>
                      <a:noFill/>
                    </a:ln>
                  </pic:spPr>
                </pic:pic>
              </a:graphicData>
            </a:graphic>
          </wp:inline>
        </w:drawing>
      </w:r>
    </w:p>
    <w:p w14:paraId="3CE0FBBF" w14:textId="2AC2C2A0" w:rsidR="00C002ED" w:rsidRDefault="00C002ED" w:rsidP="00605FB2">
      <w:pPr>
        <w:pStyle w:val="Captions"/>
      </w:pPr>
      <w:bookmarkStart w:id="397" w:name="_Ref63781993"/>
      <w:bookmarkStart w:id="398" w:name="_Toc69387708"/>
      <w:bookmarkStart w:id="399" w:name="_Toc200464503"/>
      <w:r>
        <w:t xml:space="preserve">Figure </w:t>
      </w:r>
      <w:r w:rsidR="00967BB2">
        <w:fldChar w:fldCharType="begin"/>
      </w:r>
      <w:r w:rsidR="00967BB2">
        <w:instrText xml:space="preserve"> SEQ Figure \* ARABIC </w:instrText>
      </w:r>
      <w:r w:rsidR="00967BB2">
        <w:fldChar w:fldCharType="separate"/>
      </w:r>
      <w:r w:rsidR="00102828">
        <w:rPr>
          <w:noProof/>
        </w:rPr>
        <w:t>52</w:t>
      </w:r>
      <w:r w:rsidR="00967BB2">
        <w:rPr>
          <w:noProof/>
        </w:rPr>
        <w:fldChar w:fldCharType="end"/>
      </w:r>
      <w:bookmarkEnd w:id="397"/>
      <w:r>
        <w:t>. Modelled (a) microinvertebrate density (individuals/litre, ind/L) and (b) taxonomic richness (number of taxa) by water year over the period 2014−2024 (2018-19 not sampled). In each panel, modelled observed data (‘</w:t>
      </w:r>
      <w:r>
        <w:rPr>
          <w:i/>
          <w:iCs/>
        </w:rPr>
        <w:t>Observed</w:t>
      </w:r>
      <w:r>
        <w:t xml:space="preserve">’; blue bars) for all samples in the water year shown on the </w:t>
      </w:r>
      <w:r>
        <w:rPr>
          <w:i/>
          <w:iCs/>
        </w:rPr>
        <w:t>x</w:t>
      </w:r>
      <w:r>
        <w:t>-axis are compared with modelled expectations under two environmental flow scenarios: Under no Commonwealth environmental water delivery (‘</w:t>
      </w:r>
      <w:r>
        <w:rPr>
          <w:i/>
          <w:iCs/>
        </w:rPr>
        <w:t>No CEW’</w:t>
      </w:r>
      <w:r>
        <w:t>; orange bars) and if no environmental water was provided (‘</w:t>
      </w:r>
      <w:r>
        <w:rPr>
          <w:i/>
          <w:iCs/>
        </w:rPr>
        <w:t>No eWater</w:t>
      </w:r>
      <w:r>
        <w:t xml:space="preserve">’; grey bars). </w:t>
      </w:r>
      <w:bookmarkStart w:id="400" w:name="_Hlk125843121"/>
      <w:r>
        <w:t xml:space="preserve">Black dots represent outliers. Black diamonds represent mean values and black dashes represent median values. </w:t>
      </w:r>
      <w:bookmarkEnd w:id="400"/>
      <w:r>
        <w:t xml:space="preserve">Results of the generalised linear models used to run the scenarios are given in </w:t>
      </w:r>
      <w:bookmarkEnd w:id="398"/>
      <w:r>
        <w:t>Tables C</w:t>
      </w:r>
      <w:r w:rsidR="00891AA7">
        <w:t>1</w:t>
      </w:r>
      <w:r w:rsidR="00373ECE">
        <w:t>3</w:t>
      </w:r>
      <w:r>
        <w:t xml:space="preserve"> (density) and C</w:t>
      </w:r>
      <w:r w:rsidR="00891AA7">
        <w:t>1</w:t>
      </w:r>
      <w:r w:rsidR="00373ECE">
        <w:t>4</w:t>
      </w:r>
      <w:r>
        <w:t xml:space="preserve"> (taxonomic richness) in Appendix C.</w:t>
      </w:r>
      <w:bookmarkEnd w:id="399"/>
    </w:p>
    <w:p w14:paraId="1E26B437" w14:textId="77777777" w:rsidR="00C002ED" w:rsidRDefault="00C002ED" w:rsidP="00C002ED">
      <w:pPr>
        <w:rPr>
          <w:i/>
          <w:iCs/>
          <w:color w:val="2F5496" w:themeColor="accent5" w:themeShade="BF"/>
          <w:sz w:val="18"/>
          <w:szCs w:val="16"/>
        </w:rPr>
      </w:pPr>
      <w:r>
        <w:rPr>
          <w:i/>
          <w:iCs/>
          <w:color w:val="2F5496" w:themeColor="accent5" w:themeShade="BF"/>
          <w:sz w:val="18"/>
          <w:szCs w:val="16"/>
        </w:rPr>
        <w:lastRenderedPageBreak/>
        <w:t>H2: Lateral and longitudinal connectivity</w:t>
      </w:r>
    </w:p>
    <w:p w14:paraId="1DA9A2EC" w14:textId="4D1F5EA1" w:rsidR="00C5731E" w:rsidRDefault="00C002ED" w:rsidP="00C002ED">
      <w:r>
        <w:t xml:space="preserve">The modelling for 2023-24 estimated that environmental water decreased mean density of </w:t>
      </w:r>
      <w:r w:rsidRPr="003652EE">
        <w:t xml:space="preserve">microinvertebrate taxa associated with lateral connectivity </w:t>
      </w:r>
      <w:r>
        <w:t>by 57 [78, 35] ind/L;</w:t>
      </w:r>
      <w:r>
        <w:rPr>
          <w:i/>
          <w:iCs/>
        </w:rPr>
        <w:t xml:space="preserve"> t</w:t>
      </w:r>
      <w:r>
        <w:t xml:space="preserve"> = -5.45 df = 20, </w:t>
      </w:r>
      <w:r>
        <w:rPr>
          <w:i/>
          <w:iCs/>
        </w:rPr>
        <w:t>p</w:t>
      </w:r>
      <w:r>
        <w:t xml:space="preserve"> = &lt; 0.0010) and that Commonwealth water contributed to 52 % of this decrease (</w:t>
      </w:r>
      <w:r w:rsidR="00D714D9">
        <w:fldChar w:fldCharType="begin"/>
      </w:r>
      <w:r w:rsidR="00D714D9">
        <w:instrText xml:space="preserve"> REF _Ref63782328 \h </w:instrText>
      </w:r>
      <w:r w:rsidR="00D714D9">
        <w:fldChar w:fldCharType="separate"/>
      </w:r>
      <w:r w:rsidR="00102828">
        <w:t xml:space="preserve">Figure </w:t>
      </w:r>
      <w:r w:rsidR="00102828">
        <w:rPr>
          <w:noProof/>
        </w:rPr>
        <w:t>53</w:t>
      </w:r>
      <w:r w:rsidR="00D714D9">
        <w:fldChar w:fldCharType="end"/>
      </w:r>
      <w:r>
        <w:t xml:space="preserve">a). Modelling indicated that environmental water increased mean microinvertebrate density of taxa common to upstream areas by </w:t>
      </w:r>
      <w:r w:rsidRPr="00677925">
        <w:t>25 [-553</w:t>
      </w:r>
      <w:r>
        <w:t>, 603] ind/L;</w:t>
      </w:r>
      <w:r>
        <w:rPr>
          <w:i/>
          <w:iCs/>
        </w:rPr>
        <w:t xml:space="preserve"> t</w:t>
      </w:r>
      <w:r>
        <w:t xml:space="preserve"> = 0.09, df = 20, </w:t>
      </w:r>
      <w:r>
        <w:rPr>
          <w:i/>
          <w:iCs/>
        </w:rPr>
        <w:t>p</w:t>
      </w:r>
      <w:r>
        <w:t xml:space="preserve"> = 0.93) (</w:t>
      </w:r>
      <w:r>
        <w:fldChar w:fldCharType="begin"/>
      </w:r>
      <w:r>
        <w:instrText xml:space="preserve"> REF _Ref63782328 \h </w:instrText>
      </w:r>
      <w:r>
        <w:fldChar w:fldCharType="separate"/>
      </w:r>
      <w:r w:rsidR="00102828">
        <w:t xml:space="preserve">Figure </w:t>
      </w:r>
      <w:r w:rsidR="00102828">
        <w:rPr>
          <w:noProof/>
        </w:rPr>
        <w:t>53</w:t>
      </w:r>
      <w:r>
        <w:fldChar w:fldCharType="end"/>
      </w:r>
      <w:r>
        <w:t xml:space="preserve">b), however, Commonwealth water increased modelled observed density by 23% (275 [79, 471] ind/L; </w:t>
      </w:r>
      <w:r>
        <w:rPr>
          <w:i/>
          <w:iCs/>
        </w:rPr>
        <w:t>t =</w:t>
      </w:r>
      <w:r>
        <w:t xml:space="preserve"> 2.93, df = 20, </w:t>
      </w:r>
      <w:r>
        <w:rPr>
          <w:i/>
          <w:iCs/>
        </w:rPr>
        <w:t>p</w:t>
      </w:r>
      <w:r>
        <w:t xml:space="preserve"> = 0.008). Nevertheless, it should be noted that for several years, including 2023-24, modelled densities with no environmental water delivery for these subset ecological groups had large and unexplained outliers that did not occur in the modelled observed densities. These outliers skewed the means far from the medians in these years.</w:t>
      </w:r>
    </w:p>
    <w:p w14:paraId="63962922" w14:textId="77777777" w:rsidR="00C5731E" w:rsidRDefault="00C5731E">
      <w:pPr>
        <w:spacing w:before="0" w:after="160" w:line="259" w:lineRule="auto"/>
        <w:jc w:val="left"/>
      </w:pPr>
      <w:r>
        <w:br w:type="page"/>
      </w:r>
    </w:p>
    <w:p w14:paraId="0FDBF52E" w14:textId="77777777" w:rsidR="00C002ED" w:rsidRDefault="00C002ED" w:rsidP="00C002ED">
      <w:pPr>
        <w:keepNext/>
      </w:pPr>
      <w:r>
        <w:rPr>
          <w:noProof/>
        </w:rPr>
        <w:lastRenderedPageBreak/>
        <w:drawing>
          <wp:inline distT="0" distB="0" distL="0" distR="0" wp14:anchorId="23880037" wp14:editId="7FEA8D6B">
            <wp:extent cx="5724525" cy="5486400"/>
            <wp:effectExtent l="0" t="0" r="9525" b="0"/>
            <wp:docPr id="1857722793" name="Picture 3" descr="Graphs showing observed and modelled density of microinvertebrates with and without environmental water  over the period 2014−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22793" name="Picture 3" descr="Graphs showing observed and modelled density of microinvertebrates with and without environmental water  over the period 2014−2024. "/>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724525" cy="5486400"/>
                    </a:xfrm>
                    <a:prstGeom prst="rect">
                      <a:avLst/>
                    </a:prstGeom>
                    <a:noFill/>
                    <a:ln>
                      <a:noFill/>
                    </a:ln>
                  </pic:spPr>
                </pic:pic>
              </a:graphicData>
            </a:graphic>
          </wp:inline>
        </w:drawing>
      </w:r>
    </w:p>
    <w:p w14:paraId="04599718" w14:textId="24AC5B9E" w:rsidR="00C002ED" w:rsidRDefault="00C002ED" w:rsidP="00605FB2">
      <w:pPr>
        <w:pStyle w:val="Captions"/>
      </w:pPr>
      <w:bookmarkStart w:id="401" w:name="_Ref63782328"/>
      <w:bookmarkStart w:id="402" w:name="_Toc69387709"/>
      <w:bookmarkStart w:id="403" w:name="_Toc200464504"/>
      <w:r>
        <w:t xml:space="preserve">Figure </w:t>
      </w:r>
      <w:r w:rsidR="00967BB2">
        <w:fldChar w:fldCharType="begin"/>
      </w:r>
      <w:r w:rsidR="00967BB2">
        <w:instrText xml:space="preserve"> SEQ Figure \* ARABIC </w:instrText>
      </w:r>
      <w:r w:rsidR="00967BB2">
        <w:fldChar w:fldCharType="separate"/>
      </w:r>
      <w:r w:rsidR="00102828">
        <w:rPr>
          <w:noProof/>
        </w:rPr>
        <w:t>53</w:t>
      </w:r>
      <w:r w:rsidR="00967BB2">
        <w:rPr>
          <w:noProof/>
        </w:rPr>
        <w:fldChar w:fldCharType="end"/>
      </w:r>
      <w:bookmarkEnd w:id="401"/>
      <w:r>
        <w:t>. Observed and modelled density (individuals/litre, ind/L) with and without environmental water (a) microinvertebrate taxa associated with lateral connectivity to floodplains and backwaters and (b) microinvertebrate taxa associated with longitudinal transport and connectivity with upstream areas by water year over the period 2014−2024 (2018-19 not sampled). In each panel, modelled observed data (‘</w:t>
      </w:r>
      <w:r>
        <w:rPr>
          <w:i/>
          <w:iCs/>
        </w:rPr>
        <w:t>Observed</w:t>
      </w:r>
      <w:r>
        <w:t>’; blue bars) for all samples in the water year shown on the x-axis are compared with modelled expectations under two environmental flow scenarios: Under no Commonwealth environmental water delivery (‘</w:t>
      </w:r>
      <w:r>
        <w:rPr>
          <w:i/>
          <w:iCs/>
        </w:rPr>
        <w:t>No CEW</w:t>
      </w:r>
      <w:r>
        <w:t>’; orange bars) and if no environmental water was provided (‘</w:t>
      </w:r>
      <w:r>
        <w:rPr>
          <w:i/>
          <w:iCs/>
        </w:rPr>
        <w:t>No eWater</w:t>
      </w:r>
      <w:r>
        <w:t xml:space="preserve">’; grey bars). Black dots represent outliers.  </w:t>
      </w:r>
      <w:bookmarkEnd w:id="402"/>
      <w:r>
        <w:t>Black diamonds represent mean values and black dashes represent median values. Results of the generalised linear models used to run the scenarios are given in Tables C</w:t>
      </w:r>
      <w:r w:rsidR="00891AA7">
        <w:t>1</w:t>
      </w:r>
      <w:r w:rsidR="00373ECE">
        <w:t>5</w:t>
      </w:r>
      <w:r>
        <w:t xml:space="preserve"> (taxa associated with lateral connectivity to floodplains and backwaters) and C</w:t>
      </w:r>
      <w:r w:rsidR="00891AA7">
        <w:t>1</w:t>
      </w:r>
      <w:r w:rsidR="00373ECE">
        <w:t>6</w:t>
      </w:r>
      <w:r>
        <w:t xml:space="preserve"> (taxa associated with longitudinal transport and connectivity) in Appendix C.</w:t>
      </w:r>
      <w:bookmarkEnd w:id="403"/>
    </w:p>
    <w:p w14:paraId="70BB6C17" w14:textId="77777777" w:rsidR="006941C0" w:rsidRDefault="006941C0">
      <w:pPr>
        <w:spacing w:before="0" w:after="160" w:line="259" w:lineRule="auto"/>
        <w:jc w:val="left"/>
        <w:rPr>
          <w:i/>
          <w:iCs/>
          <w:color w:val="2F5496" w:themeColor="accent5" w:themeShade="BF"/>
          <w:sz w:val="18"/>
          <w:szCs w:val="16"/>
        </w:rPr>
      </w:pPr>
      <w:r>
        <w:rPr>
          <w:i/>
          <w:iCs/>
          <w:color w:val="2F5496" w:themeColor="accent5" w:themeShade="BF"/>
          <w:sz w:val="18"/>
          <w:szCs w:val="16"/>
        </w:rPr>
        <w:br w:type="page"/>
      </w:r>
    </w:p>
    <w:p w14:paraId="7C061BBA" w14:textId="3201237E" w:rsidR="00C002ED" w:rsidRDefault="00C002ED" w:rsidP="00C002ED">
      <w:pPr>
        <w:rPr>
          <w:i/>
          <w:iCs/>
          <w:color w:val="2F5496" w:themeColor="accent5" w:themeShade="BF"/>
          <w:sz w:val="18"/>
          <w:szCs w:val="16"/>
        </w:rPr>
      </w:pPr>
      <w:r>
        <w:rPr>
          <w:i/>
          <w:iCs/>
          <w:color w:val="2F5496" w:themeColor="accent5" w:themeShade="BF"/>
          <w:sz w:val="18"/>
          <w:szCs w:val="16"/>
        </w:rPr>
        <w:lastRenderedPageBreak/>
        <w:t>H3: Spring-early summer microinvertebrate prey species density</w:t>
      </w:r>
    </w:p>
    <w:p w14:paraId="1162AEA0" w14:textId="53C2D341" w:rsidR="00C002ED" w:rsidRDefault="00C002ED" w:rsidP="00C002ED">
      <w:r>
        <w:t>For the 2023-24 sampling season, mean modelled density of spring prey species for large-bodied fish larvae was decreased by 53 (ind/L) [95% CI -74, -32] at the mainstream, sampling sites when compared to the modelled no environmental water delivery scenario (</w:t>
      </w:r>
      <w:r>
        <w:rPr>
          <w:i/>
          <w:iCs/>
        </w:rPr>
        <w:t>t</w:t>
      </w:r>
      <w:r>
        <w:t xml:space="preserve"> = -5.3, df = 17, </w:t>
      </w:r>
      <w:r>
        <w:rPr>
          <w:i/>
          <w:iCs/>
        </w:rPr>
        <w:t>p</w:t>
      </w:r>
      <w:r>
        <w:t xml:space="preserve"> = &lt;0.0010), and Commonwealth environmental water contributed to 51 % of this decrease (</w:t>
      </w:r>
      <w:r w:rsidR="00D714D9">
        <w:fldChar w:fldCharType="begin"/>
      </w:r>
      <w:r w:rsidR="00D714D9">
        <w:instrText xml:space="preserve"> REF _Ref63781787 \h </w:instrText>
      </w:r>
      <w:r w:rsidR="00D714D9">
        <w:fldChar w:fldCharType="separate"/>
      </w:r>
      <w:r w:rsidR="00102828">
        <w:t xml:space="preserve">Figure </w:t>
      </w:r>
      <w:r w:rsidR="00102828">
        <w:rPr>
          <w:noProof/>
        </w:rPr>
        <w:t>54</w:t>
      </w:r>
      <w:r w:rsidR="00D714D9">
        <w:fldChar w:fldCharType="end"/>
      </w:r>
      <w:r>
        <w:t>).</w:t>
      </w:r>
    </w:p>
    <w:p w14:paraId="11D1F3F0" w14:textId="77777777" w:rsidR="00C002ED" w:rsidRDefault="00C002ED" w:rsidP="00C002ED">
      <w:pPr>
        <w:keepNext/>
        <w:jc w:val="center"/>
      </w:pPr>
      <w:r>
        <w:rPr>
          <w:noProof/>
        </w:rPr>
        <w:drawing>
          <wp:inline distT="0" distB="0" distL="0" distR="0" wp14:anchorId="5E7E0230" wp14:editId="01514D0E">
            <wp:extent cx="5736179" cy="4305300"/>
            <wp:effectExtent l="0" t="0" r="0" b="0"/>
            <wp:docPr id="2027534974" name="Picture 5" descr="Graph showing modelled density of microinvertebrate prey taxa for large-bodied fish larvae in the Lower Murray during spring–early summer 2014-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34974" name="Picture 5" descr="Graph showing modelled density of microinvertebrate prey taxa for large-bodied fish larvae in the Lower Murray during spring–early summer 2014-202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752446" cy="4317509"/>
                    </a:xfrm>
                    <a:prstGeom prst="rect">
                      <a:avLst/>
                    </a:prstGeom>
                    <a:noFill/>
                    <a:ln>
                      <a:noFill/>
                    </a:ln>
                  </pic:spPr>
                </pic:pic>
              </a:graphicData>
            </a:graphic>
          </wp:inline>
        </w:drawing>
      </w:r>
      <w:r>
        <w:t xml:space="preserve"> </w:t>
      </w:r>
    </w:p>
    <w:p w14:paraId="287F99AA" w14:textId="1B4C50BA" w:rsidR="00BD3C09" w:rsidRDefault="00C002ED" w:rsidP="00605FB2">
      <w:pPr>
        <w:pStyle w:val="Captions"/>
        <w:rPr>
          <w:rFonts w:eastAsiaTheme="majorEastAsia" w:cstheme="majorBidi"/>
          <w:i/>
          <w:color w:val="44546A" w:themeColor="text2"/>
          <w:sz w:val="24"/>
          <w:szCs w:val="24"/>
        </w:rPr>
      </w:pPr>
      <w:bookmarkStart w:id="404" w:name="_Ref63781787"/>
      <w:bookmarkStart w:id="405" w:name="_Toc69387710"/>
      <w:bookmarkStart w:id="406" w:name="_Toc200464505"/>
      <w:r>
        <w:t xml:space="preserve">Figure </w:t>
      </w:r>
      <w:r w:rsidR="00967BB2">
        <w:fldChar w:fldCharType="begin"/>
      </w:r>
      <w:r w:rsidR="00967BB2">
        <w:instrText xml:space="preserve"> SEQ Figure \* ARABIC </w:instrText>
      </w:r>
      <w:r w:rsidR="00967BB2">
        <w:fldChar w:fldCharType="separate"/>
      </w:r>
      <w:r w:rsidR="00102828">
        <w:rPr>
          <w:noProof/>
        </w:rPr>
        <w:t>54</w:t>
      </w:r>
      <w:r w:rsidR="00967BB2">
        <w:rPr>
          <w:noProof/>
        </w:rPr>
        <w:fldChar w:fldCharType="end"/>
      </w:r>
      <w:bookmarkEnd w:id="404"/>
      <w:r>
        <w:t>. Modelled density (individuals/litre, ind/L) of microinvertebrate prey taxa for large-bodied fish larvae in the Lower Murray during spring–early summer (mid-October to late-December) for 2014−2024 (2018-19 not sampled).</w:t>
      </w:r>
      <w:bookmarkEnd w:id="405"/>
      <w:r>
        <w:t xml:space="preserve"> In each panel, modelled observed data (‘</w:t>
      </w:r>
      <w:r>
        <w:rPr>
          <w:i/>
          <w:iCs/>
        </w:rPr>
        <w:t>Observed</w:t>
      </w:r>
      <w:r>
        <w:t>’; blue bars) for all samples in the water year shown on the x-axis are compared with modelled expectations under two environmental flow scenarios: Under no Commonwealth environmental water delivery (‘</w:t>
      </w:r>
      <w:r>
        <w:rPr>
          <w:i/>
          <w:iCs/>
        </w:rPr>
        <w:t>No CEW</w:t>
      </w:r>
      <w:r>
        <w:t>’; orange bars) and if no environmental water was provided (‘</w:t>
      </w:r>
      <w:r>
        <w:rPr>
          <w:i/>
          <w:iCs/>
        </w:rPr>
        <w:t>No eWater</w:t>
      </w:r>
      <w:r>
        <w:t>’; grey bars). Black dots represent outliers. Black diamonds represent mean values and black dashes represent median values. Results of the generalised linear models used to run the scenarios are given in Table C</w:t>
      </w:r>
      <w:r w:rsidR="00891AA7">
        <w:t>1</w:t>
      </w:r>
      <w:r w:rsidR="00FB33C3">
        <w:t>7</w:t>
      </w:r>
      <w:r>
        <w:t xml:space="preserve"> in Appendix C.</w:t>
      </w:r>
      <w:bookmarkEnd w:id="406"/>
      <w:r w:rsidR="00BD3C09">
        <w:br w:type="page"/>
      </w:r>
    </w:p>
    <w:p w14:paraId="4236E8F9" w14:textId="77777777" w:rsidR="00BD3C09" w:rsidRDefault="00BD3C09" w:rsidP="00BD3C09">
      <w:pPr>
        <w:pStyle w:val="Heading3"/>
        <w:sectPr w:rsidR="00BD3C09" w:rsidSect="008D628A">
          <w:footnotePr>
            <w:numFmt w:val="lowerLetter"/>
          </w:footnotePr>
          <w:pgSz w:w="11906" w:h="16838"/>
          <w:pgMar w:top="1440" w:right="1440" w:bottom="1440" w:left="1440" w:header="708" w:footer="708" w:gutter="0"/>
          <w:cols w:space="708"/>
          <w:docGrid w:linePitch="360"/>
        </w:sectPr>
      </w:pPr>
      <w:bookmarkStart w:id="407" w:name="_Ref93579461"/>
    </w:p>
    <w:p w14:paraId="4F94669B" w14:textId="77777777" w:rsidR="00BD3C09" w:rsidRDefault="00BD3C09" w:rsidP="00BD3C09">
      <w:pPr>
        <w:pStyle w:val="Heading3"/>
      </w:pPr>
      <w:r w:rsidRPr="00FD7A78">
        <w:lastRenderedPageBreak/>
        <w:t>Evaluation</w:t>
      </w:r>
    </w:p>
    <w:p w14:paraId="0B313376" w14:textId="56335A84" w:rsidR="00BD3C09" w:rsidRDefault="00BD3C09" w:rsidP="00BD3C09">
      <w:r>
        <w:t xml:space="preserve">The evaluation approach, including assessment criteria, is described in the evaluation section for Hydraulic Regime (Section </w:t>
      </w:r>
      <w:r>
        <w:fldChar w:fldCharType="begin"/>
      </w:r>
      <w:r>
        <w:instrText xml:space="preserve"> REF _Ref35872226 \r \h  \* MERGEFORMAT </w:instrText>
      </w:r>
      <w:r>
        <w:fldChar w:fldCharType="separate"/>
      </w:r>
      <w:r w:rsidR="00102828">
        <w:t>2.1</w:t>
      </w:r>
      <w:r>
        <w:fldChar w:fldCharType="end"/>
      </w:r>
      <w:r>
        <w:t>).</w:t>
      </w:r>
    </w:p>
    <w:p w14:paraId="798FDF99" w14:textId="767935C0" w:rsidR="00BD3C09" w:rsidRDefault="00BD3C09" w:rsidP="00BD3C09">
      <w:pPr>
        <w:pStyle w:val="Caption"/>
        <w:keepNext/>
      </w:pPr>
      <w:bookmarkStart w:id="408" w:name="_Toc200464541"/>
      <w:r>
        <w:t xml:space="preserve">Table </w:t>
      </w:r>
      <w:r>
        <w:fldChar w:fldCharType="begin"/>
      </w:r>
      <w:r>
        <w:instrText>SEQ Table \* ARABIC</w:instrText>
      </w:r>
      <w:r>
        <w:fldChar w:fldCharType="separate"/>
      </w:r>
      <w:r w:rsidR="00102828">
        <w:rPr>
          <w:noProof/>
        </w:rPr>
        <w:t>17</w:t>
      </w:r>
      <w:r>
        <w:fldChar w:fldCharType="end"/>
      </w:r>
      <w:bookmarkEnd w:id="407"/>
      <w:r>
        <w:t>. Microinvertebrate Assemblage evaluation questions and answers. CEW = Commonwealth environmental water, eWater = environmental water. Hypotheses: H1a, H1b, H2a, H2b and H3. The m</w:t>
      </w:r>
      <w:r w:rsidRPr="00AB2146">
        <w:t xml:space="preserve">ean [95% CI] and % attributable to CEW contributions for each water year are detailed </w:t>
      </w:r>
      <w:r>
        <w:t>for each evaluation question</w:t>
      </w:r>
      <w:r w:rsidRPr="00AB2146">
        <w:t>.</w:t>
      </w:r>
      <w:r>
        <w:t xml:space="preserve"> The significance of the contribution was classified as negative if the contribution was ≤-9%, </w:t>
      </w:r>
      <w:r w:rsidRPr="00FA42BD">
        <w:t>none</w:t>
      </w:r>
      <w:r w:rsidR="000B0EED">
        <w:t>/</w:t>
      </w:r>
      <w:r w:rsidRPr="00FA42BD">
        <w:t xml:space="preserve">negligible </w:t>
      </w:r>
      <w:r>
        <w:t>= -9–</w:t>
      </w:r>
      <w:r w:rsidRPr="00FA42BD">
        <w:t>9%</w:t>
      </w:r>
      <w:r>
        <w:t>,</w:t>
      </w:r>
      <w:r w:rsidRPr="00FA42BD">
        <w:t xml:space="preserve"> minor = 10</w:t>
      </w:r>
      <w:r>
        <w:t>–</w:t>
      </w:r>
      <w:r w:rsidRPr="00FA42BD">
        <w:t>19%, moderate =20</w:t>
      </w:r>
      <w:r>
        <w:t>–</w:t>
      </w:r>
      <w:r w:rsidRPr="00FA42BD">
        <w:t>29%</w:t>
      </w:r>
      <w:r>
        <w:t xml:space="preserve"> and</w:t>
      </w:r>
      <w:r w:rsidRPr="00FA42BD">
        <w:t xml:space="preserve"> substantial = </w:t>
      </w:r>
      <w:r>
        <w:t>≥</w:t>
      </w:r>
      <w:r w:rsidRPr="00FA42BD">
        <w:t>30%</w:t>
      </w:r>
      <w:r>
        <w:t>.</w:t>
      </w:r>
      <w:bookmarkEnd w:id="4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le showing microinvertebrate Assemblage evaluation questions and answers for each water year."/>
      </w:tblPr>
      <w:tblGrid>
        <w:gridCol w:w="1838"/>
        <w:gridCol w:w="1345"/>
        <w:gridCol w:w="1347"/>
        <w:gridCol w:w="1345"/>
        <w:gridCol w:w="1347"/>
        <w:gridCol w:w="1345"/>
        <w:gridCol w:w="1347"/>
        <w:gridCol w:w="1345"/>
        <w:gridCol w:w="1347"/>
        <w:gridCol w:w="1342"/>
      </w:tblGrid>
      <w:tr w:rsidR="00C002ED" w14:paraId="58CDF1ED" w14:textId="77777777" w:rsidTr="00592718">
        <w:trPr>
          <w:cantSplit/>
          <w:trHeight w:val="20"/>
          <w:tblHeader/>
        </w:trPr>
        <w:tc>
          <w:tcPr>
            <w:tcW w:w="659" w:type="pct"/>
            <w:vMerge w:val="restart"/>
            <w:tcBorders>
              <w:top w:val="single" w:sz="4" w:space="0" w:color="auto"/>
              <w:left w:val="single" w:sz="4" w:space="0" w:color="auto"/>
              <w:bottom w:val="single" w:sz="4" w:space="0" w:color="auto"/>
              <w:right w:val="single" w:sz="4" w:space="0" w:color="auto"/>
            </w:tcBorders>
            <w:hideMark/>
          </w:tcPr>
          <w:p w14:paraId="212E89DA" w14:textId="77777777" w:rsidR="00C002ED" w:rsidRDefault="00C002ED" w:rsidP="00592718">
            <w:pPr>
              <w:pStyle w:val="TableText"/>
              <w:spacing w:line="240" w:lineRule="auto"/>
              <w:rPr>
                <w:b/>
                <w:bCs/>
                <w:sz w:val="16"/>
              </w:rPr>
            </w:pPr>
            <w:r>
              <w:rPr>
                <w:b/>
                <w:bCs/>
                <w:sz w:val="16"/>
              </w:rPr>
              <w:t xml:space="preserve">CEWH evaluation questions </w:t>
            </w:r>
          </w:p>
        </w:tc>
        <w:tc>
          <w:tcPr>
            <w:tcW w:w="4341" w:type="pct"/>
            <w:gridSpan w:val="9"/>
            <w:tcBorders>
              <w:top w:val="single" w:sz="4" w:space="0" w:color="auto"/>
              <w:left w:val="single" w:sz="4" w:space="0" w:color="auto"/>
              <w:bottom w:val="single" w:sz="4" w:space="0" w:color="auto"/>
              <w:right w:val="single" w:sz="4" w:space="0" w:color="auto"/>
            </w:tcBorders>
            <w:hideMark/>
          </w:tcPr>
          <w:p w14:paraId="116B349C" w14:textId="77777777" w:rsidR="00C002ED" w:rsidRDefault="00C002ED" w:rsidP="00592718">
            <w:pPr>
              <w:pStyle w:val="TableText"/>
              <w:spacing w:line="240" w:lineRule="auto"/>
              <w:rPr>
                <w:b/>
                <w:bCs/>
                <w:sz w:val="16"/>
              </w:rPr>
            </w:pPr>
            <w:r>
              <w:rPr>
                <w:b/>
                <w:bCs/>
                <w:sz w:val="16"/>
              </w:rPr>
              <w:t>Outcomes of CEW delivery</w:t>
            </w:r>
          </w:p>
        </w:tc>
      </w:tr>
      <w:tr w:rsidR="00C002ED" w14:paraId="7BE8F43E" w14:textId="77777777" w:rsidTr="00592718">
        <w:trPr>
          <w:cantSplit/>
          <w:trHeight w:val="20"/>
          <w:tblHeader/>
        </w:trPr>
        <w:tc>
          <w:tcPr>
            <w:tcW w:w="659" w:type="pct"/>
            <w:vMerge/>
            <w:tcBorders>
              <w:top w:val="single" w:sz="4" w:space="0" w:color="auto"/>
              <w:left w:val="single" w:sz="4" w:space="0" w:color="auto"/>
              <w:bottom w:val="single" w:sz="4" w:space="0" w:color="auto"/>
              <w:right w:val="single" w:sz="4" w:space="0" w:color="auto"/>
            </w:tcBorders>
            <w:vAlign w:val="center"/>
            <w:hideMark/>
          </w:tcPr>
          <w:p w14:paraId="6FC70635" w14:textId="77777777" w:rsidR="00C002ED" w:rsidRDefault="00C002ED" w:rsidP="00592718">
            <w:pPr>
              <w:spacing w:before="0" w:after="0" w:line="256" w:lineRule="auto"/>
              <w:jc w:val="left"/>
              <w:rPr>
                <w:rFonts w:cs="Arial"/>
                <w:b/>
                <w:bCs/>
                <w:sz w:val="16"/>
                <w:szCs w:val="22"/>
              </w:rPr>
            </w:pPr>
          </w:p>
        </w:tc>
        <w:tc>
          <w:tcPr>
            <w:tcW w:w="482" w:type="pct"/>
            <w:tcBorders>
              <w:top w:val="single" w:sz="4" w:space="0" w:color="auto"/>
              <w:left w:val="single" w:sz="4" w:space="0" w:color="auto"/>
              <w:bottom w:val="single" w:sz="4" w:space="0" w:color="auto"/>
              <w:right w:val="single" w:sz="4" w:space="0" w:color="auto"/>
            </w:tcBorders>
            <w:vAlign w:val="bottom"/>
            <w:hideMark/>
          </w:tcPr>
          <w:p w14:paraId="41461BC9" w14:textId="77777777" w:rsidR="00C002ED" w:rsidRDefault="00C002ED" w:rsidP="00592718">
            <w:pPr>
              <w:pStyle w:val="TableText"/>
              <w:spacing w:line="240" w:lineRule="auto"/>
              <w:rPr>
                <w:b/>
                <w:bCs/>
                <w:sz w:val="16"/>
              </w:rPr>
            </w:pPr>
            <w:r>
              <w:rPr>
                <w:b/>
                <w:bCs/>
                <w:sz w:val="16"/>
              </w:rPr>
              <w:t>2014-15*</w:t>
            </w:r>
          </w:p>
        </w:tc>
        <w:tc>
          <w:tcPr>
            <w:tcW w:w="483" w:type="pct"/>
            <w:tcBorders>
              <w:top w:val="single" w:sz="4" w:space="0" w:color="auto"/>
              <w:left w:val="single" w:sz="4" w:space="0" w:color="auto"/>
              <w:bottom w:val="single" w:sz="4" w:space="0" w:color="auto"/>
              <w:right w:val="single" w:sz="4" w:space="0" w:color="auto"/>
            </w:tcBorders>
            <w:vAlign w:val="bottom"/>
            <w:hideMark/>
          </w:tcPr>
          <w:p w14:paraId="39A4C3AA" w14:textId="77777777" w:rsidR="00C002ED" w:rsidRDefault="00C002ED" w:rsidP="00592718">
            <w:pPr>
              <w:pStyle w:val="TableText"/>
              <w:spacing w:line="240" w:lineRule="auto"/>
              <w:rPr>
                <w:b/>
                <w:bCs/>
                <w:sz w:val="16"/>
              </w:rPr>
            </w:pPr>
            <w:r>
              <w:rPr>
                <w:b/>
                <w:bCs/>
                <w:sz w:val="16"/>
              </w:rPr>
              <w:t>2015-16*</w:t>
            </w:r>
          </w:p>
        </w:tc>
        <w:tc>
          <w:tcPr>
            <w:tcW w:w="482" w:type="pct"/>
            <w:tcBorders>
              <w:top w:val="single" w:sz="4" w:space="0" w:color="auto"/>
              <w:left w:val="single" w:sz="4" w:space="0" w:color="auto"/>
              <w:bottom w:val="single" w:sz="4" w:space="0" w:color="auto"/>
              <w:right w:val="single" w:sz="4" w:space="0" w:color="auto"/>
            </w:tcBorders>
            <w:vAlign w:val="bottom"/>
            <w:hideMark/>
          </w:tcPr>
          <w:p w14:paraId="00F31BD7" w14:textId="77777777" w:rsidR="00C002ED" w:rsidRDefault="00C002ED" w:rsidP="00592718">
            <w:pPr>
              <w:pStyle w:val="TableText"/>
              <w:spacing w:line="240" w:lineRule="auto"/>
              <w:rPr>
                <w:b/>
                <w:bCs/>
                <w:sz w:val="16"/>
              </w:rPr>
            </w:pPr>
            <w:r>
              <w:rPr>
                <w:b/>
                <w:bCs/>
                <w:sz w:val="16"/>
              </w:rPr>
              <w:t>2016-17</w:t>
            </w:r>
          </w:p>
        </w:tc>
        <w:tc>
          <w:tcPr>
            <w:tcW w:w="483" w:type="pct"/>
            <w:tcBorders>
              <w:top w:val="single" w:sz="4" w:space="0" w:color="auto"/>
              <w:left w:val="single" w:sz="4" w:space="0" w:color="auto"/>
              <w:bottom w:val="single" w:sz="4" w:space="0" w:color="auto"/>
              <w:right w:val="single" w:sz="4" w:space="0" w:color="auto"/>
            </w:tcBorders>
            <w:vAlign w:val="bottom"/>
            <w:hideMark/>
          </w:tcPr>
          <w:p w14:paraId="097FBABC" w14:textId="77777777" w:rsidR="00C002ED" w:rsidRDefault="00C002ED" w:rsidP="00592718">
            <w:pPr>
              <w:pStyle w:val="TableText"/>
              <w:spacing w:line="240" w:lineRule="auto"/>
              <w:rPr>
                <w:b/>
                <w:bCs/>
                <w:sz w:val="16"/>
              </w:rPr>
            </w:pPr>
            <w:r>
              <w:rPr>
                <w:b/>
                <w:bCs/>
                <w:sz w:val="16"/>
              </w:rPr>
              <w:t>2017-18*</w:t>
            </w:r>
          </w:p>
        </w:tc>
        <w:tc>
          <w:tcPr>
            <w:tcW w:w="482" w:type="pct"/>
            <w:tcBorders>
              <w:top w:val="single" w:sz="4" w:space="0" w:color="auto"/>
              <w:left w:val="single" w:sz="4" w:space="0" w:color="auto"/>
              <w:bottom w:val="single" w:sz="4" w:space="0" w:color="auto"/>
              <w:right w:val="single" w:sz="4" w:space="0" w:color="auto"/>
            </w:tcBorders>
            <w:hideMark/>
          </w:tcPr>
          <w:p w14:paraId="042B778C" w14:textId="77777777" w:rsidR="00C002ED" w:rsidRDefault="00C002ED" w:rsidP="00592718">
            <w:pPr>
              <w:pStyle w:val="TableText"/>
              <w:spacing w:line="240" w:lineRule="auto"/>
              <w:rPr>
                <w:b/>
                <w:bCs/>
                <w:sz w:val="16"/>
              </w:rPr>
            </w:pPr>
            <w:r>
              <w:rPr>
                <w:b/>
                <w:bCs/>
                <w:sz w:val="16"/>
              </w:rPr>
              <w:t>2019-20*</w:t>
            </w:r>
          </w:p>
        </w:tc>
        <w:tc>
          <w:tcPr>
            <w:tcW w:w="483" w:type="pct"/>
            <w:tcBorders>
              <w:top w:val="single" w:sz="4" w:space="0" w:color="auto"/>
              <w:left w:val="single" w:sz="4" w:space="0" w:color="auto"/>
              <w:bottom w:val="single" w:sz="4" w:space="0" w:color="auto"/>
              <w:right w:val="single" w:sz="4" w:space="0" w:color="auto"/>
            </w:tcBorders>
            <w:hideMark/>
          </w:tcPr>
          <w:p w14:paraId="1295EC26" w14:textId="77777777" w:rsidR="00C002ED" w:rsidRDefault="00C002ED" w:rsidP="00592718">
            <w:pPr>
              <w:pStyle w:val="TableText"/>
              <w:spacing w:line="240" w:lineRule="auto"/>
              <w:rPr>
                <w:b/>
                <w:bCs/>
                <w:sz w:val="16"/>
              </w:rPr>
            </w:pPr>
            <w:r>
              <w:rPr>
                <w:b/>
                <w:bCs/>
                <w:sz w:val="16"/>
              </w:rPr>
              <w:t>2020-21*</w:t>
            </w:r>
          </w:p>
        </w:tc>
        <w:tc>
          <w:tcPr>
            <w:tcW w:w="482" w:type="pct"/>
            <w:tcBorders>
              <w:top w:val="single" w:sz="4" w:space="0" w:color="auto"/>
              <w:left w:val="single" w:sz="4" w:space="0" w:color="auto"/>
              <w:bottom w:val="single" w:sz="4" w:space="0" w:color="auto"/>
              <w:right w:val="single" w:sz="4" w:space="0" w:color="auto"/>
            </w:tcBorders>
            <w:hideMark/>
          </w:tcPr>
          <w:p w14:paraId="1C912511" w14:textId="77777777" w:rsidR="00C002ED" w:rsidRDefault="00C002ED" w:rsidP="00592718">
            <w:pPr>
              <w:pStyle w:val="TableText"/>
              <w:spacing w:line="240" w:lineRule="auto"/>
              <w:rPr>
                <w:b/>
                <w:bCs/>
                <w:sz w:val="16"/>
              </w:rPr>
            </w:pPr>
            <w:r>
              <w:rPr>
                <w:b/>
                <w:bCs/>
                <w:sz w:val="16"/>
              </w:rPr>
              <w:t>2021-22</w:t>
            </w:r>
          </w:p>
        </w:tc>
        <w:tc>
          <w:tcPr>
            <w:tcW w:w="483" w:type="pct"/>
            <w:tcBorders>
              <w:top w:val="single" w:sz="4" w:space="0" w:color="auto"/>
              <w:left w:val="single" w:sz="4" w:space="0" w:color="auto"/>
              <w:bottom w:val="single" w:sz="4" w:space="0" w:color="auto"/>
              <w:right w:val="single" w:sz="4" w:space="0" w:color="auto"/>
            </w:tcBorders>
            <w:hideMark/>
          </w:tcPr>
          <w:p w14:paraId="0747C24D" w14:textId="77777777" w:rsidR="00C002ED" w:rsidRDefault="00C002ED" w:rsidP="00592718">
            <w:pPr>
              <w:pStyle w:val="TableText"/>
              <w:spacing w:line="240" w:lineRule="auto"/>
              <w:rPr>
                <w:b/>
                <w:bCs/>
                <w:sz w:val="16"/>
              </w:rPr>
            </w:pPr>
            <w:r>
              <w:rPr>
                <w:b/>
                <w:bCs/>
                <w:sz w:val="16"/>
              </w:rPr>
              <w:t>2022-23</w:t>
            </w:r>
          </w:p>
        </w:tc>
        <w:tc>
          <w:tcPr>
            <w:tcW w:w="481" w:type="pct"/>
            <w:tcBorders>
              <w:top w:val="single" w:sz="4" w:space="0" w:color="auto"/>
              <w:left w:val="single" w:sz="4" w:space="0" w:color="auto"/>
              <w:bottom w:val="single" w:sz="4" w:space="0" w:color="auto"/>
              <w:right w:val="single" w:sz="4" w:space="0" w:color="auto"/>
            </w:tcBorders>
          </w:tcPr>
          <w:p w14:paraId="66F5B9E2" w14:textId="77777777" w:rsidR="00C002ED" w:rsidRDefault="00C002ED" w:rsidP="00592718">
            <w:pPr>
              <w:pStyle w:val="TableText"/>
              <w:spacing w:line="240" w:lineRule="auto"/>
              <w:rPr>
                <w:b/>
                <w:bCs/>
                <w:sz w:val="16"/>
              </w:rPr>
            </w:pPr>
            <w:r>
              <w:rPr>
                <w:b/>
                <w:bCs/>
                <w:sz w:val="16"/>
              </w:rPr>
              <w:t>2023-24</w:t>
            </w:r>
          </w:p>
        </w:tc>
      </w:tr>
      <w:tr w:rsidR="00C002ED" w14:paraId="197BCE5A" w14:textId="77777777" w:rsidTr="00592718">
        <w:trPr>
          <w:cantSplit/>
          <w:trHeight w:val="906"/>
        </w:trPr>
        <w:tc>
          <w:tcPr>
            <w:tcW w:w="659" w:type="pct"/>
            <w:vMerge w:val="restart"/>
            <w:tcBorders>
              <w:top w:val="single" w:sz="4" w:space="0" w:color="auto"/>
              <w:left w:val="single" w:sz="4" w:space="0" w:color="auto"/>
              <w:bottom w:val="single" w:sz="4" w:space="0" w:color="auto"/>
              <w:right w:val="single" w:sz="4" w:space="0" w:color="auto"/>
            </w:tcBorders>
            <w:hideMark/>
          </w:tcPr>
          <w:p w14:paraId="32EEEEA7" w14:textId="77777777" w:rsidR="00C002ED" w:rsidRDefault="00C002ED" w:rsidP="00592718">
            <w:pPr>
              <w:pStyle w:val="TableText"/>
              <w:spacing w:line="240" w:lineRule="auto"/>
              <w:rPr>
                <w:color w:val="auto"/>
                <w:sz w:val="16"/>
              </w:rPr>
            </w:pPr>
            <w:bookmarkStart w:id="409" w:name="_Hlk195336569"/>
            <w:r>
              <w:rPr>
                <w:sz w:val="16"/>
              </w:rPr>
              <w:t xml:space="preserve">What did CEW contribute to microinvertebrate density </w:t>
            </w:r>
            <w:bookmarkEnd w:id="409"/>
            <w:r>
              <w:rPr>
                <w:sz w:val="16"/>
              </w:rPr>
              <w:t>(H1a)?</w:t>
            </w: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3464786" w14:textId="77777777" w:rsidR="00C002ED" w:rsidRDefault="00C002ED" w:rsidP="00592718">
            <w:pPr>
              <w:pStyle w:val="TableText"/>
              <w:spacing w:line="240" w:lineRule="auto"/>
              <w:rPr>
                <w:color w:val="auto"/>
                <w:sz w:val="16"/>
                <w:lang w:val="en-US" w:bidi="en-US"/>
              </w:rPr>
            </w:pPr>
            <w:r>
              <w:rPr>
                <w:sz w:val="16"/>
                <w:lang w:val="en-US" w:bidi="en-US"/>
              </w:rPr>
              <w:t>55 [12, 97]</w:t>
            </w:r>
          </w:p>
          <w:p w14:paraId="0A32A4C4" w14:textId="77777777" w:rsidR="00C002ED" w:rsidRDefault="00C002ED" w:rsidP="00592718">
            <w:pPr>
              <w:spacing w:line="240" w:lineRule="auto"/>
              <w:rPr>
                <w:color w:val="auto"/>
                <w:sz w:val="16"/>
                <w:szCs w:val="16"/>
              </w:rPr>
            </w:pPr>
            <w:r>
              <w:rPr>
                <w:sz w:val="16"/>
                <w:szCs w:val="16"/>
                <w:lang w:val="en-US" w:bidi="en-US"/>
              </w:rPr>
              <w:t>(+5%)</w:t>
            </w:r>
          </w:p>
        </w:tc>
        <w:tc>
          <w:tcPr>
            <w:tcW w:w="483" w:type="pct"/>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3E7B8D0" w14:textId="77777777" w:rsidR="00C002ED" w:rsidRDefault="00C002ED" w:rsidP="00592718">
            <w:pPr>
              <w:pStyle w:val="TableText"/>
              <w:spacing w:line="240" w:lineRule="auto"/>
              <w:rPr>
                <w:color w:val="auto"/>
                <w:sz w:val="16"/>
                <w:lang w:val="en-US" w:bidi="en-US"/>
              </w:rPr>
            </w:pPr>
            <w:r>
              <w:rPr>
                <w:sz w:val="16"/>
                <w:lang w:val="en-US" w:bidi="en-US"/>
              </w:rPr>
              <w:t>116 [100, 132]</w:t>
            </w:r>
          </w:p>
          <w:p w14:paraId="7BA9D395" w14:textId="77777777" w:rsidR="00C002ED" w:rsidRDefault="00C002ED" w:rsidP="00592718">
            <w:pPr>
              <w:spacing w:line="240" w:lineRule="auto"/>
              <w:rPr>
                <w:color w:val="auto"/>
                <w:sz w:val="16"/>
                <w:szCs w:val="16"/>
              </w:rPr>
            </w:pPr>
            <w:r>
              <w:rPr>
                <w:sz w:val="16"/>
                <w:szCs w:val="16"/>
                <w:lang w:val="en-US" w:bidi="en-US"/>
              </w:rPr>
              <w:t>(+18%)</w:t>
            </w: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D26FB08" w14:textId="77777777" w:rsidR="00C002ED" w:rsidRDefault="00C002ED" w:rsidP="00592718">
            <w:pPr>
              <w:pStyle w:val="TableText"/>
              <w:spacing w:line="240" w:lineRule="auto"/>
              <w:rPr>
                <w:color w:val="auto"/>
                <w:sz w:val="16"/>
              </w:rPr>
            </w:pPr>
            <w:r>
              <w:rPr>
                <w:sz w:val="16"/>
              </w:rPr>
              <w:t>25 [8.8, 41]</w:t>
            </w:r>
          </w:p>
          <w:p w14:paraId="1B793E25" w14:textId="77777777" w:rsidR="00C002ED" w:rsidRDefault="00C002ED" w:rsidP="00592718">
            <w:pPr>
              <w:spacing w:line="240" w:lineRule="auto"/>
              <w:rPr>
                <w:color w:val="auto"/>
                <w:sz w:val="16"/>
                <w:szCs w:val="16"/>
              </w:rPr>
            </w:pPr>
            <w:r>
              <w:rPr>
                <w:sz w:val="16"/>
                <w:szCs w:val="16"/>
              </w:rPr>
              <w:t>(+4%)</w:t>
            </w:r>
          </w:p>
        </w:tc>
        <w:tc>
          <w:tcPr>
            <w:tcW w:w="483" w:type="pct"/>
            <w:tcBorders>
              <w:top w:val="single" w:sz="4" w:space="0" w:color="auto"/>
              <w:left w:val="single" w:sz="4" w:space="0" w:color="auto"/>
              <w:bottom w:val="single" w:sz="4" w:space="0" w:color="auto"/>
              <w:right w:val="single" w:sz="4" w:space="0" w:color="auto"/>
            </w:tcBorders>
            <w:shd w:val="clear" w:color="auto" w:fill="70AD47" w:themeFill="accent6"/>
            <w:hideMark/>
          </w:tcPr>
          <w:p w14:paraId="1551DBEC" w14:textId="77777777" w:rsidR="00C002ED" w:rsidRDefault="00C002ED" w:rsidP="00592718">
            <w:pPr>
              <w:pStyle w:val="TableText"/>
              <w:spacing w:line="240" w:lineRule="auto"/>
              <w:rPr>
                <w:color w:val="auto"/>
                <w:sz w:val="16"/>
              </w:rPr>
            </w:pPr>
            <w:r>
              <w:rPr>
                <w:sz w:val="16"/>
              </w:rPr>
              <w:t>148 [94, 202]</w:t>
            </w:r>
          </w:p>
          <w:p w14:paraId="006EB558" w14:textId="77777777" w:rsidR="00C002ED" w:rsidRDefault="00C002ED" w:rsidP="00592718">
            <w:pPr>
              <w:spacing w:line="240" w:lineRule="auto"/>
              <w:rPr>
                <w:color w:val="auto"/>
                <w:sz w:val="16"/>
                <w:szCs w:val="16"/>
              </w:rPr>
            </w:pPr>
            <w:r>
              <w:rPr>
                <w:sz w:val="16"/>
                <w:szCs w:val="16"/>
              </w:rPr>
              <w:t>(+25%)</w:t>
            </w:r>
          </w:p>
        </w:tc>
        <w:tc>
          <w:tcPr>
            <w:tcW w:w="482" w:type="pct"/>
            <w:tcBorders>
              <w:top w:val="single" w:sz="4" w:space="0" w:color="auto"/>
              <w:left w:val="single" w:sz="4" w:space="0" w:color="auto"/>
              <w:bottom w:val="single" w:sz="4" w:space="0" w:color="auto"/>
              <w:right w:val="single" w:sz="4" w:space="0" w:color="auto"/>
            </w:tcBorders>
            <w:shd w:val="clear" w:color="auto" w:fill="FF0000"/>
            <w:hideMark/>
          </w:tcPr>
          <w:p w14:paraId="322FA4D2" w14:textId="77777777" w:rsidR="00C002ED" w:rsidRDefault="00C002ED" w:rsidP="00592718">
            <w:pPr>
              <w:pStyle w:val="TableText"/>
              <w:spacing w:line="240" w:lineRule="auto"/>
              <w:rPr>
                <w:color w:val="auto"/>
                <w:sz w:val="16"/>
              </w:rPr>
            </w:pPr>
            <w:r>
              <w:rPr>
                <w:sz w:val="16"/>
              </w:rPr>
              <w:t>-201 [-354, 49]</w:t>
            </w:r>
          </w:p>
          <w:p w14:paraId="68D2DA70" w14:textId="77777777" w:rsidR="00C002ED" w:rsidRDefault="00C002ED" w:rsidP="00592718">
            <w:pPr>
              <w:tabs>
                <w:tab w:val="center" w:pos="1449"/>
              </w:tabs>
              <w:spacing w:line="240" w:lineRule="auto"/>
              <w:rPr>
                <w:color w:val="auto"/>
                <w:sz w:val="16"/>
              </w:rPr>
            </w:pPr>
            <w:r>
              <w:rPr>
                <w:sz w:val="16"/>
              </w:rPr>
              <w:t>(-19%)</w:t>
            </w:r>
            <w:r>
              <w:rPr>
                <w:sz w:val="16"/>
              </w:rPr>
              <w:tab/>
            </w:r>
          </w:p>
        </w:tc>
        <w:tc>
          <w:tcPr>
            <w:tcW w:w="483" w:type="pct"/>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7C12F155" w14:textId="77777777" w:rsidR="00C002ED" w:rsidRDefault="00C002ED" w:rsidP="00592718">
            <w:pPr>
              <w:pStyle w:val="TableText"/>
              <w:spacing w:line="240" w:lineRule="auto"/>
              <w:rPr>
                <w:color w:val="auto"/>
                <w:sz w:val="16"/>
              </w:rPr>
            </w:pPr>
            <w:r>
              <w:rPr>
                <w:sz w:val="16"/>
              </w:rPr>
              <w:t>117 [-16, 249]</w:t>
            </w:r>
          </w:p>
          <w:p w14:paraId="7DC14EF3" w14:textId="77777777" w:rsidR="00C002ED" w:rsidRDefault="00C002ED" w:rsidP="00592718">
            <w:pPr>
              <w:spacing w:line="240" w:lineRule="auto"/>
              <w:rPr>
                <w:color w:val="auto"/>
                <w:sz w:val="16"/>
                <w:szCs w:val="16"/>
              </w:rPr>
            </w:pPr>
            <w:r>
              <w:rPr>
                <w:sz w:val="16"/>
                <w:szCs w:val="16"/>
              </w:rPr>
              <w:t>(+11%)</w:t>
            </w: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BFEB0E4" w14:textId="77777777" w:rsidR="00C002ED" w:rsidRDefault="00C002ED" w:rsidP="00592718">
            <w:pPr>
              <w:pStyle w:val="TableText"/>
              <w:spacing w:line="240" w:lineRule="auto"/>
              <w:rPr>
                <w:color w:val="auto"/>
                <w:sz w:val="16"/>
              </w:rPr>
            </w:pPr>
            <w:r>
              <w:rPr>
                <w:sz w:val="16"/>
              </w:rPr>
              <w:t>-5.8 [-42, 31]</w:t>
            </w:r>
          </w:p>
          <w:p w14:paraId="74D51B54" w14:textId="77777777" w:rsidR="00C002ED" w:rsidRDefault="00C002ED" w:rsidP="00592718">
            <w:pPr>
              <w:rPr>
                <w:color w:val="auto"/>
                <w:sz w:val="16"/>
                <w:szCs w:val="16"/>
              </w:rPr>
            </w:pPr>
            <w:r>
              <w:rPr>
                <w:sz w:val="16"/>
                <w:szCs w:val="16"/>
              </w:rPr>
              <w:t>(0%)</w:t>
            </w:r>
          </w:p>
        </w:tc>
        <w:tc>
          <w:tcPr>
            <w:tcW w:w="483"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E865323" w14:textId="77777777" w:rsidR="00C002ED" w:rsidRDefault="00C002ED" w:rsidP="00592718">
            <w:pPr>
              <w:pStyle w:val="TableText"/>
              <w:spacing w:line="240" w:lineRule="auto"/>
              <w:rPr>
                <w:color w:val="auto"/>
                <w:sz w:val="16"/>
                <w:szCs w:val="16"/>
              </w:rPr>
            </w:pPr>
            <w:r>
              <w:rPr>
                <w:sz w:val="16"/>
                <w:szCs w:val="16"/>
              </w:rPr>
              <w:t>14 [7.0, 20]</w:t>
            </w:r>
          </w:p>
          <w:p w14:paraId="723035A9" w14:textId="77777777" w:rsidR="00C002ED" w:rsidRDefault="00C002ED" w:rsidP="00592718">
            <w:pPr>
              <w:rPr>
                <w:color w:val="auto"/>
              </w:rPr>
            </w:pPr>
            <w:r>
              <w:rPr>
                <w:sz w:val="16"/>
                <w:szCs w:val="16"/>
              </w:rPr>
              <w:t>(+1%)</w:t>
            </w:r>
          </w:p>
        </w:tc>
        <w:tc>
          <w:tcPr>
            <w:tcW w:w="481"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E878D54" w14:textId="77777777" w:rsidR="00C002ED" w:rsidRDefault="00C002ED" w:rsidP="00592718">
            <w:pPr>
              <w:pStyle w:val="TableText"/>
              <w:spacing w:line="240" w:lineRule="auto"/>
              <w:rPr>
                <w:color w:val="auto"/>
                <w:sz w:val="16"/>
                <w:szCs w:val="16"/>
              </w:rPr>
            </w:pPr>
            <w:r>
              <w:rPr>
                <w:sz w:val="16"/>
                <w:szCs w:val="16"/>
              </w:rPr>
              <w:t>203 [-1.6, 408]</w:t>
            </w:r>
          </w:p>
          <w:p w14:paraId="7145AFF2" w14:textId="77777777" w:rsidR="00C002ED" w:rsidRDefault="00C002ED" w:rsidP="00592718">
            <w:pPr>
              <w:pStyle w:val="TableText"/>
              <w:spacing w:line="240" w:lineRule="auto"/>
              <w:rPr>
                <w:sz w:val="16"/>
                <w:szCs w:val="16"/>
              </w:rPr>
            </w:pPr>
            <w:r>
              <w:rPr>
                <w:sz w:val="16"/>
                <w:szCs w:val="16"/>
              </w:rPr>
              <w:t>(+10%)</w:t>
            </w:r>
          </w:p>
        </w:tc>
      </w:tr>
      <w:tr w:rsidR="00C002ED" w14:paraId="260E0B3F" w14:textId="77777777" w:rsidTr="00592718">
        <w:trPr>
          <w:cantSplit/>
          <w:trHeight w:val="20"/>
        </w:trPr>
        <w:tc>
          <w:tcPr>
            <w:tcW w:w="659" w:type="pct"/>
            <w:vMerge/>
            <w:tcBorders>
              <w:top w:val="single" w:sz="4" w:space="0" w:color="auto"/>
              <w:left w:val="single" w:sz="4" w:space="0" w:color="auto"/>
              <w:bottom w:val="single" w:sz="4" w:space="0" w:color="auto"/>
              <w:right w:val="single" w:sz="4" w:space="0" w:color="auto"/>
            </w:tcBorders>
            <w:vAlign w:val="center"/>
            <w:hideMark/>
          </w:tcPr>
          <w:p w14:paraId="3DA81ADA" w14:textId="77777777" w:rsidR="00C002ED" w:rsidRDefault="00C002ED" w:rsidP="00592718">
            <w:pPr>
              <w:spacing w:before="0" w:after="0" w:line="256" w:lineRule="auto"/>
              <w:jc w:val="left"/>
              <w:rPr>
                <w:rFonts w:cs="Arial"/>
                <w:color w:val="auto"/>
                <w:sz w:val="16"/>
                <w:szCs w:val="22"/>
              </w:rPr>
            </w:pPr>
          </w:p>
        </w:tc>
        <w:tc>
          <w:tcPr>
            <w:tcW w:w="4341" w:type="pct"/>
            <w:gridSpan w:val="9"/>
            <w:tcBorders>
              <w:top w:val="single" w:sz="4" w:space="0" w:color="auto"/>
              <w:left w:val="single" w:sz="4" w:space="0" w:color="auto"/>
              <w:bottom w:val="single" w:sz="4" w:space="0" w:color="auto"/>
              <w:right w:val="single" w:sz="4" w:space="0" w:color="auto"/>
            </w:tcBorders>
            <w:hideMark/>
          </w:tcPr>
          <w:p w14:paraId="751AF3F6" w14:textId="77777777" w:rsidR="00C002ED" w:rsidRDefault="00C002ED" w:rsidP="00592718">
            <w:pPr>
              <w:pStyle w:val="TableText"/>
              <w:spacing w:line="240" w:lineRule="auto"/>
              <w:rPr>
                <w:color w:val="auto"/>
                <w:sz w:val="16"/>
              </w:rPr>
            </w:pPr>
            <w:r w:rsidRPr="00A74B98">
              <w:rPr>
                <w:color w:val="auto"/>
                <w:sz w:val="16"/>
              </w:rPr>
              <w:t xml:space="preserve">Over the past decade, </w:t>
            </w:r>
            <w:r>
              <w:rPr>
                <w:color w:val="auto"/>
                <w:sz w:val="16"/>
              </w:rPr>
              <w:t>CEW</w:t>
            </w:r>
            <w:r w:rsidRPr="00A74B98">
              <w:rPr>
                <w:color w:val="auto"/>
                <w:sz w:val="16"/>
              </w:rPr>
              <w:t xml:space="preserve"> largely had negligible to minor effects on </w:t>
            </w:r>
            <w:r>
              <w:rPr>
                <w:color w:val="auto"/>
                <w:sz w:val="16"/>
              </w:rPr>
              <w:t xml:space="preserve">overall </w:t>
            </w:r>
            <w:r w:rsidRPr="00A74B98">
              <w:rPr>
                <w:color w:val="auto"/>
                <w:sz w:val="16"/>
              </w:rPr>
              <w:t xml:space="preserve">microinvertebrate density, with the exception of 2017-18, when a moderate </w:t>
            </w:r>
            <w:r>
              <w:rPr>
                <w:color w:val="auto"/>
                <w:sz w:val="16"/>
              </w:rPr>
              <w:t xml:space="preserve">positive </w:t>
            </w:r>
            <w:r w:rsidRPr="00A74B98">
              <w:rPr>
                <w:color w:val="auto"/>
                <w:sz w:val="16"/>
              </w:rPr>
              <w:t>effect was observed</w:t>
            </w:r>
            <w:r>
              <w:rPr>
                <w:color w:val="auto"/>
                <w:sz w:val="16"/>
              </w:rPr>
              <w:t xml:space="preserve"> (+25%)</w:t>
            </w:r>
            <w:r w:rsidRPr="00A74B98">
              <w:rPr>
                <w:color w:val="auto"/>
                <w:sz w:val="16"/>
              </w:rPr>
              <w:t>, and 2019-20, when a negative effect occurred</w:t>
            </w:r>
            <w:r>
              <w:rPr>
                <w:color w:val="auto"/>
                <w:sz w:val="16"/>
              </w:rPr>
              <w:t xml:space="preserve"> (-19%)</w:t>
            </w:r>
            <w:r w:rsidRPr="00A74B98">
              <w:rPr>
                <w:color w:val="auto"/>
                <w:sz w:val="16"/>
              </w:rPr>
              <w:t>.</w:t>
            </w:r>
          </w:p>
        </w:tc>
      </w:tr>
      <w:tr w:rsidR="00C002ED" w14:paraId="0200A3A1" w14:textId="77777777" w:rsidTr="00592718">
        <w:trPr>
          <w:cantSplit/>
          <w:trHeight w:val="1269"/>
        </w:trPr>
        <w:tc>
          <w:tcPr>
            <w:tcW w:w="659" w:type="pct"/>
            <w:vMerge w:val="restart"/>
            <w:tcBorders>
              <w:top w:val="single" w:sz="4" w:space="0" w:color="auto"/>
              <w:left w:val="single" w:sz="4" w:space="0" w:color="auto"/>
              <w:bottom w:val="single" w:sz="4" w:space="0" w:color="auto"/>
              <w:right w:val="single" w:sz="4" w:space="0" w:color="auto"/>
            </w:tcBorders>
            <w:hideMark/>
          </w:tcPr>
          <w:p w14:paraId="03D23281" w14:textId="77777777" w:rsidR="00C002ED" w:rsidRDefault="00C002ED" w:rsidP="00592718">
            <w:pPr>
              <w:pStyle w:val="TableText"/>
              <w:spacing w:line="240" w:lineRule="auto"/>
              <w:rPr>
                <w:color w:val="auto"/>
                <w:sz w:val="16"/>
              </w:rPr>
            </w:pPr>
            <w:bookmarkStart w:id="410" w:name="_Hlk195336887"/>
            <w:r>
              <w:rPr>
                <w:sz w:val="16"/>
              </w:rPr>
              <w:t xml:space="preserve">What did CEW contribute to microinvertebrate diversity (taxonomic richness) </w:t>
            </w:r>
            <w:bookmarkEnd w:id="410"/>
            <w:r>
              <w:rPr>
                <w:sz w:val="16"/>
              </w:rPr>
              <w:t xml:space="preserve">(H1b)? </w:t>
            </w: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1E81E56" w14:textId="77777777" w:rsidR="00C002ED" w:rsidRDefault="00C002ED" w:rsidP="00592718">
            <w:pPr>
              <w:pStyle w:val="TableText"/>
              <w:spacing w:line="240" w:lineRule="auto"/>
              <w:rPr>
                <w:color w:val="auto"/>
                <w:sz w:val="16"/>
              </w:rPr>
            </w:pPr>
            <w:r>
              <w:rPr>
                <w:sz w:val="16"/>
              </w:rPr>
              <w:t>1.0 [0.14, 1.9]</w:t>
            </w:r>
          </w:p>
          <w:p w14:paraId="30E087CF" w14:textId="77777777" w:rsidR="00C002ED" w:rsidRDefault="00C002ED" w:rsidP="00592718">
            <w:pPr>
              <w:spacing w:line="240" w:lineRule="auto"/>
              <w:rPr>
                <w:color w:val="auto"/>
                <w:sz w:val="16"/>
                <w:szCs w:val="16"/>
              </w:rPr>
            </w:pPr>
            <w:r>
              <w:rPr>
                <w:sz w:val="16"/>
                <w:szCs w:val="16"/>
              </w:rPr>
              <w:t>(+6%)</w:t>
            </w:r>
          </w:p>
        </w:tc>
        <w:tc>
          <w:tcPr>
            <w:tcW w:w="483" w:type="pct"/>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30C6DD60" w14:textId="77777777" w:rsidR="00C002ED" w:rsidRDefault="00C002ED" w:rsidP="00592718">
            <w:pPr>
              <w:pStyle w:val="TableText"/>
              <w:spacing w:line="240" w:lineRule="auto"/>
              <w:rPr>
                <w:color w:val="auto"/>
                <w:sz w:val="16"/>
              </w:rPr>
            </w:pPr>
            <w:r>
              <w:rPr>
                <w:sz w:val="16"/>
              </w:rPr>
              <w:t>2.6 [2.2, 3.1]</w:t>
            </w:r>
          </w:p>
          <w:p w14:paraId="58278929" w14:textId="77777777" w:rsidR="00C002ED" w:rsidRDefault="00C002ED" w:rsidP="00592718">
            <w:pPr>
              <w:spacing w:line="240" w:lineRule="auto"/>
              <w:rPr>
                <w:color w:val="auto"/>
                <w:sz w:val="16"/>
                <w:szCs w:val="16"/>
              </w:rPr>
            </w:pPr>
            <w:r>
              <w:rPr>
                <w:sz w:val="16"/>
                <w:szCs w:val="16"/>
              </w:rPr>
              <w:t>(+16%)</w:t>
            </w: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FC5C933" w14:textId="77777777" w:rsidR="00C002ED" w:rsidRDefault="00C002ED" w:rsidP="00592718">
            <w:pPr>
              <w:pStyle w:val="TableText"/>
              <w:spacing w:line="240" w:lineRule="auto"/>
              <w:rPr>
                <w:color w:val="auto"/>
                <w:sz w:val="16"/>
              </w:rPr>
            </w:pPr>
            <w:r>
              <w:rPr>
                <w:sz w:val="16"/>
              </w:rPr>
              <w:t>-0.02 [-0.59, 0.54]</w:t>
            </w:r>
          </w:p>
          <w:p w14:paraId="61C4AB87" w14:textId="77777777" w:rsidR="00C002ED" w:rsidRDefault="00C002ED" w:rsidP="00592718">
            <w:pPr>
              <w:spacing w:line="240" w:lineRule="auto"/>
              <w:rPr>
                <w:color w:val="auto"/>
                <w:sz w:val="16"/>
                <w:szCs w:val="16"/>
              </w:rPr>
            </w:pPr>
            <w:r>
              <w:rPr>
                <w:sz w:val="16"/>
                <w:szCs w:val="16"/>
              </w:rPr>
              <w:t>(0%)</w:t>
            </w:r>
          </w:p>
        </w:tc>
        <w:tc>
          <w:tcPr>
            <w:tcW w:w="483" w:type="pct"/>
            <w:tcBorders>
              <w:top w:val="single" w:sz="4" w:space="0" w:color="auto"/>
              <w:left w:val="single" w:sz="4" w:space="0" w:color="auto"/>
              <w:bottom w:val="single" w:sz="4" w:space="0" w:color="auto"/>
              <w:right w:val="single" w:sz="4" w:space="0" w:color="auto"/>
            </w:tcBorders>
            <w:shd w:val="clear" w:color="auto" w:fill="5B9BD5" w:themeFill="accent1"/>
            <w:hideMark/>
          </w:tcPr>
          <w:p w14:paraId="50F53993" w14:textId="77777777" w:rsidR="00C002ED" w:rsidRPr="00D23B03" w:rsidRDefault="00C002ED" w:rsidP="00592718">
            <w:pPr>
              <w:pStyle w:val="TableText"/>
              <w:spacing w:line="240" w:lineRule="auto"/>
              <w:rPr>
                <w:sz w:val="16"/>
              </w:rPr>
            </w:pPr>
            <w:r>
              <w:rPr>
                <w:sz w:val="16"/>
              </w:rPr>
              <w:t>5.7 [3.7, 7.8]</w:t>
            </w:r>
          </w:p>
          <w:p w14:paraId="6AAEACF1" w14:textId="77777777" w:rsidR="00C002ED" w:rsidRDefault="00C002ED" w:rsidP="00592718">
            <w:pPr>
              <w:pStyle w:val="TableText"/>
              <w:spacing w:line="240" w:lineRule="auto"/>
              <w:rPr>
                <w:color w:val="auto"/>
                <w:sz w:val="16"/>
                <w:szCs w:val="16"/>
              </w:rPr>
            </w:pPr>
            <w:r w:rsidRPr="00D23B03">
              <w:rPr>
                <w:sz w:val="16"/>
              </w:rPr>
              <w:t>(+43%)</w:t>
            </w: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A2D9302" w14:textId="77777777" w:rsidR="00C002ED" w:rsidRDefault="00C002ED" w:rsidP="00592718">
            <w:pPr>
              <w:pStyle w:val="TableText"/>
              <w:spacing w:line="240" w:lineRule="auto"/>
              <w:rPr>
                <w:color w:val="auto"/>
                <w:sz w:val="16"/>
              </w:rPr>
            </w:pPr>
            <w:r>
              <w:rPr>
                <w:sz w:val="16"/>
              </w:rPr>
              <w:t>1.7 [-0.99, 4.4]</w:t>
            </w:r>
          </w:p>
          <w:p w14:paraId="516D9E6C" w14:textId="77777777" w:rsidR="00C002ED" w:rsidRDefault="00C002ED" w:rsidP="00592718">
            <w:pPr>
              <w:pStyle w:val="TableText"/>
              <w:spacing w:line="240" w:lineRule="auto"/>
              <w:rPr>
                <w:color w:val="auto"/>
                <w:sz w:val="16"/>
              </w:rPr>
            </w:pPr>
            <w:r>
              <w:rPr>
                <w:sz w:val="16"/>
              </w:rPr>
              <w:t>(+9%)</w:t>
            </w:r>
          </w:p>
        </w:tc>
        <w:tc>
          <w:tcPr>
            <w:tcW w:w="483"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563883F" w14:textId="77777777" w:rsidR="00C002ED" w:rsidRDefault="00C002ED" w:rsidP="00592718">
            <w:pPr>
              <w:pStyle w:val="TableText"/>
              <w:spacing w:line="240" w:lineRule="auto"/>
              <w:rPr>
                <w:color w:val="auto"/>
                <w:sz w:val="16"/>
              </w:rPr>
            </w:pPr>
            <w:r>
              <w:rPr>
                <w:sz w:val="16"/>
              </w:rPr>
              <w:t>0.84 [-0.10, 1.8]</w:t>
            </w:r>
          </w:p>
          <w:p w14:paraId="066ED220" w14:textId="77777777" w:rsidR="00C002ED" w:rsidRDefault="00C002ED" w:rsidP="00592718">
            <w:pPr>
              <w:spacing w:line="240" w:lineRule="auto"/>
              <w:rPr>
                <w:color w:val="auto"/>
                <w:sz w:val="16"/>
                <w:szCs w:val="16"/>
              </w:rPr>
            </w:pPr>
            <w:r>
              <w:rPr>
                <w:sz w:val="16"/>
                <w:szCs w:val="16"/>
              </w:rPr>
              <w:t>(0%)</w:t>
            </w: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47FC534" w14:textId="77777777" w:rsidR="00C002ED" w:rsidRDefault="00C002ED" w:rsidP="00592718">
            <w:pPr>
              <w:pStyle w:val="TableText"/>
              <w:spacing w:line="240" w:lineRule="auto"/>
              <w:rPr>
                <w:color w:val="auto"/>
                <w:sz w:val="16"/>
              </w:rPr>
            </w:pPr>
            <w:r>
              <w:rPr>
                <w:sz w:val="16"/>
              </w:rPr>
              <w:t>-0.89 [-2.4, 0.65]</w:t>
            </w:r>
          </w:p>
          <w:p w14:paraId="14BD42D8" w14:textId="77777777" w:rsidR="00C002ED" w:rsidRDefault="00C002ED" w:rsidP="00592718">
            <w:pPr>
              <w:rPr>
                <w:color w:val="auto"/>
                <w:sz w:val="16"/>
                <w:szCs w:val="16"/>
              </w:rPr>
            </w:pPr>
            <w:r>
              <w:rPr>
                <w:sz w:val="16"/>
                <w:szCs w:val="16"/>
              </w:rPr>
              <w:t>(-5%)</w:t>
            </w:r>
          </w:p>
        </w:tc>
        <w:tc>
          <w:tcPr>
            <w:tcW w:w="483"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BBA21F9" w14:textId="77777777" w:rsidR="00C002ED" w:rsidRDefault="00C002ED" w:rsidP="00592718">
            <w:pPr>
              <w:pStyle w:val="TableText"/>
              <w:spacing w:line="240" w:lineRule="auto"/>
              <w:rPr>
                <w:color w:val="auto"/>
                <w:sz w:val="16"/>
              </w:rPr>
            </w:pPr>
            <w:r>
              <w:rPr>
                <w:sz w:val="16"/>
              </w:rPr>
              <w:t>-0.68 [-2.5, 1.1]</w:t>
            </w:r>
          </w:p>
          <w:p w14:paraId="6EB62E90" w14:textId="77777777" w:rsidR="00C002ED" w:rsidRDefault="00C002ED" w:rsidP="00592718">
            <w:pPr>
              <w:rPr>
                <w:color w:val="auto"/>
                <w:sz w:val="16"/>
                <w:szCs w:val="16"/>
              </w:rPr>
            </w:pPr>
            <w:r>
              <w:rPr>
                <w:sz w:val="16"/>
                <w:szCs w:val="16"/>
              </w:rPr>
              <w:t>(-3%)</w:t>
            </w:r>
          </w:p>
        </w:tc>
        <w:tc>
          <w:tcPr>
            <w:tcW w:w="48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E2533BC" w14:textId="77777777" w:rsidR="00C002ED" w:rsidRDefault="00C002ED" w:rsidP="00592718">
            <w:pPr>
              <w:pStyle w:val="TableText"/>
              <w:spacing w:line="240" w:lineRule="auto"/>
              <w:rPr>
                <w:sz w:val="16"/>
              </w:rPr>
            </w:pPr>
            <w:r>
              <w:rPr>
                <w:sz w:val="16"/>
              </w:rPr>
              <w:t>-1.4 [-4.7, 1.9]</w:t>
            </w:r>
          </w:p>
          <w:p w14:paraId="543EA304" w14:textId="77777777" w:rsidR="00C002ED" w:rsidRPr="000B3E2B" w:rsidRDefault="00C002ED" w:rsidP="00592718">
            <w:pPr>
              <w:rPr>
                <w:sz w:val="16"/>
                <w:szCs w:val="16"/>
              </w:rPr>
            </w:pPr>
            <w:r>
              <w:rPr>
                <w:sz w:val="16"/>
                <w:szCs w:val="16"/>
              </w:rPr>
              <w:t>(-7%)</w:t>
            </w:r>
          </w:p>
        </w:tc>
      </w:tr>
      <w:tr w:rsidR="00C002ED" w14:paraId="1F845C19" w14:textId="77777777" w:rsidTr="00592718">
        <w:trPr>
          <w:cantSplit/>
          <w:trHeight w:val="20"/>
        </w:trPr>
        <w:tc>
          <w:tcPr>
            <w:tcW w:w="659" w:type="pct"/>
            <w:vMerge/>
            <w:tcBorders>
              <w:top w:val="single" w:sz="4" w:space="0" w:color="auto"/>
              <w:left w:val="single" w:sz="4" w:space="0" w:color="auto"/>
              <w:bottom w:val="single" w:sz="4" w:space="0" w:color="auto"/>
              <w:right w:val="single" w:sz="4" w:space="0" w:color="auto"/>
            </w:tcBorders>
            <w:vAlign w:val="center"/>
            <w:hideMark/>
          </w:tcPr>
          <w:p w14:paraId="6D91FC6D" w14:textId="77777777" w:rsidR="00C002ED" w:rsidRDefault="00C002ED" w:rsidP="00592718">
            <w:pPr>
              <w:spacing w:before="0" w:after="0" w:line="256" w:lineRule="auto"/>
              <w:jc w:val="left"/>
              <w:rPr>
                <w:rFonts w:cs="Arial"/>
                <w:color w:val="auto"/>
                <w:sz w:val="16"/>
                <w:szCs w:val="22"/>
              </w:rPr>
            </w:pPr>
          </w:p>
        </w:tc>
        <w:tc>
          <w:tcPr>
            <w:tcW w:w="4341" w:type="pct"/>
            <w:gridSpan w:val="9"/>
            <w:tcBorders>
              <w:top w:val="single" w:sz="4" w:space="0" w:color="auto"/>
              <w:left w:val="single" w:sz="4" w:space="0" w:color="auto"/>
              <w:bottom w:val="single" w:sz="4" w:space="0" w:color="auto"/>
              <w:right w:val="single" w:sz="4" w:space="0" w:color="auto"/>
            </w:tcBorders>
            <w:hideMark/>
          </w:tcPr>
          <w:p w14:paraId="148DD07F" w14:textId="77777777" w:rsidR="00C002ED" w:rsidRDefault="00C002ED" w:rsidP="00592718">
            <w:pPr>
              <w:pStyle w:val="TableText"/>
              <w:spacing w:line="240" w:lineRule="auto"/>
              <w:rPr>
                <w:color w:val="auto"/>
                <w:sz w:val="16"/>
              </w:rPr>
            </w:pPr>
            <w:r w:rsidRPr="00882765">
              <w:rPr>
                <w:color w:val="auto"/>
                <w:sz w:val="16"/>
              </w:rPr>
              <w:t xml:space="preserve">Over the past decade, </w:t>
            </w:r>
            <w:r>
              <w:rPr>
                <w:color w:val="auto"/>
                <w:sz w:val="16"/>
              </w:rPr>
              <w:t>CEW</w:t>
            </w:r>
            <w:r w:rsidRPr="00882765">
              <w:rPr>
                <w:color w:val="auto"/>
                <w:sz w:val="16"/>
              </w:rPr>
              <w:t xml:space="preserve"> generally had negligible to minor effects on microinvertebrate diversity, with the exception of 201</w:t>
            </w:r>
            <w:r>
              <w:rPr>
                <w:color w:val="auto"/>
                <w:sz w:val="16"/>
              </w:rPr>
              <w:t>7</w:t>
            </w:r>
            <w:r w:rsidRPr="00882765">
              <w:rPr>
                <w:color w:val="auto"/>
                <w:sz w:val="16"/>
              </w:rPr>
              <w:t>-1</w:t>
            </w:r>
            <w:r>
              <w:rPr>
                <w:color w:val="auto"/>
                <w:sz w:val="16"/>
              </w:rPr>
              <w:t>8</w:t>
            </w:r>
            <w:r w:rsidRPr="00882765">
              <w:rPr>
                <w:color w:val="auto"/>
                <w:sz w:val="16"/>
              </w:rPr>
              <w:t xml:space="preserve">, when a substantial </w:t>
            </w:r>
            <w:r>
              <w:rPr>
                <w:color w:val="auto"/>
                <w:sz w:val="16"/>
              </w:rPr>
              <w:t xml:space="preserve">positive </w:t>
            </w:r>
            <w:r w:rsidRPr="00882765">
              <w:rPr>
                <w:color w:val="auto"/>
                <w:sz w:val="16"/>
              </w:rPr>
              <w:t>effect was observed</w:t>
            </w:r>
            <w:r>
              <w:rPr>
                <w:color w:val="auto"/>
                <w:sz w:val="16"/>
              </w:rPr>
              <w:t xml:space="preserve"> (+43%)</w:t>
            </w:r>
            <w:r>
              <w:rPr>
                <w:bCs/>
                <w:sz w:val="16"/>
                <w:szCs w:val="16"/>
              </w:rPr>
              <w:t>.</w:t>
            </w:r>
          </w:p>
        </w:tc>
      </w:tr>
      <w:tr w:rsidR="00C002ED" w14:paraId="721AC18E" w14:textId="77777777" w:rsidTr="00592718">
        <w:trPr>
          <w:cantSplit/>
          <w:trHeight w:val="750"/>
        </w:trPr>
        <w:tc>
          <w:tcPr>
            <w:tcW w:w="659" w:type="pct"/>
            <w:vMerge w:val="restart"/>
            <w:tcBorders>
              <w:top w:val="single" w:sz="4" w:space="0" w:color="auto"/>
              <w:left w:val="single" w:sz="4" w:space="0" w:color="auto"/>
              <w:bottom w:val="single" w:sz="4" w:space="0" w:color="auto"/>
              <w:right w:val="single" w:sz="4" w:space="0" w:color="auto"/>
            </w:tcBorders>
          </w:tcPr>
          <w:p w14:paraId="33CDFB42" w14:textId="77777777" w:rsidR="00C002ED" w:rsidRDefault="00C002ED" w:rsidP="00592718">
            <w:pPr>
              <w:pStyle w:val="TableText"/>
              <w:spacing w:line="240" w:lineRule="auto"/>
              <w:rPr>
                <w:sz w:val="16"/>
              </w:rPr>
            </w:pPr>
            <w:bookmarkStart w:id="411" w:name="_Hlk195336983"/>
            <w:r>
              <w:rPr>
                <w:sz w:val="16"/>
              </w:rPr>
              <w:t xml:space="preserve">What did CEW contribute to microinvertebrate communities of the LMR via lateral connectivity </w:t>
            </w:r>
            <w:bookmarkEnd w:id="411"/>
            <w:r>
              <w:rPr>
                <w:sz w:val="16"/>
              </w:rPr>
              <w:t xml:space="preserve">(H2a)? </w:t>
            </w:r>
          </w:p>
          <w:p w14:paraId="002CD418" w14:textId="77777777" w:rsidR="00C002ED" w:rsidRDefault="00C002ED" w:rsidP="00592718"/>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2D14A46" w14:textId="77777777" w:rsidR="00C002ED" w:rsidRDefault="00C002ED" w:rsidP="00592718">
            <w:pPr>
              <w:pStyle w:val="TableText"/>
              <w:spacing w:line="240" w:lineRule="auto"/>
              <w:rPr>
                <w:color w:val="auto"/>
                <w:sz w:val="16"/>
              </w:rPr>
            </w:pPr>
            <w:r>
              <w:rPr>
                <w:sz w:val="16"/>
              </w:rPr>
              <w:t>2.1 [1.1, 3.0]</w:t>
            </w:r>
          </w:p>
          <w:p w14:paraId="421B4A0E" w14:textId="77777777" w:rsidR="00C002ED" w:rsidRDefault="00C002ED" w:rsidP="00592718">
            <w:pPr>
              <w:spacing w:line="240" w:lineRule="auto"/>
              <w:rPr>
                <w:color w:val="auto"/>
                <w:sz w:val="16"/>
                <w:szCs w:val="16"/>
              </w:rPr>
            </w:pPr>
            <w:r>
              <w:rPr>
                <w:sz w:val="16"/>
                <w:szCs w:val="16"/>
              </w:rPr>
              <w:t>(+7%)</w:t>
            </w:r>
          </w:p>
        </w:tc>
        <w:tc>
          <w:tcPr>
            <w:tcW w:w="483"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BF4CF28" w14:textId="77777777" w:rsidR="00C002ED" w:rsidRDefault="00C002ED" w:rsidP="00592718">
            <w:pPr>
              <w:pStyle w:val="TableText"/>
              <w:spacing w:line="240" w:lineRule="auto"/>
              <w:rPr>
                <w:color w:val="auto"/>
                <w:sz w:val="16"/>
              </w:rPr>
            </w:pPr>
            <w:r>
              <w:rPr>
                <w:sz w:val="16"/>
              </w:rPr>
              <w:t>-0.98 [-5.0, 3.1]</w:t>
            </w:r>
          </w:p>
          <w:p w14:paraId="69BC03BA" w14:textId="77777777" w:rsidR="00C002ED" w:rsidRDefault="00C002ED" w:rsidP="00592718">
            <w:pPr>
              <w:spacing w:line="240" w:lineRule="auto"/>
              <w:rPr>
                <w:color w:val="auto"/>
                <w:sz w:val="16"/>
                <w:szCs w:val="16"/>
              </w:rPr>
            </w:pPr>
            <w:r>
              <w:rPr>
                <w:sz w:val="16"/>
                <w:szCs w:val="16"/>
              </w:rPr>
              <w:t>(-4%)</w:t>
            </w:r>
          </w:p>
        </w:tc>
        <w:tc>
          <w:tcPr>
            <w:tcW w:w="482" w:type="pct"/>
            <w:tcBorders>
              <w:top w:val="single" w:sz="4" w:space="0" w:color="auto"/>
              <w:left w:val="single" w:sz="4" w:space="0" w:color="auto"/>
              <w:bottom w:val="single" w:sz="4" w:space="0" w:color="auto"/>
              <w:right w:val="single" w:sz="4" w:space="0" w:color="auto"/>
            </w:tcBorders>
            <w:shd w:val="clear" w:color="auto" w:fill="FF0000"/>
            <w:hideMark/>
          </w:tcPr>
          <w:p w14:paraId="6CE7DA5F" w14:textId="77777777" w:rsidR="00C002ED" w:rsidRDefault="00C002ED" w:rsidP="00592718">
            <w:pPr>
              <w:pStyle w:val="TableText"/>
              <w:spacing w:line="240" w:lineRule="auto"/>
              <w:rPr>
                <w:color w:val="auto"/>
                <w:sz w:val="16"/>
              </w:rPr>
            </w:pPr>
            <w:r>
              <w:rPr>
                <w:sz w:val="16"/>
              </w:rPr>
              <w:t>-2.7 [-4.9, -0.45]</w:t>
            </w:r>
          </w:p>
          <w:p w14:paraId="15B16C9E" w14:textId="77777777" w:rsidR="00C002ED" w:rsidRDefault="00C002ED" w:rsidP="00592718">
            <w:pPr>
              <w:spacing w:line="240" w:lineRule="auto"/>
              <w:rPr>
                <w:color w:val="auto"/>
                <w:sz w:val="16"/>
                <w:szCs w:val="16"/>
              </w:rPr>
            </w:pPr>
            <w:r>
              <w:rPr>
                <w:sz w:val="16"/>
                <w:szCs w:val="16"/>
              </w:rPr>
              <w:t>(-12%)</w:t>
            </w:r>
          </w:p>
        </w:tc>
        <w:tc>
          <w:tcPr>
            <w:tcW w:w="483" w:type="pct"/>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2A0B7D9" w14:textId="77777777" w:rsidR="00C002ED" w:rsidRDefault="00C002ED" w:rsidP="00592718">
            <w:pPr>
              <w:pStyle w:val="TableText"/>
              <w:spacing w:line="240" w:lineRule="auto"/>
              <w:rPr>
                <w:color w:val="auto"/>
                <w:sz w:val="16"/>
              </w:rPr>
            </w:pPr>
            <w:r>
              <w:rPr>
                <w:sz w:val="16"/>
              </w:rPr>
              <w:t>5.5 [-6.0, 17]</w:t>
            </w:r>
          </w:p>
          <w:p w14:paraId="7AB9E07C" w14:textId="77777777" w:rsidR="00C002ED" w:rsidRDefault="00C002ED" w:rsidP="00592718">
            <w:pPr>
              <w:spacing w:line="240" w:lineRule="auto"/>
              <w:rPr>
                <w:color w:val="auto"/>
                <w:sz w:val="16"/>
                <w:szCs w:val="16"/>
              </w:rPr>
            </w:pPr>
            <w:r>
              <w:rPr>
                <w:sz w:val="16"/>
                <w:szCs w:val="16"/>
              </w:rPr>
              <w:t>(+14%)</w:t>
            </w:r>
          </w:p>
        </w:tc>
        <w:tc>
          <w:tcPr>
            <w:tcW w:w="482" w:type="pct"/>
            <w:tcBorders>
              <w:top w:val="single" w:sz="4" w:space="0" w:color="auto"/>
              <w:left w:val="single" w:sz="4" w:space="0" w:color="auto"/>
              <w:bottom w:val="single" w:sz="4" w:space="0" w:color="auto"/>
              <w:right w:val="single" w:sz="4" w:space="0" w:color="auto"/>
            </w:tcBorders>
            <w:shd w:val="clear" w:color="auto" w:fill="FF0000"/>
            <w:hideMark/>
          </w:tcPr>
          <w:p w14:paraId="47E60163" w14:textId="77777777" w:rsidR="00C002ED" w:rsidRDefault="00C002ED" w:rsidP="00592718">
            <w:pPr>
              <w:pStyle w:val="TableText"/>
              <w:spacing w:line="240" w:lineRule="auto"/>
              <w:rPr>
                <w:color w:val="auto"/>
                <w:sz w:val="16"/>
              </w:rPr>
            </w:pPr>
            <w:r>
              <w:rPr>
                <w:sz w:val="16"/>
              </w:rPr>
              <w:t>-58 [-91, -24]</w:t>
            </w:r>
          </w:p>
          <w:p w14:paraId="5DD0150B" w14:textId="77777777" w:rsidR="00C002ED" w:rsidRDefault="00C002ED" w:rsidP="00592718">
            <w:pPr>
              <w:pStyle w:val="TableText"/>
              <w:spacing w:line="240" w:lineRule="auto"/>
              <w:rPr>
                <w:color w:val="auto"/>
                <w:sz w:val="16"/>
              </w:rPr>
            </w:pPr>
            <w:r>
              <w:rPr>
                <w:sz w:val="16"/>
              </w:rPr>
              <w:t>(-126%)</w:t>
            </w:r>
          </w:p>
        </w:tc>
        <w:tc>
          <w:tcPr>
            <w:tcW w:w="483" w:type="pct"/>
            <w:tcBorders>
              <w:top w:val="single" w:sz="4" w:space="0" w:color="auto"/>
              <w:left w:val="single" w:sz="4" w:space="0" w:color="auto"/>
              <w:bottom w:val="single" w:sz="4" w:space="0" w:color="auto"/>
              <w:right w:val="single" w:sz="4" w:space="0" w:color="auto"/>
            </w:tcBorders>
            <w:shd w:val="clear" w:color="auto" w:fill="FF0000"/>
            <w:hideMark/>
          </w:tcPr>
          <w:p w14:paraId="12C43E49" w14:textId="77777777" w:rsidR="00C002ED" w:rsidRDefault="00C002ED" w:rsidP="00592718">
            <w:pPr>
              <w:pStyle w:val="TableText"/>
              <w:spacing w:line="240" w:lineRule="auto"/>
              <w:rPr>
                <w:color w:val="auto"/>
                <w:sz w:val="16"/>
              </w:rPr>
            </w:pPr>
            <w:r>
              <w:rPr>
                <w:sz w:val="16"/>
              </w:rPr>
              <w:t>-56 [-83, -29]</w:t>
            </w:r>
          </w:p>
          <w:p w14:paraId="0D963098" w14:textId="77777777" w:rsidR="00C002ED" w:rsidRDefault="00C002ED" w:rsidP="00592718">
            <w:pPr>
              <w:spacing w:line="240" w:lineRule="auto"/>
              <w:rPr>
                <w:color w:val="auto"/>
                <w:sz w:val="16"/>
                <w:szCs w:val="16"/>
              </w:rPr>
            </w:pPr>
            <w:r>
              <w:rPr>
                <w:sz w:val="16"/>
                <w:szCs w:val="16"/>
              </w:rPr>
              <w:t>(-133%)</w:t>
            </w:r>
          </w:p>
        </w:tc>
        <w:tc>
          <w:tcPr>
            <w:tcW w:w="482" w:type="pct"/>
            <w:tcBorders>
              <w:top w:val="single" w:sz="4" w:space="0" w:color="auto"/>
              <w:left w:val="single" w:sz="4" w:space="0" w:color="auto"/>
              <w:bottom w:val="single" w:sz="4" w:space="0" w:color="auto"/>
              <w:right w:val="single" w:sz="4" w:space="0" w:color="auto"/>
            </w:tcBorders>
            <w:shd w:val="clear" w:color="auto" w:fill="FF0000"/>
            <w:hideMark/>
          </w:tcPr>
          <w:p w14:paraId="55D2E1ED" w14:textId="77777777" w:rsidR="00C002ED" w:rsidRDefault="00C002ED" w:rsidP="00592718">
            <w:pPr>
              <w:pStyle w:val="TableText"/>
              <w:spacing w:line="240" w:lineRule="auto"/>
              <w:rPr>
                <w:color w:val="auto"/>
                <w:sz w:val="16"/>
              </w:rPr>
            </w:pPr>
            <w:r>
              <w:rPr>
                <w:sz w:val="16"/>
              </w:rPr>
              <w:t>-4.4 [-6.5, -2.3]</w:t>
            </w:r>
          </w:p>
          <w:p w14:paraId="16322F78" w14:textId="77777777" w:rsidR="00C002ED" w:rsidRDefault="00C002ED" w:rsidP="00592718">
            <w:pPr>
              <w:rPr>
                <w:color w:val="auto"/>
                <w:sz w:val="16"/>
                <w:szCs w:val="16"/>
              </w:rPr>
            </w:pPr>
            <w:r>
              <w:rPr>
                <w:sz w:val="16"/>
                <w:szCs w:val="16"/>
              </w:rPr>
              <w:t>(-35%)</w:t>
            </w:r>
          </w:p>
        </w:tc>
        <w:tc>
          <w:tcPr>
            <w:tcW w:w="483"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E53D76D" w14:textId="77777777" w:rsidR="00C002ED" w:rsidRDefault="00C002ED" w:rsidP="00592718">
            <w:pPr>
              <w:pStyle w:val="TableText"/>
              <w:spacing w:line="240" w:lineRule="auto"/>
              <w:rPr>
                <w:color w:val="auto"/>
                <w:sz w:val="16"/>
              </w:rPr>
            </w:pPr>
            <w:r>
              <w:rPr>
                <w:sz w:val="16"/>
              </w:rPr>
              <w:t>-1.0 [-1.6, -0.3]</w:t>
            </w:r>
          </w:p>
          <w:p w14:paraId="117C395B" w14:textId="77777777" w:rsidR="00C002ED" w:rsidRDefault="00C002ED" w:rsidP="00592718">
            <w:pPr>
              <w:rPr>
                <w:color w:val="auto"/>
                <w:sz w:val="16"/>
                <w:szCs w:val="16"/>
              </w:rPr>
            </w:pPr>
            <w:r>
              <w:rPr>
                <w:sz w:val="16"/>
                <w:szCs w:val="16"/>
              </w:rPr>
              <w:t>(-5%)</w:t>
            </w:r>
          </w:p>
        </w:tc>
        <w:tc>
          <w:tcPr>
            <w:tcW w:w="481" w:type="pct"/>
            <w:tcBorders>
              <w:top w:val="single" w:sz="4" w:space="0" w:color="auto"/>
              <w:left w:val="single" w:sz="4" w:space="0" w:color="auto"/>
              <w:bottom w:val="single" w:sz="4" w:space="0" w:color="auto"/>
              <w:right w:val="single" w:sz="4" w:space="0" w:color="auto"/>
            </w:tcBorders>
            <w:shd w:val="clear" w:color="auto" w:fill="FF0000"/>
          </w:tcPr>
          <w:p w14:paraId="65B119D8" w14:textId="77777777" w:rsidR="00C002ED" w:rsidRDefault="00C002ED" w:rsidP="00592718">
            <w:pPr>
              <w:pStyle w:val="TableText"/>
              <w:spacing w:line="240" w:lineRule="auto"/>
              <w:rPr>
                <w:sz w:val="16"/>
              </w:rPr>
            </w:pPr>
            <w:r>
              <w:rPr>
                <w:sz w:val="16"/>
              </w:rPr>
              <w:t>-29 [-41, -18]</w:t>
            </w:r>
          </w:p>
          <w:p w14:paraId="56395FBD" w14:textId="77777777" w:rsidR="00C002ED" w:rsidRPr="00D173E9" w:rsidRDefault="00C002ED" w:rsidP="00592718">
            <w:pPr>
              <w:rPr>
                <w:sz w:val="16"/>
                <w:szCs w:val="16"/>
              </w:rPr>
            </w:pPr>
            <w:r>
              <w:rPr>
                <w:sz w:val="16"/>
                <w:szCs w:val="16"/>
              </w:rPr>
              <w:t>(-93%)</w:t>
            </w:r>
          </w:p>
        </w:tc>
      </w:tr>
      <w:tr w:rsidR="00C002ED" w14:paraId="2B2909D7" w14:textId="77777777" w:rsidTr="00592718">
        <w:trPr>
          <w:cantSplit/>
          <w:trHeight w:val="20"/>
        </w:trPr>
        <w:tc>
          <w:tcPr>
            <w:tcW w:w="659" w:type="pct"/>
            <w:vMerge/>
            <w:tcBorders>
              <w:top w:val="single" w:sz="4" w:space="0" w:color="auto"/>
              <w:left w:val="single" w:sz="4" w:space="0" w:color="auto"/>
              <w:bottom w:val="single" w:sz="4" w:space="0" w:color="auto"/>
              <w:right w:val="single" w:sz="4" w:space="0" w:color="auto"/>
            </w:tcBorders>
            <w:vAlign w:val="center"/>
            <w:hideMark/>
          </w:tcPr>
          <w:p w14:paraId="07805402" w14:textId="77777777" w:rsidR="00C002ED" w:rsidRDefault="00C002ED" w:rsidP="00592718">
            <w:pPr>
              <w:spacing w:before="0" w:after="0" w:line="256" w:lineRule="auto"/>
              <w:jc w:val="left"/>
            </w:pPr>
          </w:p>
        </w:tc>
        <w:tc>
          <w:tcPr>
            <w:tcW w:w="4341" w:type="pct"/>
            <w:gridSpan w:val="9"/>
            <w:tcBorders>
              <w:top w:val="single" w:sz="4" w:space="0" w:color="auto"/>
              <w:left w:val="single" w:sz="4" w:space="0" w:color="auto"/>
              <w:bottom w:val="single" w:sz="4" w:space="0" w:color="auto"/>
              <w:right w:val="single" w:sz="4" w:space="0" w:color="auto"/>
            </w:tcBorders>
            <w:hideMark/>
          </w:tcPr>
          <w:p w14:paraId="61238819" w14:textId="1416793A" w:rsidR="00C002ED" w:rsidRDefault="00C002ED" w:rsidP="00592718">
            <w:pPr>
              <w:pStyle w:val="TableText"/>
              <w:spacing w:line="240" w:lineRule="auto"/>
              <w:rPr>
                <w:color w:val="auto"/>
                <w:sz w:val="16"/>
              </w:rPr>
            </w:pPr>
            <w:r w:rsidRPr="003C7B92">
              <w:rPr>
                <w:color w:val="auto"/>
                <w:sz w:val="16"/>
              </w:rPr>
              <w:t xml:space="preserve">Over the past decade, </w:t>
            </w:r>
            <w:r>
              <w:rPr>
                <w:color w:val="auto"/>
                <w:sz w:val="16"/>
              </w:rPr>
              <w:t>CEW</w:t>
            </w:r>
            <w:r w:rsidRPr="003C7B92">
              <w:rPr>
                <w:color w:val="auto"/>
                <w:sz w:val="16"/>
              </w:rPr>
              <w:t xml:space="preserve"> predominantly had negligible to negative effects on microinvertebrate communities of the LMR via lateral connectivity, </w:t>
            </w:r>
            <w:r w:rsidR="00DC0FD9">
              <w:rPr>
                <w:color w:val="auto"/>
                <w:sz w:val="16"/>
              </w:rPr>
              <w:t xml:space="preserve">although </w:t>
            </w:r>
            <w:r w:rsidRPr="003C7B92">
              <w:rPr>
                <w:color w:val="auto"/>
                <w:sz w:val="16"/>
              </w:rPr>
              <w:t>with a minor</w:t>
            </w:r>
            <w:r w:rsidR="00DC0FD9">
              <w:rPr>
                <w:color w:val="auto"/>
                <w:sz w:val="16"/>
              </w:rPr>
              <w:t xml:space="preserve"> positive</w:t>
            </w:r>
            <w:r w:rsidRPr="003C7B92">
              <w:rPr>
                <w:color w:val="auto"/>
                <w:sz w:val="16"/>
              </w:rPr>
              <w:t xml:space="preserve"> effect observed in 2017-18</w:t>
            </w:r>
            <w:r>
              <w:rPr>
                <w:color w:val="auto"/>
                <w:sz w:val="16"/>
              </w:rPr>
              <w:t xml:space="preserve"> (+14%)</w:t>
            </w:r>
            <w:r w:rsidRPr="003C7B92">
              <w:rPr>
                <w:color w:val="auto"/>
                <w:sz w:val="16"/>
              </w:rPr>
              <w:t>.</w:t>
            </w:r>
          </w:p>
        </w:tc>
      </w:tr>
      <w:tr w:rsidR="00C002ED" w14:paraId="435A54C0" w14:textId="77777777" w:rsidTr="00592718">
        <w:trPr>
          <w:cantSplit/>
          <w:trHeight w:val="20"/>
        </w:trPr>
        <w:tc>
          <w:tcPr>
            <w:tcW w:w="659" w:type="pct"/>
            <w:vMerge w:val="restart"/>
            <w:tcBorders>
              <w:top w:val="single" w:sz="4" w:space="0" w:color="auto"/>
              <w:left w:val="single" w:sz="4" w:space="0" w:color="auto"/>
              <w:bottom w:val="single" w:sz="4" w:space="0" w:color="auto"/>
              <w:right w:val="single" w:sz="4" w:space="0" w:color="auto"/>
            </w:tcBorders>
            <w:hideMark/>
          </w:tcPr>
          <w:p w14:paraId="606B4004" w14:textId="77777777" w:rsidR="00C002ED" w:rsidRDefault="00C002ED" w:rsidP="00592718">
            <w:pPr>
              <w:pStyle w:val="TableText"/>
              <w:spacing w:line="240" w:lineRule="auto"/>
              <w:rPr>
                <w:color w:val="auto"/>
                <w:sz w:val="16"/>
              </w:rPr>
            </w:pPr>
            <w:bookmarkStart w:id="412" w:name="_Hlk195337017"/>
            <w:r>
              <w:rPr>
                <w:sz w:val="16"/>
              </w:rPr>
              <w:lastRenderedPageBreak/>
              <w:t xml:space="preserve">What did CEW contribute to microinvertebrate communities of the LMR via longitudinal connectivity </w:t>
            </w:r>
            <w:bookmarkEnd w:id="412"/>
            <w:r>
              <w:rPr>
                <w:sz w:val="16"/>
              </w:rPr>
              <w:t>(H2b)?</w:t>
            </w: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D83BB2A" w14:textId="77777777" w:rsidR="00C002ED" w:rsidRDefault="00C002ED" w:rsidP="00592718">
            <w:pPr>
              <w:pStyle w:val="TableText"/>
              <w:spacing w:line="240" w:lineRule="auto"/>
              <w:rPr>
                <w:color w:val="auto"/>
                <w:sz w:val="16"/>
                <w:lang w:val="en-US" w:bidi="en-US"/>
              </w:rPr>
            </w:pPr>
            <w:r>
              <w:rPr>
                <w:sz w:val="16"/>
                <w:lang w:val="en-US" w:bidi="en-US"/>
              </w:rPr>
              <w:t>-38 [-91, 14]</w:t>
            </w:r>
          </w:p>
          <w:p w14:paraId="11AFE858" w14:textId="77777777" w:rsidR="00C002ED" w:rsidRDefault="00C002ED" w:rsidP="00592718">
            <w:pPr>
              <w:spacing w:line="240" w:lineRule="auto"/>
              <w:rPr>
                <w:color w:val="auto"/>
                <w:sz w:val="16"/>
                <w:szCs w:val="16"/>
                <w:lang w:val="en-US" w:bidi="en-US"/>
              </w:rPr>
            </w:pPr>
            <w:r>
              <w:rPr>
                <w:sz w:val="16"/>
                <w:szCs w:val="16"/>
                <w:lang w:val="en-US" w:bidi="en-US"/>
              </w:rPr>
              <w:t>(-8%)</w:t>
            </w:r>
          </w:p>
        </w:tc>
        <w:tc>
          <w:tcPr>
            <w:tcW w:w="483" w:type="pct"/>
            <w:tcBorders>
              <w:top w:val="single" w:sz="4" w:space="0" w:color="auto"/>
              <w:left w:val="single" w:sz="4" w:space="0" w:color="auto"/>
              <w:bottom w:val="single" w:sz="4" w:space="0" w:color="auto"/>
              <w:right w:val="single" w:sz="4" w:space="0" w:color="auto"/>
            </w:tcBorders>
            <w:shd w:val="clear" w:color="auto" w:fill="FF0000"/>
            <w:hideMark/>
          </w:tcPr>
          <w:p w14:paraId="24712048" w14:textId="77777777" w:rsidR="00C002ED" w:rsidRDefault="00C002ED" w:rsidP="00592718">
            <w:pPr>
              <w:pStyle w:val="TableText"/>
              <w:spacing w:line="240" w:lineRule="auto"/>
              <w:rPr>
                <w:color w:val="auto"/>
                <w:sz w:val="16"/>
                <w:lang w:val="en-US" w:bidi="en-US"/>
              </w:rPr>
            </w:pPr>
            <w:r>
              <w:rPr>
                <w:sz w:val="16"/>
                <w:lang w:val="en-US" w:bidi="en-US"/>
              </w:rPr>
              <w:t>-139 [-251, -27]</w:t>
            </w:r>
          </w:p>
          <w:p w14:paraId="22F0395C" w14:textId="77777777" w:rsidR="00C002ED" w:rsidRDefault="00C002ED" w:rsidP="00592718">
            <w:pPr>
              <w:spacing w:line="240" w:lineRule="auto"/>
              <w:rPr>
                <w:color w:val="auto"/>
                <w:sz w:val="16"/>
                <w:szCs w:val="16"/>
                <w:lang w:val="en-US" w:bidi="en-US"/>
              </w:rPr>
            </w:pPr>
            <w:r>
              <w:rPr>
                <w:sz w:val="16"/>
                <w:szCs w:val="16"/>
                <w:lang w:val="en-US" w:bidi="en-US"/>
              </w:rPr>
              <w:t>(-43%)</w:t>
            </w: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4D531AC" w14:textId="77777777" w:rsidR="00C002ED" w:rsidRDefault="00C002ED" w:rsidP="00592718">
            <w:pPr>
              <w:pStyle w:val="TableText"/>
              <w:spacing w:line="240" w:lineRule="auto"/>
              <w:rPr>
                <w:color w:val="auto"/>
                <w:sz w:val="16"/>
                <w:lang w:val="en-US" w:bidi="en-US"/>
              </w:rPr>
            </w:pPr>
            <w:r>
              <w:rPr>
                <w:sz w:val="16"/>
                <w:lang w:val="en-US" w:bidi="en-US"/>
              </w:rPr>
              <w:t>24 [9.4, 39]</w:t>
            </w:r>
          </w:p>
          <w:p w14:paraId="31DF769E" w14:textId="77777777" w:rsidR="00C002ED" w:rsidRDefault="00C002ED" w:rsidP="00592718">
            <w:pPr>
              <w:spacing w:line="240" w:lineRule="auto"/>
              <w:rPr>
                <w:color w:val="auto"/>
                <w:sz w:val="16"/>
                <w:szCs w:val="16"/>
                <w:lang w:val="en-US" w:bidi="en-US"/>
              </w:rPr>
            </w:pPr>
            <w:r>
              <w:rPr>
                <w:sz w:val="16"/>
                <w:szCs w:val="16"/>
                <w:lang w:val="en-US" w:bidi="en-US"/>
              </w:rPr>
              <w:t>(+7%)</w:t>
            </w:r>
          </w:p>
        </w:tc>
        <w:tc>
          <w:tcPr>
            <w:tcW w:w="483" w:type="pct"/>
            <w:tcBorders>
              <w:top w:val="single" w:sz="4" w:space="0" w:color="auto"/>
              <w:left w:val="single" w:sz="4" w:space="0" w:color="auto"/>
              <w:bottom w:val="single" w:sz="4" w:space="0" w:color="auto"/>
              <w:right w:val="single" w:sz="4" w:space="0" w:color="auto"/>
            </w:tcBorders>
            <w:shd w:val="clear" w:color="auto" w:fill="70AD47" w:themeFill="accent6"/>
            <w:hideMark/>
          </w:tcPr>
          <w:p w14:paraId="64D64ADC" w14:textId="77777777" w:rsidR="00C002ED" w:rsidRDefault="00C002ED" w:rsidP="00592718">
            <w:pPr>
              <w:pStyle w:val="TableText"/>
              <w:spacing w:line="240" w:lineRule="auto"/>
              <w:rPr>
                <w:color w:val="auto"/>
                <w:sz w:val="16"/>
                <w:lang w:val="en-US" w:bidi="en-US"/>
              </w:rPr>
            </w:pPr>
            <w:r>
              <w:rPr>
                <w:sz w:val="16"/>
                <w:lang w:val="en-US" w:bidi="en-US"/>
              </w:rPr>
              <w:t>61 [19, 102]</w:t>
            </w:r>
          </w:p>
          <w:p w14:paraId="0C02D45C" w14:textId="77777777" w:rsidR="00C002ED" w:rsidRDefault="00C002ED" w:rsidP="00592718">
            <w:pPr>
              <w:spacing w:line="240" w:lineRule="auto"/>
              <w:rPr>
                <w:color w:val="auto"/>
                <w:sz w:val="16"/>
                <w:szCs w:val="16"/>
                <w:lang w:val="en-US" w:bidi="en-US"/>
              </w:rPr>
            </w:pPr>
            <w:r>
              <w:rPr>
                <w:sz w:val="16"/>
                <w:szCs w:val="16"/>
                <w:lang w:val="en-US" w:bidi="en-US"/>
              </w:rPr>
              <w:t>(+20%)</w:t>
            </w:r>
          </w:p>
        </w:tc>
        <w:tc>
          <w:tcPr>
            <w:tcW w:w="482" w:type="pct"/>
            <w:tcBorders>
              <w:top w:val="single" w:sz="4" w:space="0" w:color="auto"/>
              <w:left w:val="single" w:sz="4" w:space="0" w:color="auto"/>
              <w:bottom w:val="single" w:sz="4" w:space="0" w:color="auto"/>
              <w:right w:val="single" w:sz="4" w:space="0" w:color="auto"/>
            </w:tcBorders>
            <w:shd w:val="clear" w:color="auto" w:fill="FF0000"/>
            <w:hideMark/>
          </w:tcPr>
          <w:p w14:paraId="63997941" w14:textId="77777777" w:rsidR="00C002ED" w:rsidRDefault="00C002ED" w:rsidP="00592718">
            <w:pPr>
              <w:pStyle w:val="TableText"/>
              <w:spacing w:line="240" w:lineRule="auto"/>
              <w:rPr>
                <w:color w:val="auto"/>
                <w:sz w:val="16"/>
                <w:lang w:val="en-US" w:bidi="en-US"/>
              </w:rPr>
            </w:pPr>
            <w:r>
              <w:rPr>
                <w:sz w:val="16"/>
                <w:lang w:val="en-US" w:bidi="en-US"/>
              </w:rPr>
              <w:t>-608 [-1007, -210]</w:t>
            </w:r>
          </w:p>
          <w:p w14:paraId="11CD966C" w14:textId="77777777" w:rsidR="00C002ED" w:rsidRDefault="00C002ED" w:rsidP="00592718">
            <w:pPr>
              <w:pStyle w:val="TableText"/>
              <w:spacing w:line="240" w:lineRule="auto"/>
              <w:rPr>
                <w:color w:val="auto"/>
                <w:sz w:val="16"/>
                <w:lang w:val="en-US" w:bidi="en-US"/>
              </w:rPr>
            </w:pPr>
            <w:r>
              <w:rPr>
                <w:sz w:val="16"/>
              </w:rPr>
              <w:t>(-111%)</w:t>
            </w:r>
          </w:p>
        </w:tc>
        <w:tc>
          <w:tcPr>
            <w:tcW w:w="483"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7105E9D" w14:textId="77777777" w:rsidR="00C002ED" w:rsidRDefault="00C002ED" w:rsidP="00592718">
            <w:pPr>
              <w:pStyle w:val="TableText"/>
              <w:spacing w:line="240" w:lineRule="auto"/>
              <w:rPr>
                <w:color w:val="auto"/>
                <w:sz w:val="16"/>
                <w:lang w:val="en-US" w:bidi="en-US"/>
              </w:rPr>
            </w:pPr>
            <w:r>
              <w:rPr>
                <w:sz w:val="16"/>
                <w:lang w:val="en-US" w:bidi="en-US"/>
              </w:rPr>
              <w:t>-26 [-192, 141]</w:t>
            </w:r>
          </w:p>
          <w:p w14:paraId="6A0A7B68" w14:textId="77777777" w:rsidR="00C002ED" w:rsidRDefault="00C002ED" w:rsidP="00592718">
            <w:pPr>
              <w:spacing w:line="240" w:lineRule="auto"/>
              <w:rPr>
                <w:color w:val="auto"/>
                <w:sz w:val="16"/>
                <w:szCs w:val="16"/>
                <w:lang w:val="en-US" w:bidi="en-US"/>
              </w:rPr>
            </w:pPr>
            <w:r>
              <w:rPr>
                <w:sz w:val="16"/>
                <w:szCs w:val="16"/>
                <w:lang w:val="en-US" w:bidi="en-US"/>
              </w:rPr>
              <w:t>(-5%)</w:t>
            </w: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F2D44D6" w14:textId="77777777" w:rsidR="00C002ED" w:rsidRDefault="00C002ED" w:rsidP="00592718">
            <w:pPr>
              <w:pStyle w:val="TableText"/>
              <w:spacing w:line="240" w:lineRule="auto"/>
              <w:rPr>
                <w:color w:val="auto"/>
                <w:sz w:val="16"/>
                <w:lang w:val="en-US" w:bidi="en-US"/>
              </w:rPr>
            </w:pPr>
            <w:r>
              <w:rPr>
                <w:sz w:val="16"/>
                <w:lang w:val="en-US" w:bidi="en-US"/>
              </w:rPr>
              <w:t>-30 [-82, 23]</w:t>
            </w:r>
          </w:p>
          <w:p w14:paraId="76B68979" w14:textId="77777777" w:rsidR="00C002ED" w:rsidRDefault="00C002ED" w:rsidP="00592718">
            <w:pPr>
              <w:rPr>
                <w:color w:val="auto"/>
                <w:sz w:val="16"/>
                <w:szCs w:val="16"/>
                <w:lang w:val="en-US" w:bidi="en-US"/>
              </w:rPr>
            </w:pPr>
            <w:r>
              <w:rPr>
                <w:sz w:val="16"/>
                <w:szCs w:val="16"/>
                <w:lang w:val="en-US" w:bidi="en-US"/>
              </w:rPr>
              <w:t>(-3%)</w:t>
            </w:r>
          </w:p>
        </w:tc>
        <w:tc>
          <w:tcPr>
            <w:tcW w:w="483"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3C4EEF3" w14:textId="77777777" w:rsidR="00C002ED" w:rsidRDefault="00C002ED" w:rsidP="00592718">
            <w:pPr>
              <w:pStyle w:val="TableText"/>
              <w:spacing w:line="240" w:lineRule="auto"/>
              <w:rPr>
                <w:color w:val="auto"/>
                <w:sz w:val="16"/>
                <w:lang w:val="en-US" w:bidi="en-US"/>
              </w:rPr>
            </w:pPr>
            <w:r>
              <w:rPr>
                <w:sz w:val="16"/>
                <w:lang w:val="en-US" w:bidi="en-US"/>
              </w:rPr>
              <w:t>5.5 [-0.7, 12]</w:t>
            </w:r>
          </w:p>
          <w:p w14:paraId="450FD431" w14:textId="77777777" w:rsidR="00C002ED" w:rsidRDefault="00C002ED" w:rsidP="00592718">
            <w:pPr>
              <w:rPr>
                <w:color w:val="auto"/>
                <w:sz w:val="16"/>
                <w:szCs w:val="16"/>
                <w:lang w:val="en-US" w:bidi="en-US"/>
              </w:rPr>
            </w:pPr>
            <w:r>
              <w:rPr>
                <w:sz w:val="16"/>
                <w:szCs w:val="16"/>
                <w:lang w:val="en-US" w:bidi="en-US"/>
              </w:rPr>
              <w:t>(0%)</w:t>
            </w:r>
          </w:p>
        </w:tc>
        <w:tc>
          <w:tcPr>
            <w:tcW w:w="481" w:type="pct"/>
            <w:tcBorders>
              <w:top w:val="single" w:sz="4" w:space="0" w:color="auto"/>
              <w:left w:val="single" w:sz="4" w:space="0" w:color="auto"/>
              <w:bottom w:val="single" w:sz="4" w:space="0" w:color="auto"/>
              <w:right w:val="single" w:sz="4" w:space="0" w:color="auto"/>
            </w:tcBorders>
            <w:shd w:val="clear" w:color="auto" w:fill="70AD47" w:themeFill="accent6"/>
          </w:tcPr>
          <w:p w14:paraId="0B4C3592" w14:textId="77777777" w:rsidR="00C002ED" w:rsidRDefault="00C002ED" w:rsidP="00592718">
            <w:pPr>
              <w:pStyle w:val="TableText"/>
              <w:spacing w:line="240" w:lineRule="auto"/>
              <w:rPr>
                <w:sz w:val="16"/>
                <w:lang w:val="en-US" w:bidi="en-US"/>
              </w:rPr>
            </w:pPr>
            <w:r>
              <w:rPr>
                <w:sz w:val="16"/>
                <w:lang w:val="en-US" w:bidi="en-US"/>
              </w:rPr>
              <w:t>275 [79, 471]</w:t>
            </w:r>
          </w:p>
          <w:p w14:paraId="05AFC662" w14:textId="77777777" w:rsidR="00C002ED" w:rsidRPr="00992BA8" w:rsidRDefault="00C002ED" w:rsidP="00592718">
            <w:pPr>
              <w:rPr>
                <w:sz w:val="16"/>
                <w:szCs w:val="16"/>
                <w:lang w:val="en-US" w:bidi="en-US"/>
              </w:rPr>
            </w:pPr>
            <w:r>
              <w:rPr>
                <w:sz w:val="16"/>
                <w:szCs w:val="16"/>
                <w:lang w:val="en-US" w:bidi="en-US"/>
              </w:rPr>
              <w:t>(+23%)</w:t>
            </w:r>
          </w:p>
        </w:tc>
      </w:tr>
      <w:tr w:rsidR="00C002ED" w14:paraId="1B5FCB14" w14:textId="77777777" w:rsidTr="00592718">
        <w:trPr>
          <w:cantSplit/>
          <w:trHeight w:val="692"/>
        </w:trPr>
        <w:tc>
          <w:tcPr>
            <w:tcW w:w="659" w:type="pct"/>
            <w:vMerge/>
            <w:tcBorders>
              <w:top w:val="single" w:sz="4" w:space="0" w:color="auto"/>
              <w:left w:val="single" w:sz="4" w:space="0" w:color="auto"/>
              <w:bottom w:val="single" w:sz="4" w:space="0" w:color="auto"/>
              <w:right w:val="single" w:sz="4" w:space="0" w:color="auto"/>
            </w:tcBorders>
            <w:vAlign w:val="center"/>
            <w:hideMark/>
          </w:tcPr>
          <w:p w14:paraId="7B721799" w14:textId="77777777" w:rsidR="00C002ED" w:rsidRDefault="00C002ED" w:rsidP="00592718">
            <w:pPr>
              <w:spacing w:before="0" w:after="0" w:line="256" w:lineRule="auto"/>
              <w:jc w:val="left"/>
              <w:rPr>
                <w:rFonts w:cs="Arial"/>
                <w:color w:val="auto"/>
                <w:sz w:val="16"/>
                <w:szCs w:val="22"/>
              </w:rPr>
            </w:pPr>
          </w:p>
        </w:tc>
        <w:tc>
          <w:tcPr>
            <w:tcW w:w="4341" w:type="pct"/>
            <w:gridSpan w:val="9"/>
            <w:tcBorders>
              <w:top w:val="single" w:sz="4" w:space="0" w:color="auto"/>
              <w:left w:val="single" w:sz="4" w:space="0" w:color="auto"/>
              <w:bottom w:val="single" w:sz="4" w:space="0" w:color="auto"/>
              <w:right w:val="single" w:sz="4" w:space="0" w:color="auto"/>
            </w:tcBorders>
            <w:hideMark/>
          </w:tcPr>
          <w:p w14:paraId="63003E38" w14:textId="77777777" w:rsidR="00C002ED" w:rsidRDefault="00C002ED" w:rsidP="00592718">
            <w:pPr>
              <w:pStyle w:val="TableText"/>
              <w:spacing w:line="240" w:lineRule="auto"/>
              <w:rPr>
                <w:color w:val="auto"/>
                <w:sz w:val="16"/>
              </w:rPr>
            </w:pPr>
            <w:r w:rsidRPr="003C7B92">
              <w:rPr>
                <w:color w:val="auto"/>
                <w:sz w:val="16"/>
              </w:rPr>
              <w:t xml:space="preserve">Over the past decade, </w:t>
            </w:r>
            <w:r>
              <w:rPr>
                <w:color w:val="auto"/>
                <w:sz w:val="16"/>
              </w:rPr>
              <w:t>CEW</w:t>
            </w:r>
            <w:r w:rsidRPr="003C7B92">
              <w:rPr>
                <w:color w:val="auto"/>
                <w:sz w:val="16"/>
              </w:rPr>
              <w:t xml:space="preserve"> predominantly had negligible effects on microinvertebrate communities of the LMR via longitudinal connectivity, </w:t>
            </w:r>
            <w:r>
              <w:rPr>
                <w:color w:val="auto"/>
                <w:sz w:val="16"/>
              </w:rPr>
              <w:t xml:space="preserve">but </w:t>
            </w:r>
            <w:r w:rsidRPr="003C7B92">
              <w:rPr>
                <w:color w:val="auto"/>
                <w:sz w:val="16"/>
              </w:rPr>
              <w:t>with moderate</w:t>
            </w:r>
            <w:r>
              <w:rPr>
                <w:color w:val="auto"/>
                <w:sz w:val="16"/>
              </w:rPr>
              <w:t xml:space="preserve"> positive</w:t>
            </w:r>
            <w:r w:rsidRPr="003C7B92">
              <w:rPr>
                <w:color w:val="auto"/>
                <w:sz w:val="16"/>
              </w:rPr>
              <w:t xml:space="preserve"> effects observed in 2017-18</w:t>
            </w:r>
            <w:r>
              <w:rPr>
                <w:color w:val="auto"/>
                <w:sz w:val="16"/>
              </w:rPr>
              <w:t xml:space="preserve"> (+20%)</w:t>
            </w:r>
            <w:r w:rsidRPr="003C7B92">
              <w:rPr>
                <w:color w:val="auto"/>
                <w:sz w:val="16"/>
              </w:rPr>
              <w:t xml:space="preserve"> and 2023-24</w:t>
            </w:r>
            <w:r>
              <w:rPr>
                <w:color w:val="auto"/>
                <w:sz w:val="16"/>
              </w:rPr>
              <w:t xml:space="preserve"> (+23%)</w:t>
            </w:r>
            <w:r w:rsidRPr="003C7B92">
              <w:rPr>
                <w:color w:val="auto"/>
                <w:sz w:val="16"/>
              </w:rPr>
              <w:t>, and negative effects in 2015-16</w:t>
            </w:r>
            <w:r>
              <w:rPr>
                <w:color w:val="auto"/>
                <w:sz w:val="16"/>
              </w:rPr>
              <w:t xml:space="preserve"> (-43%)</w:t>
            </w:r>
            <w:r w:rsidRPr="003C7B92">
              <w:rPr>
                <w:color w:val="auto"/>
                <w:sz w:val="16"/>
              </w:rPr>
              <w:t xml:space="preserve"> and 2019-20</w:t>
            </w:r>
            <w:r>
              <w:rPr>
                <w:color w:val="auto"/>
                <w:sz w:val="16"/>
              </w:rPr>
              <w:t xml:space="preserve"> (-111%)</w:t>
            </w:r>
            <w:r w:rsidRPr="003C7B92">
              <w:rPr>
                <w:color w:val="auto"/>
                <w:sz w:val="16"/>
              </w:rPr>
              <w:t>.</w:t>
            </w:r>
          </w:p>
        </w:tc>
      </w:tr>
      <w:tr w:rsidR="00C002ED" w14:paraId="45420DF7" w14:textId="77777777" w:rsidTr="00592718">
        <w:trPr>
          <w:cantSplit/>
          <w:trHeight w:val="20"/>
        </w:trPr>
        <w:tc>
          <w:tcPr>
            <w:tcW w:w="659" w:type="pct"/>
            <w:vMerge w:val="restart"/>
            <w:tcBorders>
              <w:top w:val="single" w:sz="4" w:space="0" w:color="auto"/>
              <w:left w:val="single" w:sz="4" w:space="0" w:color="auto"/>
              <w:bottom w:val="single" w:sz="4" w:space="0" w:color="auto"/>
              <w:right w:val="single" w:sz="4" w:space="0" w:color="auto"/>
            </w:tcBorders>
          </w:tcPr>
          <w:p w14:paraId="44FE84D9" w14:textId="77777777" w:rsidR="00C002ED" w:rsidRDefault="00C002ED" w:rsidP="00592718">
            <w:pPr>
              <w:pStyle w:val="TableText"/>
              <w:spacing w:line="240" w:lineRule="auto"/>
              <w:rPr>
                <w:color w:val="auto"/>
                <w:sz w:val="16"/>
              </w:rPr>
            </w:pPr>
            <w:bookmarkStart w:id="413" w:name="_Hlk195337181"/>
            <w:r>
              <w:rPr>
                <w:sz w:val="16"/>
              </w:rPr>
              <w:t xml:space="preserve">What did CEW contribute to spring-early summer microinvertebrate fish prey species density </w:t>
            </w:r>
            <w:bookmarkEnd w:id="413"/>
            <w:r>
              <w:rPr>
                <w:sz w:val="16"/>
              </w:rPr>
              <w:t>(H3)?</w:t>
            </w:r>
          </w:p>
          <w:p w14:paraId="733B56B7" w14:textId="77777777" w:rsidR="00C002ED" w:rsidRDefault="00C002ED" w:rsidP="00592718">
            <w:pPr>
              <w:pStyle w:val="TableText"/>
              <w:spacing w:line="240" w:lineRule="auto"/>
              <w:rPr>
                <w:color w:val="auto"/>
                <w:sz w:val="16"/>
              </w:rPr>
            </w:pP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67A9B2C" w14:textId="77777777" w:rsidR="00C002ED" w:rsidRDefault="00C002ED" w:rsidP="00592718">
            <w:pPr>
              <w:pStyle w:val="TableText"/>
              <w:spacing w:line="240" w:lineRule="auto"/>
              <w:rPr>
                <w:color w:val="auto"/>
                <w:sz w:val="16"/>
              </w:rPr>
            </w:pPr>
            <w:r>
              <w:rPr>
                <w:sz w:val="16"/>
              </w:rPr>
              <w:t>2.4 [1.4, 3.5]</w:t>
            </w:r>
          </w:p>
          <w:p w14:paraId="689FC804" w14:textId="77777777" w:rsidR="00C002ED" w:rsidRDefault="00C002ED" w:rsidP="00592718">
            <w:pPr>
              <w:spacing w:line="240" w:lineRule="auto"/>
              <w:rPr>
                <w:color w:val="auto"/>
                <w:sz w:val="16"/>
                <w:szCs w:val="16"/>
              </w:rPr>
            </w:pPr>
            <w:r>
              <w:rPr>
                <w:sz w:val="16"/>
                <w:szCs w:val="16"/>
              </w:rPr>
              <w:t>(+8%)</w:t>
            </w:r>
          </w:p>
        </w:tc>
        <w:tc>
          <w:tcPr>
            <w:tcW w:w="483" w:type="pct"/>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4C923E8" w14:textId="77777777" w:rsidR="00C002ED" w:rsidRDefault="00C002ED" w:rsidP="00592718">
            <w:pPr>
              <w:pStyle w:val="TableText"/>
              <w:spacing w:line="240" w:lineRule="auto"/>
              <w:rPr>
                <w:color w:val="auto"/>
                <w:sz w:val="16"/>
              </w:rPr>
            </w:pPr>
            <w:r>
              <w:rPr>
                <w:sz w:val="16"/>
              </w:rPr>
              <w:t>4.7 [2.5, 6.9]</w:t>
            </w:r>
          </w:p>
          <w:p w14:paraId="43736F0C" w14:textId="77777777" w:rsidR="00C002ED" w:rsidRDefault="00C002ED" w:rsidP="00592718">
            <w:pPr>
              <w:spacing w:line="240" w:lineRule="auto"/>
              <w:rPr>
                <w:color w:val="auto"/>
                <w:sz w:val="16"/>
                <w:szCs w:val="16"/>
              </w:rPr>
            </w:pPr>
            <w:r>
              <w:rPr>
                <w:sz w:val="16"/>
                <w:szCs w:val="16"/>
              </w:rPr>
              <w:t>(+17%)</w:t>
            </w: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E77EB30" w14:textId="77777777" w:rsidR="00C002ED" w:rsidRDefault="00C002ED" w:rsidP="00592718">
            <w:pPr>
              <w:pStyle w:val="TableText"/>
              <w:spacing w:line="240" w:lineRule="auto"/>
              <w:rPr>
                <w:color w:val="auto"/>
                <w:sz w:val="16"/>
              </w:rPr>
            </w:pPr>
            <w:r>
              <w:rPr>
                <w:sz w:val="16"/>
              </w:rPr>
              <w:t>0.03 [-0.23, 0.29]</w:t>
            </w:r>
          </w:p>
          <w:p w14:paraId="19866363" w14:textId="77777777" w:rsidR="00C002ED" w:rsidRDefault="00C002ED" w:rsidP="00592718">
            <w:pPr>
              <w:spacing w:line="240" w:lineRule="auto"/>
              <w:rPr>
                <w:color w:val="auto"/>
                <w:sz w:val="16"/>
                <w:szCs w:val="16"/>
              </w:rPr>
            </w:pPr>
            <w:r>
              <w:rPr>
                <w:sz w:val="16"/>
                <w:szCs w:val="16"/>
              </w:rPr>
              <w:t>(+1%)</w:t>
            </w:r>
          </w:p>
        </w:tc>
        <w:tc>
          <w:tcPr>
            <w:tcW w:w="483" w:type="pct"/>
            <w:tcBorders>
              <w:top w:val="single" w:sz="4" w:space="0" w:color="auto"/>
              <w:left w:val="single" w:sz="4" w:space="0" w:color="auto"/>
              <w:bottom w:val="single" w:sz="4" w:space="0" w:color="auto"/>
              <w:right w:val="single" w:sz="4" w:space="0" w:color="auto"/>
            </w:tcBorders>
            <w:shd w:val="clear" w:color="auto" w:fill="5B9BD5" w:themeFill="accent1"/>
            <w:hideMark/>
          </w:tcPr>
          <w:p w14:paraId="539F835D" w14:textId="77777777" w:rsidR="00C002ED" w:rsidRDefault="00C002ED" w:rsidP="00592718">
            <w:pPr>
              <w:pStyle w:val="TableText"/>
              <w:spacing w:line="240" w:lineRule="auto"/>
              <w:rPr>
                <w:color w:val="auto"/>
                <w:sz w:val="16"/>
              </w:rPr>
            </w:pPr>
            <w:r>
              <w:rPr>
                <w:sz w:val="16"/>
              </w:rPr>
              <w:t>19 [8.3, 30]</w:t>
            </w:r>
          </w:p>
          <w:p w14:paraId="297F5BAE" w14:textId="77777777" w:rsidR="00C002ED" w:rsidRDefault="00C002ED" w:rsidP="00592718">
            <w:pPr>
              <w:spacing w:line="240" w:lineRule="auto"/>
              <w:rPr>
                <w:color w:val="auto"/>
                <w:sz w:val="16"/>
                <w:szCs w:val="16"/>
              </w:rPr>
            </w:pPr>
            <w:r>
              <w:rPr>
                <w:sz w:val="16"/>
                <w:szCs w:val="16"/>
              </w:rPr>
              <w:t>(+43%)</w:t>
            </w:r>
          </w:p>
        </w:tc>
        <w:tc>
          <w:tcPr>
            <w:tcW w:w="482" w:type="pct"/>
            <w:tcBorders>
              <w:top w:val="single" w:sz="4" w:space="0" w:color="auto"/>
              <w:left w:val="single" w:sz="4" w:space="0" w:color="auto"/>
              <w:bottom w:val="single" w:sz="4" w:space="0" w:color="auto"/>
              <w:right w:val="single" w:sz="4" w:space="0" w:color="auto"/>
            </w:tcBorders>
            <w:shd w:val="clear" w:color="auto" w:fill="FF0000"/>
            <w:hideMark/>
          </w:tcPr>
          <w:p w14:paraId="15ECF456" w14:textId="77777777" w:rsidR="00C002ED" w:rsidRDefault="00C002ED" w:rsidP="00592718">
            <w:pPr>
              <w:pStyle w:val="TableText"/>
              <w:spacing w:line="240" w:lineRule="auto"/>
              <w:rPr>
                <w:color w:val="auto"/>
                <w:sz w:val="16"/>
              </w:rPr>
            </w:pPr>
            <w:r>
              <w:rPr>
                <w:sz w:val="16"/>
              </w:rPr>
              <w:t>-59 [-94, -23]</w:t>
            </w:r>
          </w:p>
          <w:p w14:paraId="3E663DB7" w14:textId="77777777" w:rsidR="00C002ED" w:rsidRDefault="00C002ED" w:rsidP="00592718">
            <w:pPr>
              <w:pStyle w:val="TableText"/>
              <w:spacing w:line="240" w:lineRule="auto"/>
              <w:rPr>
                <w:color w:val="auto"/>
                <w:sz w:val="16"/>
              </w:rPr>
            </w:pPr>
            <w:r>
              <w:rPr>
                <w:sz w:val="16"/>
              </w:rPr>
              <w:t>(-122%)</w:t>
            </w:r>
          </w:p>
        </w:tc>
        <w:tc>
          <w:tcPr>
            <w:tcW w:w="483" w:type="pct"/>
            <w:tcBorders>
              <w:top w:val="single" w:sz="4" w:space="0" w:color="auto"/>
              <w:left w:val="single" w:sz="4" w:space="0" w:color="auto"/>
              <w:bottom w:val="single" w:sz="4" w:space="0" w:color="auto"/>
              <w:right w:val="single" w:sz="4" w:space="0" w:color="auto"/>
            </w:tcBorders>
            <w:shd w:val="clear" w:color="auto" w:fill="FF0000"/>
            <w:hideMark/>
          </w:tcPr>
          <w:p w14:paraId="735A7157" w14:textId="77777777" w:rsidR="00C002ED" w:rsidRDefault="00C002ED" w:rsidP="00592718">
            <w:pPr>
              <w:pStyle w:val="TableText"/>
              <w:spacing w:line="240" w:lineRule="auto"/>
              <w:rPr>
                <w:color w:val="auto"/>
                <w:sz w:val="16"/>
              </w:rPr>
            </w:pPr>
            <w:r>
              <w:rPr>
                <w:sz w:val="16"/>
              </w:rPr>
              <w:t>-55 [-81, -29]</w:t>
            </w:r>
          </w:p>
          <w:p w14:paraId="6FBB0AF7" w14:textId="77777777" w:rsidR="00C002ED" w:rsidRDefault="00C002ED" w:rsidP="00592718">
            <w:pPr>
              <w:spacing w:line="240" w:lineRule="auto"/>
              <w:rPr>
                <w:color w:val="auto"/>
                <w:sz w:val="16"/>
                <w:szCs w:val="16"/>
              </w:rPr>
            </w:pPr>
            <w:r>
              <w:rPr>
                <w:sz w:val="16"/>
                <w:szCs w:val="16"/>
              </w:rPr>
              <w:t>(-122%)</w:t>
            </w:r>
          </w:p>
        </w:tc>
        <w:tc>
          <w:tcPr>
            <w:tcW w:w="482" w:type="pct"/>
            <w:tcBorders>
              <w:top w:val="single" w:sz="4" w:space="0" w:color="auto"/>
              <w:left w:val="single" w:sz="4" w:space="0" w:color="auto"/>
              <w:bottom w:val="single" w:sz="4" w:space="0" w:color="auto"/>
              <w:right w:val="single" w:sz="4" w:space="0" w:color="auto"/>
            </w:tcBorders>
            <w:shd w:val="clear" w:color="auto" w:fill="FF0000"/>
            <w:hideMark/>
          </w:tcPr>
          <w:p w14:paraId="75A0A960" w14:textId="77777777" w:rsidR="00C002ED" w:rsidRDefault="00C002ED" w:rsidP="00592718">
            <w:pPr>
              <w:pStyle w:val="TableText"/>
              <w:spacing w:line="240" w:lineRule="auto"/>
              <w:rPr>
                <w:color w:val="auto"/>
                <w:sz w:val="16"/>
              </w:rPr>
            </w:pPr>
            <w:r>
              <w:rPr>
                <w:sz w:val="16"/>
              </w:rPr>
              <w:t>-4.3 [-6.3, -2.4]</w:t>
            </w:r>
          </w:p>
          <w:p w14:paraId="2F8ECDA0" w14:textId="77777777" w:rsidR="00C002ED" w:rsidRDefault="00C002ED" w:rsidP="00592718">
            <w:pPr>
              <w:rPr>
                <w:color w:val="auto"/>
                <w:sz w:val="16"/>
                <w:szCs w:val="16"/>
              </w:rPr>
            </w:pPr>
            <w:r>
              <w:rPr>
                <w:sz w:val="16"/>
                <w:szCs w:val="16"/>
              </w:rPr>
              <w:t>(-30%)</w:t>
            </w:r>
          </w:p>
        </w:tc>
        <w:tc>
          <w:tcPr>
            <w:tcW w:w="483"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4732F72" w14:textId="77777777" w:rsidR="00C002ED" w:rsidRDefault="00C002ED" w:rsidP="00592718">
            <w:pPr>
              <w:pStyle w:val="TableText"/>
              <w:spacing w:line="240" w:lineRule="auto"/>
              <w:rPr>
                <w:color w:val="auto"/>
                <w:sz w:val="16"/>
              </w:rPr>
            </w:pPr>
            <w:r>
              <w:rPr>
                <w:sz w:val="16"/>
              </w:rPr>
              <w:t>-1.3 [-2.1, -0.5]</w:t>
            </w:r>
          </w:p>
          <w:p w14:paraId="21EFE45C" w14:textId="77777777" w:rsidR="00C002ED" w:rsidRDefault="00C002ED" w:rsidP="00592718">
            <w:pPr>
              <w:rPr>
                <w:color w:val="auto"/>
                <w:sz w:val="16"/>
                <w:szCs w:val="16"/>
              </w:rPr>
            </w:pPr>
            <w:r>
              <w:rPr>
                <w:sz w:val="16"/>
                <w:szCs w:val="16"/>
              </w:rPr>
              <w:t>(-7%)</w:t>
            </w:r>
          </w:p>
        </w:tc>
        <w:tc>
          <w:tcPr>
            <w:tcW w:w="481" w:type="pct"/>
            <w:tcBorders>
              <w:top w:val="single" w:sz="4" w:space="0" w:color="auto"/>
              <w:left w:val="single" w:sz="4" w:space="0" w:color="auto"/>
              <w:bottom w:val="single" w:sz="4" w:space="0" w:color="auto"/>
              <w:right w:val="single" w:sz="4" w:space="0" w:color="auto"/>
            </w:tcBorders>
            <w:shd w:val="clear" w:color="auto" w:fill="FF0000"/>
          </w:tcPr>
          <w:p w14:paraId="0B185CE4" w14:textId="77777777" w:rsidR="00C002ED" w:rsidRDefault="00C002ED" w:rsidP="00592718">
            <w:pPr>
              <w:pStyle w:val="TableText"/>
              <w:spacing w:line="240" w:lineRule="auto"/>
              <w:rPr>
                <w:sz w:val="16"/>
              </w:rPr>
            </w:pPr>
            <w:r>
              <w:rPr>
                <w:sz w:val="16"/>
              </w:rPr>
              <w:t>-27 [-35, -18]</w:t>
            </w:r>
          </w:p>
          <w:p w14:paraId="40B04489" w14:textId="77777777" w:rsidR="00C002ED" w:rsidRPr="00265948" w:rsidRDefault="00C002ED" w:rsidP="00592718">
            <w:pPr>
              <w:rPr>
                <w:sz w:val="16"/>
                <w:szCs w:val="16"/>
              </w:rPr>
            </w:pPr>
            <w:r>
              <w:rPr>
                <w:sz w:val="16"/>
                <w:szCs w:val="16"/>
              </w:rPr>
              <w:t>(-107%)</w:t>
            </w:r>
          </w:p>
        </w:tc>
      </w:tr>
      <w:tr w:rsidR="00C002ED" w14:paraId="208592F8" w14:textId="77777777" w:rsidTr="00592718">
        <w:trPr>
          <w:cantSplit/>
          <w:trHeight w:val="642"/>
        </w:trPr>
        <w:tc>
          <w:tcPr>
            <w:tcW w:w="659" w:type="pct"/>
            <w:vMerge/>
            <w:tcBorders>
              <w:top w:val="single" w:sz="4" w:space="0" w:color="auto"/>
              <w:left w:val="single" w:sz="4" w:space="0" w:color="auto"/>
              <w:bottom w:val="single" w:sz="4" w:space="0" w:color="auto"/>
              <w:right w:val="single" w:sz="4" w:space="0" w:color="auto"/>
            </w:tcBorders>
            <w:vAlign w:val="center"/>
            <w:hideMark/>
          </w:tcPr>
          <w:p w14:paraId="121EA08A" w14:textId="77777777" w:rsidR="00C002ED" w:rsidRDefault="00C002ED" w:rsidP="00592718">
            <w:pPr>
              <w:spacing w:before="0" w:after="0" w:line="256" w:lineRule="auto"/>
              <w:jc w:val="left"/>
              <w:rPr>
                <w:rFonts w:cs="Arial"/>
                <w:color w:val="auto"/>
                <w:sz w:val="16"/>
                <w:szCs w:val="22"/>
              </w:rPr>
            </w:pPr>
          </w:p>
        </w:tc>
        <w:tc>
          <w:tcPr>
            <w:tcW w:w="4341" w:type="pct"/>
            <w:gridSpan w:val="9"/>
            <w:tcBorders>
              <w:top w:val="single" w:sz="4" w:space="0" w:color="auto"/>
              <w:left w:val="single" w:sz="4" w:space="0" w:color="auto"/>
              <w:bottom w:val="single" w:sz="4" w:space="0" w:color="auto"/>
              <w:right w:val="single" w:sz="4" w:space="0" w:color="auto"/>
            </w:tcBorders>
            <w:hideMark/>
          </w:tcPr>
          <w:p w14:paraId="3C017F83" w14:textId="77777777" w:rsidR="00C002ED" w:rsidRDefault="00C002ED" w:rsidP="00592718">
            <w:pPr>
              <w:pStyle w:val="TableText"/>
              <w:spacing w:line="240" w:lineRule="auto"/>
              <w:rPr>
                <w:color w:val="auto"/>
                <w:sz w:val="16"/>
              </w:rPr>
            </w:pPr>
            <w:r w:rsidRPr="00414373">
              <w:rPr>
                <w:color w:val="auto"/>
                <w:sz w:val="16"/>
              </w:rPr>
              <w:t xml:space="preserve">Over the past decade, </w:t>
            </w:r>
            <w:r>
              <w:rPr>
                <w:color w:val="auto"/>
                <w:sz w:val="16"/>
              </w:rPr>
              <w:t>CEW</w:t>
            </w:r>
            <w:r w:rsidRPr="00414373">
              <w:rPr>
                <w:color w:val="auto"/>
                <w:sz w:val="16"/>
              </w:rPr>
              <w:t xml:space="preserve"> predominantly had negligible </w:t>
            </w:r>
            <w:r>
              <w:rPr>
                <w:color w:val="auto"/>
                <w:sz w:val="16"/>
              </w:rPr>
              <w:t>or negative</w:t>
            </w:r>
            <w:r w:rsidRPr="00414373">
              <w:rPr>
                <w:color w:val="auto"/>
                <w:sz w:val="16"/>
              </w:rPr>
              <w:t xml:space="preserve"> effects on spring-early summer microinvertebrate fish prey species density, </w:t>
            </w:r>
            <w:r>
              <w:rPr>
                <w:color w:val="auto"/>
                <w:sz w:val="16"/>
              </w:rPr>
              <w:t xml:space="preserve">although there was </w:t>
            </w:r>
            <w:r w:rsidRPr="00414373">
              <w:rPr>
                <w:color w:val="auto"/>
                <w:sz w:val="16"/>
              </w:rPr>
              <w:t>a substantial</w:t>
            </w:r>
            <w:r>
              <w:rPr>
                <w:color w:val="auto"/>
                <w:sz w:val="16"/>
              </w:rPr>
              <w:t xml:space="preserve"> positive</w:t>
            </w:r>
            <w:r w:rsidRPr="00414373">
              <w:rPr>
                <w:color w:val="auto"/>
                <w:sz w:val="16"/>
              </w:rPr>
              <w:t xml:space="preserve"> effect in 2017-18</w:t>
            </w:r>
            <w:r>
              <w:rPr>
                <w:color w:val="auto"/>
                <w:sz w:val="16"/>
              </w:rPr>
              <w:t xml:space="preserve"> (+43%). </w:t>
            </w:r>
            <w:r w:rsidRPr="00414373">
              <w:rPr>
                <w:color w:val="auto"/>
                <w:sz w:val="16"/>
              </w:rPr>
              <w:t xml:space="preserve"> </w:t>
            </w:r>
          </w:p>
        </w:tc>
      </w:tr>
    </w:tbl>
    <w:p w14:paraId="13E832D8" w14:textId="77777777" w:rsidR="00BD3C09" w:rsidRPr="004561A6" w:rsidRDefault="00BD3C09" w:rsidP="00BD3C09">
      <w:pPr>
        <w:spacing w:after="0"/>
        <w:contextualSpacing/>
        <w:rPr>
          <w:sz w:val="18"/>
          <w:szCs w:val="18"/>
        </w:rPr>
      </w:pPr>
      <w:r w:rsidRPr="004561A6">
        <w:rPr>
          <w:sz w:val="18"/>
          <w:szCs w:val="18"/>
        </w:rPr>
        <w:t xml:space="preserve">* = additional management levers were also used (Appendix B) </w:t>
      </w:r>
    </w:p>
    <w:p w14:paraId="4DF33A72" w14:textId="77777777" w:rsidR="00BD3C09" w:rsidRPr="004561A6" w:rsidRDefault="00BD3C09" w:rsidP="00BD3C09">
      <w:pPr>
        <w:spacing w:before="0" w:after="0" w:line="240" w:lineRule="auto"/>
        <w:jc w:val="left"/>
        <w:rPr>
          <w:color w:val="auto"/>
          <w:kern w:val="0"/>
          <w:sz w:val="18"/>
          <w:szCs w:val="18"/>
          <w:lang w:val="en-US" w:bidi="en-US"/>
        </w:rPr>
      </w:pPr>
    </w:p>
    <w:p w14:paraId="0716072D" w14:textId="77777777" w:rsidR="00BD3C09" w:rsidRPr="004561A6" w:rsidRDefault="00BD3C09" w:rsidP="00BD3C09">
      <w:pPr>
        <w:spacing w:before="0" w:after="0" w:line="240" w:lineRule="auto"/>
        <w:jc w:val="left"/>
        <w:rPr>
          <w:color w:val="auto"/>
          <w:kern w:val="0"/>
          <w:sz w:val="18"/>
          <w:szCs w:val="18"/>
          <w:lang w:val="en-US" w:bidi="en-US"/>
        </w:rPr>
      </w:pPr>
      <w:r w:rsidRPr="004561A6">
        <w:rPr>
          <w:color w:val="auto"/>
          <w:kern w:val="0"/>
          <w:sz w:val="18"/>
          <w:szCs w:val="18"/>
          <w:lang w:val="en-US" w:bidi="en-US"/>
        </w:rPr>
        <w:t>Contribution (to what extent CEW contributed towards the outcome, with the significance of the outcome considered):</w:t>
      </w:r>
    </w:p>
    <w:tbl>
      <w:tblPr>
        <w:tblW w:w="8266" w:type="dxa"/>
        <w:tblLayout w:type="fixed"/>
        <w:tblLook w:val="04A0" w:firstRow="1" w:lastRow="0" w:firstColumn="1" w:lastColumn="0" w:noHBand="0" w:noVBand="1"/>
      </w:tblPr>
      <w:tblGrid>
        <w:gridCol w:w="236"/>
        <w:gridCol w:w="1057"/>
        <w:gridCol w:w="236"/>
        <w:gridCol w:w="1061"/>
        <w:gridCol w:w="236"/>
        <w:gridCol w:w="1689"/>
        <w:gridCol w:w="236"/>
        <w:gridCol w:w="722"/>
        <w:gridCol w:w="238"/>
        <w:gridCol w:w="1133"/>
        <w:gridCol w:w="236"/>
        <w:gridCol w:w="1186"/>
      </w:tblGrid>
      <w:tr w:rsidR="00BD3C09" w:rsidRPr="004561A6" w14:paraId="76E4F113" w14:textId="77777777" w:rsidTr="007E09E4">
        <w:tc>
          <w:tcPr>
            <w:tcW w:w="236" w:type="dxa"/>
            <w:shd w:val="clear" w:color="auto" w:fill="D9D9D9" w:themeFill="background1" w:themeFillShade="D9"/>
          </w:tcPr>
          <w:p w14:paraId="731E0211" w14:textId="77777777" w:rsidR="00BD3C09" w:rsidRPr="004561A6" w:rsidRDefault="00BD3C09" w:rsidP="007E09E4">
            <w:pPr>
              <w:contextualSpacing/>
              <w:rPr>
                <w:sz w:val="18"/>
                <w:szCs w:val="18"/>
              </w:rPr>
            </w:pPr>
          </w:p>
        </w:tc>
        <w:tc>
          <w:tcPr>
            <w:tcW w:w="1057" w:type="dxa"/>
            <w:vAlign w:val="center"/>
          </w:tcPr>
          <w:p w14:paraId="61423345" w14:textId="77777777" w:rsidR="00BD3C09" w:rsidRPr="004561A6" w:rsidRDefault="00BD3C09" w:rsidP="007E09E4">
            <w:pPr>
              <w:contextualSpacing/>
              <w:rPr>
                <w:sz w:val="18"/>
                <w:szCs w:val="18"/>
              </w:rPr>
            </w:pPr>
            <w:r w:rsidRPr="004561A6">
              <w:rPr>
                <w:sz w:val="18"/>
                <w:szCs w:val="18"/>
              </w:rPr>
              <w:t>Unknown</w:t>
            </w:r>
          </w:p>
        </w:tc>
        <w:tc>
          <w:tcPr>
            <w:tcW w:w="236" w:type="dxa"/>
            <w:shd w:val="clear" w:color="auto" w:fill="FF0000"/>
            <w:vAlign w:val="center"/>
          </w:tcPr>
          <w:p w14:paraId="43B5C9E3" w14:textId="77777777" w:rsidR="00BD3C09" w:rsidRPr="004561A6" w:rsidRDefault="00BD3C09" w:rsidP="007E09E4">
            <w:pPr>
              <w:contextualSpacing/>
              <w:rPr>
                <w:sz w:val="18"/>
                <w:szCs w:val="18"/>
              </w:rPr>
            </w:pPr>
          </w:p>
        </w:tc>
        <w:tc>
          <w:tcPr>
            <w:tcW w:w="1061" w:type="dxa"/>
            <w:vAlign w:val="center"/>
          </w:tcPr>
          <w:p w14:paraId="300EF1EB" w14:textId="77777777" w:rsidR="00BD3C09" w:rsidRPr="004561A6" w:rsidRDefault="00BD3C09" w:rsidP="007E09E4">
            <w:pPr>
              <w:contextualSpacing/>
              <w:rPr>
                <w:sz w:val="18"/>
                <w:szCs w:val="18"/>
              </w:rPr>
            </w:pPr>
            <w:r w:rsidRPr="004561A6">
              <w:rPr>
                <w:sz w:val="18"/>
                <w:szCs w:val="18"/>
              </w:rPr>
              <w:t>Negative</w:t>
            </w:r>
          </w:p>
        </w:tc>
        <w:tc>
          <w:tcPr>
            <w:tcW w:w="236" w:type="dxa"/>
            <w:shd w:val="clear" w:color="auto" w:fill="E2EFD9" w:themeFill="accent6" w:themeFillTint="33"/>
            <w:vAlign w:val="center"/>
          </w:tcPr>
          <w:p w14:paraId="48637FCA" w14:textId="77777777" w:rsidR="00BD3C09" w:rsidRPr="004561A6" w:rsidRDefault="00BD3C09" w:rsidP="007E09E4">
            <w:pPr>
              <w:contextualSpacing/>
              <w:rPr>
                <w:sz w:val="18"/>
                <w:szCs w:val="18"/>
              </w:rPr>
            </w:pPr>
          </w:p>
        </w:tc>
        <w:tc>
          <w:tcPr>
            <w:tcW w:w="1689" w:type="dxa"/>
            <w:vAlign w:val="center"/>
          </w:tcPr>
          <w:p w14:paraId="2C2A43CC" w14:textId="77777777" w:rsidR="00BD3C09" w:rsidRPr="004561A6" w:rsidRDefault="00BD3C09" w:rsidP="007E09E4">
            <w:pPr>
              <w:contextualSpacing/>
              <w:rPr>
                <w:sz w:val="18"/>
                <w:szCs w:val="18"/>
              </w:rPr>
            </w:pPr>
            <w:r w:rsidRPr="004561A6">
              <w:rPr>
                <w:sz w:val="18"/>
                <w:szCs w:val="18"/>
              </w:rPr>
              <w:t>None/negligible</w:t>
            </w:r>
          </w:p>
        </w:tc>
        <w:tc>
          <w:tcPr>
            <w:tcW w:w="236" w:type="dxa"/>
            <w:shd w:val="clear" w:color="auto" w:fill="A8D08D" w:themeFill="accent6" w:themeFillTint="99"/>
            <w:vAlign w:val="center"/>
          </w:tcPr>
          <w:p w14:paraId="6C77B3A9" w14:textId="77777777" w:rsidR="00BD3C09" w:rsidRPr="004561A6" w:rsidRDefault="00BD3C09" w:rsidP="007E09E4">
            <w:pPr>
              <w:contextualSpacing/>
              <w:rPr>
                <w:sz w:val="18"/>
                <w:szCs w:val="18"/>
              </w:rPr>
            </w:pPr>
          </w:p>
        </w:tc>
        <w:tc>
          <w:tcPr>
            <w:tcW w:w="722" w:type="dxa"/>
            <w:vAlign w:val="center"/>
          </w:tcPr>
          <w:p w14:paraId="47345055" w14:textId="77777777" w:rsidR="00BD3C09" w:rsidRPr="004561A6" w:rsidRDefault="00BD3C09" w:rsidP="007E09E4">
            <w:pPr>
              <w:contextualSpacing/>
              <w:rPr>
                <w:sz w:val="18"/>
                <w:szCs w:val="18"/>
              </w:rPr>
            </w:pPr>
            <w:r w:rsidRPr="004561A6">
              <w:rPr>
                <w:sz w:val="18"/>
                <w:szCs w:val="18"/>
              </w:rPr>
              <w:t>Minor</w:t>
            </w:r>
          </w:p>
        </w:tc>
        <w:tc>
          <w:tcPr>
            <w:tcW w:w="238" w:type="dxa"/>
            <w:shd w:val="clear" w:color="auto" w:fill="70AD47" w:themeFill="accent6"/>
            <w:vAlign w:val="center"/>
          </w:tcPr>
          <w:p w14:paraId="3CFAA31F" w14:textId="77777777" w:rsidR="00BD3C09" w:rsidRPr="004561A6" w:rsidRDefault="00BD3C09" w:rsidP="007E09E4">
            <w:pPr>
              <w:contextualSpacing/>
              <w:rPr>
                <w:sz w:val="18"/>
                <w:szCs w:val="18"/>
              </w:rPr>
            </w:pPr>
          </w:p>
        </w:tc>
        <w:tc>
          <w:tcPr>
            <w:tcW w:w="1133" w:type="dxa"/>
            <w:vAlign w:val="center"/>
          </w:tcPr>
          <w:p w14:paraId="7650B8B8" w14:textId="77777777" w:rsidR="00BD3C09" w:rsidRPr="004561A6" w:rsidRDefault="00BD3C09" w:rsidP="007E09E4">
            <w:pPr>
              <w:contextualSpacing/>
              <w:rPr>
                <w:sz w:val="18"/>
                <w:szCs w:val="18"/>
              </w:rPr>
            </w:pPr>
            <w:r w:rsidRPr="004561A6">
              <w:rPr>
                <w:sz w:val="18"/>
                <w:szCs w:val="18"/>
              </w:rPr>
              <w:t>Moderate</w:t>
            </w:r>
          </w:p>
        </w:tc>
        <w:tc>
          <w:tcPr>
            <w:tcW w:w="236" w:type="dxa"/>
            <w:shd w:val="clear" w:color="auto" w:fill="5B9BD5" w:themeFill="accent1"/>
          </w:tcPr>
          <w:p w14:paraId="11CB7098" w14:textId="77777777" w:rsidR="00BD3C09" w:rsidRPr="004561A6" w:rsidRDefault="00BD3C09" w:rsidP="007E09E4">
            <w:pPr>
              <w:contextualSpacing/>
              <w:rPr>
                <w:sz w:val="18"/>
                <w:szCs w:val="18"/>
              </w:rPr>
            </w:pPr>
          </w:p>
        </w:tc>
        <w:tc>
          <w:tcPr>
            <w:tcW w:w="1186" w:type="dxa"/>
            <w:vAlign w:val="center"/>
          </w:tcPr>
          <w:p w14:paraId="44AB3389" w14:textId="77777777" w:rsidR="00BD3C09" w:rsidRPr="004561A6" w:rsidRDefault="00BD3C09" w:rsidP="007E09E4">
            <w:pPr>
              <w:contextualSpacing/>
              <w:jc w:val="left"/>
              <w:rPr>
                <w:sz w:val="18"/>
                <w:szCs w:val="18"/>
              </w:rPr>
            </w:pPr>
            <w:r w:rsidRPr="004561A6">
              <w:rPr>
                <w:sz w:val="18"/>
                <w:szCs w:val="18"/>
              </w:rPr>
              <w:t>Substantial</w:t>
            </w:r>
          </w:p>
        </w:tc>
      </w:tr>
    </w:tbl>
    <w:p w14:paraId="48014BBB" w14:textId="77777777" w:rsidR="00BD3C09" w:rsidRDefault="00BD3C09" w:rsidP="00BD3C09">
      <w:pPr>
        <w:sectPr w:rsidR="00BD3C09" w:rsidSect="008D628A">
          <w:footnotePr>
            <w:numFmt w:val="lowerLetter"/>
          </w:footnotePr>
          <w:pgSz w:w="16838" w:h="11906" w:orient="landscape"/>
          <w:pgMar w:top="1440" w:right="1440" w:bottom="1440" w:left="1440" w:header="709" w:footer="709" w:gutter="0"/>
          <w:cols w:space="708"/>
          <w:docGrid w:linePitch="360"/>
        </w:sectPr>
      </w:pPr>
    </w:p>
    <w:p w14:paraId="74C31913" w14:textId="77777777" w:rsidR="00BD3C09" w:rsidRDefault="00BD3C09" w:rsidP="00BD3C09">
      <w:pPr>
        <w:pStyle w:val="Heading3"/>
      </w:pPr>
      <w:r>
        <w:lastRenderedPageBreak/>
        <w:t>Discussion</w:t>
      </w:r>
    </w:p>
    <w:p w14:paraId="3F09E4D8" w14:textId="77777777" w:rsidR="00C002ED" w:rsidRPr="001A65E5" w:rsidRDefault="00C002ED" w:rsidP="00C002ED">
      <w:r w:rsidRPr="001A65E5">
        <w:t>In the 202</w:t>
      </w:r>
      <w:r>
        <w:t>3</w:t>
      </w:r>
      <w:r w:rsidRPr="001A65E5">
        <w:t>-2</w:t>
      </w:r>
      <w:r>
        <w:t>4</w:t>
      </w:r>
      <w:r w:rsidRPr="001A65E5">
        <w:t xml:space="preserve"> assessment of the microinvertebrate community's response to environmental water delivery, </w:t>
      </w:r>
      <w:r>
        <w:t xml:space="preserve">as in previous years, </w:t>
      </w:r>
      <w:r w:rsidRPr="001A65E5">
        <w:t xml:space="preserve">a comprehensive approach combining raw data analysis and ecological modelling was used. </w:t>
      </w:r>
      <w:r w:rsidRPr="00F17952">
        <w:t>Data comparison revealed that the densities</w:t>
      </w:r>
      <w:r>
        <w:t xml:space="preserve"> and species richness</w:t>
      </w:r>
      <w:r w:rsidRPr="00F17952">
        <w:t xml:space="preserve"> in 2023-24 were similar to those in 2022-23</w:t>
      </w:r>
      <w:r>
        <w:t>.</w:t>
      </w:r>
      <w:r w:rsidRPr="00F17952">
        <w:t xml:space="preserve"> </w:t>
      </w:r>
      <w:r>
        <w:t>Both</w:t>
      </w:r>
      <w:r w:rsidRPr="00F17952">
        <w:t xml:space="preserve"> years exhibited much higher densities</w:t>
      </w:r>
      <w:r>
        <w:t xml:space="preserve"> and species richness</w:t>
      </w:r>
      <w:r w:rsidRPr="00F17952">
        <w:t xml:space="preserve"> than previous</w:t>
      </w:r>
      <w:r>
        <w:t xml:space="preserve"> water </w:t>
      </w:r>
      <w:r w:rsidRPr="00F17952">
        <w:t>year</w:t>
      </w:r>
      <w:r>
        <w:t xml:space="preserve">s (e.g. mean water year densities for 2022-23 and 2023-24 were 2,373 and 2,136 ind/L, respectively in comparison to between 605 and 1,320 ind/L between </w:t>
      </w:r>
      <w:r w:rsidRPr="00451887">
        <w:t xml:space="preserve">2014-15 </w:t>
      </w:r>
      <w:r>
        <w:t>and</w:t>
      </w:r>
      <w:r w:rsidRPr="00451887">
        <w:t xml:space="preserve"> 2021-22 (except 2018-19</w:t>
      </w:r>
      <w:r>
        <w:t xml:space="preserve"> when microinvertebrate sampling did not occur</w:t>
      </w:r>
      <w:r w:rsidRPr="00451887">
        <w:t>)</w:t>
      </w:r>
      <w:r>
        <w:t>). Some aspects of</w:t>
      </w:r>
      <w:r w:rsidRPr="001A65E5">
        <w:t xml:space="preserve"> </w:t>
      </w:r>
      <w:r>
        <w:t>the</w:t>
      </w:r>
      <w:r w:rsidRPr="001A65E5">
        <w:t xml:space="preserve"> temporal pattern</w:t>
      </w:r>
      <w:r>
        <w:t xml:space="preserve"> </w:t>
      </w:r>
      <w:r w:rsidRPr="001A65E5">
        <w:t>in density</w:t>
      </w:r>
      <w:r>
        <w:t xml:space="preserve"> were like previous years’</w:t>
      </w:r>
      <w:r w:rsidRPr="001A65E5">
        <w:t xml:space="preserve">, with the highest densities late in the sampling season. </w:t>
      </w:r>
      <w:r>
        <w:t>However, a</w:t>
      </w:r>
      <w:r w:rsidRPr="001A65E5">
        <w:t xml:space="preserve"> significant increase in both microinvertebrate density and taxonomic richness occurred between mid-October and the end of October</w:t>
      </w:r>
      <w:r>
        <w:t xml:space="preserve"> (like 2022-23)</w:t>
      </w:r>
      <w:r w:rsidRPr="001A65E5">
        <w:t>. Two primary factors likely contributed to these findings: unregulated flows in early spring facilitating the transportation of microorganisms from upstream and more productive off-channel habitats, and the carry-over effects of high flows in the preceding years (2021-22 and 2022-23), which likely replenished microinvertebrate propagules</w:t>
      </w:r>
      <w:r>
        <w:t xml:space="preserve"> both upstream and in the LMR</w:t>
      </w:r>
      <w:r w:rsidRPr="001A65E5">
        <w:t>. Notably, high densities of littoral (facultatively pelagic) rotifers, which respond to changes in flow dynamics, were observed</w:t>
      </w:r>
      <w:r>
        <w:t xml:space="preserve"> in 2023-24 throughout the whole sampling season in the highest proportions seen across all years (approximately 50% of the total community)</w:t>
      </w:r>
      <w:r w:rsidRPr="001A65E5">
        <w:t xml:space="preserve">. The ecological modelling showed mixed results regarding the influence of environmental water delivery on the microinvertebrate community in the </w:t>
      </w:r>
      <w:r>
        <w:t>LMR</w:t>
      </w:r>
      <w:r w:rsidRPr="001A65E5">
        <w:t>. In 2023-24, Commonwealth environmental water positively impacted total density, similar to</w:t>
      </w:r>
      <w:r>
        <w:t xml:space="preserve"> a number of</w:t>
      </w:r>
      <w:r w:rsidRPr="001A65E5">
        <w:t xml:space="preserve"> previous years (2015-16, 2017-18, and 2020-21). However, environmental water did not affect taxonomic richness in 2023-24, consistent with all years since 2019-20. </w:t>
      </w:r>
      <w:r w:rsidRPr="00AE2A05">
        <w:t xml:space="preserve">In 2023-24, although the modelled observed </w:t>
      </w:r>
      <w:r>
        <w:t xml:space="preserve">mean </w:t>
      </w:r>
      <w:r w:rsidRPr="00AE2A05">
        <w:t>densit</w:t>
      </w:r>
      <w:r>
        <w:t>y of microinvertebrate taxa associated with longitudinal transport and connectivity</w:t>
      </w:r>
      <w:r w:rsidRPr="00AE2A05">
        <w:t xml:space="preserve"> </w:t>
      </w:r>
      <w:r>
        <w:t xml:space="preserve">was </w:t>
      </w:r>
      <w:r w:rsidRPr="00AE2A05">
        <w:t>higher than those without environmental water</w:t>
      </w:r>
      <w:r>
        <w:t xml:space="preserve"> or Commonwealth environmental water</w:t>
      </w:r>
      <w:r w:rsidRPr="00AE2A05">
        <w:t xml:space="preserve">, the difference was not significant. </w:t>
      </w:r>
      <w:r>
        <w:t>In</w:t>
      </w:r>
      <w:r w:rsidRPr="00AE2A05">
        <w:t xml:space="preserve"> several years, including 2023-24, the modelled densities without environmental water delivery for </w:t>
      </w:r>
      <w:r>
        <w:t>this microinvertebrate group</w:t>
      </w:r>
      <w:r w:rsidRPr="00AE2A05">
        <w:t xml:space="preserve"> had large and unexplained outliers that were not present in the modelled observed abundances. These outliers skewed the means away from the medians in those years</w:t>
      </w:r>
      <w:r>
        <w:t xml:space="preserve">. </w:t>
      </w:r>
      <w:r w:rsidRPr="001A65E5">
        <w:t>Since 2019-20 (excluding 2022-23 with no/negligible contribution), environmental water delivery negatively impacted the density of 'floodplain associated' and 'preferred microinvertebrate prey species for large-bodied fish larvae'</w:t>
      </w:r>
      <w:r>
        <w:t xml:space="preserve"> in the main channel of the LMR</w:t>
      </w:r>
      <w:r w:rsidRPr="001A65E5">
        <w:t>.</w:t>
      </w:r>
      <w:r>
        <w:t xml:space="preserve"> </w:t>
      </w:r>
    </w:p>
    <w:p w14:paraId="799CFC7F" w14:textId="77777777" w:rsidR="00C002ED" w:rsidRDefault="00C002ED" w:rsidP="00C002ED">
      <w:pPr>
        <w:rPr>
          <w:bCs/>
          <w:i/>
          <w:iCs/>
          <w:u w:val="single"/>
        </w:rPr>
      </w:pPr>
      <w:r w:rsidRPr="00855211">
        <w:rPr>
          <w:bCs/>
          <w:i/>
          <w:iCs/>
          <w:u w:val="single"/>
        </w:rPr>
        <w:t>Density and taxonomic richness and patterns</w:t>
      </w:r>
    </w:p>
    <w:p w14:paraId="168F7FA9" w14:textId="6196945F" w:rsidR="00C002ED" w:rsidRPr="002E748B" w:rsidRDefault="00C002ED" w:rsidP="00C002ED">
      <w:pPr>
        <w:rPr>
          <w:color w:val="98A7BD" w:themeColor="text2" w:themeTint="80"/>
        </w:rPr>
      </w:pPr>
      <w:r w:rsidRPr="002E748B">
        <w:rPr>
          <w:color w:val="auto"/>
        </w:rPr>
        <w:t>Overall, the densities and taxonomic richness observed in 202</w:t>
      </w:r>
      <w:r>
        <w:rPr>
          <w:color w:val="auto"/>
        </w:rPr>
        <w:t>3</w:t>
      </w:r>
      <w:r w:rsidRPr="002E748B">
        <w:rPr>
          <w:color w:val="auto"/>
        </w:rPr>
        <w:t>-2</w:t>
      </w:r>
      <w:r>
        <w:rPr>
          <w:color w:val="auto"/>
        </w:rPr>
        <w:t>4</w:t>
      </w:r>
      <w:r w:rsidRPr="002E748B">
        <w:rPr>
          <w:color w:val="auto"/>
        </w:rPr>
        <w:t xml:space="preserve"> surpassed all other monitored years</w:t>
      </w:r>
      <w:r>
        <w:rPr>
          <w:color w:val="auto"/>
        </w:rPr>
        <w:t xml:space="preserve"> (excluding 2022-23), with 2023-24 exhibiting a mean density of 2,136 ind/L and taxonomic richness of 21 taxa/L (in comparison to </w:t>
      </w:r>
      <w:r>
        <w:t>605–1,320 ind/L and 13–19 taxa/L across other monitored years)</w:t>
      </w:r>
      <w:r w:rsidRPr="002E748B">
        <w:rPr>
          <w:color w:val="auto"/>
        </w:rPr>
        <w:t xml:space="preserve">. These findings can be attributed </w:t>
      </w:r>
      <w:r>
        <w:rPr>
          <w:color w:val="auto"/>
        </w:rPr>
        <w:t>to several factors. Firstly, unregulated flows were high in the lead up to the sampling season, exceeding 50,000 </w:t>
      </w:r>
      <w:r w:rsidR="00167193">
        <w:rPr>
          <w:color w:val="auto"/>
        </w:rPr>
        <w:t>ML/d</w:t>
      </w:r>
      <w:r>
        <w:rPr>
          <w:color w:val="auto"/>
        </w:rPr>
        <w:t xml:space="preserve"> in late August/early September 2023 and returning in-channel (&lt;45,000 ML/d) by mid-September. High discharge promotes greater longitudinal and lateral connectivity. </w:t>
      </w:r>
      <w:r w:rsidRPr="002E748B">
        <w:rPr>
          <w:color w:val="auto"/>
        </w:rPr>
        <w:t>Longitudinal connectivity fosters the movement</w:t>
      </w:r>
      <w:r>
        <w:rPr>
          <w:color w:val="auto"/>
        </w:rPr>
        <w:t>/transport</w:t>
      </w:r>
      <w:r w:rsidRPr="002E748B">
        <w:rPr>
          <w:color w:val="auto"/>
        </w:rPr>
        <w:t xml:space="preserve"> of organisms from upstream areas</w:t>
      </w:r>
      <w:r>
        <w:rPr>
          <w:color w:val="auto"/>
        </w:rPr>
        <w:t xml:space="preserve"> to the LMR</w:t>
      </w:r>
      <w:r w:rsidRPr="002E748B">
        <w:rPr>
          <w:color w:val="auto"/>
        </w:rPr>
        <w:t xml:space="preserve">. Lateral connectivity promotes mixing between in-channel and off-channel habitats both upstream and locally. Off-channel habitats often support </w:t>
      </w:r>
      <w:r w:rsidRPr="00B207A4">
        <w:rPr>
          <w:color w:val="auto"/>
        </w:rPr>
        <w:lastRenderedPageBreak/>
        <w:t>denser and more diverse</w:t>
      </w:r>
      <w:r w:rsidRPr="002E748B">
        <w:rPr>
          <w:color w:val="auto"/>
        </w:rPr>
        <w:t xml:space="preserve"> microinvertebrate communities and/or of a different community assemblage than in-channel </w:t>
      </w:r>
      <w:r w:rsidRPr="00CB19D7">
        <w:rPr>
          <w:color w:val="auto"/>
        </w:rPr>
        <w:t xml:space="preserve">habitats (e.g. </w:t>
      </w:r>
      <w:r w:rsidRPr="00CB19D7">
        <w:rPr>
          <w:noProof/>
        </w:rPr>
        <w:t xml:space="preserve">Baranyi </w:t>
      </w:r>
      <w:r w:rsidRPr="00CB19D7">
        <w:rPr>
          <w:i/>
          <w:iCs/>
          <w:noProof/>
        </w:rPr>
        <w:t xml:space="preserve">et al. </w:t>
      </w:r>
      <w:r w:rsidRPr="00CB19D7">
        <w:rPr>
          <w:noProof/>
        </w:rPr>
        <w:t>2002</w:t>
      </w:r>
      <w:r w:rsidRPr="00CB19D7">
        <w:rPr>
          <w:color w:val="auto"/>
        </w:rPr>
        <w:t>). Therefore, enhanced mixing, connectivity and exchange of microorganisms between these areas and their movement downstream likely influenced these positive results in the LMR. Furthermore, the consistently high flows in the preceding water years, 2021-22 (maintained at around 30,000 ML/d for the whole sampling season), and 2022-23 (between ~50,000 and 180,000 ML/d) is likely to have had lasting effects. Sequential floods play a crucial role in the replenishment</w:t>
      </w:r>
      <w:r>
        <w:rPr>
          <w:color w:val="auto"/>
        </w:rPr>
        <w:t xml:space="preserve"> of the propagules</w:t>
      </w:r>
      <w:r w:rsidRPr="00CB19D7">
        <w:rPr>
          <w:color w:val="auto"/>
        </w:rPr>
        <w:t xml:space="preserve"> (density and taxonomic richness) of plant</w:t>
      </w:r>
      <w:r>
        <w:rPr>
          <w:color w:val="auto"/>
        </w:rPr>
        <w:t>s</w:t>
      </w:r>
      <w:r w:rsidRPr="00CB19D7">
        <w:rPr>
          <w:color w:val="auto"/>
        </w:rPr>
        <w:t xml:space="preserve"> (which provide important habitat for microinvertebrates) and microorganism</w:t>
      </w:r>
      <w:r>
        <w:rPr>
          <w:color w:val="auto"/>
        </w:rPr>
        <w:t>s</w:t>
      </w:r>
      <w:r w:rsidRPr="00CB19D7">
        <w:rPr>
          <w:color w:val="auto"/>
        </w:rPr>
        <w:t xml:space="preserve">, </w:t>
      </w:r>
      <w:bookmarkStart w:id="414" w:name="_Hlk187579644"/>
      <w:r w:rsidRPr="00CB19D7">
        <w:rPr>
          <w:color w:val="auto"/>
        </w:rPr>
        <w:t>amplifying responses upon inundation in subsequent years</w:t>
      </w:r>
      <w:bookmarkEnd w:id="414"/>
      <w:r w:rsidRPr="00CB19D7">
        <w:rPr>
          <w:color w:val="auto"/>
        </w:rPr>
        <w:t xml:space="preserve"> (Boulton and Lloyd 1992; Leigh </w:t>
      </w:r>
      <w:r w:rsidRPr="00182992">
        <w:rPr>
          <w:i/>
          <w:iCs/>
          <w:color w:val="auto"/>
        </w:rPr>
        <w:t>et al.</w:t>
      </w:r>
      <w:r w:rsidRPr="00CB19D7">
        <w:rPr>
          <w:color w:val="auto"/>
        </w:rPr>
        <w:t xml:space="preserve"> 2010). Furthermore</w:t>
      </w:r>
      <w:r>
        <w:rPr>
          <w:color w:val="auto"/>
        </w:rPr>
        <w:t xml:space="preserve">, it is possible that hydrological connectivity with </w:t>
      </w:r>
      <w:r w:rsidRPr="00DC32F2">
        <w:rPr>
          <w:color w:val="auto"/>
        </w:rPr>
        <w:t xml:space="preserve">temporary habitats </w:t>
      </w:r>
      <w:r>
        <w:rPr>
          <w:color w:val="auto"/>
        </w:rPr>
        <w:t xml:space="preserve">(e.g. </w:t>
      </w:r>
      <w:r w:rsidRPr="00DC32F2">
        <w:rPr>
          <w:color w:val="auto"/>
        </w:rPr>
        <w:t>wetlands</w:t>
      </w:r>
      <w:r>
        <w:rPr>
          <w:color w:val="auto"/>
        </w:rPr>
        <w:t>)</w:t>
      </w:r>
      <w:r w:rsidRPr="00DC32F2">
        <w:rPr>
          <w:color w:val="auto"/>
        </w:rPr>
        <w:t xml:space="preserve"> </w:t>
      </w:r>
      <w:r>
        <w:rPr>
          <w:color w:val="auto"/>
        </w:rPr>
        <w:t xml:space="preserve">that were still inundated from the previous year, </w:t>
      </w:r>
      <w:r w:rsidRPr="00DC32F2">
        <w:rPr>
          <w:color w:val="auto"/>
        </w:rPr>
        <w:t>respond</w:t>
      </w:r>
      <w:r>
        <w:rPr>
          <w:color w:val="auto"/>
        </w:rPr>
        <w:t>ed</w:t>
      </w:r>
      <w:r w:rsidRPr="00DC32F2">
        <w:rPr>
          <w:color w:val="auto"/>
        </w:rPr>
        <w:t xml:space="preserve"> more rapidly to higher spring flows than </w:t>
      </w:r>
      <w:r>
        <w:rPr>
          <w:color w:val="auto"/>
        </w:rPr>
        <w:t>those that are freshly</w:t>
      </w:r>
      <w:r w:rsidRPr="00DC32F2">
        <w:rPr>
          <w:color w:val="auto"/>
        </w:rPr>
        <w:t xml:space="preserve"> inundated.</w:t>
      </w:r>
      <w:r>
        <w:rPr>
          <w:color w:val="auto"/>
        </w:rPr>
        <w:t xml:space="preserve"> Each of these processes are likely to have contributed to the </w:t>
      </w:r>
      <w:r w:rsidRPr="002E748B">
        <w:rPr>
          <w:color w:val="auto"/>
        </w:rPr>
        <w:t>heightened productivity</w:t>
      </w:r>
      <w:r>
        <w:rPr>
          <w:color w:val="auto"/>
        </w:rPr>
        <w:t xml:space="preserve"> in the microinvertebrate community</w:t>
      </w:r>
      <w:r w:rsidRPr="002E748B">
        <w:rPr>
          <w:color w:val="auto"/>
        </w:rPr>
        <w:t xml:space="preserve"> observed in 202</w:t>
      </w:r>
      <w:r>
        <w:rPr>
          <w:color w:val="auto"/>
        </w:rPr>
        <w:t>3</w:t>
      </w:r>
      <w:r w:rsidRPr="002E748B">
        <w:rPr>
          <w:color w:val="auto"/>
        </w:rPr>
        <w:t>-2</w:t>
      </w:r>
      <w:r>
        <w:rPr>
          <w:color w:val="auto"/>
        </w:rPr>
        <w:t>4</w:t>
      </w:r>
      <w:r w:rsidRPr="002E748B">
        <w:rPr>
          <w:color w:val="auto"/>
        </w:rPr>
        <w:t>.</w:t>
      </w:r>
    </w:p>
    <w:p w14:paraId="1A21430C" w14:textId="31A847EF" w:rsidR="00C002ED" w:rsidRDefault="00C002ED" w:rsidP="00C002ED">
      <w:r w:rsidRPr="00016EE3">
        <w:t xml:space="preserve">The density patterns observed in </w:t>
      </w:r>
      <w:r>
        <w:t>2023-24</w:t>
      </w:r>
      <w:r w:rsidRPr="00016EE3">
        <w:t xml:space="preserve"> exhibited </w:t>
      </w:r>
      <w:r>
        <w:t xml:space="preserve">some </w:t>
      </w:r>
      <w:r w:rsidRPr="00016EE3">
        <w:t xml:space="preserve">similarities in </w:t>
      </w:r>
      <w:r>
        <w:t xml:space="preserve">general </w:t>
      </w:r>
      <w:r w:rsidRPr="00016EE3">
        <w:t xml:space="preserve">seasonal trends compared to previous years, showing </w:t>
      </w:r>
      <w:r>
        <w:t>the highest densities and taxonomic richness in December in comparison to earlier in the sampling season</w:t>
      </w:r>
      <w:r w:rsidRPr="00016EE3">
        <w:t xml:space="preserve">. </w:t>
      </w:r>
      <w:r>
        <w:t>These high densities and taxonomic richness</w:t>
      </w:r>
      <w:r w:rsidRPr="00016EE3">
        <w:t xml:space="preserve"> align with expectations, as aquatic productivity typically </w:t>
      </w:r>
      <w:r>
        <w:t>increases</w:t>
      </w:r>
      <w:r w:rsidRPr="00016EE3">
        <w:t xml:space="preserve"> with higher temperatures</w:t>
      </w:r>
      <w:r>
        <w:t xml:space="preserve"> (</w:t>
      </w:r>
      <w:r w:rsidRPr="00016EE3">
        <w:t>Heinle 1969</w:t>
      </w:r>
      <w:r>
        <w:t>;</w:t>
      </w:r>
      <w:r w:rsidRPr="00016EE3">
        <w:t xml:space="preserve"> White </w:t>
      </w:r>
      <w:r w:rsidRPr="00065DF6">
        <w:rPr>
          <w:i/>
          <w:iCs/>
        </w:rPr>
        <w:t>et al.</w:t>
      </w:r>
      <w:r w:rsidRPr="00016EE3">
        <w:t xml:space="preserve"> 1991). </w:t>
      </w:r>
      <w:r>
        <w:t>Similar to that seen in previous years, when flow pulses were present in any manner (e.g. rising limb, peak or receding limb) in early spring, a</w:t>
      </w:r>
      <w:r w:rsidRPr="00016EE3">
        <w:t xml:space="preserve"> distinctive increase in both microinvertebrate density and taxonomic richness occurred </w:t>
      </w:r>
      <w:r>
        <w:t>at</w:t>
      </w:r>
      <w:r w:rsidRPr="00016EE3">
        <w:t xml:space="preserve"> the end of October</w:t>
      </w:r>
      <w:r>
        <w:t xml:space="preserve"> (e.g. 2019-20). In 2023-24, this</w:t>
      </w:r>
      <w:r w:rsidRPr="00016EE3">
        <w:t xml:space="preserve"> coincid</w:t>
      </w:r>
      <w:r>
        <w:t>ed</w:t>
      </w:r>
      <w:r w:rsidRPr="00016EE3">
        <w:t xml:space="preserve"> with </w:t>
      </w:r>
      <w:r>
        <w:t>the recession of floodwater that peaked in early September</w:t>
      </w:r>
      <w:r w:rsidRPr="00016EE3">
        <w:t xml:space="preserve"> </w:t>
      </w:r>
      <w:r>
        <w:t>at approximately 50,000</w:t>
      </w:r>
      <w:r w:rsidRPr="00016EE3">
        <w:t xml:space="preserve"> ML/d</w:t>
      </w:r>
      <w:r>
        <w:t>, and the expected significant transfer or organisms from off-channel areas to the main channel.</w:t>
      </w:r>
    </w:p>
    <w:p w14:paraId="0915F63C" w14:textId="77777777" w:rsidR="00C002ED" w:rsidRDefault="00C002ED" w:rsidP="00C002ED">
      <w:pPr>
        <w:rPr>
          <w:bCs/>
          <w:i/>
          <w:iCs/>
          <w:u w:val="single"/>
        </w:rPr>
      </w:pPr>
      <w:r w:rsidRPr="00093961">
        <w:rPr>
          <w:bCs/>
          <w:i/>
          <w:iCs/>
          <w:u w:val="single"/>
        </w:rPr>
        <w:t>Functional group density</w:t>
      </w:r>
    </w:p>
    <w:p w14:paraId="2A940B3A" w14:textId="38E79063" w:rsidR="00C002ED" w:rsidRPr="00E9142F" w:rsidRDefault="00C002ED" w:rsidP="00C002ED">
      <w:pPr>
        <w:rPr>
          <w:bCs/>
        </w:rPr>
      </w:pPr>
      <w:r w:rsidRPr="00E9142F">
        <w:rPr>
          <w:bCs/>
        </w:rPr>
        <w:t xml:space="preserve">In 2023-24, littoral rotifers (facultatively pelagic) </w:t>
      </w:r>
      <w:r>
        <w:rPr>
          <w:bCs/>
        </w:rPr>
        <w:t>had their highest contribution (</w:t>
      </w:r>
      <w:r w:rsidRPr="00E9142F">
        <w:rPr>
          <w:bCs/>
        </w:rPr>
        <w:t>about 50%</w:t>
      </w:r>
      <w:r>
        <w:rPr>
          <w:bCs/>
        </w:rPr>
        <w:t>)</w:t>
      </w:r>
      <w:r w:rsidRPr="00E9142F">
        <w:rPr>
          <w:bCs/>
        </w:rPr>
        <w:t xml:space="preserve"> </w:t>
      </w:r>
      <w:r>
        <w:rPr>
          <w:bCs/>
        </w:rPr>
        <w:t>to</w:t>
      </w:r>
      <w:r w:rsidRPr="00E9142F">
        <w:rPr>
          <w:bCs/>
        </w:rPr>
        <w:t xml:space="preserve"> the total community. Littoral rotifers</w:t>
      </w:r>
      <w:r>
        <w:rPr>
          <w:bCs/>
        </w:rPr>
        <w:t xml:space="preserve"> (facultatively pelagic)</w:t>
      </w:r>
      <w:r w:rsidRPr="00E9142F">
        <w:rPr>
          <w:bCs/>
        </w:rPr>
        <w:t xml:space="preserve">, such as </w:t>
      </w:r>
      <w:r w:rsidRPr="00182992">
        <w:rPr>
          <w:bCs/>
          <w:i/>
          <w:iCs/>
        </w:rPr>
        <w:t>Trichocerca</w:t>
      </w:r>
      <w:r w:rsidRPr="00E9142F">
        <w:rPr>
          <w:bCs/>
        </w:rPr>
        <w:t xml:space="preserve"> spp., are thought to respond to changes in flow dynamics, with population density variations in the main river channel influenced by turbulence and water velocity. This is further evidenced by the water years of 2019-20 and 2020-21, where, despite the predominance of pelagic rotifers, littoral </w:t>
      </w:r>
      <w:r>
        <w:rPr>
          <w:bCs/>
        </w:rPr>
        <w:t xml:space="preserve">rotifers (facultatively pelagic) </w:t>
      </w:r>
      <w:r w:rsidRPr="00E9142F">
        <w:rPr>
          <w:bCs/>
        </w:rPr>
        <w:t xml:space="preserve">either temporarily dominated or increased their dominance during flow pulses. </w:t>
      </w:r>
      <w:r>
        <w:rPr>
          <w:bCs/>
        </w:rPr>
        <w:t xml:space="preserve">The general presence of these rotifers has increased over </w:t>
      </w:r>
      <w:r w:rsidRPr="00E9142F">
        <w:rPr>
          <w:bCs/>
        </w:rPr>
        <w:t>recent years</w:t>
      </w:r>
      <w:r>
        <w:rPr>
          <w:bCs/>
        </w:rPr>
        <w:t xml:space="preserve"> and</w:t>
      </w:r>
      <w:r w:rsidRPr="00E9142F">
        <w:rPr>
          <w:bCs/>
        </w:rPr>
        <w:t xml:space="preserve"> corresponds</w:t>
      </w:r>
      <w:r>
        <w:rPr>
          <w:bCs/>
        </w:rPr>
        <w:t xml:space="preserve"> with high discharge/floods, and</w:t>
      </w:r>
      <w:r w:rsidRPr="00E9142F">
        <w:rPr>
          <w:bCs/>
        </w:rPr>
        <w:t xml:space="preserve"> with</w:t>
      </w:r>
      <w:r>
        <w:rPr>
          <w:bCs/>
        </w:rPr>
        <w:t xml:space="preserve"> increased extent of lotic habitat in the LMR. This is evident by</w:t>
      </w:r>
      <w:r w:rsidRPr="00E9142F">
        <w:rPr>
          <w:bCs/>
        </w:rPr>
        <w:t xml:space="preserve"> an average annual increase of 8</w:t>
      </w:r>
      <w:r>
        <w:rPr>
          <w:bCs/>
        </w:rPr>
        <w:t>,</w:t>
      </w:r>
      <w:r w:rsidRPr="00E9142F">
        <w:rPr>
          <w:bCs/>
        </w:rPr>
        <w:t>93</w:t>
      </w:r>
      <w:r w:rsidR="00DB70D0">
        <w:rPr>
          <w:bCs/>
        </w:rPr>
        <w:t>5</w:t>
      </w:r>
      <w:r w:rsidRPr="00E9142F">
        <w:rPr>
          <w:bCs/>
        </w:rPr>
        <w:t xml:space="preserve"> km d in river velocity greater than 0.3 m/s </w:t>
      </w:r>
      <w:r w:rsidR="00DB70D0">
        <w:rPr>
          <w:bCs/>
        </w:rPr>
        <w:t xml:space="preserve">due to Commonwealth environmental water </w:t>
      </w:r>
      <w:r w:rsidRPr="00E9142F">
        <w:rPr>
          <w:bCs/>
        </w:rPr>
        <w:t>over the last three years of evaluation, compared to 2</w:t>
      </w:r>
      <w:r>
        <w:rPr>
          <w:bCs/>
        </w:rPr>
        <w:t>,</w:t>
      </w:r>
      <w:r w:rsidR="00DB70D0">
        <w:rPr>
          <w:bCs/>
        </w:rPr>
        <w:t>736</w:t>
      </w:r>
      <w:r w:rsidRPr="00E9142F">
        <w:rPr>
          <w:bCs/>
        </w:rPr>
        <w:t xml:space="preserve"> km</w:t>
      </w:r>
      <w:r>
        <w:rPr>
          <w:bCs/>
        </w:rPr>
        <w:t xml:space="preserve"> d </w:t>
      </w:r>
      <w:r w:rsidRPr="00E9142F">
        <w:rPr>
          <w:bCs/>
        </w:rPr>
        <w:t xml:space="preserve">annually over the preceding seven </w:t>
      </w:r>
      <w:r w:rsidRPr="000875B6">
        <w:rPr>
          <w:bCs/>
        </w:rPr>
        <w:t xml:space="preserve">years (Section </w:t>
      </w:r>
      <w:r w:rsidR="000875B6" w:rsidRPr="000875B6">
        <w:rPr>
          <w:bCs/>
        </w:rPr>
        <w:fldChar w:fldCharType="begin"/>
      </w:r>
      <w:r w:rsidR="000875B6" w:rsidRPr="000875B6">
        <w:rPr>
          <w:bCs/>
        </w:rPr>
        <w:instrText xml:space="preserve"> REF _Ref196897342 \r \h </w:instrText>
      </w:r>
      <w:r w:rsidR="000875B6">
        <w:rPr>
          <w:bCs/>
        </w:rPr>
        <w:instrText xml:space="preserve"> \* MERGEFORMAT </w:instrText>
      </w:r>
      <w:r w:rsidR="000875B6" w:rsidRPr="000875B6">
        <w:rPr>
          <w:bCs/>
        </w:rPr>
      </w:r>
      <w:r w:rsidR="000875B6" w:rsidRPr="000875B6">
        <w:rPr>
          <w:bCs/>
        </w:rPr>
        <w:fldChar w:fldCharType="separate"/>
      </w:r>
      <w:r w:rsidR="00102828">
        <w:rPr>
          <w:bCs/>
        </w:rPr>
        <w:t>2.1</w:t>
      </w:r>
      <w:r w:rsidR="000875B6" w:rsidRPr="000875B6">
        <w:rPr>
          <w:bCs/>
        </w:rPr>
        <w:fldChar w:fldCharType="end"/>
      </w:r>
      <w:r w:rsidRPr="000875B6">
        <w:rPr>
          <w:bCs/>
        </w:rPr>
        <w:t>).</w:t>
      </w:r>
    </w:p>
    <w:p w14:paraId="0C7F8917" w14:textId="14DFD7EC" w:rsidR="00C002ED" w:rsidRPr="009B520A" w:rsidRDefault="00C002ED" w:rsidP="00C002ED">
      <w:r w:rsidRPr="00E9142F">
        <w:rPr>
          <w:bCs/>
        </w:rPr>
        <w:t>Transitions between functional groups could have significant implications for the food web. For instance, the littoral rotifer</w:t>
      </w:r>
      <w:r>
        <w:rPr>
          <w:bCs/>
        </w:rPr>
        <w:t xml:space="preserve"> (facultatively pelagic) </w:t>
      </w:r>
      <w:r w:rsidRPr="00E9142F">
        <w:rPr>
          <w:bCs/>
        </w:rPr>
        <w:t xml:space="preserve">functional group, which includes several </w:t>
      </w:r>
      <w:r w:rsidRPr="00182992">
        <w:rPr>
          <w:bCs/>
          <w:i/>
          <w:iCs/>
        </w:rPr>
        <w:t>Trichocerca</w:t>
      </w:r>
      <w:r w:rsidRPr="00E9142F">
        <w:rPr>
          <w:bCs/>
        </w:rPr>
        <w:t xml:space="preserve"> spp., may serve as crucial prey for Murray cod larvae in the </w:t>
      </w:r>
      <w:r w:rsidRPr="00CB19D7">
        <w:rPr>
          <w:bCs/>
        </w:rPr>
        <w:t xml:space="preserve">LMR (Bice </w:t>
      </w:r>
      <w:r w:rsidRPr="00182992">
        <w:rPr>
          <w:bCs/>
          <w:i/>
          <w:iCs/>
        </w:rPr>
        <w:t>et al.</w:t>
      </w:r>
      <w:r w:rsidRPr="00CB19D7">
        <w:rPr>
          <w:bCs/>
        </w:rPr>
        <w:t xml:space="preserve"> 2023). Different</w:t>
      </w:r>
      <w:r w:rsidRPr="00E9142F">
        <w:rPr>
          <w:bCs/>
        </w:rPr>
        <w:t xml:space="preserve"> functional groups are also likely to exhibit distinct fatty acid compositions, </w:t>
      </w:r>
      <w:r>
        <w:rPr>
          <w:bCs/>
        </w:rPr>
        <w:t xml:space="preserve">in-turn </w:t>
      </w:r>
      <w:r w:rsidRPr="00E9142F">
        <w:rPr>
          <w:bCs/>
        </w:rPr>
        <w:t xml:space="preserve">impacting </w:t>
      </w:r>
      <w:r>
        <w:rPr>
          <w:bCs/>
        </w:rPr>
        <w:t>the</w:t>
      </w:r>
      <w:r w:rsidRPr="006873AC">
        <w:t xml:space="preserve"> </w:t>
      </w:r>
      <w:r w:rsidRPr="006873AC">
        <w:rPr>
          <w:bCs/>
        </w:rPr>
        <w:t>growth, disease resistance, and general well-being of juvenile fish</w:t>
      </w:r>
      <w:r>
        <w:rPr>
          <w:bCs/>
        </w:rPr>
        <w:t xml:space="preserve"> (e.g. Adams 1999; Olsen 1999; Sargent </w:t>
      </w:r>
      <w:r w:rsidRPr="00182992">
        <w:rPr>
          <w:bCs/>
          <w:i/>
          <w:iCs/>
        </w:rPr>
        <w:t>et al.</w:t>
      </w:r>
      <w:r>
        <w:rPr>
          <w:bCs/>
        </w:rPr>
        <w:t xml:space="preserve"> 1999)</w:t>
      </w:r>
      <w:r w:rsidRPr="00E9142F">
        <w:rPr>
          <w:bCs/>
        </w:rPr>
        <w:t>. A study conducted in 2012-</w:t>
      </w:r>
      <w:r w:rsidRPr="00E9142F">
        <w:rPr>
          <w:bCs/>
        </w:rPr>
        <w:lastRenderedPageBreak/>
        <w:t>13 showed temporal changes in the fatty acid composition of the zooplankton community during a high flow year</w:t>
      </w:r>
      <w:r>
        <w:rPr>
          <w:bCs/>
        </w:rPr>
        <w:t>,</w:t>
      </w:r>
      <w:r w:rsidRPr="00E9142F">
        <w:rPr>
          <w:bCs/>
        </w:rPr>
        <w:t xml:space="preserve"> suggesting conditions that </w:t>
      </w:r>
      <w:r>
        <w:rPr>
          <w:bCs/>
        </w:rPr>
        <w:t>were likely to</w:t>
      </w:r>
      <w:r w:rsidRPr="00E9142F">
        <w:rPr>
          <w:bCs/>
        </w:rPr>
        <w:t xml:space="preserve"> favour </w:t>
      </w:r>
      <w:r>
        <w:rPr>
          <w:bCs/>
        </w:rPr>
        <w:t xml:space="preserve">taxa from the </w:t>
      </w:r>
      <w:r w:rsidRPr="00E9142F">
        <w:rPr>
          <w:bCs/>
        </w:rPr>
        <w:t>littoral rotifer</w:t>
      </w:r>
      <w:r>
        <w:rPr>
          <w:bCs/>
        </w:rPr>
        <w:t xml:space="preserve"> (facultatively pelagic) functional </w:t>
      </w:r>
      <w:r w:rsidRPr="00CB19D7">
        <w:rPr>
          <w:bCs/>
        </w:rPr>
        <w:t xml:space="preserve">group (Ye </w:t>
      </w:r>
      <w:r w:rsidRPr="00182992">
        <w:rPr>
          <w:bCs/>
          <w:i/>
          <w:iCs/>
        </w:rPr>
        <w:t>et al.</w:t>
      </w:r>
      <w:r w:rsidRPr="00CB19D7">
        <w:rPr>
          <w:bCs/>
        </w:rPr>
        <w:t xml:space="preserve"> 2015</w:t>
      </w:r>
      <w:r w:rsidR="004E6686">
        <w:rPr>
          <w:bCs/>
        </w:rPr>
        <w:t>b</w:t>
      </w:r>
      <w:r w:rsidRPr="00CB19D7">
        <w:rPr>
          <w:bCs/>
        </w:rPr>
        <w:t>).</w:t>
      </w:r>
      <w:r w:rsidRPr="00E9142F">
        <w:rPr>
          <w:bCs/>
        </w:rPr>
        <w:t xml:space="preserve"> However, the differences in fatty acid composition among taxa and functional groups have yet to be</w:t>
      </w:r>
      <w:r>
        <w:rPr>
          <w:bCs/>
        </w:rPr>
        <w:t xml:space="preserve"> isolated and</w:t>
      </w:r>
      <w:r w:rsidRPr="00E9142F">
        <w:rPr>
          <w:bCs/>
        </w:rPr>
        <w:t xml:space="preserve"> quantified, highlighting the need for more comprehensive future research.</w:t>
      </w:r>
      <w:r>
        <w:rPr>
          <w:bCs/>
        </w:rPr>
        <w:t xml:space="preserve"> </w:t>
      </w:r>
    </w:p>
    <w:p w14:paraId="13BAE2BE" w14:textId="77777777" w:rsidR="00C002ED" w:rsidRDefault="00C002ED" w:rsidP="00C002ED">
      <w:pPr>
        <w:tabs>
          <w:tab w:val="left" w:pos="6915"/>
        </w:tabs>
        <w:rPr>
          <w:bCs/>
          <w:i/>
          <w:iCs/>
          <w:u w:val="single"/>
        </w:rPr>
      </w:pPr>
      <w:r w:rsidRPr="00822D4C">
        <w:rPr>
          <w:bCs/>
          <w:i/>
          <w:iCs/>
          <w:u w:val="single"/>
        </w:rPr>
        <w:t>Modelled effects of environmental flows for microinvertebrates</w:t>
      </w:r>
    </w:p>
    <w:p w14:paraId="03994D06" w14:textId="77777777" w:rsidR="00C002ED" w:rsidRDefault="00C002ED" w:rsidP="00C002ED">
      <w:pPr>
        <w:tabs>
          <w:tab w:val="left" w:pos="6915"/>
        </w:tabs>
      </w:pPr>
      <w:r w:rsidRPr="00C074CE">
        <w:t xml:space="preserve">The year-to-year modelling </w:t>
      </w:r>
      <w:r>
        <w:t>was reviewed and adjusted (e.g.</w:t>
      </w:r>
      <w:r w:rsidRPr="00C074CE">
        <w:t xml:space="preserve"> </w:t>
      </w:r>
      <w:r>
        <w:t>using</w:t>
      </w:r>
      <w:r w:rsidRPr="00C074CE">
        <w:t xml:space="preserve"> negative binomial distribution instead of Poisson</w:t>
      </w:r>
      <w:r>
        <w:t xml:space="preserve">) in 2023-24, because it </w:t>
      </w:r>
      <w:r w:rsidRPr="00C074CE">
        <w:t>initially showed a poor fit with the data</w:t>
      </w:r>
      <w:r>
        <w:t xml:space="preserve">. </w:t>
      </w:r>
      <w:r w:rsidRPr="00C074CE">
        <w:t xml:space="preserve"> Although the revisions may alter the annual modelling output, they are expected to </w:t>
      </w:r>
      <w:r>
        <w:t xml:space="preserve">improve the </w:t>
      </w:r>
      <w:r w:rsidRPr="00C074CE">
        <w:t>accura</w:t>
      </w:r>
      <w:r>
        <w:t>cy of</w:t>
      </w:r>
      <w:r w:rsidRPr="00C074CE">
        <w:t xml:space="preserve"> overall model.</w:t>
      </w:r>
      <w:r>
        <w:t xml:space="preserve"> Of the three hypotheses tested, two were partially supported and one was not supported. </w:t>
      </w:r>
    </w:p>
    <w:p w14:paraId="2B2C82EC" w14:textId="77777777" w:rsidR="00C002ED" w:rsidRDefault="00C002ED" w:rsidP="00C002ED">
      <w:r>
        <w:t xml:space="preserve">The first hypothesis was that </w:t>
      </w:r>
      <w:r w:rsidRPr="27745EEF">
        <w:rPr>
          <w:i/>
          <w:iCs/>
        </w:rPr>
        <w:t>overall microinvertebrate density</w:t>
      </w:r>
      <w:r w:rsidRPr="00714A99">
        <w:rPr>
          <w:i/>
          <w:iCs/>
        </w:rPr>
        <w:t xml:space="preserve"> (H1a)</w:t>
      </w:r>
      <w:r w:rsidRPr="27745EEF">
        <w:rPr>
          <w:i/>
          <w:iCs/>
        </w:rPr>
        <w:t>, and taxonomic richness</w:t>
      </w:r>
      <w:r w:rsidRPr="00714A99">
        <w:rPr>
          <w:i/>
          <w:iCs/>
        </w:rPr>
        <w:t xml:space="preserve"> (H1b)</w:t>
      </w:r>
      <w:r w:rsidRPr="27745EEF">
        <w:rPr>
          <w:i/>
          <w:iCs/>
        </w:rPr>
        <w:t>, will increase with environmental water due to the combined effects of longitudinal transport and improved lateral connectivity with off-channel habitats</w:t>
      </w:r>
      <w:r>
        <w:t xml:space="preserve">. This hypothesis was partially supported. </w:t>
      </w:r>
    </w:p>
    <w:p w14:paraId="65A763DC" w14:textId="77777777" w:rsidR="00C002ED" w:rsidRDefault="00C002ED" w:rsidP="00C002ED">
      <w:r>
        <w:t>H1a was supported, with modelling estimating that, in 2023-24, environmental water</w:t>
      </w:r>
      <w:r w:rsidRPr="00784BB6">
        <w:t xml:space="preserve"> </w:t>
      </w:r>
      <w:r>
        <w:t xml:space="preserve">increased mean microinvertebrate density by </w:t>
      </w:r>
      <w:r w:rsidRPr="007A6841">
        <w:t>(</w:t>
      </w:r>
      <w:r>
        <w:t xml:space="preserve">equates to 10% due to Commonwealth environmental water, </w:t>
      </w:r>
      <w:r w:rsidRPr="007A6841">
        <w:t xml:space="preserve">categorised as </w:t>
      </w:r>
      <w:r>
        <w:t>minor</w:t>
      </w:r>
      <w:r w:rsidRPr="007A6841">
        <w:t>).</w:t>
      </w:r>
      <w:r>
        <w:t xml:space="preserve"> This increase was similar to that observed in 2020-21 (11% increase due to </w:t>
      </w:r>
      <w:r w:rsidRPr="00197066">
        <w:t>Commonwealth environmental water</w:t>
      </w:r>
      <w:r>
        <w:t xml:space="preserve">), when environmental water was also delivered during November and December. </w:t>
      </w:r>
    </w:p>
    <w:p w14:paraId="61AEDDBD" w14:textId="77777777" w:rsidR="00C002ED" w:rsidRDefault="00C002ED" w:rsidP="00C002ED">
      <w:r w:rsidRPr="00341AB9">
        <w:t xml:space="preserve">Interestingly, the </w:t>
      </w:r>
      <w:r>
        <w:t xml:space="preserve">updated </w:t>
      </w:r>
      <w:r w:rsidRPr="00341AB9">
        <w:t>model indicated that in 2019-20</w:t>
      </w:r>
      <w:r>
        <w:t>,</w:t>
      </w:r>
      <w:r w:rsidRPr="00341AB9">
        <w:t xml:space="preserve"> a large decrease in density occurred due to e</w:t>
      </w:r>
      <w:r>
        <w:t xml:space="preserve">nvironmental </w:t>
      </w:r>
      <w:r w:rsidRPr="00341AB9">
        <w:t xml:space="preserve">water. </w:t>
      </w:r>
      <w:r>
        <w:t>During this year, environmental water was primarily delivered in</w:t>
      </w:r>
      <w:r w:rsidRPr="00341AB9">
        <w:t xml:space="preserve"> October</w:t>
      </w:r>
      <w:r>
        <w:t xml:space="preserve">, which </w:t>
      </w:r>
      <w:r w:rsidRPr="00341AB9">
        <w:t>gene</w:t>
      </w:r>
      <w:r w:rsidRPr="006D2608">
        <w:t>rated a notable positive response</w:t>
      </w:r>
      <w:r>
        <w:t xml:space="preserve"> in microinvertebrates</w:t>
      </w:r>
      <w:r w:rsidRPr="006D2608">
        <w:t xml:space="preserve"> (see Figure 5, Ye </w:t>
      </w:r>
      <w:r w:rsidRPr="006D2608">
        <w:rPr>
          <w:i/>
          <w:iCs/>
        </w:rPr>
        <w:t>et al.</w:t>
      </w:r>
      <w:r w:rsidRPr="006D2608">
        <w:t xml:space="preserve"> 2021), however</w:t>
      </w:r>
      <w:r>
        <w:t>,</w:t>
      </w:r>
      <w:r w:rsidRPr="00341AB9">
        <w:t xml:space="preserve"> on only a single sampling occasion. </w:t>
      </w:r>
      <w:r>
        <w:t>Contrary to this, d</w:t>
      </w:r>
      <w:r w:rsidRPr="00341AB9">
        <w:t xml:space="preserve">ensities from early November until early January were low and consisted of few littoral </w:t>
      </w:r>
      <w:r>
        <w:t xml:space="preserve">rotifers </w:t>
      </w:r>
      <w:r w:rsidRPr="00341AB9">
        <w:t>(facultatively pelagic)</w:t>
      </w:r>
      <w:r>
        <w:t xml:space="preserve"> </w:t>
      </w:r>
      <w:r w:rsidRPr="00341AB9">
        <w:t xml:space="preserve">in comparison to what has been observed in </w:t>
      </w:r>
      <w:r>
        <w:t>other</w:t>
      </w:r>
      <w:r w:rsidRPr="00341AB9">
        <w:t xml:space="preserve"> years around this time (e.g. 2014-15, 2020-21, 2021-22, 2022-23 and 2023-24)</w:t>
      </w:r>
      <w:r>
        <w:t xml:space="preserve">. </w:t>
      </w:r>
      <w:r w:rsidRPr="00B35A27">
        <w:t xml:space="preserve">A </w:t>
      </w:r>
      <w:r>
        <w:t xml:space="preserve">large </w:t>
      </w:r>
      <w:r w:rsidRPr="00B35A27">
        <w:t xml:space="preserve">proportion of flows during this period, including some environmental water in December, came from Lake Victoria. </w:t>
      </w:r>
      <w:r>
        <w:t>Higher flows passing through Lake Victoria have been shown to</w:t>
      </w:r>
      <w:r w:rsidRPr="00B35A27">
        <w:t xml:space="preserve"> disrupt longitudinal connectivity in the River Murray, impacting the downstream transportation of rotifer communities and introducing organisms that don't survive long in flowing environments</w:t>
      </w:r>
      <w:r>
        <w:t xml:space="preserve"> (Furst </w:t>
      </w:r>
      <w:r w:rsidRPr="00182992">
        <w:rPr>
          <w:i/>
          <w:iCs/>
        </w:rPr>
        <w:t>et al.</w:t>
      </w:r>
      <w:r>
        <w:t xml:space="preserve"> 2018).</w:t>
      </w:r>
      <w:r w:rsidRPr="00B35A27">
        <w:t xml:space="preserve"> Thus, the decrease in densities indicated by the 2019-20 modelling may be linked to </w:t>
      </w:r>
      <w:r>
        <w:t xml:space="preserve">the environmental flow deliveries </w:t>
      </w:r>
      <w:r w:rsidRPr="00B35A27">
        <w:t>from Lake Victoria</w:t>
      </w:r>
      <w:r>
        <w:t xml:space="preserve">. </w:t>
      </w:r>
    </w:p>
    <w:p w14:paraId="0C7D8E4E" w14:textId="7DEFF21B" w:rsidR="00C002ED" w:rsidRDefault="00C002ED" w:rsidP="00C002ED">
      <w:r>
        <w:t xml:space="preserve">H1b was not supported, with modelling estimating that environmental water did not contribute to changes in taxonomic richness in 2023-24. This was similar to all years since 2019-20, indicating that with the current volumes of environmental water available and delivery constraints, it is difficult to significantly impact microinvertebrate taxonomic richness. An interesting standout from this trend however was 2017-18, where modelling indicated a substantial increase in taxonomic richness. A number of factors might have contributed to this result. This year followed a year of large overbank flows (2016-17), which would have substantially replenished the egg bank. Also, Commonwealth environmental water delivery in 2017-18 contributed to two distinct flow peaks during the sampling season, one in October (consisting of return flows from the Goulburn) and one throughout </w:t>
      </w:r>
      <w:r>
        <w:lastRenderedPageBreak/>
        <w:t xml:space="preserve">November, December and January (consisting of a combination of unregulated flows and return flows from the Goulburn, Barmah-Millewa Forest and Hattah Lakes) (see Figure 5, Ye </w:t>
      </w:r>
      <w:r w:rsidRPr="00182992">
        <w:rPr>
          <w:i/>
          <w:iCs/>
        </w:rPr>
        <w:t xml:space="preserve">et al. </w:t>
      </w:r>
      <w:r w:rsidRPr="00182992">
        <w:t>2020a</w:t>
      </w:r>
      <w:r>
        <w:t xml:space="preserve">). Return flows from floodplain environments like Barmah-Millewa Forest and Hattah Lakes are likely to drive more microinvertebrate productivity in </w:t>
      </w:r>
      <w:r w:rsidRPr="00F52035">
        <w:t xml:space="preserve">the </w:t>
      </w:r>
      <w:r w:rsidRPr="002E748B">
        <w:t>LMR</w:t>
      </w:r>
      <w:r w:rsidRPr="00F52035">
        <w:t xml:space="preserve"> than</w:t>
      </w:r>
      <w:r>
        <w:t xml:space="preserve"> environments such as Lake Victoria (e.g. Furst </w:t>
      </w:r>
      <w:r w:rsidRPr="00182992">
        <w:rPr>
          <w:i/>
          <w:iCs/>
        </w:rPr>
        <w:t>et al.</w:t>
      </w:r>
      <w:r>
        <w:t xml:space="preserve"> 2018, 2020). This is due to a number of reasons including denser and more diverse eggbanks and more complex habitat such as aquatic and riparian vegetation and detritus. These factors combined, are expected to have contributed to the observed unusually significant incursions of littoral rotifers and pelagic cladocerans, particularly at Lock 6, in 2017-18, and in turn high taxonomic richness (see Figure 25, Ye </w:t>
      </w:r>
      <w:r w:rsidRPr="00182992">
        <w:rPr>
          <w:i/>
          <w:iCs/>
        </w:rPr>
        <w:t>et al.</w:t>
      </w:r>
      <w:r>
        <w:t xml:space="preserve"> 2020a).</w:t>
      </w:r>
    </w:p>
    <w:p w14:paraId="47C8F65D" w14:textId="77777777" w:rsidR="00C002ED" w:rsidRDefault="00C002ED" w:rsidP="00C002ED">
      <w:pPr>
        <w:rPr>
          <w:i/>
          <w:iCs/>
        </w:rPr>
      </w:pPr>
      <w:r>
        <w:t xml:space="preserve">The second hypothesis was: </w:t>
      </w:r>
      <w:r w:rsidRPr="27745EEF">
        <w:rPr>
          <w:i/>
          <w:iCs/>
        </w:rPr>
        <w:t xml:space="preserve">The density will increase for ‘floodplain associated’ microinvertebrates during periods of greater floodplain inundation (H2a) and for those that are likely to be transported to the LMR from upstream during periods of high longitudinal connectivity (H2b). </w:t>
      </w:r>
    </w:p>
    <w:p w14:paraId="03A03830" w14:textId="77777777" w:rsidR="00C002ED" w:rsidRDefault="00C002ED" w:rsidP="00C002ED">
      <w:r>
        <w:t xml:space="preserve">H2a </w:t>
      </w:r>
      <w:r w:rsidRPr="00A004D9">
        <w:t>was not supported</w:t>
      </w:r>
      <w:r>
        <w:t xml:space="preserve"> in 2023-24</w:t>
      </w:r>
      <w:r w:rsidRPr="00A004D9">
        <w:t>,</w:t>
      </w:r>
      <w:r>
        <w:t xml:space="preserve"> with modelling estimating that environmental water substantially decreased mean density of </w:t>
      </w:r>
      <w:r w:rsidRPr="002E748B">
        <w:t>‘floodplain associated’ microinvertebrates</w:t>
      </w:r>
      <w:r>
        <w:t xml:space="preserve">. These results were consistent with the updated modelling for 2019-20, 2022-21 and 2021-22. There are several mechanisms possibly contributing to these results. Firstly, numerous taxa included in this group commonly thrive in weir pools (lake like environments) (pers. comms Russell Shiel) during low flows, and likely seed downstream habitats (e.g.  </w:t>
      </w:r>
      <w:r w:rsidRPr="002E748B">
        <w:rPr>
          <w:i/>
          <w:iCs/>
        </w:rPr>
        <w:t>Boeckella</w:t>
      </w:r>
      <w:r>
        <w:t xml:space="preserve"> copepod, some cladocera species). These taxa may be flushed from the weir pools as flows increase with environmental water delivery, driving densities down. Secondly, </w:t>
      </w:r>
      <w:r w:rsidRPr="00182992">
        <w:rPr>
          <w:i/>
          <w:iCs/>
        </w:rPr>
        <w:t>Bosmina meridionalis</w:t>
      </w:r>
      <w:r>
        <w:t>, another species included in this category has been found to thrive within the main channel during low flows (Furst 2020). This may be due to its ability to utilise narrow strips of slower-flowing water and riparian vegetation along the banks of the main river channel to sustain its populations and seed downstream environments. These narrow strips of habitat may also be moved, reduced or eliminated as flows increase with environmental water delivery. Thirdly, it is suspected that many of the remaining species included in this category, require larger areas of slow/still water with the presence of considerable stands of riparian vegetation to develop and support dense and persistent populations. It is possible, that increases in flow, due to environmental water, were currently not sufficient (magnitude and/or length of time) to support the conditions needed for these taxa. Compounding the influence of these mechanisms, and the sensitivity of</w:t>
      </w:r>
      <w:r w:rsidRPr="001C3A0B">
        <w:t xml:space="preserve"> </w:t>
      </w:r>
      <w:r>
        <w:t>these results to changes in a small number of species, sampling was only conducted in the main river channel. It is also important to note, that all prey species are not necessarily equal. For example, a study conducted in 2020, found that many of the microinvertebrate species that commonly occur in weir pools (</w:t>
      </w:r>
      <w:r w:rsidRPr="0001080C">
        <w:t xml:space="preserve">e.g. </w:t>
      </w:r>
      <w:r>
        <w:t xml:space="preserve">calanoid copepods) and </w:t>
      </w:r>
      <w:r w:rsidRPr="00182992">
        <w:rPr>
          <w:i/>
          <w:iCs/>
        </w:rPr>
        <w:t>Bosmina meridionalis</w:t>
      </w:r>
      <w:r>
        <w:t xml:space="preserve"> are not preferred by Murray cod larvae in the presence of a number of the species that are believed to require larger areas of slow/still water (e.g. cyclopoid copepods) (Gibbs </w:t>
      </w:r>
      <w:r w:rsidRPr="00182992">
        <w:rPr>
          <w:i/>
          <w:iCs/>
        </w:rPr>
        <w:t>et al.</w:t>
      </w:r>
      <w:r>
        <w:t xml:space="preserve"> 2020). Therefore, in the future, the sampling design, the taxa that are included, and how the question is evaluated should be investigated and revised.  </w:t>
      </w:r>
    </w:p>
    <w:p w14:paraId="34983A38" w14:textId="77777777" w:rsidR="00C002ED" w:rsidRDefault="00C002ED" w:rsidP="00C002ED">
      <w:r>
        <w:t xml:space="preserve">H2b was not </w:t>
      </w:r>
      <w:r w:rsidRPr="00A004D9">
        <w:t>supported</w:t>
      </w:r>
      <w:r>
        <w:t xml:space="preserve"> in 2023-24. Modelling indicated that the density of taxa common to upstream areas was unaffected by environmental water delivery as the mean difference was not significant. However, this was in part due to the large and unexplained outliers for modelled densities with no environmental water, skewing the mean. </w:t>
      </w:r>
    </w:p>
    <w:p w14:paraId="4EFE3356" w14:textId="77777777" w:rsidR="00C002ED" w:rsidRPr="003C21A6" w:rsidRDefault="00C002ED" w:rsidP="00C002ED">
      <w:r>
        <w:rPr>
          <w:bCs/>
        </w:rPr>
        <w:lastRenderedPageBreak/>
        <w:t xml:space="preserve">Similar to that seen for taxonomic richness, a distinctive positive response in relation to environmental water delivery was detected in this group (transported from upstream) </w:t>
      </w:r>
      <w:r>
        <w:t xml:space="preserve">in 2017-18. As previously mentioned, the large overbank flows in the preceding year and the two distinct flow peaks during the sampling season, comprised of return flows from the Goulburn, Barmah-Millewa Forest and Hattah Lakes and unregulated flows, are likely to have been responsible for this positive response.  </w:t>
      </w:r>
    </w:p>
    <w:p w14:paraId="09043E8A" w14:textId="77777777" w:rsidR="00C002ED" w:rsidRDefault="00C002ED" w:rsidP="00C002ED">
      <w:r>
        <w:t xml:space="preserve">The third hypothesis was that </w:t>
      </w:r>
      <w:r w:rsidRPr="27745EEF">
        <w:rPr>
          <w:i/>
          <w:iCs/>
        </w:rPr>
        <w:t>environmental water delivery during spring and early summer will increase the density of preferred microinvertebrate prey species for large-bodied fish larvae</w:t>
      </w:r>
      <w:r>
        <w:rPr>
          <w:i/>
          <w:iCs/>
        </w:rPr>
        <w:t xml:space="preserve"> (H3)</w:t>
      </w:r>
      <w:r w:rsidRPr="27745EEF">
        <w:rPr>
          <w:i/>
          <w:iCs/>
        </w:rPr>
        <w:t>.</w:t>
      </w:r>
      <w:r>
        <w:t xml:space="preserve"> </w:t>
      </w:r>
    </w:p>
    <w:p w14:paraId="02DFF4E0" w14:textId="77777777" w:rsidR="00C002ED" w:rsidRPr="00B17882" w:rsidRDefault="00C002ED" w:rsidP="00C002ED">
      <w:r>
        <w:t xml:space="preserve">H3 was not supported in 2023-24, with modelling estimating that environmental water substantially decreased the mean density of prey species for large-bodied fish larvae during spring–early summer. These decreases were likely caused by the same mechanisms discussed above in relation to decreases in </w:t>
      </w:r>
      <w:r w:rsidRPr="27745EEF">
        <w:rPr>
          <w:i/>
          <w:iCs/>
        </w:rPr>
        <w:t>‘floodplain associated’ microinvertebrates</w:t>
      </w:r>
      <w:r>
        <w:rPr>
          <w:i/>
          <w:iCs/>
        </w:rPr>
        <w:t xml:space="preserve"> </w:t>
      </w:r>
      <w:r>
        <w:t xml:space="preserve">as there is significant overlap in the taxa that compose these two categories. </w:t>
      </w:r>
    </w:p>
    <w:p w14:paraId="64C1E673" w14:textId="77777777" w:rsidR="00C002ED" w:rsidRDefault="00C002ED" w:rsidP="00C002ED">
      <w:pPr>
        <w:pStyle w:val="Heading3"/>
      </w:pPr>
      <w:r>
        <w:t>Management implications</w:t>
      </w:r>
    </w:p>
    <w:p w14:paraId="7DB2C901" w14:textId="77777777" w:rsidR="00C002ED" w:rsidRDefault="00C002ED" w:rsidP="00C002ED">
      <w:r w:rsidRPr="00671277">
        <w:t>This project has revealed new findings and expanded our understanding of the</w:t>
      </w:r>
      <w:r>
        <w:t xml:space="preserve"> dynamics</w:t>
      </w:r>
      <w:r w:rsidRPr="00671277">
        <w:t xml:space="preserve"> of the microinvertebrate community in the LMR and its response to environmental water deliveries under varying conditions. The insights gained from this monitoring will guide future environmental water management, with the aim of fostering a positive response in the </w:t>
      </w:r>
      <w:r w:rsidRPr="004D5CA9">
        <w:t>LMR</w:t>
      </w:r>
      <w:r w:rsidRPr="00671277">
        <w:t xml:space="preserve"> microinvertebrate community. These changes are anticipated to </w:t>
      </w:r>
      <w:r>
        <w:t xml:space="preserve">support ecosystem functions in the LMR and </w:t>
      </w:r>
      <w:r w:rsidRPr="00671277">
        <w:t xml:space="preserve">have a cascading effect, benefiting </w:t>
      </w:r>
      <w:r>
        <w:t xml:space="preserve">a range of higher trophic organisms </w:t>
      </w:r>
      <w:r w:rsidRPr="004D5CA9">
        <w:t>throughout the aquatic</w:t>
      </w:r>
      <w:r w:rsidRPr="00671277">
        <w:t xml:space="preserve"> food web.</w:t>
      </w:r>
    </w:p>
    <w:p w14:paraId="4ED62C8A" w14:textId="3142AC29" w:rsidR="00C002ED" w:rsidRDefault="00C002ED" w:rsidP="00C002ED">
      <w:r>
        <w:t xml:space="preserve">The results across years provided multiple points of evidence that </w:t>
      </w:r>
      <w:r w:rsidRPr="27745EEF">
        <w:rPr>
          <w:i/>
          <w:iCs/>
        </w:rPr>
        <w:t>littoral rotifers (facultatively pelagic</w:t>
      </w:r>
      <w:r>
        <w:t xml:space="preserve">) are associated with high flows and water velocity and that environmental water </w:t>
      </w:r>
      <w:r w:rsidR="00B11450">
        <w:t xml:space="preserve">delivery during spring–summer </w:t>
      </w:r>
      <w:r>
        <w:t>can influence the densities of these organisms in low (e.g. in early 2019-20) and high flow (e.g. 2023-24) periods. There was</w:t>
      </w:r>
      <w:r w:rsidR="00564264">
        <w:t>,</w:t>
      </w:r>
      <w:r>
        <w:t xml:space="preserve"> however, some evidence that during periods when a high proportion of flows was coming from Lake Victoria, responses in these organisms may be muted and/or eliminated (e.g. </w:t>
      </w:r>
      <w:r w:rsidR="00444F37">
        <w:t xml:space="preserve">in </w:t>
      </w:r>
      <w:r>
        <w:t xml:space="preserve">late 2019-20). </w:t>
      </w:r>
      <w:r w:rsidR="00444F37">
        <w:t xml:space="preserve">The littoral rotifer (facultatively pelagic) </w:t>
      </w:r>
      <w:r w:rsidR="00444F37" w:rsidRPr="00B11450">
        <w:t xml:space="preserve">functional group, which includes several </w:t>
      </w:r>
      <w:r w:rsidR="00444F37" w:rsidRPr="00986DC5">
        <w:rPr>
          <w:i/>
          <w:iCs/>
        </w:rPr>
        <w:t>Trichocerca</w:t>
      </w:r>
      <w:r w:rsidR="00444F37" w:rsidRPr="00B11450">
        <w:t xml:space="preserve"> spp., may serve as </w:t>
      </w:r>
      <w:r w:rsidR="00444F37">
        <w:t xml:space="preserve">important </w:t>
      </w:r>
      <w:r w:rsidR="00444F37" w:rsidRPr="00B11450">
        <w:t xml:space="preserve">prey for Murray cod larvae in the LMR (Bice </w:t>
      </w:r>
      <w:r w:rsidR="00444F37" w:rsidRPr="00AF0215">
        <w:rPr>
          <w:i/>
          <w:iCs/>
        </w:rPr>
        <w:t>et al.</w:t>
      </w:r>
      <w:r w:rsidR="00444F37" w:rsidRPr="00B11450">
        <w:t xml:space="preserve"> 2023)</w:t>
      </w:r>
      <w:r w:rsidR="00444F37">
        <w:t>.</w:t>
      </w:r>
    </w:p>
    <w:p w14:paraId="097789AC" w14:textId="77777777" w:rsidR="00C002ED" w:rsidRDefault="00C002ED" w:rsidP="00C002ED">
      <w:r>
        <w:t xml:space="preserve">All years since 2019-20 have demonstrated </w:t>
      </w:r>
      <w:r w:rsidRPr="006C0123">
        <w:t>a negligible level of influence of Commonwealth environmental water on taxonomic richness</w:t>
      </w:r>
      <w:r>
        <w:t xml:space="preserve">. </w:t>
      </w:r>
      <w:r w:rsidRPr="006C0123">
        <w:t xml:space="preserve">This implies that it </w:t>
      </w:r>
      <w:r>
        <w:t>is</w:t>
      </w:r>
      <w:r w:rsidRPr="006C0123">
        <w:t xml:space="preserve"> difficult to substantially impact microinvertebrate taxonomic richness with limited volumes of Commonwealth environmental water and under current delivery constraints.</w:t>
      </w:r>
      <w:r>
        <w:t xml:space="preserve"> However, the results from 2017-18 suggest that in years following a large flood, which has driven system wide egg bank replenishment, return flows from upstream sources such as Hattah Lakes and Barmah-Millewa Forrest, may be able to generate a substantial positive result. </w:t>
      </w:r>
    </w:p>
    <w:p w14:paraId="49E92F4D" w14:textId="77777777" w:rsidR="00C002ED" w:rsidRDefault="00C002ED" w:rsidP="00C002ED">
      <w:r>
        <w:t xml:space="preserve">Taxa associated with lateral connectivity to floodplains and backwaters and prey taxa for large-bodied fish larvae were only detected in relatively low densities and were primarily negatively influence by environmental water. </w:t>
      </w:r>
      <w:r w:rsidRPr="00BD0B78">
        <w:t xml:space="preserve">However, the results were likely an artefact due to sampling constraint (e.g. misalignment of the location of where larvae are feeding </w:t>
      </w:r>
      <w:r>
        <w:t>in comparison to</w:t>
      </w:r>
      <w:r w:rsidRPr="00BD0B78">
        <w:t xml:space="preserve"> where microinvertebrate samples</w:t>
      </w:r>
      <w:r>
        <w:t xml:space="preserve"> were collected</w:t>
      </w:r>
      <w:r w:rsidRPr="00BD0B78">
        <w:t xml:space="preserve">). It is recommended </w:t>
      </w:r>
      <w:r w:rsidRPr="00BD0B78">
        <w:lastRenderedPageBreak/>
        <w:t>that the evaluation questions for these taxa be carefully reconsidered, and different approach be take</w:t>
      </w:r>
      <w:r>
        <w:t>n.</w:t>
      </w:r>
    </w:p>
    <w:p w14:paraId="11C87012" w14:textId="77777777" w:rsidR="00C002ED" w:rsidRDefault="00C002ED" w:rsidP="00C002ED">
      <w:pPr>
        <w:spacing w:before="0"/>
      </w:pPr>
      <w:r>
        <w:t xml:space="preserve">Due to the ability of many microorganisms to produce diapause eggs, the very high densities and taxonomic richness observed in 2022-23 and 2023-24 will provide a legacy effect and are expected to enhance the impact that environmental water has in the following years. </w:t>
      </w:r>
    </w:p>
    <w:p w14:paraId="1C7CED4A" w14:textId="77777777" w:rsidR="00BD3C09" w:rsidRDefault="00BD3C09" w:rsidP="00BD3C09">
      <w:pPr>
        <w:pStyle w:val="Heading3"/>
      </w:pPr>
      <w:r w:rsidRPr="003C0EBB">
        <w:t xml:space="preserve">Conclusion </w:t>
      </w:r>
    </w:p>
    <w:p w14:paraId="0F64A0F0" w14:textId="77777777" w:rsidR="00C002ED" w:rsidRPr="00D32D24" w:rsidRDefault="00C002ED" w:rsidP="00C002ED">
      <w:r w:rsidRPr="00D32D24">
        <w:t>The findings from this project have enhanced our understanding of the microinvertebrate community in the LMR and its responses to environmental water deliveries under varying flow conditions.</w:t>
      </w:r>
      <w:r>
        <w:t xml:space="preserve"> </w:t>
      </w:r>
      <w:r w:rsidRPr="00010923">
        <w:t xml:space="preserve">The findings indicated that environmental water, including Commonwealth </w:t>
      </w:r>
      <w:r>
        <w:t>e</w:t>
      </w:r>
      <w:r w:rsidRPr="00010923">
        <w:t xml:space="preserve">nvironmental </w:t>
      </w:r>
      <w:r>
        <w:t>w</w:t>
      </w:r>
      <w:r w:rsidRPr="00010923">
        <w:t>ater, had varying effects on microinvertebrate density, ranging from negligible to moderate,</w:t>
      </w:r>
      <w:r>
        <w:t xml:space="preserve"> </w:t>
      </w:r>
      <w:r w:rsidRPr="00010923">
        <w:t xml:space="preserve">between 2014-15 and 2023-24. </w:t>
      </w:r>
      <w:r w:rsidRPr="00D32D24">
        <w:t>Environmental water play</w:t>
      </w:r>
      <w:r>
        <w:t>ed</w:t>
      </w:r>
      <w:r w:rsidRPr="00D32D24">
        <w:t xml:space="preserve"> </w:t>
      </w:r>
      <w:r>
        <w:t xml:space="preserve">a more significant </w:t>
      </w:r>
      <w:r w:rsidRPr="00D32D24">
        <w:t xml:space="preserve">role in shaping </w:t>
      </w:r>
      <w:r>
        <w:t>the</w:t>
      </w:r>
      <w:r w:rsidRPr="00D32D24">
        <w:t xml:space="preserve"> dynamics</w:t>
      </w:r>
      <w:r>
        <w:t xml:space="preserve"> of </w:t>
      </w:r>
      <w:r w:rsidRPr="00D32D24">
        <w:t>taxa such as littoral rotifers</w:t>
      </w:r>
      <w:r>
        <w:t xml:space="preserve">, </w:t>
      </w:r>
      <w:r w:rsidRPr="00010923">
        <w:t>particularly in response to in-channel pulses during late spring and early summer.</w:t>
      </w:r>
      <w:r>
        <w:t xml:space="preserve"> </w:t>
      </w:r>
      <w:r w:rsidRPr="00D32D24">
        <w:t>In general, low-flow years yielded lower mean annual densities</w:t>
      </w:r>
      <w:r>
        <w:t xml:space="preserve"> of microinvertebrate</w:t>
      </w:r>
      <w:r w:rsidRPr="00D32D24">
        <w:t xml:space="preserve">, while higher flow years—especially those resulting in overbank flows—were associated with </w:t>
      </w:r>
      <w:r>
        <w:t>greater</w:t>
      </w:r>
      <w:r w:rsidRPr="00D32D24">
        <w:t xml:space="preserve"> densities. However, the flood year 2016-17 presented an exception, showing unexpectedly low densities</w:t>
      </w:r>
      <w:r>
        <w:t>, likely impacted by a</w:t>
      </w:r>
      <w:r w:rsidRPr="00D32D24">
        <w:t xml:space="preserve"> significant blackwater event</w:t>
      </w:r>
      <w:r>
        <w:t xml:space="preserve">. </w:t>
      </w:r>
      <w:r w:rsidRPr="00D32D24">
        <w:t xml:space="preserve"> </w:t>
      </w:r>
    </w:p>
    <w:p w14:paraId="227EC80B" w14:textId="77777777" w:rsidR="00C002ED" w:rsidRDefault="00C002ED" w:rsidP="00C002ED">
      <w:pPr>
        <w:spacing w:before="0" w:after="160" w:line="259" w:lineRule="auto"/>
      </w:pPr>
      <w:r w:rsidRPr="00D32D24">
        <w:t xml:space="preserve">While the influence of environmental water on taxonomic richness has been limited under current constraints, </w:t>
      </w:r>
      <w:r>
        <w:t>some</w:t>
      </w:r>
      <w:r w:rsidRPr="00D32D24">
        <w:t xml:space="preserve"> evidence</w:t>
      </w:r>
      <w:r>
        <w:t xml:space="preserve"> </w:t>
      </w:r>
      <w:r w:rsidRPr="00D32D24">
        <w:t xml:space="preserve">suggests that strategic return flows following major flooding events may yield substantial benefits. Furthermore, some taxa linked to lateral connectivity and prey availability for larger fish larvae showed low densities, but the relationship between </w:t>
      </w:r>
      <w:r>
        <w:t>river flow</w:t>
      </w:r>
      <w:r w:rsidRPr="00D32D24">
        <w:t xml:space="preserve"> and food resource availability warrants further investigation. Ultimately, these insights will inform future environmental water management strategies, ensuring that water allocations are optimi</w:t>
      </w:r>
      <w:r>
        <w:t>s</w:t>
      </w:r>
      <w:r w:rsidRPr="00D32D24">
        <w:t>ed to support ecosystem health and promote a thriving aquatic food web in the LMR.</w:t>
      </w:r>
    </w:p>
    <w:p w14:paraId="077D2DE3" w14:textId="0D18E70D" w:rsidR="00AA7A04" w:rsidRPr="00B842BF" w:rsidRDefault="00AA7A04" w:rsidP="00BD3C09">
      <w:r>
        <w:t xml:space="preserve"> </w:t>
      </w:r>
    </w:p>
    <w:p w14:paraId="73A61221" w14:textId="24EB46F9" w:rsidR="00121077" w:rsidRPr="00B842BF" w:rsidRDefault="00121077" w:rsidP="00121077">
      <w:pPr>
        <w:rPr>
          <w:iCs/>
        </w:rPr>
      </w:pPr>
    </w:p>
    <w:p w14:paraId="6FE48D1E" w14:textId="2E28F284" w:rsidR="00CB491D" w:rsidRPr="00B842BF" w:rsidRDefault="00CB491D" w:rsidP="00CB491D">
      <w:pPr>
        <w:rPr>
          <w:iCs/>
        </w:rPr>
      </w:pPr>
    </w:p>
    <w:p w14:paraId="2E06A43F" w14:textId="77777777" w:rsidR="00CB491D" w:rsidRDefault="00CB491D" w:rsidP="00CB491D">
      <w:pPr>
        <w:rPr>
          <w:rFonts w:eastAsiaTheme="majorEastAsia" w:cstheme="majorBidi"/>
          <w:b/>
          <w:i/>
          <w:color w:val="44546A" w:themeColor="text2"/>
          <w:sz w:val="26"/>
          <w:szCs w:val="24"/>
        </w:rPr>
      </w:pPr>
    </w:p>
    <w:bookmarkEnd w:id="359"/>
    <w:p w14:paraId="4FD7D18A" w14:textId="77777777" w:rsidR="00CB491D" w:rsidRDefault="00CB491D" w:rsidP="00CB491D">
      <w:pPr>
        <w:rPr>
          <w:rFonts w:eastAsiaTheme="majorEastAsia" w:cstheme="majorBidi"/>
          <w:b/>
          <w:i/>
          <w:color w:val="44546A" w:themeColor="text2"/>
          <w:sz w:val="26"/>
          <w:szCs w:val="24"/>
        </w:rPr>
      </w:pPr>
    </w:p>
    <w:p w14:paraId="258E6E01" w14:textId="77777777" w:rsidR="00CB491D" w:rsidRDefault="00CB491D" w:rsidP="00CB491D">
      <w:pPr>
        <w:spacing w:before="0" w:after="160" w:line="259" w:lineRule="auto"/>
        <w:jc w:val="left"/>
        <w:rPr>
          <w:rFonts w:eastAsiaTheme="majorEastAsia" w:cstheme="majorBidi"/>
          <w:b/>
          <w:i/>
          <w:color w:val="44546A" w:themeColor="text2"/>
          <w:sz w:val="26"/>
          <w:szCs w:val="24"/>
        </w:rPr>
      </w:pPr>
      <w:r>
        <w:br w:type="page"/>
      </w:r>
    </w:p>
    <w:p w14:paraId="25F699DC" w14:textId="77777777" w:rsidR="00F87105" w:rsidRPr="00606736" w:rsidRDefault="00F87105" w:rsidP="00F87105">
      <w:pPr>
        <w:pStyle w:val="Heading2"/>
      </w:pPr>
      <w:bookmarkStart w:id="415" w:name="_Ref53046930"/>
      <w:bookmarkStart w:id="416" w:name="_Ref127537765"/>
      <w:bookmarkStart w:id="417" w:name="_Toc200467865"/>
      <w:bookmarkStart w:id="418" w:name="_Hlk63411837"/>
      <w:r w:rsidRPr="00606736">
        <w:lastRenderedPageBreak/>
        <w:t>Flow-cued Spawning Fish Reproduction</w:t>
      </w:r>
      <w:bookmarkEnd w:id="415"/>
      <w:bookmarkEnd w:id="416"/>
      <w:bookmarkEnd w:id="417"/>
    </w:p>
    <w:p w14:paraId="00795514" w14:textId="77777777" w:rsidR="00F87105" w:rsidRPr="00173134" w:rsidRDefault="00F87105" w:rsidP="00F87105">
      <w:pPr>
        <w:pStyle w:val="Heading3"/>
      </w:pPr>
      <w:bookmarkStart w:id="419" w:name="_Ref876511"/>
      <w:bookmarkStart w:id="420" w:name="_Toc3558341"/>
      <w:bookmarkStart w:id="421" w:name="_Ref25334037"/>
      <w:bookmarkStart w:id="422" w:name="_Ref25334134"/>
      <w:bookmarkStart w:id="423" w:name="_Ref30588645"/>
      <w:r w:rsidRPr="00173134">
        <w:t>Background</w:t>
      </w:r>
    </w:p>
    <w:p w14:paraId="49C18907" w14:textId="22E4A5A0" w:rsidR="00F87105" w:rsidRPr="00173134" w:rsidRDefault="00F87105" w:rsidP="00F87105">
      <w:pPr>
        <w:rPr>
          <w:bCs/>
        </w:rPr>
      </w:pPr>
      <w:r w:rsidRPr="00DC74F5">
        <w:rPr>
          <w:bCs/>
        </w:rPr>
        <w:t>In the southern MDB, spawning and recruitment of golden perch corresponds with</w:t>
      </w:r>
      <w:r w:rsidRPr="00173134">
        <w:rPr>
          <w:bCs/>
        </w:rPr>
        <w:t xml:space="preserve"> increases in water temperature and discharge, either in-channel or overbank (Mallen-Cooper and Stuart 2003; Zampatti and Leigh 2013a</w:t>
      </w:r>
      <w:r w:rsidR="005C7AFB">
        <w:rPr>
          <w:bCs/>
        </w:rPr>
        <w:t>,</w:t>
      </w:r>
      <w:r w:rsidRPr="00173134">
        <w:rPr>
          <w:bCs/>
        </w:rPr>
        <w:t xml:space="preserve"> 2013b). Silver perch display similar life history characteristics and population dynamics, although in the lotic reaches of the Murray River, silver perch may spawn circa-annually (Tonkin </w:t>
      </w:r>
      <w:r w:rsidRPr="00173134">
        <w:rPr>
          <w:bCs/>
          <w:i/>
        </w:rPr>
        <w:t>et al.</w:t>
      </w:r>
      <w:r w:rsidRPr="00173134">
        <w:rPr>
          <w:bCs/>
        </w:rPr>
        <w:t xml:space="preserve"> 2019). Annual increases in flow (spring flow pulses) were a distinct hydrological feature of the unregulated Murray River (Mallen-Cooper and Zampatti 2018). In regions where these features remain intact (e.g. the mid-Murray River), golden perch display more consistent recruitment (Zampatti </w:t>
      </w:r>
      <w:r w:rsidRPr="00173134">
        <w:rPr>
          <w:bCs/>
          <w:i/>
        </w:rPr>
        <w:t>et al.</w:t>
      </w:r>
      <w:r w:rsidRPr="00173134">
        <w:rPr>
          <w:bCs/>
        </w:rPr>
        <w:t xml:space="preserve"> 2018</w:t>
      </w:r>
      <w:r>
        <w:rPr>
          <w:bCs/>
        </w:rPr>
        <w:t>b</w:t>
      </w:r>
      <w:r w:rsidRPr="00173134">
        <w:rPr>
          <w:bCs/>
        </w:rPr>
        <w:t>). In the Murray River downstream of the Darling junction, however, spring flow pulses are compromised by river regulation. Commonwealth environmental water may be used</w:t>
      </w:r>
      <w:r>
        <w:rPr>
          <w:bCs/>
        </w:rPr>
        <w:t xml:space="preserve"> to partially</w:t>
      </w:r>
      <w:r w:rsidRPr="00173134">
        <w:rPr>
          <w:bCs/>
        </w:rPr>
        <w:t xml:space="preserve"> restore these pulses.</w:t>
      </w:r>
    </w:p>
    <w:p w14:paraId="20B2A431" w14:textId="244E6842" w:rsidR="00F87105" w:rsidRDefault="00F87105" w:rsidP="00F87105">
      <w:pPr>
        <w:rPr>
          <w:color w:val="auto"/>
        </w:rPr>
      </w:pPr>
      <w:r w:rsidRPr="00173134">
        <w:rPr>
          <w:bCs/>
        </w:rPr>
        <w:t xml:space="preserve">Since </w:t>
      </w:r>
      <w:r w:rsidRPr="00173134">
        <w:t xml:space="preserve">2012, &gt;500 GL/y of Commonwealth environmental water has been delivered to the LMR to enhance the flow regime and rehabilitate the health of aquatic ecosystems. In the LMR, Commonwealth environmental water has been primarily used to contribute to increased base flows and freshes to 18,000 ML/d (Section </w:t>
      </w:r>
      <w:r w:rsidRPr="00173134">
        <w:fldChar w:fldCharType="begin"/>
      </w:r>
      <w:r w:rsidRPr="00173134">
        <w:instrText xml:space="preserve"> REF _Ref25331850 \r \h  \* MERGEFORMAT </w:instrText>
      </w:r>
      <w:r w:rsidRPr="00173134">
        <w:fldChar w:fldCharType="separate"/>
      </w:r>
      <w:r w:rsidR="00102828">
        <w:t>1.4</w:t>
      </w:r>
      <w:r w:rsidRPr="00173134">
        <w:fldChar w:fldCharType="end"/>
      </w:r>
      <w:r w:rsidRPr="00173134">
        <w:t xml:space="preserve">). One of the ecological objectives of flow augmentation is to contribute to increased spawning and/or recruitment of flow-dependent fish species. As part of the </w:t>
      </w:r>
      <w:r>
        <w:t>Flow-</w:t>
      </w:r>
      <w:r w:rsidRPr="00173134">
        <w:t xml:space="preserve">MER Project, the recruitment of golden perch and silver perch in the LMR </w:t>
      </w:r>
      <w:r>
        <w:t>was</w:t>
      </w:r>
      <w:r w:rsidRPr="00173134">
        <w:t xml:space="preserve"> investigated through </w:t>
      </w:r>
      <w:r w:rsidRPr="00173134">
        <w:rPr>
          <w:color w:val="auto"/>
        </w:rPr>
        <w:t>age structure analysis to assess the impact of the flow regime (including environmental water) on population dynamics.</w:t>
      </w:r>
      <w:r>
        <w:rPr>
          <w:color w:val="auto"/>
        </w:rPr>
        <w:t xml:space="preserve"> In addition, from 2020–2024, </w:t>
      </w:r>
      <w:r w:rsidRPr="00173134">
        <w:rPr>
          <w:color w:val="auto"/>
        </w:rPr>
        <w:t xml:space="preserve">contingency monitoring supported the </w:t>
      </w:r>
      <w:r>
        <w:rPr>
          <w:color w:val="auto"/>
        </w:rPr>
        <w:t xml:space="preserve">monitoring and </w:t>
      </w:r>
      <w:r w:rsidRPr="00173134">
        <w:rPr>
          <w:color w:val="auto"/>
        </w:rPr>
        <w:t xml:space="preserve">evaluation of golden perch and silver perch reproduction (including spawning) through egg/larval sampling and otolith microstructure and chemistry. </w:t>
      </w:r>
    </w:p>
    <w:p w14:paraId="0051B828" w14:textId="77777777" w:rsidR="00F87105" w:rsidRPr="0082529E" w:rsidRDefault="00F87105" w:rsidP="00F87105">
      <w:pPr>
        <w:rPr>
          <w:color w:val="auto"/>
        </w:rPr>
      </w:pPr>
      <w:r w:rsidRPr="005A7A21">
        <w:t xml:space="preserve">Over the </w:t>
      </w:r>
      <w:r>
        <w:t xml:space="preserve">ten-year </w:t>
      </w:r>
      <w:r w:rsidRPr="005A7A21">
        <w:t>term of this project</w:t>
      </w:r>
      <w:r>
        <w:t>, we</w:t>
      </w:r>
      <w:r w:rsidRPr="005A7A21">
        <w:t xml:space="preserve"> aim</w:t>
      </w:r>
      <w:r>
        <w:t>ed</w:t>
      </w:r>
      <w:r w:rsidRPr="005A7A21">
        <w:t xml:space="preserve"> to identify potential associations between reproduction (spawning and recruitment) of </w:t>
      </w:r>
      <w:r>
        <w:t xml:space="preserve">golden perch and silver perch and </w:t>
      </w:r>
      <w:r w:rsidRPr="005A7A21">
        <w:t xml:space="preserve">environmental water delivery. </w:t>
      </w:r>
      <w:r>
        <w:t>Our specific objective was</w:t>
      </w:r>
      <w:r w:rsidRPr="005A7A21">
        <w:t xml:space="preserve"> to id</w:t>
      </w:r>
      <w:r>
        <w:t>entify</w:t>
      </w:r>
      <w:r w:rsidRPr="005A7A21">
        <w:t xml:space="preserve"> timing of spawning and </w:t>
      </w:r>
      <w:r>
        <w:t xml:space="preserve">the </w:t>
      </w:r>
      <w:r w:rsidRPr="005A7A21">
        <w:t>source (i.e. natal origin) of successful recruits to enable association of eco</w:t>
      </w:r>
      <w:r>
        <w:t>logical response with hydrology,</w:t>
      </w:r>
      <w:r w:rsidRPr="005A7A21">
        <w:t xml:space="preserve"> and to explore population connectivity between regions of the southern</w:t>
      </w:r>
      <w:r>
        <w:t xml:space="preserve"> </w:t>
      </w:r>
      <w:r w:rsidRPr="005A7A21">
        <w:t>connected MDB.</w:t>
      </w:r>
    </w:p>
    <w:p w14:paraId="5A128D87" w14:textId="77777777" w:rsidR="00F87105" w:rsidRPr="00DD344A" w:rsidRDefault="00F87105" w:rsidP="00F87105">
      <w:pPr>
        <w:rPr>
          <w:i/>
          <w:u w:val="single"/>
        </w:rPr>
      </w:pPr>
      <w:r w:rsidRPr="00DD344A">
        <w:rPr>
          <w:i/>
          <w:u w:val="single"/>
        </w:rPr>
        <w:t>Hypotheses</w:t>
      </w:r>
    </w:p>
    <w:p w14:paraId="14CC5A53" w14:textId="77777777" w:rsidR="00F87105" w:rsidRDefault="00F87105" w:rsidP="00F87105">
      <w:pPr>
        <w:numPr>
          <w:ilvl w:val="0"/>
          <w:numId w:val="5"/>
        </w:numPr>
        <w:jc w:val="left"/>
      </w:pPr>
      <w:r>
        <w:t>Increased spring–summer flow (nominally &gt;20,000 ML/d), either in-channel or overbank, will promote the spawning and recruitment (to young-of-year, YOY) of golden perch and silver perch; and</w:t>
      </w:r>
    </w:p>
    <w:p w14:paraId="7EB1E1B0" w14:textId="77777777" w:rsidR="00F87105" w:rsidRDefault="00F87105" w:rsidP="00F87105">
      <w:pPr>
        <w:numPr>
          <w:ilvl w:val="0"/>
          <w:numId w:val="5"/>
        </w:numPr>
        <w:jc w:val="left"/>
      </w:pPr>
      <w:r>
        <w:t>Multiple years of enhanced spring–summer flow will increase the resilience of golden perch and silver perch populations in the LMR by promoting a more diverse age structure.</w:t>
      </w:r>
    </w:p>
    <w:p w14:paraId="7C94BDC1" w14:textId="77777777" w:rsidR="00F87105" w:rsidRPr="00E35C12" w:rsidRDefault="00F87105" w:rsidP="00F87105">
      <w:pPr>
        <w:pStyle w:val="Heading3"/>
      </w:pPr>
      <w:r>
        <w:t>Methods</w:t>
      </w:r>
    </w:p>
    <w:p w14:paraId="71408042" w14:textId="443D8F8F" w:rsidR="00F87105" w:rsidRPr="0082529E" w:rsidRDefault="00F87105" w:rsidP="00F87105">
      <w:pPr>
        <w:rPr>
          <w:i/>
          <w:color w:val="auto"/>
          <w:u w:val="single"/>
        </w:rPr>
      </w:pPr>
      <w:r>
        <w:rPr>
          <w:bCs/>
          <w:color w:val="auto"/>
        </w:rPr>
        <w:t>From 2019–2024</w:t>
      </w:r>
      <w:r w:rsidRPr="0082529E">
        <w:rPr>
          <w:bCs/>
          <w:color w:val="auto"/>
        </w:rPr>
        <w:t>, to evaluate golden perch and silver perch reproduction (spawning and recruitment), and its association with flow</w:t>
      </w:r>
      <w:r>
        <w:rPr>
          <w:bCs/>
          <w:color w:val="auto"/>
        </w:rPr>
        <w:t>,</w:t>
      </w:r>
      <w:r w:rsidRPr="0082529E">
        <w:rPr>
          <w:bCs/>
          <w:color w:val="auto"/>
        </w:rPr>
        <w:t xml:space="preserve"> including environmental water, we: (1) sampled larval and YOY fish in the LMR (</w:t>
      </w:r>
      <w:r>
        <w:rPr>
          <w:bCs/>
          <w:color w:val="auto"/>
        </w:rPr>
        <w:fldChar w:fldCharType="begin"/>
      </w:r>
      <w:r>
        <w:rPr>
          <w:bCs/>
          <w:color w:val="auto"/>
        </w:rPr>
        <w:instrText xml:space="preserve"> REF _Ref469926522 \h </w:instrText>
      </w:r>
      <w:r>
        <w:rPr>
          <w:bCs/>
          <w:color w:val="auto"/>
        </w:rPr>
      </w:r>
      <w:r>
        <w:rPr>
          <w:bCs/>
          <w:color w:val="auto"/>
        </w:rPr>
        <w:fldChar w:fldCharType="separate"/>
      </w:r>
      <w:r w:rsidR="00102828">
        <w:t xml:space="preserve">Figure </w:t>
      </w:r>
      <w:r w:rsidR="00102828">
        <w:rPr>
          <w:noProof/>
        </w:rPr>
        <w:t>1</w:t>
      </w:r>
      <w:r>
        <w:rPr>
          <w:bCs/>
          <w:color w:val="auto"/>
        </w:rPr>
        <w:fldChar w:fldCharType="end"/>
      </w:r>
      <w:r w:rsidRPr="0082529E">
        <w:rPr>
          <w:bCs/>
          <w:color w:val="auto"/>
        </w:rPr>
        <w:t>); (2) used otolith microstructure and chemistry, specifically strontium (Sr) isotope ratios (</w:t>
      </w:r>
      <w:r w:rsidRPr="0082529E">
        <w:rPr>
          <w:bCs/>
          <w:color w:val="auto"/>
          <w:vertAlign w:val="superscript"/>
        </w:rPr>
        <w:t>87</w:t>
      </w:r>
      <w:r w:rsidRPr="0082529E">
        <w:rPr>
          <w:bCs/>
          <w:color w:val="auto"/>
        </w:rPr>
        <w:t>Sr/</w:t>
      </w:r>
      <w:r w:rsidRPr="0082529E">
        <w:rPr>
          <w:bCs/>
          <w:color w:val="auto"/>
          <w:vertAlign w:val="superscript"/>
        </w:rPr>
        <w:t>86</w:t>
      </w:r>
      <w:r w:rsidRPr="0082529E">
        <w:rPr>
          <w:bCs/>
          <w:color w:val="auto"/>
        </w:rPr>
        <w:t xml:space="preserve">Sr), to retrospectively determine the time and place of spawning; and (3) </w:t>
      </w:r>
      <w:r w:rsidRPr="0082529E">
        <w:rPr>
          <w:color w:val="auto"/>
        </w:rPr>
        <w:t xml:space="preserve">used electrofishing to assess </w:t>
      </w:r>
      <w:r>
        <w:rPr>
          <w:color w:val="auto"/>
        </w:rPr>
        <w:t>interannual</w:t>
      </w:r>
      <w:r w:rsidRPr="0082529E">
        <w:rPr>
          <w:color w:val="auto"/>
        </w:rPr>
        <w:t xml:space="preserve"> variability in the </w:t>
      </w:r>
      <w:r w:rsidRPr="0082529E">
        <w:rPr>
          <w:color w:val="auto"/>
        </w:rPr>
        <w:lastRenderedPageBreak/>
        <w:t>relative abundance</w:t>
      </w:r>
      <w:r>
        <w:rPr>
          <w:color w:val="auto"/>
        </w:rPr>
        <w:t>,</w:t>
      </w:r>
      <w:r w:rsidRPr="0082529E">
        <w:rPr>
          <w:color w:val="auto"/>
        </w:rPr>
        <w:t xml:space="preserve"> and collect representative sub-sample</w:t>
      </w:r>
      <w:r>
        <w:rPr>
          <w:color w:val="auto"/>
        </w:rPr>
        <w:t>s</w:t>
      </w:r>
      <w:r w:rsidRPr="0082529E">
        <w:rPr>
          <w:color w:val="auto"/>
        </w:rPr>
        <w:t xml:space="preserve"> of golden perch and silver perch to determine population age structure</w:t>
      </w:r>
      <w:r>
        <w:rPr>
          <w:color w:val="auto"/>
        </w:rPr>
        <w:t>s</w:t>
      </w:r>
      <w:r w:rsidRPr="00BC504D">
        <w:rPr>
          <w:color w:val="auto"/>
        </w:rPr>
        <w:t xml:space="preserve"> </w:t>
      </w:r>
      <w:r w:rsidRPr="0082529E">
        <w:rPr>
          <w:color w:val="auto"/>
        </w:rPr>
        <w:t>in the LMR</w:t>
      </w:r>
      <w:r w:rsidRPr="0082529E">
        <w:rPr>
          <w:bCs/>
          <w:color w:val="auto"/>
        </w:rPr>
        <w:t>.</w:t>
      </w:r>
      <w:r>
        <w:rPr>
          <w:bCs/>
          <w:color w:val="auto"/>
        </w:rPr>
        <w:t xml:space="preserve"> In 2019-20, evaluation was restricted to </w:t>
      </w:r>
      <w:r w:rsidRPr="00606736">
        <w:rPr>
          <w:bCs/>
          <w:color w:val="auto"/>
        </w:rPr>
        <w:t xml:space="preserve">recruitment because larval sampling was not </w:t>
      </w:r>
      <w:r>
        <w:rPr>
          <w:bCs/>
          <w:color w:val="auto"/>
        </w:rPr>
        <w:t>resourced</w:t>
      </w:r>
      <w:r w:rsidRPr="00606736">
        <w:rPr>
          <w:bCs/>
          <w:color w:val="auto"/>
        </w:rPr>
        <w:t>. Some analyses for silver perch were not presented in this report due to low numbers.</w:t>
      </w:r>
    </w:p>
    <w:p w14:paraId="52855A96" w14:textId="77777777" w:rsidR="00F87105" w:rsidRPr="0082529E" w:rsidRDefault="00F87105" w:rsidP="00F87105">
      <w:pPr>
        <w:rPr>
          <w:i/>
          <w:color w:val="auto"/>
          <w:u w:val="single"/>
        </w:rPr>
      </w:pPr>
      <w:r w:rsidRPr="0082529E">
        <w:rPr>
          <w:i/>
          <w:color w:val="auto"/>
          <w:u w:val="single"/>
        </w:rPr>
        <w:t xml:space="preserve">Analysis of water </w:t>
      </w:r>
      <w:r w:rsidRPr="0082529E">
        <w:rPr>
          <w:i/>
          <w:color w:val="auto"/>
          <w:u w:val="single"/>
          <w:vertAlign w:val="superscript"/>
        </w:rPr>
        <w:t>87</w:t>
      </w:r>
      <w:r w:rsidRPr="0082529E">
        <w:rPr>
          <w:i/>
          <w:color w:val="auto"/>
          <w:u w:val="single"/>
        </w:rPr>
        <w:t>Sr/</w:t>
      </w:r>
      <w:r w:rsidRPr="0082529E">
        <w:rPr>
          <w:i/>
          <w:color w:val="auto"/>
          <w:u w:val="single"/>
          <w:vertAlign w:val="superscript"/>
        </w:rPr>
        <w:t>86</w:t>
      </w:r>
      <w:r w:rsidRPr="0082529E">
        <w:rPr>
          <w:i/>
          <w:color w:val="auto"/>
          <w:u w:val="single"/>
        </w:rPr>
        <w:t>Sr at sites across the southern MDB</w:t>
      </w:r>
    </w:p>
    <w:p w14:paraId="60F11B02" w14:textId="28A1A44B" w:rsidR="00F87105" w:rsidRPr="0082529E" w:rsidRDefault="00F87105" w:rsidP="00F87105">
      <w:pPr>
        <w:rPr>
          <w:color w:val="auto"/>
        </w:rPr>
      </w:pPr>
      <w:r w:rsidRPr="0082529E">
        <w:rPr>
          <w:color w:val="auto"/>
        </w:rPr>
        <w:t xml:space="preserve">To determine spatio-temporal variation in water </w:t>
      </w:r>
      <w:r w:rsidRPr="0082529E">
        <w:rPr>
          <w:color w:val="auto"/>
          <w:vertAlign w:val="superscript"/>
        </w:rPr>
        <w:t>87</w:t>
      </w:r>
      <w:r w:rsidRPr="0082529E">
        <w:rPr>
          <w:color w:val="auto"/>
        </w:rPr>
        <w:t>Sr/</w:t>
      </w:r>
      <w:r w:rsidRPr="0082529E">
        <w:rPr>
          <w:color w:val="auto"/>
          <w:vertAlign w:val="superscript"/>
        </w:rPr>
        <w:t>86</w:t>
      </w:r>
      <w:r w:rsidRPr="0082529E">
        <w:rPr>
          <w:color w:val="auto"/>
        </w:rPr>
        <w:t xml:space="preserve">Sr over the spring–summer of </w:t>
      </w:r>
      <w:r>
        <w:rPr>
          <w:color w:val="auto"/>
        </w:rPr>
        <w:t>2020–2024 to assign natal origins to individual fish</w:t>
      </w:r>
      <w:r w:rsidRPr="0082529E">
        <w:rPr>
          <w:color w:val="auto"/>
        </w:rPr>
        <w:t xml:space="preserve">, water samples were collected </w:t>
      </w:r>
      <w:r>
        <w:rPr>
          <w:color w:val="auto"/>
        </w:rPr>
        <w:t>fortnightly</w:t>
      </w:r>
      <w:r w:rsidRPr="0082529E">
        <w:rPr>
          <w:color w:val="auto"/>
        </w:rPr>
        <w:t xml:space="preserve"> from </w:t>
      </w:r>
      <w:r w:rsidR="001605D6">
        <w:rPr>
          <w:color w:val="auto"/>
        </w:rPr>
        <w:t>n</w:t>
      </w:r>
      <w:r w:rsidR="00B70561">
        <w:rPr>
          <w:color w:val="auto"/>
        </w:rPr>
        <w:t>ine</w:t>
      </w:r>
      <w:r w:rsidR="001605D6">
        <w:rPr>
          <w:color w:val="auto"/>
        </w:rPr>
        <w:t xml:space="preserve"> </w:t>
      </w:r>
      <w:r w:rsidRPr="0082529E">
        <w:rPr>
          <w:color w:val="auto"/>
        </w:rPr>
        <w:t>sites across the southern MDB</w:t>
      </w:r>
      <w:r>
        <w:rPr>
          <w:color w:val="auto"/>
        </w:rPr>
        <w:t xml:space="preserve"> </w:t>
      </w:r>
      <w:r w:rsidRPr="0082529E">
        <w:rPr>
          <w:color w:val="auto"/>
        </w:rPr>
        <w:t>(</w:t>
      </w:r>
      <w:r>
        <w:rPr>
          <w:color w:val="auto"/>
        </w:rPr>
        <w:fldChar w:fldCharType="begin"/>
      </w:r>
      <w:r>
        <w:rPr>
          <w:color w:val="auto"/>
        </w:rPr>
        <w:instrText xml:space="preserve"> REF _Ref90308426 \h </w:instrText>
      </w:r>
      <w:r>
        <w:rPr>
          <w:color w:val="auto"/>
        </w:rPr>
      </w:r>
      <w:r>
        <w:rPr>
          <w:color w:val="auto"/>
        </w:rPr>
        <w:fldChar w:fldCharType="separate"/>
      </w:r>
      <w:r w:rsidR="00102828">
        <w:t xml:space="preserve">Figure </w:t>
      </w:r>
      <w:r w:rsidR="00102828">
        <w:rPr>
          <w:noProof/>
        </w:rPr>
        <w:t>55</w:t>
      </w:r>
      <w:r>
        <w:rPr>
          <w:color w:val="auto"/>
        </w:rPr>
        <w:fldChar w:fldCharType="end"/>
      </w:r>
      <w:r>
        <w:rPr>
          <w:color w:val="auto"/>
        </w:rPr>
        <w:t xml:space="preserve">). </w:t>
      </w:r>
      <w:r w:rsidRPr="0082529E">
        <w:rPr>
          <w:color w:val="auto"/>
        </w:rPr>
        <w:t xml:space="preserve">At most sites, water samples were collected from </w:t>
      </w:r>
      <w:r>
        <w:rPr>
          <w:color w:val="auto"/>
        </w:rPr>
        <w:t>late September</w:t>
      </w:r>
      <w:r w:rsidRPr="0082529E">
        <w:rPr>
          <w:color w:val="auto"/>
        </w:rPr>
        <w:t xml:space="preserve"> to early </w:t>
      </w:r>
      <w:r>
        <w:rPr>
          <w:color w:val="auto"/>
        </w:rPr>
        <w:t>March</w:t>
      </w:r>
      <w:r w:rsidRPr="0082529E">
        <w:rPr>
          <w:color w:val="auto"/>
        </w:rPr>
        <w:t xml:space="preserve">. </w:t>
      </w:r>
      <w:r>
        <w:rPr>
          <w:color w:val="auto"/>
        </w:rPr>
        <w:t xml:space="preserve">A subset of these samples </w:t>
      </w:r>
      <w:r w:rsidRPr="0082529E">
        <w:rPr>
          <w:color w:val="auto"/>
        </w:rPr>
        <w:t>(</w:t>
      </w:r>
      <w:r>
        <w:rPr>
          <w:color w:val="auto"/>
        </w:rPr>
        <w:fldChar w:fldCharType="begin"/>
      </w:r>
      <w:r>
        <w:rPr>
          <w:color w:val="auto"/>
        </w:rPr>
        <w:instrText xml:space="preserve"> REF _Ref90308434 \h </w:instrText>
      </w:r>
      <w:r>
        <w:rPr>
          <w:color w:val="auto"/>
        </w:rPr>
      </w:r>
      <w:r>
        <w:rPr>
          <w:color w:val="auto"/>
        </w:rPr>
        <w:fldChar w:fldCharType="separate"/>
      </w:r>
      <w:r w:rsidR="00102828">
        <w:t xml:space="preserve">Table </w:t>
      </w:r>
      <w:r w:rsidR="00102828">
        <w:rPr>
          <w:noProof/>
        </w:rPr>
        <w:t>18</w:t>
      </w:r>
      <w:r>
        <w:rPr>
          <w:color w:val="auto"/>
        </w:rPr>
        <w:fldChar w:fldCharType="end"/>
      </w:r>
      <w:r w:rsidRPr="0082529E">
        <w:rPr>
          <w:color w:val="auto"/>
        </w:rPr>
        <w:t>)</w:t>
      </w:r>
      <w:r>
        <w:rPr>
          <w:color w:val="auto"/>
        </w:rPr>
        <w:t xml:space="preserve"> were analysed</w:t>
      </w:r>
      <w:r w:rsidRPr="0082529E">
        <w:rPr>
          <w:color w:val="auto"/>
        </w:rPr>
        <w:t>.</w:t>
      </w:r>
      <w:r>
        <w:rPr>
          <w:color w:val="auto"/>
        </w:rPr>
        <w:t xml:space="preserve"> </w:t>
      </w:r>
      <w:r w:rsidRPr="00892918">
        <w:t xml:space="preserve">Water sample filtration and strontium isotope analysis procedures are described in full in Ye </w:t>
      </w:r>
      <w:r w:rsidRPr="00892918">
        <w:rPr>
          <w:i/>
        </w:rPr>
        <w:t>et al.</w:t>
      </w:r>
      <w:r w:rsidRPr="00892918">
        <w:t xml:space="preserve"> (2016</w:t>
      </w:r>
      <w:r>
        <w:t>b</w:t>
      </w:r>
      <w:r w:rsidRPr="00892918">
        <w:t>).</w:t>
      </w:r>
    </w:p>
    <w:p w14:paraId="1CA618DC" w14:textId="6BC5EF40" w:rsidR="00F87105" w:rsidRPr="0082529E" w:rsidRDefault="001605D6" w:rsidP="00F87105">
      <w:pPr>
        <w:jc w:val="center"/>
        <w:rPr>
          <w:rFonts w:eastAsia="MS Mincho" w:cs="Arial"/>
          <w:b/>
          <w:bCs/>
          <w:color w:val="auto"/>
          <w:kern w:val="0"/>
          <w:sz w:val="20"/>
          <w:lang w:val="en-US"/>
        </w:rPr>
      </w:pPr>
      <w:r>
        <w:rPr>
          <w:rFonts w:eastAsia="MS Mincho" w:cs="Arial"/>
          <w:b/>
          <w:bCs/>
          <w:noProof/>
          <w:color w:val="auto"/>
          <w:kern w:val="0"/>
          <w:sz w:val="20"/>
          <w:lang w:val="en-US"/>
        </w:rPr>
        <w:drawing>
          <wp:inline distT="0" distB="0" distL="0" distR="0" wp14:anchorId="33047866" wp14:editId="6AD1E9BE">
            <wp:extent cx="5436524" cy="3837709"/>
            <wp:effectExtent l="0" t="0" r="0" b="0"/>
            <wp:docPr id="407956537" name="Picture 6" descr="Map showing the location of the Murray–Darling Basin and the major rivers that comprise the southern MDB with the numbered Locks and Wei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956537" name="Picture 6" descr="Map showing the location of the Murray–Darling Basin and the major rivers that comprise the southern MDB with the numbered Locks and Weirs. "/>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436524" cy="3837709"/>
                    </a:xfrm>
                    <a:prstGeom prst="rect">
                      <a:avLst/>
                    </a:prstGeom>
                  </pic:spPr>
                </pic:pic>
              </a:graphicData>
            </a:graphic>
          </wp:inline>
        </w:drawing>
      </w:r>
    </w:p>
    <w:p w14:paraId="2B147070" w14:textId="4145CB76" w:rsidR="00F87105" w:rsidRPr="0082529E" w:rsidRDefault="00F87105" w:rsidP="00F87105">
      <w:pPr>
        <w:pStyle w:val="Caption"/>
        <w:rPr>
          <w:rFonts w:eastAsia="MS Mincho" w:cs="Arial"/>
          <w:kern w:val="0"/>
          <w:lang w:val="en-US"/>
        </w:rPr>
      </w:pPr>
      <w:bookmarkStart w:id="424" w:name="_Ref90308426"/>
      <w:bookmarkStart w:id="425" w:name="_Toc3558374"/>
      <w:bookmarkStart w:id="426" w:name="_Toc103170098"/>
      <w:bookmarkStart w:id="427" w:name="_Toc166771777"/>
      <w:bookmarkStart w:id="428" w:name="_Toc200464506"/>
      <w:r>
        <w:t xml:space="preserve">Figure </w:t>
      </w:r>
      <w:r>
        <w:fldChar w:fldCharType="begin"/>
      </w:r>
      <w:r>
        <w:instrText>SEQ Figure \* ARABIC</w:instrText>
      </w:r>
      <w:r>
        <w:fldChar w:fldCharType="separate"/>
      </w:r>
      <w:r w:rsidR="00102828">
        <w:rPr>
          <w:noProof/>
        </w:rPr>
        <w:t>55</w:t>
      </w:r>
      <w:r>
        <w:fldChar w:fldCharType="end"/>
      </w:r>
      <w:bookmarkEnd w:id="424"/>
      <w:r w:rsidRPr="0021450B">
        <w:t>. Map</w:t>
      </w:r>
      <w:r w:rsidRPr="0082529E">
        <w:t xml:space="preserve"> showing the</w:t>
      </w:r>
      <w:r w:rsidR="003764E3">
        <w:t xml:space="preserve"> water</w:t>
      </w:r>
      <w:r w:rsidRPr="0082529E">
        <w:t xml:space="preserve"> </w:t>
      </w:r>
      <w:r w:rsidR="003764E3">
        <w:t xml:space="preserve">sampling </w:t>
      </w:r>
      <w:r w:rsidRPr="0082529E">
        <w:t>location</w:t>
      </w:r>
      <w:r w:rsidR="003764E3">
        <w:t>s (red triangles)</w:t>
      </w:r>
      <w:r w:rsidRPr="0082529E">
        <w:t xml:space="preserve"> </w:t>
      </w:r>
      <w:r w:rsidR="003764E3">
        <w:t>in</w:t>
      </w:r>
      <w:r w:rsidRPr="0082529E">
        <w:t xml:space="preserve"> the Murray–Darling Basin </w:t>
      </w:r>
      <w:r>
        <w:t>(MDB)</w:t>
      </w:r>
      <w:r w:rsidR="003764E3">
        <w:t>,</w:t>
      </w:r>
      <w:r w:rsidRPr="0082529E">
        <w:t xml:space="preserve"> the major rivers that comprise the southern </w:t>
      </w:r>
      <w:r>
        <w:t>MDB</w:t>
      </w:r>
      <w:r w:rsidRPr="0082529E">
        <w:t>, the numbered Locks (L) and Weirs (up to Lock 26, Torrumbarry), the Darling, Lachlan, Murrumbidgee, Edward–Wakool, Campaspe and Goulburn rivers and Lake Victoria, an off-stream storage used to regulate flows in the Murray</w:t>
      </w:r>
      <w:bookmarkEnd w:id="425"/>
      <w:r>
        <w:t xml:space="preserve"> River below Lock 9</w:t>
      </w:r>
      <w:r w:rsidRPr="0082529E">
        <w:t>.</w:t>
      </w:r>
      <w:bookmarkEnd w:id="426"/>
      <w:bookmarkEnd w:id="427"/>
      <w:bookmarkEnd w:id="428"/>
      <w:r w:rsidRPr="0082529E">
        <w:rPr>
          <w:rFonts w:eastAsia="MS Mincho" w:cs="Arial"/>
          <w:kern w:val="0"/>
          <w:lang w:val="en-US"/>
        </w:rPr>
        <w:br w:type="page"/>
      </w:r>
    </w:p>
    <w:p w14:paraId="4A2A3B39" w14:textId="0B10B5EE" w:rsidR="00F87105" w:rsidRPr="0082529E" w:rsidRDefault="00F87105" w:rsidP="00F87105">
      <w:pPr>
        <w:pStyle w:val="Caption"/>
        <w:rPr>
          <w:highlight w:val="yellow"/>
        </w:rPr>
      </w:pPr>
      <w:bookmarkStart w:id="429" w:name="_Ref90308434"/>
      <w:bookmarkStart w:id="430" w:name="_Toc3558396"/>
      <w:bookmarkStart w:id="431" w:name="_Toc101963876"/>
      <w:bookmarkStart w:id="432" w:name="_Toc166771816"/>
      <w:bookmarkStart w:id="433" w:name="_Toc200464542"/>
      <w:r>
        <w:lastRenderedPageBreak/>
        <w:t xml:space="preserve">Table </w:t>
      </w:r>
      <w:r>
        <w:fldChar w:fldCharType="begin"/>
      </w:r>
      <w:r>
        <w:instrText>SEQ Table \* ARABIC</w:instrText>
      </w:r>
      <w:r>
        <w:fldChar w:fldCharType="separate"/>
      </w:r>
      <w:r w:rsidR="00102828">
        <w:rPr>
          <w:noProof/>
        </w:rPr>
        <w:t>18</w:t>
      </w:r>
      <w:r>
        <w:fldChar w:fldCharType="end"/>
      </w:r>
      <w:bookmarkEnd w:id="429"/>
      <w:r>
        <w:t>.</w:t>
      </w:r>
      <w:r w:rsidRPr="0082529E">
        <w:t xml:space="preserve"> Location of water sample collection for </w:t>
      </w:r>
      <w:r w:rsidRPr="0082529E">
        <w:rPr>
          <w:vertAlign w:val="superscript"/>
        </w:rPr>
        <w:t>87</w:t>
      </w:r>
      <w:r w:rsidRPr="0082529E">
        <w:t>Sr/</w:t>
      </w:r>
      <w:r w:rsidRPr="0082529E">
        <w:rPr>
          <w:vertAlign w:val="superscript"/>
        </w:rPr>
        <w:t>86</w:t>
      </w:r>
      <w:r w:rsidRPr="0082529E">
        <w:t xml:space="preserve">Sr analysis </w:t>
      </w:r>
      <w:r>
        <w:t>from 2020–2024</w:t>
      </w:r>
      <w:r w:rsidRPr="0082529E">
        <w:t>.</w:t>
      </w:r>
      <w:bookmarkEnd w:id="430"/>
      <w:bookmarkEnd w:id="431"/>
      <w:bookmarkEnd w:id="432"/>
      <w:r>
        <w:t xml:space="preserve"> Refer to Ye </w:t>
      </w:r>
      <w:r w:rsidRPr="000C6219">
        <w:rPr>
          <w:i/>
          <w:iCs/>
        </w:rPr>
        <w:t>et al.</w:t>
      </w:r>
      <w:r>
        <w:t xml:space="preserve"> (2020a) for water sample collection from 2014–2019.</w:t>
      </w:r>
      <w:bookmarkEnd w:id="433"/>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showing location of water sample collection sites from 2020–2024. "/>
      </w:tblPr>
      <w:tblGrid>
        <w:gridCol w:w="2809"/>
        <w:gridCol w:w="2365"/>
        <w:gridCol w:w="3852"/>
      </w:tblGrid>
      <w:tr w:rsidR="00F87105" w:rsidRPr="0082529E" w14:paraId="63105C27" w14:textId="77777777" w:rsidTr="006A4AFE">
        <w:trPr>
          <w:trHeight w:val="369"/>
        </w:trPr>
        <w:tc>
          <w:tcPr>
            <w:tcW w:w="1556" w:type="pct"/>
            <w:tcBorders>
              <w:top w:val="single" w:sz="4" w:space="0" w:color="auto"/>
              <w:bottom w:val="single" w:sz="4" w:space="0" w:color="auto"/>
            </w:tcBorders>
            <w:vAlign w:val="center"/>
          </w:tcPr>
          <w:p w14:paraId="512EDEEF" w14:textId="77777777" w:rsidR="00F87105" w:rsidRPr="0082529E" w:rsidRDefault="00F87105" w:rsidP="006A4AFE">
            <w:pPr>
              <w:spacing w:after="200"/>
              <w:contextualSpacing/>
              <w:rPr>
                <w:b/>
                <w:color w:val="auto"/>
                <w:sz w:val="19"/>
                <w:szCs w:val="19"/>
              </w:rPr>
            </w:pPr>
            <w:r w:rsidRPr="0082529E">
              <w:rPr>
                <w:b/>
                <w:color w:val="auto"/>
                <w:sz w:val="19"/>
                <w:szCs w:val="19"/>
              </w:rPr>
              <w:t>River</w:t>
            </w:r>
          </w:p>
        </w:tc>
        <w:tc>
          <w:tcPr>
            <w:tcW w:w="1310" w:type="pct"/>
            <w:tcBorders>
              <w:top w:val="single" w:sz="4" w:space="0" w:color="auto"/>
              <w:bottom w:val="single" w:sz="4" w:space="0" w:color="auto"/>
            </w:tcBorders>
            <w:vAlign w:val="center"/>
          </w:tcPr>
          <w:p w14:paraId="0E2B5FE1" w14:textId="77777777" w:rsidR="00F87105" w:rsidRPr="0082529E" w:rsidRDefault="00F87105" w:rsidP="006A4AFE">
            <w:pPr>
              <w:spacing w:after="200"/>
              <w:contextualSpacing/>
              <w:jc w:val="center"/>
              <w:rPr>
                <w:b/>
                <w:color w:val="auto"/>
                <w:sz w:val="19"/>
                <w:szCs w:val="19"/>
              </w:rPr>
            </w:pPr>
            <w:r w:rsidRPr="0082529E">
              <w:rPr>
                <w:b/>
                <w:color w:val="auto"/>
                <w:sz w:val="19"/>
                <w:szCs w:val="19"/>
              </w:rPr>
              <w:t>Location</w:t>
            </w:r>
          </w:p>
        </w:tc>
        <w:tc>
          <w:tcPr>
            <w:tcW w:w="2134" w:type="pct"/>
            <w:tcBorders>
              <w:top w:val="single" w:sz="4" w:space="0" w:color="auto"/>
              <w:bottom w:val="single" w:sz="4" w:space="0" w:color="auto"/>
            </w:tcBorders>
            <w:vAlign w:val="center"/>
          </w:tcPr>
          <w:p w14:paraId="3109E12E" w14:textId="77777777" w:rsidR="00F87105" w:rsidRPr="0082529E" w:rsidRDefault="00F87105" w:rsidP="006A4AFE">
            <w:pPr>
              <w:spacing w:after="200"/>
              <w:contextualSpacing/>
              <w:jc w:val="center"/>
              <w:rPr>
                <w:b/>
                <w:color w:val="auto"/>
                <w:sz w:val="19"/>
                <w:szCs w:val="19"/>
              </w:rPr>
            </w:pPr>
            <w:r w:rsidRPr="0082529E">
              <w:rPr>
                <w:b/>
                <w:color w:val="auto"/>
                <w:sz w:val="19"/>
                <w:szCs w:val="19"/>
              </w:rPr>
              <w:t xml:space="preserve">Sampling </w:t>
            </w:r>
            <w:r>
              <w:rPr>
                <w:b/>
                <w:color w:val="auto"/>
                <w:sz w:val="19"/>
                <w:szCs w:val="19"/>
              </w:rPr>
              <w:t>years</w:t>
            </w:r>
          </w:p>
        </w:tc>
      </w:tr>
      <w:tr w:rsidR="00F87105" w:rsidRPr="0082529E" w14:paraId="395E6834" w14:textId="77777777" w:rsidTr="006A4AFE">
        <w:trPr>
          <w:trHeight w:val="369"/>
        </w:trPr>
        <w:tc>
          <w:tcPr>
            <w:tcW w:w="1556" w:type="pct"/>
            <w:tcBorders>
              <w:top w:val="single" w:sz="4" w:space="0" w:color="auto"/>
            </w:tcBorders>
            <w:vAlign w:val="center"/>
          </w:tcPr>
          <w:p w14:paraId="05AC3816" w14:textId="77777777" w:rsidR="00F87105" w:rsidRPr="0082529E" w:rsidRDefault="00F87105" w:rsidP="006A4AFE">
            <w:pPr>
              <w:spacing w:after="200"/>
              <w:contextualSpacing/>
              <w:rPr>
                <w:color w:val="auto"/>
                <w:sz w:val="19"/>
                <w:szCs w:val="19"/>
              </w:rPr>
            </w:pPr>
            <w:r w:rsidRPr="0082529E">
              <w:rPr>
                <w:color w:val="auto"/>
                <w:sz w:val="19"/>
                <w:szCs w:val="19"/>
              </w:rPr>
              <w:t>Murray</w:t>
            </w:r>
          </w:p>
        </w:tc>
        <w:tc>
          <w:tcPr>
            <w:tcW w:w="1310" w:type="pct"/>
            <w:tcBorders>
              <w:top w:val="single" w:sz="4" w:space="0" w:color="auto"/>
            </w:tcBorders>
            <w:vAlign w:val="center"/>
          </w:tcPr>
          <w:p w14:paraId="3AF05765" w14:textId="77777777" w:rsidR="00F87105" w:rsidRPr="0082529E" w:rsidRDefault="00F87105" w:rsidP="006A4AFE">
            <w:pPr>
              <w:spacing w:after="200"/>
              <w:contextualSpacing/>
              <w:jc w:val="center"/>
              <w:rPr>
                <w:color w:val="auto"/>
                <w:sz w:val="19"/>
                <w:szCs w:val="19"/>
              </w:rPr>
            </w:pPr>
            <w:r w:rsidRPr="0082529E">
              <w:rPr>
                <w:color w:val="auto"/>
                <w:sz w:val="19"/>
                <w:szCs w:val="19"/>
              </w:rPr>
              <w:t>Lock 1</w:t>
            </w:r>
          </w:p>
        </w:tc>
        <w:tc>
          <w:tcPr>
            <w:tcW w:w="2134" w:type="pct"/>
            <w:tcBorders>
              <w:top w:val="single" w:sz="4" w:space="0" w:color="auto"/>
            </w:tcBorders>
            <w:vAlign w:val="center"/>
          </w:tcPr>
          <w:p w14:paraId="31558865" w14:textId="77777777" w:rsidR="00F87105" w:rsidRPr="0082529E" w:rsidRDefault="00F87105" w:rsidP="006A4AFE">
            <w:pPr>
              <w:spacing w:after="200"/>
              <w:contextualSpacing/>
              <w:jc w:val="center"/>
              <w:rPr>
                <w:color w:val="auto"/>
                <w:sz w:val="19"/>
                <w:szCs w:val="19"/>
              </w:rPr>
            </w:pPr>
            <w:r>
              <w:rPr>
                <w:color w:val="auto"/>
                <w:sz w:val="19"/>
                <w:szCs w:val="19"/>
              </w:rPr>
              <w:t>2020–2024</w:t>
            </w:r>
          </w:p>
        </w:tc>
      </w:tr>
      <w:tr w:rsidR="00F87105" w:rsidRPr="0082529E" w14:paraId="4AA6128D" w14:textId="77777777" w:rsidTr="006A4AFE">
        <w:trPr>
          <w:trHeight w:val="369"/>
        </w:trPr>
        <w:tc>
          <w:tcPr>
            <w:tcW w:w="1556" w:type="pct"/>
            <w:vAlign w:val="center"/>
          </w:tcPr>
          <w:p w14:paraId="75D060BD" w14:textId="77777777" w:rsidR="00F87105" w:rsidRPr="0082529E" w:rsidRDefault="00F87105" w:rsidP="006A4AFE">
            <w:pPr>
              <w:spacing w:after="200"/>
              <w:contextualSpacing/>
              <w:rPr>
                <w:color w:val="auto"/>
                <w:sz w:val="19"/>
                <w:szCs w:val="19"/>
              </w:rPr>
            </w:pPr>
            <w:r w:rsidRPr="0082529E">
              <w:rPr>
                <w:color w:val="auto"/>
                <w:sz w:val="19"/>
                <w:szCs w:val="19"/>
              </w:rPr>
              <w:t>Murray</w:t>
            </w:r>
          </w:p>
        </w:tc>
        <w:tc>
          <w:tcPr>
            <w:tcW w:w="1310" w:type="pct"/>
            <w:vAlign w:val="center"/>
          </w:tcPr>
          <w:p w14:paraId="561C284C" w14:textId="77777777" w:rsidR="00F87105" w:rsidRPr="0082529E" w:rsidRDefault="00F87105" w:rsidP="006A4AFE">
            <w:pPr>
              <w:spacing w:after="200"/>
              <w:contextualSpacing/>
              <w:jc w:val="center"/>
              <w:rPr>
                <w:color w:val="auto"/>
                <w:sz w:val="19"/>
                <w:szCs w:val="19"/>
              </w:rPr>
            </w:pPr>
            <w:r w:rsidRPr="0082529E">
              <w:rPr>
                <w:color w:val="auto"/>
                <w:sz w:val="19"/>
                <w:szCs w:val="19"/>
              </w:rPr>
              <w:t>Lock 6</w:t>
            </w:r>
          </w:p>
        </w:tc>
        <w:tc>
          <w:tcPr>
            <w:tcW w:w="2134" w:type="pct"/>
          </w:tcPr>
          <w:p w14:paraId="1142CC58" w14:textId="77777777" w:rsidR="00F87105" w:rsidRPr="0082529E" w:rsidRDefault="00F87105" w:rsidP="006A4AFE">
            <w:pPr>
              <w:spacing w:after="200"/>
              <w:contextualSpacing/>
              <w:jc w:val="center"/>
              <w:rPr>
                <w:color w:val="auto"/>
                <w:sz w:val="19"/>
                <w:szCs w:val="19"/>
              </w:rPr>
            </w:pPr>
            <w:r w:rsidRPr="00B019DD">
              <w:rPr>
                <w:color w:val="auto"/>
                <w:sz w:val="19"/>
                <w:szCs w:val="19"/>
              </w:rPr>
              <w:t>2020–2024</w:t>
            </w:r>
          </w:p>
        </w:tc>
      </w:tr>
      <w:tr w:rsidR="00F87105" w:rsidRPr="0082529E" w14:paraId="4D173FDD" w14:textId="77777777" w:rsidTr="006A4AFE">
        <w:trPr>
          <w:trHeight w:val="369"/>
        </w:trPr>
        <w:tc>
          <w:tcPr>
            <w:tcW w:w="1556" w:type="pct"/>
            <w:vAlign w:val="center"/>
          </w:tcPr>
          <w:p w14:paraId="6022891B" w14:textId="77777777" w:rsidR="00F87105" w:rsidRPr="0082529E" w:rsidRDefault="00F87105" w:rsidP="006A4AFE">
            <w:pPr>
              <w:spacing w:after="200"/>
              <w:contextualSpacing/>
              <w:rPr>
                <w:color w:val="auto"/>
                <w:sz w:val="19"/>
                <w:szCs w:val="19"/>
              </w:rPr>
            </w:pPr>
            <w:r w:rsidRPr="0082529E">
              <w:rPr>
                <w:color w:val="auto"/>
                <w:sz w:val="19"/>
                <w:szCs w:val="19"/>
              </w:rPr>
              <w:t>Murray</w:t>
            </w:r>
          </w:p>
        </w:tc>
        <w:tc>
          <w:tcPr>
            <w:tcW w:w="1310" w:type="pct"/>
            <w:vAlign w:val="center"/>
          </w:tcPr>
          <w:p w14:paraId="27F2C181" w14:textId="77777777" w:rsidR="00F87105" w:rsidRPr="0082529E" w:rsidRDefault="00F87105" w:rsidP="006A4AFE">
            <w:pPr>
              <w:spacing w:after="200"/>
              <w:contextualSpacing/>
              <w:jc w:val="center"/>
              <w:rPr>
                <w:color w:val="auto"/>
                <w:sz w:val="19"/>
                <w:szCs w:val="19"/>
              </w:rPr>
            </w:pPr>
            <w:r w:rsidRPr="0082529E">
              <w:rPr>
                <w:color w:val="auto"/>
                <w:sz w:val="19"/>
                <w:szCs w:val="19"/>
              </w:rPr>
              <w:t>Lock 9</w:t>
            </w:r>
          </w:p>
        </w:tc>
        <w:tc>
          <w:tcPr>
            <w:tcW w:w="2134" w:type="pct"/>
          </w:tcPr>
          <w:p w14:paraId="26F62C89" w14:textId="77777777" w:rsidR="00F87105" w:rsidRPr="0082529E" w:rsidRDefault="00F87105" w:rsidP="006A4AFE">
            <w:pPr>
              <w:spacing w:after="200"/>
              <w:contextualSpacing/>
              <w:jc w:val="center"/>
              <w:rPr>
                <w:color w:val="auto"/>
                <w:sz w:val="19"/>
                <w:szCs w:val="19"/>
              </w:rPr>
            </w:pPr>
            <w:r w:rsidRPr="00B019DD">
              <w:rPr>
                <w:color w:val="auto"/>
                <w:sz w:val="19"/>
                <w:szCs w:val="19"/>
              </w:rPr>
              <w:t>2020–2024</w:t>
            </w:r>
          </w:p>
        </w:tc>
      </w:tr>
      <w:tr w:rsidR="00F87105" w:rsidRPr="0082529E" w14:paraId="512381A4" w14:textId="77777777" w:rsidTr="006A4AFE">
        <w:trPr>
          <w:trHeight w:val="369"/>
        </w:trPr>
        <w:tc>
          <w:tcPr>
            <w:tcW w:w="1556" w:type="pct"/>
            <w:vAlign w:val="center"/>
          </w:tcPr>
          <w:p w14:paraId="0FF9CEB0" w14:textId="77777777" w:rsidR="00F87105" w:rsidRPr="0082529E" w:rsidRDefault="00F87105" w:rsidP="006A4AFE">
            <w:pPr>
              <w:spacing w:after="200"/>
              <w:contextualSpacing/>
              <w:rPr>
                <w:color w:val="auto"/>
                <w:sz w:val="19"/>
                <w:szCs w:val="19"/>
              </w:rPr>
            </w:pPr>
            <w:r w:rsidRPr="0082529E">
              <w:rPr>
                <w:color w:val="auto"/>
                <w:sz w:val="19"/>
                <w:szCs w:val="19"/>
              </w:rPr>
              <w:t>Murray</w:t>
            </w:r>
          </w:p>
        </w:tc>
        <w:tc>
          <w:tcPr>
            <w:tcW w:w="1310" w:type="pct"/>
            <w:vAlign w:val="center"/>
          </w:tcPr>
          <w:p w14:paraId="7D7B01C3" w14:textId="77777777" w:rsidR="00F87105" w:rsidRPr="0082529E" w:rsidRDefault="00F87105" w:rsidP="006A4AFE">
            <w:pPr>
              <w:spacing w:after="200"/>
              <w:contextualSpacing/>
              <w:jc w:val="center"/>
              <w:rPr>
                <w:color w:val="auto"/>
                <w:sz w:val="19"/>
                <w:szCs w:val="19"/>
              </w:rPr>
            </w:pPr>
            <w:r w:rsidRPr="0082529E">
              <w:rPr>
                <w:color w:val="auto"/>
                <w:sz w:val="19"/>
                <w:szCs w:val="19"/>
              </w:rPr>
              <w:t>Lock 11</w:t>
            </w:r>
          </w:p>
        </w:tc>
        <w:tc>
          <w:tcPr>
            <w:tcW w:w="2134" w:type="pct"/>
          </w:tcPr>
          <w:p w14:paraId="72FF8F25" w14:textId="77777777" w:rsidR="00F87105" w:rsidRPr="0082529E" w:rsidRDefault="00F87105" w:rsidP="006A4AFE">
            <w:pPr>
              <w:spacing w:after="200"/>
              <w:contextualSpacing/>
              <w:jc w:val="center"/>
              <w:rPr>
                <w:color w:val="auto"/>
                <w:sz w:val="19"/>
                <w:szCs w:val="19"/>
              </w:rPr>
            </w:pPr>
            <w:r w:rsidRPr="00B019DD">
              <w:rPr>
                <w:color w:val="auto"/>
                <w:sz w:val="19"/>
                <w:szCs w:val="19"/>
              </w:rPr>
              <w:t>2020–2024</w:t>
            </w:r>
          </w:p>
        </w:tc>
      </w:tr>
      <w:tr w:rsidR="00F87105" w:rsidRPr="0082529E" w14:paraId="51D10D5E" w14:textId="77777777" w:rsidTr="006A4AFE">
        <w:trPr>
          <w:trHeight w:val="369"/>
        </w:trPr>
        <w:tc>
          <w:tcPr>
            <w:tcW w:w="1556" w:type="pct"/>
            <w:vAlign w:val="center"/>
          </w:tcPr>
          <w:p w14:paraId="5A314C84" w14:textId="77777777" w:rsidR="00F87105" w:rsidRPr="0082529E" w:rsidRDefault="00F87105" w:rsidP="006A4AFE">
            <w:pPr>
              <w:spacing w:after="200"/>
              <w:contextualSpacing/>
              <w:rPr>
                <w:color w:val="auto"/>
                <w:sz w:val="19"/>
                <w:szCs w:val="19"/>
              </w:rPr>
            </w:pPr>
            <w:r w:rsidRPr="0082529E">
              <w:rPr>
                <w:color w:val="auto"/>
                <w:sz w:val="19"/>
                <w:szCs w:val="19"/>
              </w:rPr>
              <w:t>Murray</w:t>
            </w:r>
          </w:p>
        </w:tc>
        <w:tc>
          <w:tcPr>
            <w:tcW w:w="1310" w:type="pct"/>
            <w:vAlign w:val="center"/>
          </w:tcPr>
          <w:p w14:paraId="305138EC" w14:textId="77777777" w:rsidR="00F87105" w:rsidRPr="0082529E" w:rsidRDefault="00F87105" w:rsidP="006A4AFE">
            <w:pPr>
              <w:spacing w:after="200"/>
              <w:contextualSpacing/>
              <w:jc w:val="center"/>
              <w:rPr>
                <w:color w:val="auto"/>
                <w:sz w:val="19"/>
                <w:szCs w:val="19"/>
              </w:rPr>
            </w:pPr>
            <w:r w:rsidRPr="0082529E">
              <w:rPr>
                <w:color w:val="auto"/>
                <w:sz w:val="19"/>
                <w:szCs w:val="19"/>
              </w:rPr>
              <w:t>Torrumbarry</w:t>
            </w:r>
          </w:p>
        </w:tc>
        <w:tc>
          <w:tcPr>
            <w:tcW w:w="2134" w:type="pct"/>
          </w:tcPr>
          <w:p w14:paraId="37018ED3" w14:textId="77777777" w:rsidR="00F87105" w:rsidRPr="0082529E" w:rsidRDefault="00F87105" w:rsidP="006A4AFE">
            <w:pPr>
              <w:spacing w:after="200"/>
              <w:contextualSpacing/>
              <w:jc w:val="center"/>
              <w:rPr>
                <w:color w:val="auto"/>
                <w:sz w:val="19"/>
                <w:szCs w:val="19"/>
              </w:rPr>
            </w:pPr>
            <w:r w:rsidRPr="00B019DD">
              <w:rPr>
                <w:color w:val="auto"/>
                <w:sz w:val="19"/>
                <w:szCs w:val="19"/>
              </w:rPr>
              <w:t>2020–202</w:t>
            </w:r>
            <w:r>
              <w:rPr>
                <w:color w:val="auto"/>
                <w:sz w:val="19"/>
                <w:szCs w:val="19"/>
              </w:rPr>
              <w:t>3</w:t>
            </w:r>
          </w:p>
        </w:tc>
      </w:tr>
      <w:tr w:rsidR="00F87105" w:rsidRPr="0082529E" w14:paraId="04293709" w14:textId="77777777" w:rsidTr="006A4AFE">
        <w:trPr>
          <w:trHeight w:val="369"/>
        </w:trPr>
        <w:tc>
          <w:tcPr>
            <w:tcW w:w="1556" w:type="pct"/>
            <w:vAlign w:val="center"/>
          </w:tcPr>
          <w:p w14:paraId="5BFAAB62" w14:textId="77777777" w:rsidR="00F87105" w:rsidRPr="00CB253B" w:rsidRDefault="00F87105" w:rsidP="006A4AFE">
            <w:pPr>
              <w:spacing w:after="200"/>
              <w:contextualSpacing/>
              <w:jc w:val="left"/>
              <w:rPr>
                <w:color w:val="auto"/>
                <w:sz w:val="19"/>
                <w:szCs w:val="19"/>
              </w:rPr>
            </w:pPr>
            <w:r w:rsidRPr="00027D19">
              <w:rPr>
                <w:sz w:val="19"/>
                <w:szCs w:val="19"/>
              </w:rPr>
              <w:t>Lake Victoria</w:t>
            </w:r>
          </w:p>
        </w:tc>
        <w:tc>
          <w:tcPr>
            <w:tcW w:w="1310" w:type="pct"/>
            <w:vAlign w:val="center"/>
          </w:tcPr>
          <w:p w14:paraId="3A8DBF72" w14:textId="77777777" w:rsidR="00F87105" w:rsidRPr="00CB253B" w:rsidRDefault="00F87105" w:rsidP="006A4AFE">
            <w:pPr>
              <w:spacing w:after="200"/>
              <w:contextualSpacing/>
              <w:jc w:val="center"/>
              <w:rPr>
                <w:color w:val="auto"/>
                <w:sz w:val="19"/>
                <w:szCs w:val="19"/>
              </w:rPr>
            </w:pPr>
            <w:r w:rsidRPr="00027D19">
              <w:rPr>
                <w:sz w:val="19"/>
                <w:szCs w:val="19"/>
              </w:rPr>
              <w:t>Rufus River</w:t>
            </w:r>
          </w:p>
        </w:tc>
        <w:tc>
          <w:tcPr>
            <w:tcW w:w="2134" w:type="pct"/>
            <w:vAlign w:val="center"/>
          </w:tcPr>
          <w:p w14:paraId="6AF64104" w14:textId="77777777" w:rsidR="00F87105" w:rsidRDefault="00F87105" w:rsidP="006A4AFE">
            <w:pPr>
              <w:spacing w:after="200"/>
              <w:contextualSpacing/>
              <w:jc w:val="center"/>
              <w:rPr>
                <w:color w:val="auto"/>
                <w:sz w:val="19"/>
                <w:szCs w:val="19"/>
              </w:rPr>
            </w:pPr>
            <w:r>
              <w:rPr>
                <w:color w:val="auto"/>
                <w:sz w:val="19"/>
                <w:szCs w:val="19"/>
              </w:rPr>
              <w:t>2020-21</w:t>
            </w:r>
          </w:p>
        </w:tc>
      </w:tr>
      <w:tr w:rsidR="00F87105" w:rsidRPr="0082529E" w14:paraId="251BBAB3" w14:textId="77777777" w:rsidTr="006A4AFE">
        <w:trPr>
          <w:trHeight w:val="369"/>
        </w:trPr>
        <w:tc>
          <w:tcPr>
            <w:tcW w:w="1556" w:type="pct"/>
            <w:tcBorders>
              <w:bottom w:val="single" w:sz="4" w:space="0" w:color="auto"/>
            </w:tcBorders>
            <w:vAlign w:val="center"/>
          </w:tcPr>
          <w:p w14:paraId="3C30FC0F" w14:textId="77777777" w:rsidR="00F87105" w:rsidRPr="0082529E" w:rsidRDefault="00F87105" w:rsidP="006A4AFE">
            <w:pPr>
              <w:spacing w:after="200"/>
              <w:contextualSpacing/>
              <w:rPr>
                <w:color w:val="auto"/>
                <w:sz w:val="19"/>
                <w:szCs w:val="19"/>
              </w:rPr>
            </w:pPr>
            <w:r>
              <w:rPr>
                <w:color w:val="auto"/>
                <w:sz w:val="19"/>
                <w:szCs w:val="19"/>
              </w:rPr>
              <w:t>Darling</w:t>
            </w:r>
          </w:p>
        </w:tc>
        <w:tc>
          <w:tcPr>
            <w:tcW w:w="1310" w:type="pct"/>
            <w:tcBorders>
              <w:bottom w:val="single" w:sz="4" w:space="0" w:color="auto"/>
            </w:tcBorders>
            <w:vAlign w:val="center"/>
          </w:tcPr>
          <w:p w14:paraId="3E42903C" w14:textId="77777777" w:rsidR="00F87105" w:rsidRPr="0082529E" w:rsidRDefault="00F87105" w:rsidP="006A4AFE">
            <w:pPr>
              <w:spacing w:after="200"/>
              <w:contextualSpacing/>
              <w:jc w:val="center"/>
              <w:rPr>
                <w:color w:val="auto"/>
                <w:sz w:val="19"/>
                <w:szCs w:val="19"/>
              </w:rPr>
            </w:pPr>
            <w:r>
              <w:rPr>
                <w:color w:val="auto"/>
                <w:sz w:val="19"/>
                <w:szCs w:val="19"/>
              </w:rPr>
              <w:t>Weir 32</w:t>
            </w:r>
          </w:p>
        </w:tc>
        <w:tc>
          <w:tcPr>
            <w:tcW w:w="2134" w:type="pct"/>
            <w:tcBorders>
              <w:bottom w:val="single" w:sz="4" w:space="0" w:color="auto"/>
            </w:tcBorders>
            <w:vAlign w:val="center"/>
          </w:tcPr>
          <w:p w14:paraId="1AA41DE6" w14:textId="77777777" w:rsidR="00F87105" w:rsidRDefault="00F87105" w:rsidP="006A4AFE">
            <w:pPr>
              <w:spacing w:after="200"/>
              <w:contextualSpacing/>
              <w:jc w:val="center"/>
              <w:rPr>
                <w:color w:val="auto"/>
                <w:sz w:val="19"/>
                <w:szCs w:val="19"/>
              </w:rPr>
            </w:pPr>
            <w:r>
              <w:rPr>
                <w:color w:val="auto"/>
                <w:sz w:val="19"/>
                <w:szCs w:val="19"/>
              </w:rPr>
              <w:t>2020–2023</w:t>
            </w:r>
          </w:p>
        </w:tc>
      </w:tr>
    </w:tbl>
    <w:p w14:paraId="33D63D12" w14:textId="77777777" w:rsidR="00F87105" w:rsidRPr="0082529E" w:rsidRDefault="00F87105" w:rsidP="00F87105">
      <w:pPr>
        <w:rPr>
          <w:i/>
          <w:color w:val="auto"/>
          <w:u w:val="single"/>
        </w:rPr>
      </w:pPr>
    </w:p>
    <w:p w14:paraId="3CF19F6D" w14:textId="77777777" w:rsidR="00F87105" w:rsidRPr="0082529E" w:rsidRDefault="00F87105" w:rsidP="00F87105">
      <w:pPr>
        <w:spacing w:before="0" w:after="200"/>
        <w:jc w:val="left"/>
        <w:rPr>
          <w:i/>
          <w:color w:val="auto"/>
          <w:u w:val="single"/>
        </w:rPr>
      </w:pPr>
      <w:r w:rsidRPr="0082529E">
        <w:rPr>
          <w:i/>
          <w:color w:val="auto"/>
          <w:u w:val="single"/>
        </w:rPr>
        <w:t>Sampling eggs and larvae</w:t>
      </w:r>
    </w:p>
    <w:p w14:paraId="1C7DE1CE" w14:textId="3F8E5C4E" w:rsidR="00F87105" w:rsidRDefault="00F87105" w:rsidP="00F87105">
      <w:pPr>
        <w:rPr>
          <w:color w:val="auto"/>
        </w:rPr>
      </w:pPr>
      <w:r>
        <w:rPr>
          <w:color w:val="auto"/>
        </w:rPr>
        <w:t>From 2019–2024, in the LMR, egg/l</w:t>
      </w:r>
      <w:r w:rsidRPr="0082529E">
        <w:rPr>
          <w:color w:val="auto"/>
        </w:rPr>
        <w:t xml:space="preserve">arval fish sampling was conducted approximately fortnightly between </w:t>
      </w:r>
      <w:r>
        <w:rPr>
          <w:color w:val="auto"/>
        </w:rPr>
        <w:t xml:space="preserve">late October </w:t>
      </w:r>
      <w:r w:rsidRPr="0082529E">
        <w:rPr>
          <w:color w:val="auto"/>
        </w:rPr>
        <w:t xml:space="preserve">and </w:t>
      </w:r>
      <w:r>
        <w:rPr>
          <w:color w:val="auto"/>
        </w:rPr>
        <w:t xml:space="preserve">late </w:t>
      </w:r>
      <w:r w:rsidRPr="0082529E">
        <w:rPr>
          <w:color w:val="auto"/>
        </w:rPr>
        <w:t>January</w:t>
      </w:r>
      <w:r>
        <w:rPr>
          <w:color w:val="auto"/>
        </w:rPr>
        <w:t xml:space="preserve"> (</w:t>
      </w:r>
      <w:r>
        <w:rPr>
          <w:color w:val="auto"/>
        </w:rPr>
        <w:fldChar w:fldCharType="begin"/>
      </w:r>
      <w:r>
        <w:rPr>
          <w:color w:val="auto"/>
        </w:rPr>
        <w:instrText xml:space="preserve"> REF _Ref179454883 \h </w:instrText>
      </w:r>
      <w:r>
        <w:rPr>
          <w:color w:val="auto"/>
        </w:rPr>
      </w:r>
      <w:r>
        <w:rPr>
          <w:color w:val="auto"/>
        </w:rPr>
        <w:fldChar w:fldCharType="separate"/>
      </w:r>
      <w:r w:rsidR="00102828">
        <w:t xml:space="preserve">Table </w:t>
      </w:r>
      <w:r w:rsidR="00102828">
        <w:rPr>
          <w:noProof/>
        </w:rPr>
        <w:t>19</w:t>
      </w:r>
      <w:r>
        <w:rPr>
          <w:color w:val="auto"/>
        </w:rPr>
        <w:fldChar w:fldCharType="end"/>
      </w:r>
      <w:r>
        <w:rPr>
          <w:color w:val="auto"/>
        </w:rPr>
        <w:t>)</w:t>
      </w:r>
      <w:r w:rsidRPr="0082529E">
        <w:rPr>
          <w:color w:val="auto"/>
        </w:rPr>
        <w:t>.</w:t>
      </w:r>
      <w:r>
        <w:rPr>
          <w:color w:val="auto"/>
        </w:rPr>
        <w:t xml:space="preserve"> </w:t>
      </w:r>
      <w:r w:rsidRPr="0082529E">
        <w:rPr>
          <w:color w:val="auto"/>
        </w:rPr>
        <w:t>Sampling was undertaken at three sites, located 5–15</w:t>
      </w:r>
      <w:r>
        <w:rPr>
          <w:color w:val="auto"/>
        </w:rPr>
        <w:t> </w:t>
      </w:r>
      <w:r w:rsidRPr="0082529E">
        <w:rPr>
          <w:color w:val="auto"/>
        </w:rPr>
        <w:t>km downstream of Locks 1, 4 and 6, respectively (</w:t>
      </w:r>
      <w:r w:rsidRPr="0082529E">
        <w:rPr>
          <w:color w:val="auto"/>
        </w:rPr>
        <w:fldChar w:fldCharType="begin"/>
      </w:r>
      <w:r w:rsidRPr="0082529E">
        <w:rPr>
          <w:color w:val="auto"/>
        </w:rPr>
        <w:instrText xml:space="preserve"> REF _Ref469926522 \h  \* MERGEFORMAT </w:instrText>
      </w:r>
      <w:r w:rsidRPr="0082529E">
        <w:rPr>
          <w:color w:val="auto"/>
        </w:rPr>
      </w:r>
      <w:r w:rsidRPr="0082529E">
        <w:rPr>
          <w:color w:val="auto"/>
        </w:rPr>
        <w:fldChar w:fldCharType="separate"/>
      </w:r>
      <w:r w:rsidR="00102828" w:rsidRPr="00102828">
        <w:rPr>
          <w:color w:val="auto"/>
        </w:rPr>
        <w:t xml:space="preserve">Figure </w:t>
      </w:r>
      <w:r w:rsidR="00102828" w:rsidRPr="00102828">
        <w:rPr>
          <w:noProof/>
          <w:color w:val="auto"/>
        </w:rPr>
        <w:t>1</w:t>
      </w:r>
      <w:r w:rsidRPr="0082529E">
        <w:rPr>
          <w:color w:val="auto"/>
        </w:rPr>
        <w:fldChar w:fldCharType="end"/>
      </w:r>
      <w:r w:rsidRPr="0082529E">
        <w:rPr>
          <w:color w:val="auto"/>
        </w:rPr>
        <w:t>). At each site, four daytime plankton tows were conducted using a pair of square-framed bongo nets with 500 µm mesh; each net was 0.5 x 0.5 m and 3 m long. The volume of water (m</w:t>
      </w:r>
      <w:r w:rsidRPr="00F66447">
        <w:rPr>
          <w:color w:val="auto"/>
          <w:vertAlign w:val="superscript"/>
        </w:rPr>
        <w:t>3</w:t>
      </w:r>
      <w:r w:rsidRPr="0082529E">
        <w:rPr>
          <w:color w:val="auto"/>
        </w:rPr>
        <w:t xml:space="preserve">) filtered through each net was determined using a calibrated flow meter (General Oceanics™, model 2030R) placed in the centre of the mouth openings. Samples were preserved (70–95% ethanol) in the field and returned to the laboratory for processing. Samples were sorted using a dissecting microscope. Larvae were identified, and where possible, classified as pre-flexion (i.e. early-stage larvae with notochord predominately straight) or post-flexion (i.e. the start of upward flexion of the notochord and appearance of fin rays and fin fold) following </w:t>
      </w:r>
      <w:bookmarkStart w:id="434" w:name="_Hlk134606109"/>
      <w:r w:rsidRPr="0082529E">
        <w:rPr>
          <w:color w:val="auto"/>
        </w:rPr>
        <w:t>Serafini and Humphries (2004)</w:t>
      </w:r>
      <w:bookmarkEnd w:id="434"/>
      <w:r w:rsidRPr="0082529E">
        <w:rPr>
          <w:color w:val="auto"/>
        </w:rPr>
        <w:t>.</w:t>
      </w:r>
      <w:r w:rsidRPr="00C158F7">
        <w:rPr>
          <w:color w:val="auto"/>
        </w:rPr>
        <w:t xml:space="preserve"> </w:t>
      </w:r>
      <w:bookmarkStart w:id="435" w:name="_Hlk95384741"/>
      <w:r w:rsidRPr="00C158F7">
        <w:rPr>
          <w:color w:val="auto"/>
        </w:rPr>
        <w:t xml:space="preserve">When </w:t>
      </w:r>
      <w:r>
        <w:rPr>
          <w:color w:val="auto"/>
        </w:rPr>
        <w:t xml:space="preserve">golden </w:t>
      </w:r>
      <w:r w:rsidRPr="00C158F7">
        <w:rPr>
          <w:color w:val="auto"/>
        </w:rPr>
        <w:t>perch</w:t>
      </w:r>
      <w:r>
        <w:rPr>
          <w:color w:val="auto"/>
        </w:rPr>
        <w:t xml:space="preserve"> and/or silver perch</w:t>
      </w:r>
      <w:r w:rsidRPr="00C158F7">
        <w:rPr>
          <w:color w:val="auto"/>
        </w:rPr>
        <w:t xml:space="preserve"> eggs were present, they were enumerated.</w:t>
      </w:r>
    </w:p>
    <w:p w14:paraId="244C6112" w14:textId="42EB47E5" w:rsidR="00F87105" w:rsidRDefault="00F87105" w:rsidP="00F87105">
      <w:pPr>
        <w:pStyle w:val="Caption"/>
      </w:pPr>
      <w:bookmarkStart w:id="436" w:name="_Ref179454883"/>
      <w:bookmarkStart w:id="437" w:name="_Toc200464543"/>
      <w:r>
        <w:t xml:space="preserve">Table </w:t>
      </w:r>
      <w:r>
        <w:fldChar w:fldCharType="begin"/>
      </w:r>
      <w:r>
        <w:instrText>SEQ Table \* ARABIC</w:instrText>
      </w:r>
      <w:r>
        <w:fldChar w:fldCharType="separate"/>
      </w:r>
      <w:r w:rsidR="00102828">
        <w:rPr>
          <w:noProof/>
        </w:rPr>
        <w:t>19</w:t>
      </w:r>
      <w:r>
        <w:fldChar w:fldCharType="end"/>
      </w:r>
      <w:bookmarkEnd w:id="436"/>
      <w:r>
        <w:t>. Egg and larval fish sampling details in the Lower Murray River from 2019–2024. *In 2020-21 only, weekly sampling was undertaken around the flow pulse from late November to early January</w:t>
      </w:r>
      <w:r w:rsidRPr="005424A5">
        <w:t>.</w:t>
      </w:r>
      <w:r>
        <w:t xml:space="preserve"> Refer to Ye </w:t>
      </w:r>
      <w:r w:rsidRPr="00A85ECB">
        <w:rPr>
          <w:i/>
          <w:iCs/>
        </w:rPr>
        <w:t>et al.</w:t>
      </w:r>
      <w:r>
        <w:t xml:space="preserve"> (2020a) for egg and larval fish sampling from 2014–2019.</w:t>
      </w:r>
      <w:bookmarkEnd w:id="437"/>
    </w:p>
    <w:tbl>
      <w:tblPr>
        <w:tblW w:w="0" w:type="auto"/>
        <w:jc w:val="center"/>
        <w:tblLook w:val="04A0" w:firstRow="1" w:lastRow="0" w:firstColumn="1" w:lastColumn="0" w:noHBand="0" w:noVBand="1"/>
        <w:tblDescription w:val="Table showing egg and larval fish sampling trip details in the Lower Murray River from 2019–2024."/>
      </w:tblPr>
      <w:tblGrid>
        <w:gridCol w:w="2307"/>
        <w:gridCol w:w="2134"/>
        <w:gridCol w:w="2441"/>
      </w:tblGrid>
      <w:tr w:rsidR="00F87105" w:rsidRPr="004509F2" w14:paraId="2B71A177" w14:textId="77777777" w:rsidTr="006A4AFE">
        <w:trPr>
          <w:trHeight w:val="340"/>
          <w:jc w:val="center"/>
        </w:trPr>
        <w:tc>
          <w:tcPr>
            <w:tcW w:w="2307" w:type="dxa"/>
            <w:tcBorders>
              <w:top w:val="single" w:sz="4" w:space="0" w:color="auto"/>
              <w:bottom w:val="single" w:sz="4" w:space="0" w:color="auto"/>
            </w:tcBorders>
            <w:vAlign w:val="bottom"/>
          </w:tcPr>
          <w:p w14:paraId="2134C316" w14:textId="77777777" w:rsidR="00F87105" w:rsidRPr="009A132E" w:rsidRDefault="00F87105" w:rsidP="006A4AFE">
            <w:pPr>
              <w:contextualSpacing/>
              <w:jc w:val="left"/>
              <w:rPr>
                <w:b/>
                <w:sz w:val="19"/>
                <w:szCs w:val="19"/>
              </w:rPr>
            </w:pPr>
            <w:r w:rsidRPr="009A132E">
              <w:rPr>
                <w:b/>
                <w:sz w:val="19"/>
                <w:szCs w:val="19"/>
              </w:rPr>
              <w:t>Year</w:t>
            </w:r>
          </w:p>
        </w:tc>
        <w:tc>
          <w:tcPr>
            <w:tcW w:w="2134" w:type="dxa"/>
            <w:tcBorders>
              <w:top w:val="single" w:sz="4" w:space="0" w:color="auto"/>
              <w:bottom w:val="single" w:sz="4" w:space="0" w:color="auto"/>
            </w:tcBorders>
            <w:vAlign w:val="bottom"/>
          </w:tcPr>
          <w:p w14:paraId="002CEAC7" w14:textId="77777777" w:rsidR="00F87105" w:rsidRPr="009A132E" w:rsidRDefault="00F87105" w:rsidP="006A4AFE">
            <w:pPr>
              <w:contextualSpacing/>
              <w:jc w:val="left"/>
              <w:rPr>
                <w:b/>
                <w:sz w:val="19"/>
                <w:szCs w:val="19"/>
              </w:rPr>
            </w:pPr>
            <w:r w:rsidRPr="009A132E">
              <w:rPr>
                <w:b/>
                <w:sz w:val="19"/>
                <w:szCs w:val="19"/>
              </w:rPr>
              <w:t>Number of trips</w:t>
            </w:r>
          </w:p>
        </w:tc>
        <w:tc>
          <w:tcPr>
            <w:tcW w:w="2441" w:type="dxa"/>
            <w:tcBorders>
              <w:top w:val="single" w:sz="4" w:space="0" w:color="auto"/>
              <w:bottom w:val="single" w:sz="4" w:space="0" w:color="auto"/>
            </w:tcBorders>
            <w:vAlign w:val="bottom"/>
          </w:tcPr>
          <w:p w14:paraId="56378838" w14:textId="77777777" w:rsidR="00F87105" w:rsidRPr="009A132E" w:rsidRDefault="00F87105" w:rsidP="006A4AFE">
            <w:pPr>
              <w:contextualSpacing/>
              <w:jc w:val="left"/>
              <w:rPr>
                <w:b/>
                <w:sz w:val="19"/>
                <w:szCs w:val="19"/>
              </w:rPr>
            </w:pPr>
            <w:r w:rsidRPr="009A132E">
              <w:rPr>
                <w:b/>
                <w:sz w:val="19"/>
                <w:szCs w:val="19"/>
              </w:rPr>
              <w:t>Date range</w:t>
            </w:r>
          </w:p>
        </w:tc>
      </w:tr>
      <w:tr w:rsidR="00F87105" w:rsidRPr="004509F2" w14:paraId="6F010AC0" w14:textId="77777777" w:rsidTr="006A4AFE">
        <w:trPr>
          <w:trHeight w:val="340"/>
          <w:jc w:val="center"/>
        </w:trPr>
        <w:tc>
          <w:tcPr>
            <w:tcW w:w="2307" w:type="dxa"/>
            <w:tcBorders>
              <w:top w:val="single" w:sz="4" w:space="0" w:color="auto"/>
            </w:tcBorders>
          </w:tcPr>
          <w:p w14:paraId="414C2148" w14:textId="77777777" w:rsidR="00F87105" w:rsidRPr="004509F2" w:rsidRDefault="00F87105" w:rsidP="006A4AFE">
            <w:pPr>
              <w:contextualSpacing/>
              <w:rPr>
                <w:sz w:val="19"/>
                <w:szCs w:val="19"/>
              </w:rPr>
            </w:pPr>
            <w:r>
              <w:rPr>
                <w:sz w:val="19"/>
                <w:szCs w:val="19"/>
              </w:rPr>
              <w:t>2019-20</w:t>
            </w:r>
          </w:p>
        </w:tc>
        <w:tc>
          <w:tcPr>
            <w:tcW w:w="2134" w:type="dxa"/>
            <w:tcBorders>
              <w:top w:val="single" w:sz="4" w:space="0" w:color="auto"/>
            </w:tcBorders>
          </w:tcPr>
          <w:p w14:paraId="20A592D6" w14:textId="77777777" w:rsidR="00F87105" w:rsidRPr="004509F2" w:rsidRDefault="00F87105" w:rsidP="006A4AFE">
            <w:pPr>
              <w:contextualSpacing/>
              <w:rPr>
                <w:sz w:val="19"/>
                <w:szCs w:val="19"/>
              </w:rPr>
            </w:pPr>
            <w:r>
              <w:rPr>
                <w:sz w:val="19"/>
                <w:szCs w:val="19"/>
              </w:rPr>
              <w:t>0</w:t>
            </w:r>
          </w:p>
        </w:tc>
        <w:tc>
          <w:tcPr>
            <w:tcW w:w="2441" w:type="dxa"/>
            <w:tcBorders>
              <w:top w:val="single" w:sz="4" w:space="0" w:color="auto"/>
            </w:tcBorders>
          </w:tcPr>
          <w:p w14:paraId="0AFEE0C1" w14:textId="77777777" w:rsidR="00F87105" w:rsidRPr="004509F2" w:rsidRDefault="00F87105" w:rsidP="006A4AFE">
            <w:pPr>
              <w:contextualSpacing/>
              <w:rPr>
                <w:sz w:val="19"/>
                <w:szCs w:val="19"/>
              </w:rPr>
            </w:pPr>
            <w:r>
              <w:rPr>
                <w:sz w:val="19"/>
                <w:szCs w:val="19"/>
              </w:rPr>
              <w:t>No sampling</w:t>
            </w:r>
          </w:p>
        </w:tc>
      </w:tr>
      <w:tr w:rsidR="00F87105" w:rsidRPr="004509F2" w14:paraId="573E7DD8" w14:textId="77777777" w:rsidTr="006A4AFE">
        <w:trPr>
          <w:trHeight w:val="340"/>
          <w:jc w:val="center"/>
        </w:trPr>
        <w:tc>
          <w:tcPr>
            <w:tcW w:w="2307" w:type="dxa"/>
          </w:tcPr>
          <w:p w14:paraId="16066243" w14:textId="77777777" w:rsidR="00F87105" w:rsidRPr="004509F2" w:rsidRDefault="00F87105" w:rsidP="006A4AFE">
            <w:pPr>
              <w:contextualSpacing/>
              <w:rPr>
                <w:sz w:val="19"/>
                <w:szCs w:val="19"/>
              </w:rPr>
            </w:pPr>
            <w:r>
              <w:rPr>
                <w:sz w:val="19"/>
                <w:szCs w:val="19"/>
              </w:rPr>
              <w:t>2020-21*</w:t>
            </w:r>
          </w:p>
        </w:tc>
        <w:tc>
          <w:tcPr>
            <w:tcW w:w="2134" w:type="dxa"/>
          </w:tcPr>
          <w:p w14:paraId="0DF45738" w14:textId="77777777" w:rsidR="00F87105" w:rsidRPr="004509F2" w:rsidRDefault="00F87105" w:rsidP="006A4AFE">
            <w:pPr>
              <w:contextualSpacing/>
              <w:rPr>
                <w:sz w:val="19"/>
                <w:szCs w:val="19"/>
              </w:rPr>
            </w:pPr>
            <w:r>
              <w:rPr>
                <w:sz w:val="19"/>
                <w:szCs w:val="19"/>
              </w:rPr>
              <w:t>7</w:t>
            </w:r>
          </w:p>
        </w:tc>
        <w:tc>
          <w:tcPr>
            <w:tcW w:w="2441" w:type="dxa"/>
          </w:tcPr>
          <w:p w14:paraId="71C2BFA1" w14:textId="77777777" w:rsidR="00F87105" w:rsidRPr="004509F2" w:rsidRDefault="00F87105" w:rsidP="006A4AFE">
            <w:pPr>
              <w:contextualSpacing/>
              <w:rPr>
                <w:sz w:val="19"/>
                <w:szCs w:val="19"/>
              </w:rPr>
            </w:pPr>
            <w:r>
              <w:rPr>
                <w:sz w:val="19"/>
                <w:szCs w:val="19"/>
              </w:rPr>
              <w:t>9</w:t>
            </w:r>
            <w:r w:rsidRPr="004509F2">
              <w:rPr>
                <w:sz w:val="19"/>
                <w:szCs w:val="19"/>
              </w:rPr>
              <w:t>/</w:t>
            </w:r>
            <w:r>
              <w:rPr>
                <w:sz w:val="19"/>
                <w:szCs w:val="19"/>
              </w:rPr>
              <w:t>11</w:t>
            </w:r>
            <w:r w:rsidRPr="004509F2">
              <w:rPr>
                <w:sz w:val="19"/>
                <w:szCs w:val="19"/>
              </w:rPr>
              <w:t>/</w:t>
            </w:r>
            <w:r>
              <w:rPr>
                <w:sz w:val="19"/>
                <w:szCs w:val="19"/>
              </w:rPr>
              <w:t>20</w:t>
            </w:r>
            <w:r w:rsidRPr="004509F2">
              <w:rPr>
                <w:sz w:val="19"/>
                <w:szCs w:val="19"/>
              </w:rPr>
              <w:t xml:space="preserve"> – </w:t>
            </w:r>
            <w:r>
              <w:rPr>
                <w:sz w:val="19"/>
                <w:szCs w:val="19"/>
              </w:rPr>
              <w:t>20</w:t>
            </w:r>
            <w:r w:rsidRPr="004509F2">
              <w:rPr>
                <w:sz w:val="19"/>
                <w:szCs w:val="19"/>
              </w:rPr>
              <w:t>/1/</w:t>
            </w:r>
            <w:r>
              <w:rPr>
                <w:sz w:val="19"/>
                <w:szCs w:val="19"/>
              </w:rPr>
              <w:t>21</w:t>
            </w:r>
          </w:p>
        </w:tc>
      </w:tr>
      <w:tr w:rsidR="00F87105" w:rsidRPr="004509F2" w14:paraId="6644BA9F" w14:textId="77777777" w:rsidTr="006A4AFE">
        <w:trPr>
          <w:trHeight w:val="340"/>
          <w:jc w:val="center"/>
        </w:trPr>
        <w:tc>
          <w:tcPr>
            <w:tcW w:w="2307" w:type="dxa"/>
          </w:tcPr>
          <w:p w14:paraId="136EB923" w14:textId="77777777" w:rsidR="00F87105" w:rsidRPr="004509F2" w:rsidRDefault="00F87105" w:rsidP="006A4AFE">
            <w:pPr>
              <w:contextualSpacing/>
              <w:rPr>
                <w:sz w:val="19"/>
                <w:szCs w:val="19"/>
              </w:rPr>
            </w:pPr>
            <w:r>
              <w:rPr>
                <w:sz w:val="19"/>
                <w:szCs w:val="19"/>
              </w:rPr>
              <w:t>2021-22</w:t>
            </w:r>
          </w:p>
        </w:tc>
        <w:tc>
          <w:tcPr>
            <w:tcW w:w="2134" w:type="dxa"/>
          </w:tcPr>
          <w:p w14:paraId="19C13C40" w14:textId="77777777" w:rsidR="00F87105" w:rsidRPr="004509F2" w:rsidRDefault="00F87105" w:rsidP="006A4AFE">
            <w:pPr>
              <w:contextualSpacing/>
              <w:rPr>
                <w:sz w:val="19"/>
                <w:szCs w:val="19"/>
              </w:rPr>
            </w:pPr>
            <w:r>
              <w:rPr>
                <w:sz w:val="19"/>
                <w:szCs w:val="19"/>
              </w:rPr>
              <w:t>6</w:t>
            </w:r>
          </w:p>
        </w:tc>
        <w:tc>
          <w:tcPr>
            <w:tcW w:w="2441" w:type="dxa"/>
          </w:tcPr>
          <w:p w14:paraId="25311022" w14:textId="77777777" w:rsidR="00F87105" w:rsidRPr="004509F2" w:rsidRDefault="00F87105" w:rsidP="006A4AFE">
            <w:pPr>
              <w:contextualSpacing/>
              <w:rPr>
                <w:sz w:val="19"/>
                <w:szCs w:val="19"/>
              </w:rPr>
            </w:pPr>
            <w:r>
              <w:rPr>
                <w:sz w:val="19"/>
                <w:szCs w:val="19"/>
              </w:rPr>
              <w:t>27</w:t>
            </w:r>
            <w:r w:rsidRPr="004509F2">
              <w:rPr>
                <w:sz w:val="19"/>
                <w:szCs w:val="19"/>
              </w:rPr>
              <w:t>/10/</w:t>
            </w:r>
            <w:r>
              <w:rPr>
                <w:sz w:val="19"/>
                <w:szCs w:val="19"/>
              </w:rPr>
              <w:t>21</w:t>
            </w:r>
            <w:r w:rsidRPr="004509F2">
              <w:rPr>
                <w:sz w:val="19"/>
                <w:szCs w:val="19"/>
              </w:rPr>
              <w:t xml:space="preserve"> – </w:t>
            </w:r>
            <w:r>
              <w:rPr>
                <w:sz w:val="19"/>
                <w:szCs w:val="19"/>
              </w:rPr>
              <w:t>7</w:t>
            </w:r>
            <w:r w:rsidRPr="004509F2">
              <w:rPr>
                <w:sz w:val="19"/>
                <w:szCs w:val="19"/>
              </w:rPr>
              <w:t>/1/</w:t>
            </w:r>
            <w:r>
              <w:rPr>
                <w:sz w:val="19"/>
                <w:szCs w:val="19"/>
              </w:rPr>
              <w:t>22</w:t>
            </w:r>
          </w:p>
        </w:tc>
      </w:tr>
      <w:tr w:rsidR="00F87105" w:rsidRPr="004509F2" w14:paraId="21C3976F" w14:textId="77777777" w:rsidTr="006A4AFE">
        <w:trPr>
          <w:trHeight w:val="340"/>
          <w:jc w:val="center"/>
        </w:trPr>
        <w:tc>
          <w:tcPr>
            <w:tcW w:w="2307" w:type="dxa"/>
          </w:tcPr>
          <w:p w14:paraId="75B85088" w14:textId="77777777" w:rsidR="00F87105" w:rsidRPr="004509F2" w:rsidRDefault="00F87105" w:rsidP="006A4AFE">
            <w:pPr>
              <w:contextualSpacing/>
              <w:rPr>
                <w:sz w:val="19"/>
                <w:szCs w:val="19"/>
              </w:rPr>
            </w:pPr>
            <w:r>
              <w:rPr>
                <w:sz w:val="19"/>
                <w:szCs w:val="19"/>
              </w:rPr>
              <w:t>2022-23</w:t>
            </w:r>
          </w:p>
        </w:tc>
        <w:tc>
          <w:tcPr>
            <w:tcW w:w="2134" w:type="dxa"/>
          </w:tcPr>
          <w:p w14:paraId="3AF66B64" w14:textId="77777777" w:rsidR="00F87105" w:rsidRPr="004509F2" w:rsidRDefault="00F87105" w:rsidP="006A4AFE">
            <w:pPr>
              <w:contextualSpacing/>
              <w:rPr>
                <w:sz w:val="19"/>
                <w:szCs w:val="19"/>
              </w:rPr>
            </w:pPr>
            <w:r>
              <w:rPr>
                <w:sz w:val="19"/>
                <w:szCs w:val="19"/>
              </w:rPr>
              <w:t>8</w:t>
            </w:r>
          </w:p>
        </w:tc>
        <w:tc>
          <w:tcPr>
            <w:tcW w:w="2441" w:type="dxa"/>
          </w:tcPr>
          <w:p w14:paraId="1A82AA15" w14:textId="77777777" w:rsidR="00F87105" w:rsidRPr="004509F2" w:rsidRDefault="00F87105" w:rsidP="006A4AFE">
            <w:pPr>
              <w:contextualSpacing/>
              <w:rPr>
                <w:sz w:val="19"/>
                <w:szCs w:val="19"/>
              </w:rPr>
            </w:pPr>
            <w:r>
              <w:rPr>
                <w:sz w:val="19"/>
                <w:szCs w:val="19"/>
              </w:rPr>
              <w:t>24/10/22</w:t>
            </w:r>
            <w:r w:rsidRPr="004509F2">
              <w:rPr>
                <w:sz w:val="19"/>
                <w:szCs w:val="19"/>
              </w:rPr>
              <w:t xml:space="preserve"> – </w:t>
            </w:r>
            <w:r>
              <w:rPr>
                <w:sz w:val="19"/>
                <w:szCs w:val="19"/>
              </w:rPr>
              <w:t>23</w:t>
            </w:r>
            <w:r w:rsidRPr="004509F2">
              <w:rPr>
                <w:sz w:val="19"/>
                <w:szCs w:val="19"/>
              </w:rPr>
              <w:t>/</w:t>
            </w:r>
            <w:r>
              <w:rPr>
                <w:sz w:val="19"/>
                <w:szCs w:val="19"/>
              </w:rPr>
              <w:t>2</w:t>
            </w:r>
            <w:r w:rsidRPr="004509F2">
              <w:rPr>
                <w:sz w:val="19"/>
                <w:szCs w:val="19"/>
              </w:rPr>
              <w:t>/</w:t>
            </w:r>
            <w:r>
              <w:rPr>
                <w:sz w:val="19"/>
                <w:szCs w:val="19"/>
              </w:rPr>
              <w:t>23</w:t>
            </w:r>
          </w:p>
        </w:tc>
      </w:tr>
      <w:tr w:rsidR="00F87105" w:rsidRPr="004509F2" w14:paraId="188493AA" w14:textId="77777777" w:rsidTr="006A4AFE">
        <w:trPr>
          <w:trHeight w:val="340"/>
          <w:jc w:val="center"/>
        </w:trPr>
        <w:tc>
          <w:tcPr>
            <w:tcW w:w="2307" w:type="dxa"/>
            <w:tcBorders>
              <w:bottom w:val="single" w:sz="4" w:space="0" w:color="auto"/>
            </w:tcBorders>
          </w:tcPr>
          <w:p w14:paraId="679552D1" w14:textId="77777777" w:rsidR="00F87105" w:rsidRPr="004509F2" w:rsidRDefault="00F87105" w:rsidP="006A4AFE">
            <w:pPr>
              <w:contextualSpacing/>
              <w:rPr>
                <w:sz w:val="19"/>
                <w:szCs w:val="19"/>
              </w:rPr>
            </w:pPr>
            <w:r>
              <w:rPr>
                <w:sz w:val="19"/>
                <w:szCs w:val="19"/>
              </w:rPr>
              <w:t>2023-24</w:t>
            </w:r>
          </w:p>
        </w:tc>
        <w:tc>
          <w:tcPr>
            <w:tcW w:w="2134" w:type="dxa"/>
            <w:tcBorders>
              <w:bottom w:val="single" w:sz="4" w:space="0" w:color="auto"/>
            </w:tcBorders>
          </w:tcPr>
          <w:p w14:paraId="6696FF6E" w14:textId="77777777" w:rsidR="00F87105" w:rsidRPr="004509F2" w:rsidRDefault="00F87105" w:rsidP="006A4AFE">
            <w:pPr>
              <w:contextualSpacing/>
              <w:rPr>
                <w:sz w:val="19"/>
                <w:szCs w:val="19"/>
              </w:rPr>
            </w:pPr>
            <w:r>
              <w:rPr>
                <w:sz w:val="19"/>
                <w:szCs w:val="19"/>
              </w:rPr>
              <w:t>7</w:t>
            </w:r>
          </w:p>
        </w:tc>
        <w:tc>
          <w:tcPr>
            <w:tcW w:w="2441" w:type="dxa"/>
            <w:tcBorders>
              <w:bottom w:val="single" w:sz="4" w:space="0" w:color="auto"/>
            </w:tcBorders>
          </w:tcPr>
          <w:p w14:paraId="49D20131" w14:textId="77777777" w:rsidR="00F87105" w:rsidRPr="004509F2" w:rsidRDefault="00F87105" w:rsidP="006A4AFE">
            <w:pPr>
              <w:contextualSpacing/>
              <w:rPr>
                <w:sz w:val="19"/>
                <w:szCs w:val="19"/>
              </w:rPr>
            </w:pPr>
            <w:r>
              <w:rPr>
                <w:sz w:val="19"/>
                <w:szCs w:val="19"/>
              </w:rPr>
              <w:t>24/10/23</w:t>
            </w:r>
            <w:r w:rsidRPr="004509F2">
              <w:rPr>
                <w:sz w:val="19"/>
                <w:szCs w:val="19"/>
              </w:rPr>
              <w:t xml:space="preserve"> – </w:t>
            </w:r>
            <w:r>
              <w:rPr>
                <w:sz w:val="19"/>
                <w:szCs w:val="19"/>
              </w:rPr>
              <w:t>25</w:t>
            </w:r>
            <w:r w:rsidRPr="004509F2">
              <w:rPr>
                <w:sz w:val="19"/>
                <w:szCs w:val="19"/>
              </w:rPr>
              <w:t>/</w:t>
            </w:r>
            <w:r>
              <w:rPr>
                <w:sz w:val="19"/>
                <w:szCs w:val="19"/>
              </w:rPr>
              <w:t>1</w:t>
            </w:r>
            <w:r w:rsidRPr="004509F2">
              <w:rPr>
                <w:sz w:val="19"/>
                <w:szCs w:val="19"/>
              </w:rPr>
              <w:t>/</w:t>
            </w:r>
            <w:r>
              <w:rPr>
                <w:sz w:val="19"/>
                <w:szCs w:val="19"/>
              </w:rPr>
              <w:t>24</w:t>
            </w:r>
          </w:p>
        </w:tc>
      </w:tr>
    </w:tbl>
    <w:p w14:paraId="31219296" w14:textId="77777777" w:rsidR="00F87105" w:rsidRPr="0082529E" w:rsidRDefault="00F87105" w:rsidP="00F87105">
      <w:pPr>
        <w:rPr>
          <w:color w:val="auto"/>
          <w:highlight w:val="yellow"/>
        </w:rPr>
      </w:pPr>
    </w:p>
    <w:bookmarkEnd w:id="435"/>
    <w:p w14:paraId="70015650" w14:textId="77777777" w:rsidR="00F87105" w:rsidRPr="0082529E" w:rsidRDefault="00F87105" w:rsidP="00F87105">
      <w:pPr>
        <w:rPr>
          <w:i/>
          <w:color w:val="auto"/>
          <w:u w:val="single"/>
        </w:rPr>
      </w:pPr>
      <w:r w:rsidRPr="0082529E">
        <w:rPr>
          <w:i/>
          <w:color w:val="auto"/>
          <w:u w:val="single"/>
        </w:rPr>
        <w:t>Sampling YOY and population age structure</w:t>
      </w:r>
    </w:p>
    <w:p w14:paraId="7E592263" w14:textId="7EE5D0F1" w:rsidR="00F87105" w:rsidRDefault="00F87105" w:rsidP="00F87105">
      <w:pPr>
        <w:spacing w:before="0" w:after="200"/>
        <w:rPr>
          <w:i/>
          <w:color w:val="auto"/>
          <w:u w:val="single"/>
        </w:rPr>
      </w:pPr>
      <w:bookmarkStart w:id="438" w:name="_Toc396249016"/>
      <w:r>
        <w:rPr>
          <w:color w:val="auto"/>
        </w:rPr>
        <w:t xml:space="preserve">From 2019–2024, </w:t>
      </w:r>
      <w:r w:rsidRPr="0082529E">
        <w:rPr>
          <w:color w:val="auto"/>
        </w:rPr>
        <w:t xml:space="preserve">sampling was undertaken in </w:t>
      </w:r>
      <w:r>
        <w:rPr>
          <w:color w:val="auto"/>
        </w:rPr>
        <w:t>May/June</w:t>
      </w:r>
      <w:r w:rsidRPr="0082529E">
        <w:rPr>
          <w:color w:val="auto"/>
        </w:rPr>
        <w:t xml:space="preserve"> to complement Category 1 Fish Assemblage sampling and to maximise the likelihood of collecting YOY </w:t>
      </w:r>
      <w:r>
        <w:rPr>
          <w:color w:val="auto"/>
        </w:rPr>
        <w:t xml:space="preserve">golden perch and silver perch </w:t>
      </w:r>
      <w:r w:rsidRPr="0082529E">
        <w:rPr>
          <w:color w:val="auto"/>
        </w:rPr>
        <w:t xml:space="preserve">from the previous spring–summer spawning season. Adult and juvenile golden perch </w:t>
      </w:r>
      <w:r>
        <w:rPr>
          <w:color w:val="auto"/>
        </w:rPr>
        <w:t xml:space="preserve">and silver perch </w:t>
      </w:r>
      <w:r w:rsidRPr="0082529E">
        <w:rPr>
          <w:color w:val="auto"/>
        </w:rPr>
        <w:t xml:space="preserve">were sampled using a 7.5 kW Smith Root (Model GPP 7.5) boat </w:t>
      </w:r>
      <w:r w:rsidRPr="0082529E">
        <w:rPr>
          <w:color w:val="auto"/>
        </w:rPr>
        <w:lastRenderedPageBreak/>
        <w:t xml:space="preserve">electrofishing unit </w:t>
      </w:r>
      <w:r w:rsidRPr="003F6D6D">
        <w:rPr>
          <w:color w:val="auto"/>
        </w:rPr>
        <w:t>at approximately</w:t>
      </w:r>
      <w:r>
        <w:rPr>
          <w:color w:val="auto"/>
        </w:rPr>
        <w:t xml:space="preserve"> five</w:t>
      </w:r>
      <w:r w:rsidRPr="0082529E">
        <w:rPr>
          <w:color w:val="auto"/>
        </w:rPr>
        <w:t xml:space="preserve"> sites in the LMR (</w:t>
      </w:r>
      <w:r w:rsidRPr="0082529E">
        <w:rPr>
          <w:color w:val="auto"/>
        </w:rPr>
        <w:fldChar w:fldCharType="begin"/>
      </w:r>
      <w:r w:rsidRPr="0082529E">
        <w:rPr>
          <w:color w:val="auto"/>
        </w:rPr>
        <w:instrText xml:space="preserve"> REF _Ref469926522 \h </w:instrText>
      </w:r>
      <w:r w:rsidRPr="0082529E">
        <w:rPr>
          <w:color w:val="auto"/>
        </w:rPr>
      </w:r>
      <w:r w:rsidRPr="0082529E">
        <w:rPr>
          <w:color w:val="auto"/>
        </w:rPr>
        <w:fldChar w:fldCharType="separate"/>
      </w:r>
      <w:r w:rsidR="00102828">
        <w:t xml:space="preserve">Figure </w:t>
      </w:r>
      <w:r w:rsidR="00102828">
        <w:rPr>
          <w:noProof/>
        </w:rPr>
        <w:t>1</w:t>
      </w:r>
      <w:r w:rsidRPr="0082529E">
        <w:rPr>
          <w:color w:val="auto"/>
        </w:rPr>
        <w:fldChar w:fldCharType="end"/>
      </w:r>
      <w:r w:rsidRPr="0082529E">
        <w:rPr>
          <w:color w:val="auto"/>
        </w:rPr>
        <w:t xml:space="preserve">). Electrofishing was conducted during daylight hours and all available littoral habitats were surveyed. At each site, the total time during which electrical current was applied (on-time effort) ranged from </w:t>
      </w:r>
      <w:r>
        <w:rPr>
          <w:color w:val="auto"/>
        </w:rPr>
        <w:t>160</w:t>
      </w:r>
      <w:r w:rsidRPr="0082529E">
        <w:rPr>
          <w:color w:val="auto"/>
        </w:rPr>
        <w:t xml:space="preserve"> to </w:t>
      </w:r>
      <w:r>
        <w:rPr>
          <w:color w:val="auto"/>
        </w:rPr>
        <w:t>1</w:t>
      </w:r>
      <w:r w:rsidRPr="0082529E">
        <w:rPr>
          <w:color w:val="auto"/>
        </w:rPr>
        <w:t>,</w:t>
      </w:r>
      <w:r>
        <w:rPr>
          <w:color w:val="auto"/>
        </w:rPr>
        <w:t>534</w:t>
      </w:r>
      <w:r w:rsidRPr="0082529E">
        <w:rPr>
          <w:color w:val="auto"/>
        </w:rPr>
        <w:t xml:space="preserve"> seconds. All individuals were measured to the nearest mm (total length, TL) and a </w:t>
      </w:r>
      <w:bookmarkEnd w:id="438"/>
      <w:r w:rsidRPr="0082529E">
        <w:rPr>
          <w:color w:val="auto"/>
        </w:rPr>
        <w:t xml:space="preserve">sub-sample of golden perch proportionally representing the length-frequency of golden perch collected was retained for </w:t>
      </w:r>
      <w:r w:rsidRPr="00112980">
        <w:rPr>
          <w:color w:val="auto"/>
        </w:rPr>
        <w:t xml:space="preserve">ageing. </w:t>
      </w:r>
    </w:p>
    <w:p w14:paraId="3C891C63" w14:textId="77777777" w:rsidR="00F87105" w:rsidRPr="009C777B" w:rsidRDefault="00F87105" w:rsidP="00F87105">
      <w:pPr>
        <w:spacing w:before="0" w:after="200"/>
        <w:jc w:val="left"/>
        <w:rPr>
          <w:i/>
          <w:color w:val="auto"/>
          <w:u w:val="single"/>
        </w:rPr>
      </w:pPr>
      <w:bookmarkStart w:id="439" w:name="_Hlk88731447"/>
      <w:bookmarkStart w:id="440" w:name="_Hlk88731721"/>
      <w:r w:rsidRPr="009C777B">
        <w:rPr>
          <w:i/>
          <w:color w:val="auto"/>
          <w:u w:val="single"/>
        </w:rPr>
        <w:t>Ageing</w:t>
      </w:r>
    </w:p>
    <w:p w14:paraId="7312D582" w14:textId="77777777" w:rsidR="00F87105" w:rsidRPr="00027D19" w:rsidRDefault="00F87105" w:rsidP="00F87105">
      <w:pPr>
        <w:rPr>
          <w:color w:val="auto"/>
        </w:rPr>
      </w:pPr>
      <w:bookmarkStart w:id="441" w:name="_Hlk201067999"/>
      <w:r w:rsidRPr="00714E3D">
        <w:t xml:space="preserve">Golden perch larvae </w:t>
      </w:r>
      <w:r>
        <w:t xml:space="preserve">and YOY </w:t>
      </w:r>
      <w:r w:rsidRPr="00714E3D">
        <w:t xml:space="preserve">were measured for TL to the nearest millimetre and sagittal otoliths were removed. To estimate the spawn date of larval and YOY fish, daily increments in otolith microstructure were examined. Otoliths were mounted individually in </w:t>
      </w:r>
      <w:r>
        <w:t>c</w:t>
      </w:r>
      <w:r w:rsidRPr="00714E3D">
        <w:t>rystal</w:t>
      </w:r>
      <w:r>
        <w:t xml:space="preserve"> </w:t>
      </w:r>
      <w:r w:rsidRPr="00714E3D">
        <w:t>bond</w:t>
      </w:r>
      <w:r w:rsidRPr="00714E3D">
        <w:rPr>
          <w:vertAlign w:val="superscript"/>
        </w:rPr>
        <w:t>TM</w:t>
      </w:r>
      <w:r w:rsidRPr="00714E3D">
        <w:t xml:space="preserve">, proximal surface </w:t>
      </w:r>
      <w:r>
        <w:t>up</w:t>
      </w:r>
      <w:r w:rsidRPr="00714E3D">
        <w:t xml:space="preserve">wards, and polished down to the primordium using a graded series of wetted lapping films (9 and 3 μm). Sections were then polished using to a thickness of </w:t>
      </w:r>
      <w:r>
        <w:t>~</w:t>
      </w:r>
      <w:r w:rsidRPr="00714E3D">
        <w:t xml:space="preserve">50 µm. </w:t>
      </w:r>
      <w:r>
        <w:t xml:space="preserve">Otoliths from larger YOY fish were prepared in transverse sections which involved grinding and polishing, with 16 </w:t>
      </w:r>
      <w:r w:rsidRPr="00AD1A4B">
        <w:t xml:space="preserve">μm lapping film, from the anterior margin towards the core before </w:t>
      </w:r>
      <w:r>
        <w:t>turning over</w:t>
      </w:r>
      <w:r w:rsidRPr="00AD1A4B">
        <w:t xml:space="preserve"> and grinding/polishing from the posterior side</w:t>
      </w:r>
      <w:r>
        <w:t xml:space="preserve">. </w:t>
      </w:r>
      <w:r w:rsidRPr="00333FF8">
        <w:t xml:space="preserve">Otoliths were adhered to the centre of a microscope slide with crystal bond™ with the proximal surface facing upwards. </w:t>
      </w:r>
      <w:r w:rsidRPr="00714E3D">
        <w:t>Sections were examined using a compound microscope (x 200) fitted with a digital camera and Olympus Stream image analysis software (version 2.3). Estimates of age were determined by counting the number of increments from the primordium to the otolith edge (Zampatti and Leigh 2013b).</w:t>
      </w:r>
      <w:r>
        <w:t xml:space="preserve"> </w:t>
      </w:r>
      <w:r w:rsidRPr="009C777B">
        <w:t xml:space="preserve">Two readers examined each otolith on separate occasions and each reader performed two counts of the increments. Counts from each reader were compared and if they differed by more than 10%, the otolith was rejected; but if count variation was within 10%, the mean of all counts was accepted as the daily increment number and estimate of age. </w:t>
      </w:r>
      <w:r>
        <w:t>Spawn dates were determined by subtracting the estimated age from the capture date (Brown and Wooden 2007).</w:t>
      </w:r>
    </w:p>
    <w:p w14:paraId="3495CA5F" w14:textId="77777777" w:rsidR="00F87105" w:rsidRPr="009C777B" w:rsidRDefault="00F87105" w:rsidP="00F87105">
      <w:pPr>
        <w:rPr>
          <w:color w:val="auto"/>
        </w:rPr>
      </w:pPr>
      <w:r w:rsidRPr="009C777B">
        <w:rPr>
          <w:color w:val="auto"/>
        </w:rPr>
        <w:t xml:space="preserve">We used age-frequency distributions to assess the age structure and year-class strength of golden perch. </w:t>
      </w:r>
      <w:bookmarkStart w:id="442" w:name="_Hlk57382715"/>
      <w:r w:rsidRPr="009C777B">
        <w:rPr>
          <w:color w:val="auto"/>
        </w:rPr>
        <w:t>Golden perch retained for ageing were euthanised and sagittal otoliths were removed. Whole otoliths were embedded in clear casting resin and a single 400 to 600 </w:t>
      </w:r>
      <w:r w:rsidRPr="00714E3D">
        <w:t>µm</w:t>
      </w:r>
      <w:r w:rsidRPr="009C777B">
        <w:rPr>
          <w:color w:val="auto"/>
        </w:rPr>
        <w:t xml:space="preserve"> transverse section was prepared. Sections were examined using a dissecting microscope (x25) under transmitted light. Estimates of age were determined independently by t</w:t>
      </w:r>
      <w:r>
        <w:rPr>
          <w:color w:val="auto"/>
        </w:rPr>
        <w:t>wo</w:t>
      </w:r>
      <w:r w:rsidRPr="009C777B">
        <w:rPr>
          <w:color w:val="auto"/>
        </w:rPr>
        <w:t xml:space="preserve"> readers by counting the number of discernible opaque zones (annuli) from the primordium to the otolith edge.</w:t>
      </w:r>
      <w:r>
        <w:rPr>
          <w:color w:val="auto"/>
        </w:rPr>
        <w:t xml:space="preserve"> If a consensus was not reached for otoliths with initial counts that differed among readers, then the otolith was rejected. </w:t>
      </w:r>
      <w:r w:rsidRPr="009C777B">
        <w:rPr>
          <w:color w:val="auto"/>
        </w:rPr>
        <w:t>YOY (&lt;1 year old) fish were defined as individuals lacking clearly discernible annuli.</w:t>
      </w:r>
      <w:bookmarkEnd w:id="442"/>
    </w:p>
    <w:p w14:paraId="718178F3" w14:textId="77777777" w:rsidR="00F87105" w:rsidRPr="009C777B" w:rsidRDefault="00F87105" w:rsidP="00F87105">
      <w:pPr>
        <w:rPr>
          <w:i/>
          <w:color w:val="auto"/>
          <w:u w:val="single"/>
        </w:rPr>
      </w:pPr>
      <w:r w:rsidRPr="009C777B">
        <w:rPr>
          <w:i/>
          <w:color w:val="auto"/>
          <w:u w:val="single"/>
        </w:rPr>
        <w:t xml:space="preserve">Otolith </w:t>
      </w:r>
      <w:r w:rsidRPr="009C777B">
        <w:rPr>
          <w:i/>
          <w:color w:val="auto"/>
          <w:u w:val="single"/>
          <w:vertAlign w:val="superscript"/>
        </w:rPr>
        <w:t>87</w:t>
      </w:r>
      <w:r w:rsidRPr="009C777B">
        <w:rPr>
          <w:i/>
          <w:color w:val="auto"/>
          <w:u w:val="single"/>
        </w:rPr>
        <w:t>Sr/</w:t>
      </w:r>
      <w:r w:rsidRPr="009C777B">
        <w:rPr>
          <w:i/>
          <w:color w:val="auto"/>
          <w:u w:val="single"/>
          <w:vertAlign w:val="superscript"/>
        </w:rPr>
        <w:t>86</w:t>
      </w:r>
      <w:r w:rsidRPr="009C777B">
        <w:rPr>
          <w:i/>
          <w:color w:val="auto"/>
          <w:u w:val="single"/>
        </w:rPr>
        <w:t xml:space="preserve">Sr analysis </w:t>
      </w:r>
    </w:p>
    <w:p w14:paraId="0F09E556" w14:textId="77777777" w:rsidR="00F87105" w:rsidRPr="008E6CD7" w:rsidRDefault="00F87105" w:rsidP="00F87105">
      <w:pPr>
        <w:rPr>
          <w:color w:val="auto"/>
        </w:rPr>
      </w:pPr>
      <w:r>
        <w:rPr>
          <w:iCs/>
          <w:color w:val="auto"/>
        </w:rPr>
        <w:t>The second of the paired s</w:t>
      </w:r>
      <w:r w:rsidRPr="00714E3D">
        <w:rPr>
          <w:iCs/>
          <w:color w:val="auto"/>
        </w:rPr>
        <w:t>agittal otoliths</w:t>
      </w:r>
      <w:r>
        <w:rPr>
          <w:iCs/>
          <w:color w:val="auto"/>
        </w:rPr>
        <w:t xml:space="preserve"> from each aged individual</w:t>
      </w:r>
      <w:r w:rsidRPr="00714E3D">
        <w:rPr>
          <w:iCs/>
          <w:color w:val="auto"/>
        </w:rPr>
        <w:t xml:space="preserve"> were </w:t>
      </w:r>
      <w:r>
        <w:rPr>
          <w:iCs/>
          <w:color w:val="auto"/>
        </w:rPr>
        <w:t>used for o</w:t>
      </w:r>
      <w:r w:rsidRPr="001C66EC">
        <w:rPr>
          <w:iCs/>
          <w:color w:val="auto"/>
        </w:rPr>
        <w:t xml:space="preserve">tolith </w:t>
      </w:r>
      <w:r w:rsidRPr="00C57F27">
        <w:rPr>
          <w:iCs/>
          <w:color w:val="auto"/>
          <w:vertAlign w:val="superscript"/>
        </w:rPr>
        <w:t>87</w:t>
      </w:r>
      <w:r w:rsidRPr="001C66EC">
        <w:rPr>
          <w:iCs/>
          <w:color w:val="auto"/>
        </w:rPr>
        <w:t>Sr/</w:t>
      </w:r>
      <w:r w:rsidRPr="00C57F27">
        <w:rPr>
          <w:iCs/>
          <w:color w:val="auto"/>
          <w:vertAlign w:val="superscript"/>
        </w:rPr>
        <w:t>86</w:t>
      </w:r>
      <w:r w:rsidRPr="001C66EC">
        <w:rPr>
          <w:iCs/>
          <w:color w:val="auto"/>
        </w:rPr>
        <w:t>Sr analysis</w:t>
      </w:r>
      <w:r>
        <w:rPr>
          <w:iCs/>
          <w:color w:val="auto"/>
        </w:rPr>
        <w:t>. Otoliths</w:t>
      </w:r>
      <w:r w:rsidRPr="001C66EC">
        <w:rPr>
          <w:iCs/>
          <w:color w:val="auto"/>
        </w:rPr>
        <w:t xml:space="preserve"> were set in resin </w:t>
      </w:r>
      <w:r w:rsidRPr="009C777B">
        <w:rPr>
          <w:iCs/>
          <w:color w:val="auto"/>
        </w:rPr>
        <w:t xml:space="preserve">overnight </w:t>
      </w:r>
      <w:r>
        <w:rPr>
          <w:iCs/>
          <w:color w:val="auto"/>
        </w:rPr>
        <w:t>before being</w:t>
      </w:r>
      <w:r w:rsidRPr="001C66EC">
        <w:rPr>
          <w:iCs/>
          <w:color w:val="auto"/>
        </w:rPr>
        <w:t xml:space="preserve"> cut with a Buehler Isomet </w:t>
      </w:r>
      <w:r>
        <w:rPr>
          <w:iCs/>
          <w:color w:val="auto"/>
        </w:rPr>
        <w:t>L</w:t>
      </w:r>
      <w:r w:rsidRPr="001C66EC">
        <w:rPr>
          <w:iCs/>
          <w:color w:val="auto"/>
        </w:rPr>
        <w:t>ow</w:t>
      </w:r>
      <w:r>
        <w:rPr>
          <w:iCs/>
          <w:color w:val="auto"/>
        </w:rPr>
        <w:t xml:space="preserve"> S</w:t>
      </w:r>
      <w:r w:rsidRPr="001C66EC">
        <w:rPr>
          <w:iCs/>
          <w:color w:val="auto"/>
        </w:rPr>
        <w:t xml:space="preserve">peed </w:t>
      </w:r>
      <w:r>
        <w:rPr>
          <w:iCs/>
          <w:color w:val="auto"/>
        </w:rPr>
        <w:t>cutting machine</w:t>
      </w:r>
      <w:r w:rsidRPr="001C66EC">
        <w:rPr>
          <w:iCs/>
          <w:color w:val="auto"/>
        </w:rPr>
        <w:t xml:space="preserve"> in 400</w:t>
      </w:r>
      <w:r>
        <w:rPr>
          <w:iCs/>
          <w:color w:val="auto"/>
        </w:rPr>
        <w:t>–</w:t>
      </w:r>
      <w:r w:rsidRPr="001C66EC">
        <w:rPr>
          <w:iCs/>
          <w:color w:val="auto"/>
        </w:rPr>
        <w:t xml:space="preserve">500 </w:t>
      </w:r>
      <w:r w:rsidRPr="00714E3D">
        <w:t>µm</w:t>
      </w:r>
      <w:r w:rsidRPr="001C66EC">
        <w:rPr>
          <w:iCs/>
          <w:color w:val="auto"/>
        </w:rPr>
        <w:t xml:space="preserve"> sections</w:t>
      </w:r>
      <w:r>
        <w:rPr>
          <w:iCs/>
          <w:color w:val="auto"/>
        </w:rPr>
        <w:t>.</w:t>
      </w:r>
      <w:r w:rsidRPr="001C66EC">
        <w:rPr>
          <w:iCs/>
          <w:color w:val="auto"/>
        </w:rPr>
        <w:t xml:space="preserve"> </w:t>
      </w:r>
      <w:r>
        <w:rPr>
          <w:iCs/>
          <w:color w:val="auto"/>
        </w:rPr>
        <w:t xml:space="preserve">Sections were then </w:t>
      </w:r>
      <w:r w:rsidRPr="009C777B">
        <w:rPr>
          <w:iCs/>
          <w:color w:val="auto"/>
        </w:rPr>
        <w:t>transferred to a master slide and fixed onto a thin smear of clear casting resin</w:t>
      </w:r>
      <w:r>
        <w:rPr>
          <w:iCs/>
          <w:color w:val="auto"/>
        </w:rPr>
        <w:t>, with</w:t>
      </w:r>
      <w:r w:rsidRPr="000932B6">
        <w:rPr>
          <w:iCs/>
          <w:color w:val="auto"/>
        </w:rPr>
        <w:t xml:space="preserve"> the side closest to the core arranged facing upwards</w:t>
      </w:r>
      <w:r>
        <w:rPr>
          <w:iCs/>
          <w:color w:val="auto"/>
        </w:rPr>
        <w:t xml:space="preserve">, </w:t>
      </w:r>
      <w:r w:rsidRPr="009C777B">
        <w:rPr>
          <w:iCs/>
          <w:color w:val="auto"/>
        </w:rPr>
        <w:t>and allowed to set overnight before being placed in a drying oven at 500°C for 4 hours and then sonicated in Milli-Q water. Individual locations of each otolith were recorded on a slide map along with preferred ablation path for each otolith.</w:t>
      </w:r>
      <w:r w:rsidRPr="009C777B">
        <w:rPr>
          <w:i/>
          <w:color w:val="auto"/>
        </w:rPr>
        <w:t xml:space="preserve"> In situ</w:t>
      </w:r>
      <w:r w:rsidRPr="009C777B">
        <w:rPr>
          <w:color w:val="auto"/>
        </w:rPr>
        <w:t xml:space="preserve"> microsampling analysis of </w:t>
      </w:r>
      <w:r w:rsidRPr="009C777B">
        <w:rPr>
          <w:color w:val="auto"/>
          <w:vertAlign w:val="superscript"/>
        </w:rPr>
        <w:t>87</w:t>
      </w:r>
      <w:r w:rsidRPr="009C777B">
        <w:rPr>
          <w:color w:val="auto"/>
        </w:rPr>
        <w:t>Sr/</w:t>
      </w:r>
      <w:r w:rsidRPr="009C777B">
        <w:rPr>
          <w:color w:val="auto"/>
          <w:vertAlign w:val="superscript"/>
        </w:rPr>
        <w:t>86</w:t>
      </w:r>
      <w:r w:rsidRPr="009C777B">
        <w:rPr>
          <w:color w:val="auto"/>
        </w:rPr>
        <w:t>Sr in the otoliths of juvenile golden perch was achieved by laser ablation – inductively coupled plasma mass spectrometry (LA-MC-</w:t>
      </w:r>
      <w:r w:rsidRPr="009C777B">
        <w:rPr>
          <w:color w:val="auto"/>
        </w:rPr>
        <w:lastRenderedPageBreak/>
        <w:t xml:space="preserve">ICPMS). </w:t>
      </w:r>
      <w:r w:rsidRPr="009C777B">
        <w:t xml:space="preserve">The laser ablation and mass spectrometry procedure is described in full in Zampatti </w:t>
      </w:r>
      <w:r w:rsidRPr="009C777B">
        <w:rPr>
          <w:i/>
        </w:rPr>
        <w:t>et al.</w:t>
      </w:r>
      <w:r w:rsidRPr="009C777B">
        <w:t xml:space="preserve"> (2021). </w:t>
      </w:r>
      <w:r w:rsidRPr="009C777B">
        <w:rPr>
          <w:color w:val="auto"/>
        </w:rPr>
        <w:t>To investigate</w:t>
      </w:r>
      <w:r w:rsidRPr="00D22CCA">
        <w:rPr>
          <w:color w:val="auto"/>
        </w:rPr>
        <w:t xml:space="preserve"> the natal origin and migration history of new recruits (</w:t>
      </w:r>
      <w:r>
        <w:rPr>
          <w:color w:val="auto"/>
        </w:rPr>
        <w:t xml:space="preserve">larvae and </w:t>
      </w:r>
      <w:r w:rsidRPr="00D22CCA">
        <w:rPr>
          <w:color w:val="auto"/>
        </w:rPr>
        <w:t xml:space="preserve">YOY) and </w:t>
      </w:r>
      <w:r>
        <w:rPr>
          <w:color w:val="auto"/>
        </w:rPr>
        <w:t xml:space="preserve">prominent younger cohorts </w:t>
      </w:r>
      <w:r w:rsidRPr="00D22CCA">
        <w:rPr>
          <w:color w:val="auto"/>
        </w:rPr>
        <w:t>golden perch and silver perch in the LMR</w:t>
      </w:r>
      <w:r>
        <w:rPr>
          <w:color w:val="auto"/>
        </w:rPr>
        <w:t>,</w:t>
      </w:r>
      <w:r w:rsidRPr="00D22CCA">
        <w:rPr>
          <w:color w:val="auto"/>
        </w:rPr>
        <w:t xml:space="preserve"> we analysed </w:t>
      </w:r>
      <w:r w:rsidRPr="00D22CCA">
        <w:rPr>
          <w:color w:val="auto"/>
          <w:vertAlign w:val="superscript"/>
        </w:rPr>
        <w:t>87</w:t>
      </w:r>
      <w:r w:rsidRPr="00D22CCA">
        <w:rPr>
          <w:color w:val="auto"/>
        </w:rPr>
        <w:t>Sr/</w:t>
      </w:r>
      <w:r w:rsidRPr="00D22CCA">
        <w:rPr>
          <w:color w:val="auto"/>
          <w:vertAlign w:val="superscript"/>
        </w:rPr>
        <w:t>86</w:t>
      </w:r>
      <w:r w:rsidRPr="00D22CCA">
        <w:rPr>
          <w:color w:val="auto"/>
        </w:rPr>
        <w:t xml:space="preserve">Sr from the otolith core to edge in a subsample of fish. We compared these transects to water </w:t>
      </w:r>
      <w:r w:rsidRPr="00D22CCA">
        <w:rPr>
          <w:color w:val="auto"/>
          <w:vertAlign w:val="superscript"/>
        </w:rPr>
        <w:t>87</w:t>
      </w:r>
      <w:r w:rsidRPr="00D22CCA">
        <w:rPr>
          <w:color w:val="auto"/>
        </w:rPr>
        <w:t>Sr/</w:t>
      </w:r>
      <w:r w:rsidRPr="00D22CCA">
        <w:rPr>
          <w:color w:val="auto"/>
          <w:vertAlign w:val="superscript"/>
        </w:rPr>
        <w:t>86</w:t>
      </w:r>
      <w:r w:rsidRPr="00D22CCA">
        <w:rPr>
          <w:color w:val="auto"/>
        </w:rPr>
        <w:t>Sr measured at sites across the southern MDB from 2011</w:t>
      </w:r>
      <w:r>
        <w:rPr>
          <w:color w:val="auto"/>
        </w:rPr>
        <w:t>–201</w:t>
      </w:r>
      <w:r w:rsidRPr="00D22CCA">
        <w:rPr>
          <w:color w:val="auto"/>
        </w:rPr>
        <w:t xml:space="preserve">9 (Ye </w:t>
      </w:r>
      <w:r w:rsidRPr="00D22CCA">
        <w:rPr>
          <w:i/>
          <w:iCs/>
          <w:color w:val="auto"/>
        </w:rPr>
        <w:t>et al.</w:t>
      </w:r>
      <w:r w:rsidRPr="00D22CCA">
        <w:rPr>
          <w:color w:val="auto"/>
        </w:rPr>
        <w:t xml:space="preserve"> 2020a) and 20</w:t>
      </w:r>
      <w:r>
        <w:rPr>
          <w:color w:val="auto"/>
        </w:rPr>
        <w:t>19–2024</w:t>
      </w:r>
      <w:r w:rsidRPr="00D22CCA">
        <w:rPr>
          <w:color w:val="auto"/>
        </w:rPr>
        <w:t>.</w:t>
      </w:r>
      <w:bookmarkEnd w:id="439"/>
      <w:bookmarkEnd w:id="440"/>
    </w:p>
    <w:bookmarkEnd w:id="441"/>
    <w:p w14:paraId="09AFCCD1" w14:textId="77777777" w:rsidR="00F87105" w:rsidRDefault="00F87105" w:rsidP="00F87105">
      <w:pPr>
        <w:rPr>
          <w:i/>
          <w:color w:val="auto"/>
          <w:u w:val="single"/>
        </w:rPr>
      </w:pPr>
      <w:r>
        <w:rPr>
          <w:i/>
          <w:color w:val="auto"/>
          <w:u w:val="single"/>
        </w:rPr>
        <w:t>Data analyses</w:t>
      </w:r>
    </w:p>
    <w:p w14:paraId="385126B9" w14:textId="42681855" w:rsidR="00F87105" w:rsidRDefault="00F87105" w:rsidP="00F87105">
      <w:pPr>
        <w:rPr>
          <w:color w:val="auto"/>
        </w:rPr>
      </w:pPr>
      <w:r>
        <w:rPr>
          <w:color w:val="auto"/>
        </w:rPr>
        <w:t xml:space="preserve">For relevant data analyses, </w:t>
      </w:r>
      <w:r w:rsidRPr="000D7960">
        <w:rPr>
          <w:color w:val="auto"/>
        </w:rPr>
        <w:t xml:space="preserve">we integrated data from the CEWH Short-Term Intervention Monitoring (Ye </w:t>
      </w:r>
      <w:r w:rsidRPr="00736725">
        <w:rPr>
          <w:i/>
          <w:iCs/>
          <w:color w:val="auto"/>
        </w:rPr>
        <w:t>et al.</w:t>
      </w:r>
      <w:r w:rsidRPr="000D7960">
        <w:rPr>
          <w:color w:val="auto"/>
        </w:rPr>
        <w:t xml:space="preserve"> 2015a</w:t>
      </w:r>
      <w:r w:rsidR="00A85ECB">
        <w:rPr>
          <w:color w:val="auto"/>
        </w:rPr>
        <w:t>,</w:t>
      </w:r>
      <w:r w:rsidRPr="000D7960">
        <w:rPr>
          <w:color w:val="auto"/>
        </w:rPr>
        <w:t xml:space="preserve"> 2015b</w:t>
      </w:r>
      <w:r w:rsidR="00A85ECB">
        <w:rPr>
          <w:color w:val="auto"/>
        </w:rPr>
        <w:t>,</w:t>
      </w:r>
      <w:r w:rsidRPr="000D7960">
        <w:rPr>
          <w:color w:val="auto"/>
        </w:rPr>
        <w:t xml:space="preserve"> 2016a) and LTIM Projects (Ye </w:t>
      </w:r>
      <w:r w:rsidRPr="00736725">
        <w:rPr>
          <w:i/>
          <w:iCs/>
          <w:color w:val="auto"/>
        </w:rPr>
        <w:t>et al.</w:t>
      </w:r>
      <w:r w:rsidRPr="000D7960">
        <w:rPr>
          <w:color w:val="auto"/>
        </w:rPr>
        <w:t xml:space="preserve"> 2020a)</w:t>
      </w:r>
      <w:r>
        <w:rPr>
          <w:color w:val="auto"/>
        </w:rPr>
        <w:t xml:space="preserve"> to assess temporal variability. </w:t>
      </w:r>
      <w:r w:rsidRPr="00781560">
        <w:rPr>
          <w:color w:val="auto"/>
        </w:rPr>
        <w:t>To compare golden perch</w:t>
      </w:r>
      <w:r>
        <w:rPr>
          <w:color w:val="auto"/>
        </w:rPr>
        <w:t xml:space="preserve"> and silver perch</w:t>
      </w:r>
      <w:r w:rsidRPr="00781560">
        <w:rPr>
          <w:color w:val="auto"/>
        </w:rPr>
        <w:t xml:space="preserve"> egg and larval abundances across years, </w:t>
      </w:r>
      <w:r>
        <w:rPr>
          <w:color w:val="auto"/>
        </w:rPr>
        <w:t>we</w:t>
      </w:r>
      <w:r w:rsidRPr="00781560">
        <w:rPr>
          <w:color w:val="auto"/>
        </w:rPr>
        <w:t xml:space="preserve"> calculated catch-per-unit-effort (CPUE, individuals per trip) ± standard error using two long-term sites: 5 km downstream Lock 1 and 5 km downstream Lock 6, between early October and late January. Data were represented graphically as bar charts</w:t>
      </w:r>
      <w:r>
        <w:rPr>
          <w:color w:val="auto"/>
        </w:rPr>
        <w:t xml:space="preserve"> with the natal origin of larvae expressed as proportions in pie charts</w:t>
      </w:r>
      <w:r w:rsidRPr="00781560">
        <w:rPr>
          <w:color w:val="auto"/>
        </w:rPr>
        <w:t>.</w:t>
      </w:r>
    </w:p>
    <w:p w14:paraId="1C4754E9" w14:textId="458E7CFF" w:rsidR="00F87105" w:rsidRDefault="00F87105" w:rsidP="00F87105">
      <w:pPr>
        <w:rPr>
          <w:color w:val="auto"/>
        </w:rPr>
      </w:pPr>
      <w:r w:rsidRPr="0082529E">
        <w:rPr>
          <w:color w:val="auto"/>
        </w:rPr>
        <w:t>Temporal variability in the relative abundance of golden perch was investigated by assessing changes in Category 1 electrofishing CPUE data (</w:t>
      </w:r>
      <w:r>
        <w:rPr>
          <w:color w:val="auto"/>
        </w:rPr>
        <w:t>s</w:t>
      </w:r>
      <w:r w:rsidRPr="0082529E">
        <w:rPr>
          <w:color w:val="auto"/>
        </w:rPr>
        <w:t xml:space="preserve">ee Section </w:t>
      </w:r>
      <w:r w:rsidRPr="0082529E">
        <w:rPr>
          <w:color w:val="auto"/>
        </w:rPr>
        <w:fldChar w:fldCharType="begin"/>
      </w:r>
      <w:r w:rsidRPr="0082529E">
        <w:rPr>
          <w:color w:val="auto"/>
        </w:rPr>
        <w:instrText xml:space="preserve"> REF _Ref56693925 \r \h </w:instrText>
      </w:r>
      <w:r w:rsidRPr="0082529E">
        <w:rPr>
          <w:color w:val="auto"/>
        </w:rPr>
      </w:r>
      <w:r w:rsidRPr="0082529E">
        <w:rPr>
          <w:color w:val="auto"/>
        </w:rPr>
        <w:fldChar w:fldCharType="separate"/>
      </w:r>
      <w:r w:rsidR="00102828">
        <w:rPr>
          <w:color w:val="auto"/>
        </w:rPr>
        <w:t>2.8</w:t>
      </w:r>
      <w:r w:rsidRPr="0082529E">
        <w:rPr>
          <w:color w:val="auto"/>
        </w:rPr>
        <w:fldChar w:fldCharType="end"/>
      </w:r>
      <w:r w:rsidRPr="0082529E">
        <w:rPr>
          <w:color w:val="auto"/>
        </w:rPr>
        <w:t xml:space="preserve"> </w:t>
      </w:r>
      <w:r>
        <w:rPr>
          <w:color w:val="auto"/>
        </w:rPr>
        <w:t>‘</w:t>
      </w:r>
      <w:r w:rsidRPr="0082529E">
        <w:rPr>
          <w:color w:val="auto"/>
        </w:rPr>
        <w:t>Fish Assemblage</w:t>
      </w:r>
      <w:r>
        <w:rPr>
          <w:color w:val="auto"/>
        </w:rPr>
        <w:t>’</w:t>
      </w:r>
      <w:r w:rsidRPr="0082529E">
        <w:rPr>
          <w:color w:val="auto"/>
        </w:rPr>
        <w:t xml:space="preserve">). Differences in the relative abundance (individuals per 90 seconds of electrofishing on-time effort) between years were analysed using univariate single-factor PERMANOVA (permutational ANOVA and MANOVA) in the software package PRIMER v. 6.1.12 and PERMANOVA+ (Anderson </w:t>
      </w:r>
      <w:r w:rsidRPr="0082529E">
        <w:rPr>
          <w:i/>
          <w:color w:val="auto"/>
        </w:rPr>
        <w:t xml:space="preserve">et al. </w:t>
      </w:r>
      <w:r w:rsidRPr="0082529E">
        <w:rPr>
          <w:color w:val="auto"/>
        </w:rPr>
        <w:t xml:space="preserve">2008). These analyses were performed on untransformed, standardised relative abundance data. </w:t>
      </w:r>
      <w:r w:rsidRPr="00781560">
        <w:rPr>
          <w:color w:val="auto"/>
        </w:rPr>
        <w:t>Data were represented graphically as bar charts.</w:t>
      </w:r>
    </w:p>
    <w:p w14:paraId="77912FFB" w14:textId="770957F9" w:rsidR="00F87105" w:rsidRDefault="00F87105" w:rsidP="00F87105">
      <w:pPr>
        <w:rPr>
          <w:color w:val="auto"/>
        </w:rPr>
      </w:pPr>
      <w:r>
        <w:rPr>
          <w:color w:val="auto"/>
        </w:rPr>
        <w:t>To assess the influence of the flow regime on recruitment</w:t>
      </w:r>
      <w:r w:rsidRPr="00F93DE4">
        <w:rPr>
          <w:color w:val="auto"/>
        </w:rPr>
        <w:t xml:space="preserve"> </w:t>
      </w:r>
      <w:r>
        <w:rPr>
          <w:color w:val="auto"/>
        </w:rPr>
        <w:t>of golden perch</w:t>
      </w:r>
      <w:r w:rsidR="00AE313C">
        <w:rPr>
          <w:color w:val="auto"/>
        </w:rPr>
        <w:t xml:space="preserve"> and silver perch</w:t>
      </w:r>
      <w:r>
        <w:rPr>
          <w:color w:val="auto"/>
        </w:rPr>
        <w:t xml:space="preserve">, we investigated the temporal variability in annual recruitment strength, as determined by the relative abundance of age 1+ individuals in the following year. Young-of-year (age 0+) were not considered to accurately reflect recruitment strength due to electrofishing sampling inefficiencies. Recruitment strength was calculated by multiplying the proportion of age 1+ individuals in the population age structure by the mean CPUE of golden perch from the </w:t>
      </w:r>
      <w:r w:rsidRPr="00B953AC">
        <w:rPr>
          <w:color w:val="auto"/>
        </w:rPr>
        <w:t>Category 1 electrofishing</w:t>
      </w:r>
      <w:r>
        <w:rPr>
          <w:color w:val="auto"/>
        </w:rPr>
        <w:t xml:space="preserve"> dataset. </w:t>
      </w:r>
      <w:r w:rsidRPr="00781560">
        <w:rPr>
          <w:color w:val="auto"/>
        </w:rPr>
        <w:t>Data were represented graphically as bar charts</w:t>
      </w:r>
      <w:r>
        <w:rPr>
          <w:color w:val="auto"/>
        </w:rPr>
        <w:t>.</w:t>
      </w:r>
    </w:p>
    <w:p w14:paraId="17EA9903" w14:textId="77777777" w:rsidR="00F87105" w:rsidRDefault="00F87105" w:rsidP="00F87105">
      <w:pPr>
        <w:pStyle w:val="Heading3"/>
      </w:pPr>
      <w:r>
        <w:t>Results</w:t>
      </w:r>
    </w:p>
    <w:p w14:paraId="1DFCC010" w14:textId="77777777" w:rsidR="00F87105" w:rsidRPr="00410B45" w:rsidRDefault="00F87105" w:rsidP="00F87105">
      <w:pPr>
        <w:rPr>
          <w:i/>
          <w:u w:val="single"/>
        </w:rPr>
      </w:pPr>
      <w:r w:rsidRPr="00410B45">
        <w:rPr>
          <w:i/>
          <w:u w:val="single"/>
        </w:rPr>
        <w:t xml:space="preserve">Water </w:t>
      </w:r>
      <w:r w:rsidRPr="00410B45">
        <w:rPr>
          <w:i/>
          <w:u w:val="single"/>
          <w:vertAlign w:val="superscript"/>
        </w:rPr>
        <w:t>87</w:t>
      </w:r>
      <w:r w:rsidRPr="00410B45">
        <w:rPr>
          <w:i/>
          <w:u w:val="single"/>
        </w:rPr>
        <w:t>Sr/</w:t>
      </w:r>
      <w:r w:rsidRPr="00410B45">
        <w:rPr>
          <w:i/>
          <w:u w:val="single"/>
          <w:vertAlign w:val="superscript"/>
        </w:rPr>
        <w:t>86</w:t>
      </w:r>
      <w:r w:rsidRPr="00410B45">
        <w:rPr>
          <w:i/>
          <w:u w:val="single"/>
        </w:rPr>
        <w:t>Sr and hydrology</w:t>
      </w:r>
    </w:p>
    <w:p w14:paraId="0460F398" w14:textId="35BB45A4" w:rsidR="00F87105" w:rsidRDefault="00F87105" w:rsidP="00F87105">
      <w:r>
        <w:t>F</w:t>
      </w:r>
      <w:r w:rsidRPr="005A05E3">
        <w:t>rom 2011–20</w:t>
      </w:r>
      <w:r>
        <w:t>24, w</w:t>
      </w:r>
      <w:r w:rsidRPr="005A05E3">
        <w:t xml:space="preserve">ater </w:t>
      </w:r>
      <w:r w:rsidRPr="005A05E3">
        <w:rPr>
          <w:vertAlign w:val="superscript"/>
        </w:rPr>
        <w:t>87</w:t>
      </w:r>
      <w:r w:rsidRPr="005A05E3">
        <w:t>Sr/</w:t>
      </w:r>
      <w:r w:rsidRPr="005A05E3">
        <w:rPr>
          <w:vertAlign w:val="superscript"/>
        </w:rPr>
        <w:t>86</w:t>
      </w:r>
      <w:r w:rsidRPr="005A05E3">
        <w:t xml:space="preserve">Sr was measured at sites across the southern MDB. Throughout this period, water </w:t>
      </w:r>
      <w:r w:rsidRPr="005A05E3">
        <w:rPr>
          <w:vertAlign w:val="superscript"/>
        </w:rPr>
        <w:t>87</w:t>
      </w:r>
      <w:r w:rsidRPr="005A05E3">
        <w:t>Sr/</w:t>
      </w:r>
      <w:r w:rsidRPr="005A05E3">
        <w:rPr>
          <w:vertAlign w:val="superscript"/>
        </w:rPr>
        <w:t>86</w:t>
      </w:r>
      <w:r w:rsidRPr="005A05E3">
        <w:t xml:space="preserve">Sr remained reasonably stable in the Darling River and the Murray River and its tributaries upstream of the Darling River junction. Water </w:t>
      </w:r>
      <w:r w:rsidRPr="005A05E3">
        <w:rPr>
          <w:vertAlign w:val="superscript"/>
        </w:rPr>
        <w:t>87</w:t>
      </w:r>
      <w:r w:rsidRPr="005A05E3">
        <w:t>Sr/</w:t>
      </w:r>
      <w:r w:rsidRPr="005A05E3">
        <w:rPr>
          <w:vertAlign w:val="superscript"/>
        </w:rPr>
        <w:t>86</w:t>
      </w:r>
      <w:r>
        <w:t xml:space="preserve">Sr </w:t>
      </w:r>
      <w:r w:rsidRPr="005A05E3">
        <w:t>was highest in the Murray River at Barmah and Torrumbarry</w:t>
      </w:r>
      <w:r>
        <w:t xml:space="preserve"> </w:t>
      </w:r>
      <w:r w:rsidRPr="005A05E3">
        <w:t>(&gt;0.7180), and lowest in the Darling River</w:t>
      </w:r>
      <w:r>
        <w:t xml:space="preserve"> </w:t>
      </w:r>
      <w:r w:rsidRPr="005A05E3">
        <w:t>(&lt;0.7080)</w:t>
      </w:r>
      <w:r w:rsidRPr="00A76D5F">
        <w:t xml:space="preserve"> (</w:t>
      </w:r>
      <w:r>
        <w:fldChar w:fldCharType="begin"/>
      </w:r>
      <w:r>
        <w:instrText xml:space="preserve"> REF _Ref16606571 \h </w:instrText>
      </w:r>
      <w:r>
        <w:fldChar w:fldCharType="separate"/>
      </w:r>
      <w:r w:rsidR="00102828">
        <w:t xml:space="preserve">Figure </w:t>
      </w:r>
      <w:r w:rsidR="00102828">
        <w:rPr>
          <w:noProof/>
        </w:rPr>
        <w:t>56</w:t>
      </w:r>
      <w:r>
        <w:fldChar w:fldCharType="end"/>
      </w:r>
      <w:r w:rsidRPr="00A76D5F">
        <w:t xml:space="preserve">a). </w:t>
      </w:r>
      <w:r w:rsidRPr="005A05E3">
        <w:t xml:space="preserve">Water </w:t>
      </w:r>
      <w:r w:rsidRPr="005A05E3">
        <w:rPr>
          <w:vertAlign w:val="superscript"/>
        </w:rPr>
        <w:t>87</w:t>
      </w:r>
      <w:r w:rsidRPr="005A05E3">
        <w:t>Sr/</w:t>
      </w:r>
      <w:r w:rsidRPr="005A05E3">
        <w:rPr>
          <w:vertAlign w:val="superscript"/>
        </w:rPr>
        <w:t>86</w:t>
      </w:r>
      <w:r w:rsidRPr="005A05E3">
        <w:t xml:space="preserve">Sr generally decreased longitudinally along the Murray River, particularly during low Darling River flow contribution, as tributaries with distinct and relatively temporally stable </w:t>
      </w:r>
      <w:r w:rsidRPr="005A05E3">
        <w:rPr>
          <w:vertAlign w:val="superscript"/>
        </w:rPr>
        <w:t>87</w:t>
      </w:r>
      <w:r w:rsidRPr="005A05E3">
        <w:t>Sr/</w:t>
      </w:r>
      <w:r w:rsidRPr="005A05E3">
        <w:rPr>
          <w:vertAlign w:val="superscript"/>
        </w:rPr>
        <w:t>86</w:t>
      </w:r>
      <w:r w:rsidRPr="005A05E3">
        <w:t>Sr (e.g. Goulburn River) contribute to flow</w:t>
      </w:r>
      <w:r>
        <w:t xml:space="preserve"> (</w:t>
      </w:r>
      <w:r>
        <w:rPr>
          <w:highlight w:val="yellow"/>
        </w:rPr>
        <w:fldChar w:fldCharType="begin"/>
      </w:r>
      <w:r>
        <w:instrText xml:space="preserve"> REF _Ref427583483 \h </w:instrText>
      </w:r>
      <w:r>
        <w:rPr>
          <w:highlight w:val="yellow"/>
        </w:rPr>
      </w:r>
      <w:r>
        <w:rPr>
          <w:highlight w:val="yellow"/>
        </w:rPr>
        <w:fldChar w:fldCharType="separate"/>
      </w:r>
      <w:r w:rsidR="00102828" w:rsidRPr="00F23935">
        <w:t xml:space="preserve">Figure </w:t>
      </w:r>
      <w:r w:rsidR="00102828">
        <w:rPr>
          <w:noProof/>
        </w:rPr>
        <w:t>5</w:t>
      </w:r>
      <w:r>
        <w:rPr>
          <w:highlight w:val="yellow"/>
        </w:rPr>
        <w:fldChar w:fldCharType="end"/>
      </w:r>
      <w:r>
        <w:t>).</w:t>
      </w:r>
    </w:p>
    <w:p w14:paraId="166DB02A" w14:textId="492C32C2" w:rsidR="00F87105" w:rsidRPr="00CC626B" w:rsidRDefault="00F87105" w:rsidP="00F87105">
      <w:r w:rsidRPr="005A05E3">
        <w:t xml:space="preserve">Water </w:t>
      </w:r>
      <w:r w:rsidRPr="005A05E3">
        <w:rPr>
          <w:vertAlign w:val="superscript"/>
        </w:rPr>
        <w:t>87</w:t>
      </w:r>
      <w:r w:rsidRPr="005A05E3">
        <w:t>Sr/</w:t>
      </w:r>
      <w:r w:rsidRPr="005A05E3">
        <w:rPr>
          <w:vertAlign w:val="superscript"/>
        </w:rPr>
        <w:t>86</w:t>
      </w:r>
      <w:r w:rsidRPr="005A05E3">
        <w:t xml:space="preserve">Sr in the </w:t>
      </w:r>
      <w:r w:rsidR="00822F79">
        <w:t xml:space="preserve">Murray River from </w:t>
      </w:r>
      <w:r w:rsidRPr="005A05E3">
        <w:t xml:space="preserve">Lock 9–Lock 1 was </w:t>
      </w:r>
      <w:r>
        <w:t>spatio-</w:t>
      </w:r>
      <w:r w:rsidRPr="005A05E3">
        <w:t xml:space="preserve">temporally variable, with water </w:t>
      </w:r>
      <w:r w:rsidRPr="005A05E3">
        <w:rPr>
          <w:vertAlign w:val="superscript"/>
        </w:rPr>
        <w:t>87</w:t>
      </w:r>
      <w:r w:rsidRPr="005A05E3">
        <w:t>Sr/</w:t>
      </w:r>
      <w:r w:rsidRPr="005A05E3">
        <w:rPr>
          <w:vertAlign w:val="superscript"/>
        </w:rPr>
        <w:t>86</w:t>
      </w:r>
      <w:r w:rsidRPr="005A05E3">
        <w:t>Sr generally decreasing and becoming more similar with greater contributions of Darling River flow</w:t>
      </w:r>
      <w:r>
        <w:t xml:space="preserve"> (e.g. 20</w:t>
      </w:r>
      <w:r w:rsidR="00044A45">
        <w:t>1</w:t>
      </w:r>
      <w:r>
        <w:t>1-12</w:t>
      </w:r>
      <w:r w:rsidR="000C5F6B">
        <w:t>, 2021-22</w:t>
      </w:r>
      <w:r>
        <w:t xml:space="preserve"> and 2022-23)</w:t>
      </w:r>
      <w:r w:rsidRPr="005A05E3">
        <w:t xml:space="preserve"> </w:t>
      </w:r>
      <w:r w:rsidRPr="00A76D5F">
        <w:t>(</w:t>
      </w:r>
      <w:r>
        <w:fldChar w:fldCharType="begin"/>
      </w:r>
      <w:r>
        <w:instrText xml:space="preserve"> REF _Ref16606571 \h </w:instrText>
      </w:r>
      <w:r>
        <w:fldChar w:fldCharType="separate"/>
      </w:r>
      <w:r w:rsidR="00102828">
        <w:t xml:space="preserve">Figure </w:t>
      </w:r>
      <w:r w:rsidR="00102828">
        <w:rPr>
          <w:noProof/>
        </w:rPr>
        <w:t>56</w:t>
      </w:r>
      <w:r>
        <w:fldChar w:fldCharType="end"/>
      </w:r>
      <w:r w:rsidRPr="00A76D5F">
        <w:t xml:space="preserve">b). </w:t>
      </w:r>
      <w:r>
        <w:t>In contrast</w:t>
      </w:r>
      <w:r w:rsidRPr="005A05E3">
        <w:t xml:space="preserve">, during </w:t>
      </w:r>
      <w:r w:rsidRPr="005A05E3">
        <w:lastRenderedPageBreak/>
        <w:t>years of negligible Darling River flow (i.e. 20</w:t>
      </w:r>
      <w:r w:rsidR="0006253E">
        <w:t>18</w:t>
      </w:r>
      <w:r>
        <w:t>-</w:t>
      </w:r>
      <w:r w:rsidR="0006253E">
        <w:t>19</w:t>
      </w:r>
      <w:r w:rsidRPr="005A05E3">
        <w:t xml:space="preserve">), variation in water </w:t>
      </w:r>
      <w:r w:rsidRPr="005A05E3">
        <w:rPr>
          <w:vertAlign w:val="superscript"/>
        </w:rPr>
        <w:t>87</w:t>
      </w:r>
      <w:r w:rsidRPr="005A05E3">
        <w:t>Sr/</w:t>
      </w:r>
      <w:r w:rsidRPr="005A05E3">
        <w:rPr>
          <w:vertAlign w:val="superscript"/>
        </w:rPr>
        <w:t>86</w:t>
      </w:r>
      <w:r w:rsidRPr="005A05E3">
        <w:t xml:space="preserve">Sr across </w:t>
      </w:r>
      <w:r>
        <w:t xml:space="preserve">sites in the LMR </w:t>
      </w:r>
      <w:r w:rsidRPr="005A05E3">
        <w:t xml:space="preserve">increased, while water </w:t>
      </w:r>
      <w:r w:rsidRPr="005A05E3">
        <w:rPr>
          <w:vertAlign w:val="superscript"/>
        </w:rPr>
        <w:t>87</w:t>
      </w:r>
      <w:r w:rsidRPr="005A05E3">
        <w:t>Sr/</w:t>
      </w:r>
      <w:r w:rsidRPr="005A05E3">
        <w:rPr>
          <w:vertAlign w:val="superscript"/>
        </w:rPr>
        <w:t>86</w:t>
      </w:r>
      <w:r w:rsidRPr="005A05E3">
        <w:t xml:space="preserve">Sr at Lock 9 was similar to water </w:t>
      </w:r>
      <w:r w:rsidRPr="005A05E3">
        <w:rPr>
          <w:vertAlign w:val="superscript"/>
        </w:rPr>
        <w:t>87</w:t>
      </w:r>
      <w:r w:rsidRPr="005A05E3">
        <w:t>Sr/</w:t>
      </w:r>
      <w:r w:rsidRPr="005A05E3">
        <w:rPr>
          <w:vertAlign w:val="superscript"/>
        </w:rPr>
        <w:t>86</w:t>
      </w:r>
      <w:r w:rsidRPr="005A05E3">
        <w:t>Sr at Lock 11 in the mid-Murray River.</w:t>
      </w:r>
      <w:r>
        <w:t xml:space="preserve"> </w:t>
      </w:r>
    </w:p>
    <w:p w14:paraId="090BF99A" w14:textId="77777777" w:rsidR="00F87105" w:rsidRPr="00B47281" w:rsidRDefault="00F87105" w:rsidP="00F87105">
      <w:pPr>
        <w:spacing w:before="0" w:after="200"/>
        <w:jc w:val="center"/>
      </w:pPr>
      <w:r>
        <w:rPr>
          <w:noProof/>
        </w:rPr>
        <w:drawing>
          <wp:inline distT="0" distB="0" distL="0" distR="0" wp14:anchorId="5D97E43C" wp14:editId="245CF481">
            <wp:extent cx="5015753" cy="7060196"/>
            <wp:effectExtent l="0" t="0" r="0" b="7620"/>
            <wp:docPr id="193140535" name="Picture 1" descr="A graph of mean 87Sr/86Sr in water samples in the Murray and Darling rivers. A graph of annual discharge in the Murray River at the SA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40535" name="Picture 1" descr="A graph of mean 87Sr/86Sr in water samples in the Murray and Darling rivers. A graph of annual discharge in the Murray River at the SA border."/>
                    <pic:cNvPicPr/>
                  </pic:nvPicPr>
                  <pic:blipFill rotWithShape="1">
                    <a:blip r:embed="rId125" cstate="print">
                      <a:extLst>
                        <a:ext uri="{28A0092B-C50C-407E-A947-70E740481C1C}">
                          <a14:useLocalDpi xmlns:a14="http://schemas.microsoft.com/office/drawing/2010/main" val="0"/>
                        </a:ext>
                      </a:extLst>
                    </a:blip>
                    <a:srcRect l="8347" t="4635" r="3338" b="1250"/>
                    <a:stretch/>
                  </pic:blipFill>
                  <pic:spPr bwMode="auto">
                    <a:xfrm>
                      <a:off x="0" y="0"/>
                      <a:ext cx="5039101" cy="7093061"/>
                    </a:xfrm>
                    <a:prstGeom prst="rect">
                      <a:avLst/>
                    </a:prstGeom>
                    <a:ln>
                      <a:noFill/>
                    </a:ln>
                    <a:extLst>
                      <a:ext uri="{53640926-AAD7-44D8-BBD7-CCE9431645EC}">
                        <a14:shadowObscured xmlns:a14="http://schemas.microsoft.com/office/drawing/2010/main"/>
                      </a:ext>
                    </a:extLst>
                  </pic:spPr>
                </pic:pic>
              </a:graphicData>
            </a:graphic>
          </wp:inline>
        </w:drawing>
      </w:r>
    </w:p>
    <w:p w14:paraId="2B734138" w14:textId="19D2A957" w:rsidR="00F87105" w:rsidRDefault="00F87105" w:rsidP="00605FB2">
      <w:pPr>
        <w:pStyle w:val="Captions"/>
      </w:pPr>
      <w:bookmarkStart w:id="443" w:name="_Ref16606571"/>
      <w:bookmarkStart w:id="444" w:name="_Toc37775578"/>
      <w:bookmarkStart w:id="445" w:name="_Toc200464507"/>
      <w:r>
        <w:t xml:space="preserve">Figure </w:t>
      </w:r>
      <w:r>
        <w:rPr>
          <w:noProof/>
        </w:rPr>
        <w:fldChar w:fldCharType="begin"/>
      </w:r>
      <w:r>
        <w:rPr>
          <w:noProof/>
        </w:rPr>
        <w:instrText xml:space="preserve"> SEQ Figure \* ARABIC </w:instrText>
      </w:r>
      <w:r>
        <w:rPr>
          <w:noProof/>
        </w:rPr>
        <w:fldChar w:fldCharType="separate"/>
      </w:r>
      <w:r w:rsidR="00102828">
        <w:rPr>
          <w:noProof/>
        </w:rPr>
        <w:t>56</w:t>
      </w:r>
      <w:r>
        <w:rPr>
          <w:noProof/>
        </w:rPr>
        <w:fldChar w:fldCharType="end"/>
      </w:r>
      <w:bookmarkEnd w:id="443"/>
      <w:r w:rsidRPr="00B47281">
        <w:t xml:space="preserve">. (a) Mean </w:t>
      </w:r>
      <w:r w:rsidRPr="00B47281">
        <w:rPr>
          <w:vertAlign w:val="superscript"/>
        </w:rPr>
        <w:t>87</w:t>
      </w:r>
      <w:r w:rsidRPr="00B47281">
        <w:t>Sr/</w:t>
      </w:r>
      <w:r w:rsidRPr="00B47281">
        <w:rPr>
          <w:vertAlign w:val="superscript"/>
        </w:rPr>
        <w:t>86</w:t>
      </w:r>
      <w:r w:rsidRPr="00B47281">
        <w:t>Sr (with minimum and maximum values as error bars) in wate</w:t>
      </w:r>
      <w:r>
        <w:t>r samples collected from spring–</w:t>
      </w:r>
      <w:r w:rsidRPr="00B47281">
        <w:t>summer in the Murray (Barmah, Torrumbarry and Lock</w:t>
      </w:r>
      <w:r w:rsidR="00324402">
        <w:t>s</w:t>
      </w:r>
      <w:r w:rsidRPr="00B47281">
        <w:t xml:space="preserve"> 11, </w:t>
      </w:r>
      <w:r>
        <w:t xml:space="preserve"> 9, 6 and 1) and Darling r</w:t>
      </w:r>
      <w:r w:rsidRPr="00B47281">
        <w:t>ivers from 2011</w:t>
      </w:r>
      <w:r>
        <w:t>–</w:t>
      </w:r>
      <w:r w:rsidRPr="00B47281">
        <w:t>20</w:t>
      </w:r>
      <w:r>
        <w:t>24</w:t>
      </w:r>
      <w:r w:rsidRPr="00B47281">
        <w:t>, and (b) annual discharge (GL) in the Murray River at the South Australian border (QSA) and the proportion of discharge from the Darling River at Burtundy that contributed to QSA.</w:t>
      </w:r>
      <w:bookmarkEnd w:id="444"/>
      <w:bookmarkEnd w:id="445"/>
    </w:p>
    <w:p w14:paraId="7F99C4A0" w14:textId="77777777" w:rsidR="00F87105" w:rsidRPr="00BB0758" w:rsidRDefault="00F87105" w:rsidP="00F87105">
      <w:pPr>
        <w:rPr>
          <w:i/>
          <w:iCs/>
          <w:u w:val="single"/>
        </w:rPr>
      </w:pPr>
      <w:bookmarkStart w:id="446" w:name="_Hlk187234343"/>
      <w:r w:rsidRPr="00BB0758">
        <w:rPr>
          <w:i/>
          <w:iCs/>
          <w:u w:val="single"/>
        </w:rPr>
        <w:lastRenderedPageBreak/>
        <w:t>Larvae and eggs</w:t>
      </w:r>
    </w:p>
    <w:bookmarkEnd w:id="446"/>
    <w:p w14:paraId="491932AC" w14:textId="77777777" w:rsidR="00F87105" w:rsidRPr="00810A0F" w:rsidRDefault="00F87105" w:rsidP="00F87105">
      <w:pPr>
        <w:rPr>
          <w:i/>
        </w:rPr>
      </w:pPr>
      <w:r w:rsidRPr="00BB0758">
        <w:rPr>
          <w:i/>
        </w:rPr>
        <w:t>Abundance</w:t>
      </w:r>
    </w:p>
    <w:p w14:paraId="66B9D6C2" w14:textId="37CBB117" w:rsidR="00F87105" w:rsidRPr="00AA2B3B" w:rsidRDefault="00F87105" w:rsidP="00F87105">
      <w:pPr>
        <w:rPr>
          <w:iCs/>
        </w:rPr>
      </w:pPr>
      <w:r w:rsidRPr="00AA2B3B">
        <w:rPr>
          <w:iCs/>
        </w:rPr>
        <w:t xml:space="preserve">Catch-per-unit-effort (CPUE) of larvae and eggs was temporally variable from 2010–2024. </w:t>
      </w:r>
      <w:r>
        <w:rPr>
          <w:iCs/>
        </w:rPr>
        <w:t>No sampling was conducted in 2019-20 and there were no larvae sampled in 202</w:t>
      </w:r>
      <w:r w:rsidR="00FD3673">
        <w:rPr>
          <w:iCs/>
        </w:rPr>
        <w:t>2</w:t>
      </w:r>
      <w:r>
        <w:rPr>
          <w:iCs/>
        </w:rPr>
        <w:t>-2</w:t>
      </w:r>
      <w:r w:rsidR="00FD3673">
        <w:rPr>
          <w:iCs/>
        </w:rPr>
        <w:t>3</w:t>
      </w:r>
      <w:r>
        <w:rPr>
          <w:iCs/>
        </w:rPr>
        <w:t xml:space="preserve">, despite eggs being present. </w:t>
      </w:r>
      <w:r w:rsidRPr="00AA2B3B">
        <w:rPr>
          <w:iCs/>
        </w:rPr>
        <w:t>High egg abundances (&gt;7 ind./net/trip) from 2010–2014, 2016-17 and 2020–2024 were associated with years of elevated flow (</w:t>
      </w:r>
      <w:r w:rsidRPr="00AA2B3B">
        <w:rPr>
          <w:iCs/>
        </w:rPr>
        <w:fldChar w:fldCharType="begin"/>
      </w:r>
      <w:r w:rsidRPr="00AA2B3B">
        <w:rPr>
          <w:iCs/>
        </w:rPr>
        <w:instrText xml:space="preserve"> REF _Ref1376668 \h  \* MERGEFORMAT </w:instrText>
      </w:r>
      <w:r w:rsidRPr="00AA2B3B">
        <w:rPr>
          <w:iCs/>
        </w:rPr>
      </w:r>
      <w:r w:rsidRPr="00AA2B3B">
        <w:rPr>
          <w:iCs/>
        </w:rPr>
        <w:fldChar w:fldCharType="separate"/>
      </w:r>
      <w:r w:rsidR="00102828">
        <w:t xml:space="preserve">Figure </w:t>
      </w:r>
      <w:r w:rsidR="00102828">
        <w:rPr>
          <w:noProof/>
        </w:rPr>
        <w:t>57</w:t>
      </w:r>
      <w:r w:rsidRPr="00AA2B3B">
        <w:rPr>
          <w:iCs/>
        </w:rPr>
        <w:fldChar w:fldCharType="end"/>
      </w:r>
      <w:r w:rsidRPr="00AA2B3B">
        <w:rPr>
          <w:iCs/>
        </w:rPr>
        <w:t>a,</w:t>
      </w:r>
      <w:r w:rsidR="003C65C9">
        <w:rPr>
          <w:iCs/>
        </w:rPr>
        <w:t xml:space="preserve"> </w:t>
      </w:r>
      <w:r w:rsidRPr="00AA2B3B">
        <w:rPr>
          <w:iCs/>
        </w:rPr>
        <w:t xml:space="preserve">b). </w:t>
      </w:r>
      <w:r>
        <w:rPr>
          <w:iCs/>
        </w:rPr>
        <w:t xml:space="preserve">Generally, </w:t>
      </w:r>
      <w:r w:rsidRPr="00AA2B3B">
        <w:rPr>
          <w:iCs/>
        </w:rPr>
        <w:t xml:space="preserve">egg abundance did not </w:t>
      </w:r>
      <w:r>
        <w:rPr>
          <w:iCs/>
        </w:rPr>
        <w:t>reflect</w:t>
      </w:r>
      <w:r w:rsidRPr="00AA2B3B">
        <w:rPr>
          <w:iCs/>
        </w:rPr>
        <w:t xml:space="preserve"> larval abundances, </w:t>
      </w:r>
      <w:r>
        <w:rPr>
          <w:iCs/>
        </w:rPr>
        <w:t xml:space="preserve">although </w:t>
      </w:r>
      <w:r w:rsidRPr="00AA2B3B">
        <w:rPr>
          <w:iCs/>
        </w:rPr>
        <w:t>low</w:t>
      </w:r>
      <w:r w:rsidR="00200D1A">
        <w:rPr>
          <w:iCs/>
        </w:rPr>
        <w:t>er</w:t>
      </w:r>
      <w:r w:rsidRPr="00AA2B3B">
        <w:rPr>
          <w:iCs/>
        </w:rPr>
        <w:t xml:space="preserve"> abundances of eggs (&lt;5 ind./net/trip) from 2014–2016 and 2017–2019 were associated with low abundances of golden perch and silver perch larvae (</w:t>
      </w:r>
      <w:r w:rsidRPr="00AA2B3B">
        <w:rPr>
          <w:iCs/>
        </w:rPr>
        <w:fldChar w:fldCharType="begin"/>
      </w:r>
      <w:r w:rsidRPr="00AA2B3B">
        <w:rPr>
          <w:iCs/>
        </w:rPr>
        <w:instrText xml:space="preserve"> REF _Ref1376668 \h  \* MERGEFORMAT </w:instrText>
      </w:r>
      <w:r w:rsidRPr="00AA2B3B">
        <w:rPr>
          <w:iCs/>
        </w:rPr>
      </w:r>
      <w:r w:rsidRPr="00AA2B3B">
        <w:rPr>
          <w:iCs/>
        </w:rPr>
        <w:fldChar w:fldCharType="separate"/>
      </w:r>
      <w:r w:rsidR="00102828">
        <w:t xml:space="preserve">Figure </w:t>
      </w:r>
      <w:r w:rsidR="00102828">
        <w:rPr>
          <w:noProof/>
        </w:rPr>
        <w:t>57</w:t>
      </w:r>
      <w:r w:rsidRPr="00AA2B3B">
        <w:rPr>
          <w:iCs/>
        </w:rPr>
        <w:fldChar w:fldCharType="end"/>
      </w:r>
      <w:r w:rsidRPr="00AA2B3B">
        <w:rPr>
          <w:iCs/>
        </w:rPr>
        <w:t>). Perch eggs (golden or silver perch) were not differentiated from other eggs prior to 2015-16. Nevertheless, total egg abundance is considered indicative of perch egg abundance because they formed the majority (97%) of the sampled pelagic fish egg community from 2015-16–2018-19.</w:t>
      </w:r>
    </w:p>
    <w:p w14:paraId="0270CE5C" w14:textId="0CA99D3F" w:rsidR="00F87105" w:rsidRPr="006636A7" w:rsidRDefault="00F87105" w:rsidP="00F87105">
      <w:pPr>
        <w:rPr>
          <w:iCs/>
        </w:rPr>
      </w:pPr>
      <w:r w:rsidRPr="00AA2B3B">
        <w:rPr>
          <w:iCs/>
        </w:rPr>
        <w:t>Abundance of golden perch larvae was relatively high (&gt;0.</w:t>
      </w:r>
      <w:r w:rsidR="009B34FC">
        <w:rPr>
          <w:iCs/>
        </w:rPr>
        <w:t>7</w:t>
      </w:r>
      <w:r w:rsidRPr="00AA2B3B">
        <w:rPr>
          <w:iCs/>
        </w:rPr>
        <w:t xml:space="preserve"> ind./net/trip) from 2010–2014 and in 2021-22, peaking in 2011-12 (6.</w:t>
      </w:r>
      <w:r w:rsidR="00200D1A">
        <w:rPr>
          <w:iCs/>
        </w:rPr>
        <w:t>4</w:t>
      </w:r>
      <w:r w:rsidRPr="00AA2B3B">
        <w:rPr>
          <w:iCs/>
        </w:rPr>
        <w:t xml:space="preserve"> ± 4.2 ind./net/trip) (</w:t>
      </w:r>
      <w:r w:rsidRPr="00AA2B3B">
        <w:rPr>
          <w:iCs/>
        </w:rPr>
        <w:fldChar w:fldCharType="begin"/>
      </w:r>
      <w:r w:rsidRPr="00AA2B3B">
        <w:rPr>
          <w:iCs/>
        </w:rPr>
        <w:instrText xml:space="preserve"> REF _Ref1376668 \h  \* MERGEFORMAT </w:instrText>
      </w:r>
      <w:r w:rsidRPr="00AA2B3B">
        <w:rPr>
          <w:iCs/>
        </w:rPr>
      </w:r>
      <w:r w:rsidRPr="00AA2B3B">
        <w:rPr>
          <w:iCs/>
        </w:rPr>
        <w:fldChar w:fldCharType="separate"/>
      </w:r>
      <w:r w:rsidR="00102828">
        <w:t xml:space="preserve">Figure </w:t>
      </w:r>
      <w:r w:rsidR="00102828">
        <w:rPr>
          <w:noProof/>
        </w:rPr>
        <w:t>57</w:t>
      </w:r>
      <w:r w:rsidRPr="00AA2B3B">
        <w:rPr>
          <w:iCs/>
        </w:rPr>
        <w:fldChar w:fldCharType="end"/>
      </w:r>
      <w:r w:rsidRPr="00AA2B3B">
        <w:rPr>
          <w:iCs/>
        </w:rPr>
        <w:t>). In contrast, abundance was consistently low (&lt;</w:t>
      </w:r>
      <w:r w:rsidR="009B34FC">
        <w:rPr>
          <w:iCs/>
        </w:rPr>
        <w:t>0.3</w:t>
      </w:r>
      <w:r w:rsidRPr="00AA2B3B">
        <w:rPr>
          <w:iCs/>
        </w:rPr>
        <w:t xml:space="preserve"> ind./net/trip) from 2014–2021 and in 2022</w:t>
      </w:r>
      <w:r w:rsidR="00052C42">
        <w:rPr>
          <w:iCs/>
        </w:rPr>
        <w:t>–20</w:t>
      </w:r>
      <w:r w:rsidRPr="00AA2B3B">
        <w:rPr>
          <w:iCs/>
        </w:rPr>
        <w:t>2</w:t>
      </w:r>
      <w:r w:rsidR="00052C42">
        <w:rPr>
          <w:iCs/>
        </w:rPr>
        <w:t>4</w:t>
      </w:r>
      <w:r w:rsidRPr="00AA2B3B">
        <w:rPr>
          <w:iCs/>
        </w:rPr>
        <w:t xml:space="preserve">. </w:t>
      </w:r>
      <w:r w:rsidR="009B34FC">
        <w:rPr>
          <w:iCs/>
        </w:rPr>
        <w:t>Higher a</w:t>
      </w:r>
      <w:r w:rsidRPr="00AA2B3B">
        <w:rPr>
          <w:iCs/>
        </w:rPr>
        <w:t xml:space="preserve">bundance </w:t>
      </w:r>
      <w:r w:rsidR="009B34FC" w:rsidRPr="00AA2B3B">
        <w:rPr>
          <w:iCs/>
        </w:rPr>
        <w:t>(&gt;0.</w:t>
      </w:r>
      <w:r w:rsidR="009B34FC">
        <w:rPr>
          <w:iCs/>
        </w:rPr>
        <w:t>6</w:t>
      </w:r>
      <w:r w:rsidR="009B34FC" w:rsidRPr="00AA2B3B">
        <w:rPr>
          <w:iCs/>
        </w:rPr>
        <w:t xml:space="preserve"> ind./net/trip) </w:t>
      </w:r>
      <w:r w:rsidRPr="00AA2B3B">
        <w:rPr>
          <w:iCs/>
        </w:rPr>
        <w:t xml:space="preserve">of silver perch larvae </w:t>
      </w:r>
      <w:r w:rsidR="009B34FC">
        <w:rPr>
          <w:iCs/>
        </w:rPr>
        <w:t>occurred</w:t>
      </w:r>
      <w:r w:rsidRPr="00AA2B3B">
        <w:rPr>
          <w:iCs/>
        </w:rPr>
        <w:t xml:space="preserve"> in 2020–2022.</w:t>
      </w:r>
      <w:r>
        <w:rPr>
          <w:iCs/>
        </w:rPr>
        <w:t xml:space="preserve"> </w:t>
      </w:r>
    </w:p>
    <w:p w14:paraId="3CA958E4" w14:textId="77777777" w:rsidR="00F87105" w:rsidRPr="003E45CF" w:rsidRDefault="00F87105" w:rsidP="00F87105">
      <w:pPr>
        <w:rPr>
          <w:i/>
        </w:rPr>
      </w:pPr>
      <w:r w:rsidRPr="003E45CF">
        <w:rPr>
          <w:i/>
        </w:rPr>
        <w:t>Spawn date and origin</w:t>
      </w:r>
    </w:p>
    <w:p w14:paraId="47C408E2" w14:textId="535750FE" w:rsidR="00F87105" w:rsidRPr="006543B3" w:rsidRDefault="00F87105" w:rsidP="00F87105">
      <w:r w:rsidRPr="003E45CF">
        <w:t>Ages of</w:t>
      </w:r>
      <w:r>
        <w:t xml:space="preserve"> golden perch</w:t>
      </w:r>
      <w:r w:rsidRPr="003E45CF">
        <w:t xml:space="preserve"> larvae collected in the LMR </w:t>
      </w:r>
      <w:r>
        <w:t>from 2014–</w:t>
      </w:r>
      <w:r w:rsidRPr="003E45CF">
        <w:t xml:space="preserve">2024 </w:t>
      </w:r>
      <w:r w:rsidRPr="00D45F04">
        <w:t xml:space="preserve">ranged </w:t>
      </w:r>
      <w:r w:rsidR="003C65C9">
        <w:t xml:space="preserve">from </w:t>
      </w:r>
      <w:r w:rsidRPr="00D45F04">
        <w:t>2–42 days</w:t>
      </w:r>
      <w:r w:rsidR="003C65C9">
        <w:t xml:space="preserve"> old</w:t>
      </w:r>
      <w:r w:rsidRPr="00D45F04">
        <w:t xml:space="preserve">, </w:t>
      </w:r>
      <w:r w:rsidRPr="003E45CF">
        <w:t xml:space="preserve">corresponding to </w:t>
      </w:r>
      <w:r w:rsidRPr="006543B3">
        <w:t>spawn dates between 26</w:t>
      </w:r>
      <w:r w:rsidRPr="006543B3">
        <w:rPr>
          <w:vertAlign w:val="superscript"/>
        </w:rPr>
        <w:t xml:space="preserve"> </w:t>
      </w:r>
      <w:r w:rsidRPr="006543B3">
        <w:t>September and 7 January (</w:t>
      </w:r>
      <w:r w:rsidRPr="006543B3">
        <w:fldChar w:fldCharType="begin"/>
      </w:r>
      <w:r w:rsidRPr="006543B3">
        <w:instrText xml:space="preserve"> REF _Ref30777794 \h  \* MERGEFORMAT </w:instrText>
      </w:r>
      <w:r w:rsidRPr="006543B3">
        <w:fldChar w:fldCharType="separate"/>
      </w:r>
      <w:r w:rsidR="00102828" w:rsidRPr="00947E4F">
        <w:t xml:space="preserve">Figure </w:t>
      </w:r>
      <w:r w:rsidR="00102828">
        <w:rPr>
          <w:noProof/>
        </w:rPr>
        <w:t>58</w:t>
      </w:r>
      <w:r w:rsidRPr="006543B3">
        <w:fldChar w:fldCharType="end"/>
      </w:r>
      <w:r w:rsidRPr="006543B3">
        <w:t>). Most golden perch larvae collected across the ten-year period originated from spawning that occurred in association with flow pulses (peaks ≥</w:t>
      </w:r>
      <w:r>
        <w:t>2</w:t>
      </w:r>
      <w:r w:rsidRPr="006543B3">
        <w:t>0,000 ML/d) and water temperatures ≥20ºC</w:t>
      </w:r>
      <w:r>
        <w:t xml:space="preserve"> (e.g. 2016-17, 2021-22 and 2023-24)</w:t>
      </w:r>
      <w:r w:rsidRPr="006543B3">
        <w:t>.</w:t>
      </w:r>
      <w:r>
        <w:t xml:space="preserve"> </w:t>
      </w:r>
      <w:r w:rsidRPr="006543B3">
        <w:t xml:space="preserve">Ages of silver perch larvae collected in the LMR from 2014–2024 ranged </w:t>
      </w:r>
      <w:r w:rsidR="003C65C9">
        <w:t xml:space="preserve">from </w:t>
      </w:r>
      <w:r w:rsidRPr="006543B3">
        <w:t>2–47 days</w:t>
      </w:r>
      <w:r w:rsidR="003C65C9">
        <w:t xml:space="preserve"> old</w:t>
      </w:r>
      <w:r w:rsidRPr="006543B3">
        <w:t>, corresponding to spawn dates between 14 October and 17 January (</w:t>
      </w:r>
      <w:r w:rsidRPr="006543B3">
        <w:fldChar w:fldCharType="begin"/>
      </w:r>
      <w:r w:rsidRPr="006543B3">
        <w:instrText xml:space="preserve"> REF _Ref30777794 \h  \* MERGEFORMAT </w:instrText>
      </w:r>
      <w:r w:rsidRPr="006543B3">
        <w:fldChar w:fldCharType="separate"/>
      </w:r>
      <w:r w:rsidR="00102828" w:rsidRPr="00947E4F">
        <w:t xml:space="preserve">Figure </w:t>
      </w:r>
      <w:r w:rsidR="00102828">
        <w:rPr>
          <w:noProof/>
        </w:rPr>
        <w:t>58</w:t>
      </w:r>
      <w:r w:rsidRPr="006543B3">
        <w:fldChar w:fldCharType="end"/>
      </w:r>
      <w:r w:rsidRPr="006543B3">
        <w:t>). Most silver perch larvae originated from spawning that occurred between mid-November and mid-January, in association with flow pulses (peaks ≥10,000 ML/d) and water temperatures ≥20ºC</w:t>
      </w:r>
      <w:r>
        <w:t xml:space="preserve"> (e.g. 2020–2022 and 2023-24)</w:t>
      </w:r>
      <w:r w:rsidRPr="006543B3">
        <w:t>.</w:t>
      </w:r>
      <w:r>
        <w:t xml:space="preserve"> The timing of higher egg abundances, an indicator of local spawning, generally aligned with peak spawn dates of golden perch and/or silver perch </w:t>
      </w:r>
      <w:r w:rsidRPr="006543B3">
        <w:t>(</w:t>
      </w:r>
      <w:r w:rsidRPr="006543B3">
        <w:fldChar w:fldCharType="begin"/>
      </w:r>
      <w:r w:rsidRPr="006543B3">
        <w:instrText xml:space="preserve"> REF _Ref30777794 \h  \* MERGEFORMAT </w:instrText>
      </w:r>
      <w:r w:rsidRPr="006543B3">
        <w:fldChar w:fldCharType="separate"/>
      </w:r>
      <w:r w:rsidR="00102828" w:rsidRPr="00947E4F">
        <w:t xml:space="preserve">Figure </w:t>
      </w:r>
      <w:r w:rsidR="00102828">
        <w:rPr>
          <w:noProof/>
        </w:rPr>
        <w:t>58</w:t>
      </w:r>
      <w:r w:rsidRPr="006543B3">
        <w:fldChar w:fldCharType="end"/>
      </w:r>
      <w:r w:rsidRPr="006543B3">
        <w:t>)</w:t>
      </w:r>
      <w:r>
        <w:t xml:space="preserve">. </w:t>
      </w:r>
    </w:p>
    <w:p w14:paraId="46959FB7" w14:textId="48F9747F" w:rsidR="00F87105" w:rsidRDefault="00F87105" w:rsidP="00F87105">
      <w:r w:rsidRPr="00255854">
        <w:t xml:space="preserve">Golden perch larvae collected from 2014–2024 </w:t>
      </w:r>
      <w:r w:rsidRPr="00775289">
        <w:t xml:space="preserve">exhibited otolith core </w:t>
      </w:r>
      <w:r w:rsidRPr="00255854">
        <w:rPr>
          <w:vertAlign w:val="superscript"/>
        </w:rPr>
        <w:t>87</w:t>
      </w:r>
      <w:r w:rsidRPr="00255854">
        <w:t>Sr/</w:t>
      </w:r>
      <w:r w:rsidRPr="00255854">
        <w:rPr>
          <w:vertAlign w:val="superscript"/>
        </w:rPr>
        <w:t>86</w:t>
      </w:r>
      <w:r w:rsidRPr="00255854">
        <w:t xml:space="preserve">Sr </w:t>
      </w:r>
      <w:r>
        <w:t>indicative of</w:t>
      </w:r>
      <w:r w:rsidRPr="00775289">
        <w:t xml:space="preserve"> Murray River downstream of the Darling River junction</w:t>
      </w:r>
      <w:r w:rsidR="00692953">
        <w:t xml:space="preserve"> (here</w:t>
      </w:r>
      <w:r w:rsidR="00524EAB">
        <w:t>in</w:t>
      </w:r>
      <w:r w:rsidR="00692953">
        <w:t>, lower River Murray</w:t>
      </w:r>
      <w:r w:rsidRPr="00775289">
        <w:t>)</w:t>
      </w:r>
      <w:r>
        <w:t xml:space="preserve">, </w:t>
      </w:r>
      <w:r w:rsidRPr="00775289">
        <w:t>Mid-Murray River (Murray River upstream of the Darling River junction)</w:t>
      </w:r>
      <w:r>
        <w:t xml:space="preserve"> and Darling River natal origins </w:t>
      </w:r>
      <w:r w:rsidRPr="00255854">
        <w:t>(</w:t>
      </w:r>
      <w:r>
        <w:fldChar w:fldCharType="begin"/>
      </w:r>
      <w:r>
        <w:instrText xml:space="preserve"> REF _Ref16606571 \h </w:instrText>
      </w:r>
      <w:r>
        <w:fldChar w:fldCharType="separate"/>
      </w:r>
      <w:r w:rsidR="00102828">
        <w:t xml:space="preserve">Figure </w:t>
      </w:r>
      <w:r w:rsidR="00102828">
        <w:rPr>
          <w:noProof/>
        </w:rPr>
        <w:t>56</w:t>
      </w:r>
      <w:r>
        <w:fldChar w:fldCharType="end"/>
      </w:r>
      <w:r>
        <w:t xml:space="preserve">; </w:t>
      </w:r>
      <w:r w:rsidRPr="00255854">
        <w:rPr>
          <w:iCs/>
        </w:rPr>
        <w:fldChar w:fldCharType="begin"/>
      </w:r>
      <w:r w:rsidRPr="00255854">
        <w:rPr>
          <w:iCs/>
        </w:rPr>
        <w:instrText xml:space="preserve"> REF _Ref1376668 \h  \* MERGEFORMAT </w:instrText>
      </w:r>
      <w:r w:rsidRPr="00255854">
        <w:rPr>
          <w:iCs/>
        </w:rPr>
      </w:r>
      <w:r w:rsidRPr="00255854">
        <w:rPr>
          <w:iCs/>
        </w:rPr>
        <w:fldChar w:fldCharType="separate"/>
      </w:r>
      <w:r w:rsidR="00102828">
        <w:t xml:space="preserve">Figure </w:t>
      </w:r>
      <w:r w:rsidR="00102828">
        <w:rPr>
          <w:noProof/>
        </w:rPr>
        <w:t>57</w:t>
      </w:r>
      <w:r w:rsidRPr="00255854">
        <w:rPr>
          <w:iCs/>
        </w:rPr>
        <w:fldChar w:fldCharType="end"/>
      </w:r>
      <w:r w:rsidRPr="00255854">
        <w:t>).</w:t>
      </w:r>
      <w:r>
        <w:t xml:space="preserve"> Golden perch </w:t>
      </w:r>
      <w:r w:rsidRPr="00255854">
        <w:t xml:space="preserve">predominantly exhibited otolith core </w:t>
      </w:r>
      <w:r w:rsidRPr="00255854">
        <w:rPr>
          <w:vertAlign w:val="superscript"/>
        </w:rPr>
        <w:t>87</w:t>
      </w:r>
      <w:r w:rsidRPr="00255854">
        <w:t>Sr/</w:t>
      </w:r>
      <w:r w:rsidRPr="00255854">
        <w:rPr>
          <w:vertAlign w:val="superscript"/>
        </w:rPr>
        <w:t>86</w:t>
      </w:r>
      <w:r w:rsidRPr="00255854">
        <w:t xml:space="preserve">Sr comparable to water </w:t>
      </w:r>
      <w:r w:rsidRPr="00255854">
        <w:rPr>
          <w:vertAlign w:val="superscript"/>
        </w:rPr>
        <w:t>87</w:t>
      </w:r>
      <w:r w:rsidRPr="00255854">
        <w:t>Sr/</w:t>
      </w:r>
      <w:r w:rsidRPr="00255854">
        <w:rPr>
          <w:vertAlign w:val="superscript"/>
        </w:rPr>
        <w:t>86</w:t>
      </w:r>
      <w:r w:rsidRPr="00255854">
        <w:t>Sr in the lower River Murray</w:t>
      </w:r>
      <w:r>
        <w:t xml:space="preserve">. </w:t>
      </w:r>
      <w:r w:rsidRPr="00255854">
        <w:t xml:space="preserve">However, during </w:t>
      </w:r>
      <w:r>
        <w:t>years when</w:t>
      </w:r>
      <w:r w:rsidRPr="00255854">
        <w:t xml:space="preserve"> Darling River </w:t>
      </w:r>
      <w:r>
        <w:t>flow comprised a greater proportion (or something like this)</w:t>
      </w:r>
      <w:r w:rsidRPr="00255854">
        <w:t xml:space="preserve"> </w:t>
      </w:r>
      <w:r>
        <w:t>of River Murray flow to</w:t>
      </w:r>
      <w:r w:rsidRPr="00255854">
        <w:t xml:space="preserve"> South Australia </w:t>
      </w:r>
      <w:r>
        <w:t xml:space="preserve">(i.e. </w:t>
      </w:r>
      <w:r w:rsidRPr="00255854">
        <w:t>2016-17</w:t>
      </w:r>
      <w:r>
        <w:t xml:space="preserve"> and </w:t>
      </w:r>
      <w:r w:rsidRPr="00255854">
        <w:t>2021-22</w:t>
      </w:r>
      <w:r>
        <w:t>)</w:t>
      </w:r>
      <w:r w:rsidRPr="00255854">
        <w:t xml:space="preserve">, a greater of proportion larvae exhibited otolith core </w:t>
      </w:r>
      <w:r w:rsidRPr="00255854">
        <w:rPr>
          <w:vertAlign w:val="superscript"/>
        </w:rPr>
        <w:t>87</w:t>
      </w:r>
      <w:r w:rsidRPr="00255854">
        <w:t>Sr/</w:t>
      </w:r>
      <w:r w:rsidRPr="00255854">
        <w:rPr>
          <w:vertAlign w:val="superscript"/>
        </w:rPr>
        <w:t>86</w:t>
      </w:r>
      <w:r w:rsidRPr="00255854">
        <w:t xml:space="preserve">Sr comparable to water </w:t>
      </w:r>
      <w:r w:rsidRPr="00255854">
        <w:rPr>
          <w:vertAlign w:val="superscript"/>
        </w:rPr>
        <w:t>87</w:t>
      </w:r>
      <w:r w:rsidRPr="00255854">
        <w:t>Sr/</w:t>
      </w:r>
      <w:r w:rsidRPr="00255854">
        <w:rPr>
          <w:vertAlign w:val="superscript"/>
        </w:rPr>
        <w:t>86</w:t>
      </w:r>
      <w:r w:rsidRPr="00255854">
        <w:t>Sr in the Darling River.</w:t>
      </w:r>
      <w:r>
        <w:t xml:space="preserve"> In contrast, silver perch larvae </w:t>
      </w:r>
      <w:r w:rsidRPr="00255854">
        <w:t xml:space="preserve">predominantly exhibited otolith core </w:t>
      </w:r>
      <w:r w:rsidRPr="00255854">
        <w:rPr>
          <w:vertAlign w:val="superscript"/>
        </w:rPr>
        <w:t>87</w:t>
      </w:r>
      <w:r w:rsidRPr="00255854">
        <w:t>Sr/</w:t>
      </w:r>
      <w:r w:rsidRPr="00255854">
        <w:rPr>
          <w:vertAlign w:val="superscript"/>
        </w:rPr>
        <w:t>86</w:t>
      </w:r>
      <w:r w:rsidRPr="00255854">
        <w:t xml:space="preserve">Sr comparable to water </w:t>
      </w:r>
      <w:r w:rsidRPr="00255854">
        <w:rPr>
          <w:vertAlign w:val="superscript"/>
        </w:rPr>
        <w:t>87</w:t>
      </w:r>
      <w:r w:rsidRPr="00255854">
        <w:t>Sr/</w:t>
      </w:r>
      <w:r w:rsidRPr="00255854">
        <w:rPr>
          <w:vertAlign w:val="superscript"/>
        </w:rPr>
        <w:t>86</w:t>
      </w:r>
      <w:r w:rsidRPr="00255854">
        <w:t xml:space="preserve">Sr in the </w:t>
      </w:r>
      <w:r>
        <w:t>Mid-</w:t>
      </w:r>
      <w:r w:rsidRPr="00255854">
        <w:t>Murray</w:t>
      </w:r>
      <w:r>
        <w:t xml:space="preserve"> River</w:t>
      </w:r>
      <w:r w:rsidRPr="00255854">
        <w:t xml:space="preserve"> </w:t>
      </w:r>
      <w:r>
        <w:t xml:space="preserve">and lower River Murray </w:t>
      </w:r>
      <w:r w:rsidRPr="00255854">
        <w:t>(</w:t>
      </w:r>
      <w:r>
        <w:fldChar w:fldCharType="begin"/>
      </w:r>
      <w:r>
        <w:instrText xml:space="preserve"> REF _Ref16606571 \h </w:instrText>
      </w:r>
      <w:r>
        <w:fldChar w:fldCharType="separate"/>
      </w:r>
      <w:r w:rsidR="00102828">
        <w:t xml:space="preserve">Figure </w:t>
      </w:r>
      <w:r w:rsidR="00102828">
        <w:rPr>
          <w:noProof/>
        </w:rPr>
        <w:t>56</w:t>
      </w:r>
      <w:r>
        <w:fldChar w:fldCharType="end"/>
      </w:r>
      <w:r>
        <w:t xml:space="preserve">; </w:t>
      </w:r>
      <w:r w:rsidRPr="00255854">
        <w:rPr>
          <w:iCs/>
        </w:rPr>
        <w:fldChar w:fldCharType="begin"/>
      </w:r>
      <w:r w:rsidRPr="00255854">
        <w:rPr>
          <w:iCs/>
        </w:rPr>
        <w:instrText xml:space="preserve"> REF _Ref1376668 \h  \* MERGEFORMAT </w:instrText>
      </w:r>
      <w:r w:rsidRPr="00255854">
        <w:rPr>
          <w:iCs/>
        </w:rPr>
      </w:r>
      <w:r w:rsidRPr="00255854">
        <w:rPr>
          <w:iCs/>
        </w:rPr>
        <w:fldChar w:fldCharType="separate"/>
      </w:r>
      <w:r w:rsidR="00102828">
        <w:t xml:space="preserve">Figure </w:t>
      </w:r>
      <w:r w:rsidR="00102828">
        <w:rPr>
          <w:noProof/>
        </w:rPr>
        <w:t>57</w:t>
      </w:r>
      <w:r w:rsidRPr="00255854">
        <w:rPr>
          <w:iCs/>
        </w:rPr>
        <w:fldChar w:fldCharType="end"/>
      </w:r>
      <w:r w:rsidRPr="00255854">
        <w:t>).</w:t>
      </w:r>
    </w:p>
    <w:p w14:paraId="751D129C" w14:textId="77777777" w:rsidR="00F87105" w:rsidRPr="00F172BD" w:rsidRDefault="00F87105" w:rsidP="00F87105">
      <w:pPr>
        <w:jc w:val="center"/>
      </w:pPr>
      <w:bookmarkStart w:id="447" w:name="_Ref24727877"/>
      <w:r>
        <w:rPr>
          <w:noProof/>
        </w:rPr>
        <w:lastRenderedPageBreak/>
        <w:drawing>
          <wp:inline distT="0" distB="0" distL="0" distR="0" wp14:anchorId="6C8E72A2" wp14:editId="074998FD">
            <wp:extent cx="5133975" cy="6328921"/>
            <wp:effectExtent l="0" t="0" r="0" b="0"/>
            <wp:docPr id="2123186262" name="Picture 1" descr="Graphs showing mean daily flow in the Murray River at the South Australian border and in the Darling River at Burtundy; and mean catch-per-unit-effort of fish eggs, silver perch larvae and golden perch larvae collected downstream of Locks 4, 6 and 1 from 2010–2024 during larval tow sampling. Natal origins of larvae are expressed as proportions in pie ch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86262" name="Picture 1" descr="Graphs showing mean daily flow in the Murray River at the South Australian border and in the Darling River at Burtundy; and mean catch-per-unit-effort of fish eggs, silver perch larvae and golden perch larvae collected downstream of Locks 4, 6 and 1 from 2010–2024 during larval tow sampling. Natal origins of larvae are expressed as proportions in pie charts."/>
                    <pic:cNvPicPr/>
                  </pic:nvPicPr>
                  <pic:blipFill rotWithShape="1">
                    <a:blip r:embed="rId126" cstate="print">
                      <a:extLst>
                        <a:ext uri="{28A0092B-C50C-407E-A947-70E740481C1C}">
                          <a14:useLocalDpi xmlns:a14="http://schemas.microsoft.com/office/drawing/2010/main" val="0"/>
                        </a:ext>
                      </a:extLst>
                    </a:blip>
                    <a:srcRect t="1668" r="4609"/>
                    <a:stretch/>
                  </pic:blipFill>
                  <pic:spPr bwMode="auto">
                    <a:xfrm>
                      <a:off x="0" y="0"/>
                      <a:ext cx="5136991" cy="6332639"/>
                    </a:xfrm>
                    <a:prstGeom prst="rect">
                      <a:avLst/>
                    </a:prstGeom>
                    <a:ln>
                      <a:noFill/>
                    </a:ln>
                    <a:extLst>
                      <a:ext uri="{53640926-AAD7-44D8-BBD7-CCE9431645EC}">
                        <a14:shadowObscured xmlns:a14="http://schemas.microsoft.com/office/drawing/2010/main"/>
                      </a:ext>
                    </a:extLst>
                  </pic:spPr>
                </pic:pic>
              </a:graphicData>
            </a:graphic>
          </wp:inline>
        </w:drawing>
      </w:r>
    </w:p>
    <w:p w14:paraId="775FD06C" w14:textId="775F63C0" w:rsidR="00F87105" w:rsidRDefault="00F87105" w:rsidP="00F87105">
      <w:pPr>
        <w:pStyle w:val="Caption"/>
        <w:rPr>
          <w:highlight w:val="yellow"/>
        </w:rPr>
      </w:pPr>
      <w:bookmarkStart w:id="448" w:name="_Ref1376668"/>
      <w:bookmarkStart w:id="449" w:name="_Toc403728251"/>
      <w:bookmarkStart w:id="450" w:name="_Toc37775579"/>
      <w:bookmarkStart w:id="451" w:name="_Toc200464508"/>
      <w:r>
        <w:t xml:space="preserve">Figure </w:t>
      </w:r>
      <w:r>
        <w:rPr>
          <w:noProof/>
        </w:rPr>
        <w:fldChar w:fldCharType="begin"/>
      </w:r>
      <w:r>
        <w:rPr>
          <w:noProof/>
        </w:rPr>
        <w:instrText xml:space="preserve"> SEQ Figure \* ARABIC </w:instrText>
      </w:r>
      <w:r>
        <w:rPr>
          <w:noProof/>
        </w:rPr>
        <w:fldChar w:fldCharType="separate"/>
      </w:r>
      <w:r w:rsidR="00102828">
        <w:rPr>
          <w:noProof/>
        </w:rPr>
        <w:t>57</w:t>
      </w:r>
      <w:r>
        <w:rPr>
          <w:noProof/>
        </w:rPr>
        <w:fldChar w:fldCharType="end"/>
      </w:r>
      <w:bookmarkEnd w:id="448"/>
      <w:r w:rsidRPr="00236C4C">
        <w:t xml:space="preserve">. </w:t>
      </w:r>
      <w:bookmarkEnd w:id="449"/>
      <w:r>
        <w:t>(a) Mean daily flow (by month) in the Murray River at the South Australian (SA) border and in the Darling River at Burtundy; and m</w:t>
      </w:r>
      <w:r w:rsidRPr="004C306C">
        <w:t xml:space="preserve">ean catch-per-unit-effort (CPUE, individuals per </w:t>
      </w:r>
      <w:r>
        <w:t xml:space="preserve">net per </w:t>
      </w:r>
      <w:r w:rsidRPr="004C306C">
        <w:t>trip) ± standard error of (</w:t>
      </w:r>
      <w:r>
        <w:t>b</w:t>
      </w:r>
      <w:r w:rsidRPr="004C306C">
        <w:t>)</w:t>
      </w:r>
      <w:r>
        <w:t xml:space="preserve"> fish eggs, (c) silver perch larvae and (d)</w:t>
      </w:r>
      <w:r w:rsidRPr="004C306C">
        <w:t xml:space="preserve"> golden perch larvae collected </w:t>
      </w:r>
      <w:r>
        <w:t>at long-term sites downstream of</w:t>
      </w:r>
      <w:r w:rsidRPr="004C306C">
        <w:t xml:space="preserve"> Lock</w:t>
      </w:r>
      <w:r>
        <w:t>s</w:t>
      </w:r>
      <w:r w:rsidRPr="004C306C">
        <w:t xml:space="preserve"> </w:t>
      </w:r>
      <w:r>
        <w:t>4 (2020–2024 only), 6 and</w:t>
      </w:r>
      <w:r w:rsidRPr="004C306C">
        <w:t xml:space="preserve"> 1, in the </w:t>
      </w:r>
      <w:r w:rsidR="00A925D5">
        <w:t>Lower Murray River</w:t>
      </w:r>
      <w:r w:rsidRPr="004C306C">
        <w:t xml:space="preserve">, from </w:t>
      </w:r>
      <w:r>
        <w:t>2010–2024</w:t>
      </w:r>
      <w:r w:rsidRPr="004C306C">
        <w:t xml:space="preserve"> during larval tow sampling. </w:t>
      </w:r>
      <w:r>
        <w:t>No sampling (n.s.) occurred in 2019-20. From 201</w:t>
      </w:r>
      <w:r w:rsidR="00C77D08">
        <w:t>1</w:t>
      </w:r>
      <w:r>
        <w:t>-1</w:t>
      </w:r>
      <w:r w:rsidR="00C77D08">
        <w:t>2</w:t>
      </w:r>
      <w:r>
        <w:t>,</w:t>
      </w:r>
      <w:r w:rsidRPr="004C306C">
        <w:t xml:space="preserve"> </w:t>
      </w:r>
      <w:r>
        <w:t>n</w:t>
      </w:r>
      <w:r w:rsidRPr="004C306C">
        <w:t xml:space="preserve">atal origins of larvae </w:t>
      </w:r>
      <w:r>
        <w:t>(expressed as proportions in pie charts with sample sizes in text) were</w:t>
      </w:r>
      <w:r w:rsidRPr="004C306C">
        <w:t xml:space="preserve"> inferred through a subsample of otolith core </w:t>
      </w:r>
      <w:r w:rsidRPr="004C306C">
        <w:rPr>
          <w:vertAlign w:val="superscript"/>
        </w:rPr>
        <w:t>87</w:t>
      </w:r>
      <w:r w:rsidRPr="004C306C">
        <w:t>Sr/</w:t>
      </w:r>
      <w:r w:rsidRPr="004C306C">
        <w:rPr>
          <w:vertAlign w:val="superscript"/>
        </w:rPr>
        <w:t>86</w:t>
      </w:r>
      <w:r w:rsidRPr="004C306C">
        <w:t>Sr from larva</w:t>
      </w:r>
      <w:r w:rsidR="00C77D08">
        <w:t>e</w:t>
      </w:r>
      <w:r w:rsidRPr="00D73DBC">
        <w:t xml:space="preserve"> of that spawn year. *</w:t>
      </w:r>
      <w:r w:rsidRPr="00027D19">
        <w:t>Silver perch sampled in 2015-16 and 2018-19 were included for natal origin assessment but excluded from CPUE calculations due to the way data were analysed.</w:t>
      </w:r>
      <w:r w:rsidRPr="00D73DBC">
        <w:t xml:space="preserve"> These individuals were analysed for natal origin and presented in the pie charts above. </w:t>
      </w:r>
      <w:r w:rsidR="00692953">
        <w:t>P</w:t>
      </w:r>
      <w:r w:rsidRPr="004C306C">
        <w:t>erch (i.e. silver or golden perch) eggs were not differentiated from other eggs prior to 2015-16</w:t>
      </w:r>
      <w:r>
        <w:t xml:space="preserve"> and so all eggs are presented during this period while perch eggs are presented from 2015-16</w:t>
      </w:r>
      <w:r w:rsidRPr="004C306C">
        <w:t>.</w:t>
      </w:r>
      <w:r>
        <w:t xml:space="preserve"> A</w:t>
      </w:r>
      <w:r w:rsidRPr="004C306C">
        <w:t xml:space="preserve">pproximate bankfull flow </w:t>
      </w:r>
      <w:r w:rsidR="00C77D08">
        <w:t>for the S</w:t>
      </w:r>
      <w:r w:rsidR="00031CB0">
        <w:t>outh Australian</w:t>
      </w:r>
      <w:r w:rsidR="00C77D08">
        <w:t xml:space="preserve"> Murray River </w:t>
      </w:r>
      <w:r w:rsidRPr="004C306C">
        <w:t>(dotte</w:t>
      </w:r>
      <w:r>
        <w:t>d black line) is shown in (a).</w:t>
      </w:r>
      <w:bookmarkEnd w:id="450"/>
      <w:r w:rsidR="00692953">
        <w:t xml:space="preserve"> Lower River Murray = </w:t>
      </w:r>
      <w:r w:rsidR="00692953" w:rsidRPr="00BB15D5">
        <w:t xml:space="preserve">Murray River, below the Darling </w:t>
      </w:r>
      <w:r w:rsidR="00E75E8D">
        <w:t>River junction</w:t>
      </w:r>
      <w:bookmarkEnd w:id="451"/>
      <w:r w:rsidR="00031CB0">
        <w:t>.</w:t>
      </w:r>
      <w:r w:rsidR="00692953" w:rsidDel="00692953">
        <w:rPr>
          <w:highlight w:val="yellow"/>
        </w:rPr>
        <w:t xml:space="preserve"> </w:t>
      </w:r>
    </w:p>
    <w:p w14:paraId="31CBB2DA" w14:textId="77777777" w:rsidR="00F87105" w:rsidRDefault="00F87105" w:rsidP="00F87105">
      <w:bookmarkStart w:id="452" w:name="_Hlk78880030"/>
      <w:r>
        <w:rPr>
          <w:noProof/>
        </w:rPr>
        <w:lastRenderedPageBreak/>
        <w:drawing>
          <wp:inline distT="0" distB="0" distL="0" distR="0" wp14:anchorId="72172F6C" wp14:editId="681E28DA">
            <wp:extent cx="5715321" cy="6676845"/>
            <wp:effectExtent l="0" t="0" r="0" b="0"/>
            <wp:docPr id="1817768120" name="Picture 8" descr="Multiple graphs of back-calculated spawn dates for larval golden perch and silver perch captured at long-term sites downstream of Locks 4, 6 and 1, in the Lower Murray River during spring/summer 2014–2024. Spawn dates are plotted against discharge and temper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68120" name="Picture 8" descr="Multiple graphs of back-calculated spawn dates for larval golden perch and silver perch captured at long-term sites downstream of Locks 4, 6 and 1, in the Lower Murray River during spring/summer 2014–2024. Spawn dates are plotted against discharge and temperature."/>
                    <pic:cNvPicPr/>
                  </pic:nvPicPr>
                  <pic:blipFill rotWithShape="1">
                    <a:blip r:embed="rId127" cstate="print">
                      <a:extLst>
                        <a:ext uri="{28A0092B-C50C-407E-A947-70E740481C1C}">
                          <a14:useLocalDpi xmlns:a14="http://schemas.microsoft.com/office/drawing/2010/main" val="0"/>
                        </a:ext>
                      </a:extLst>
                    </a:blip>
                    <a:srcRect l="4064"/>
                    <a:stretch/>
                  </pic:blipFill>
                  <pic:spPr bwMode="auto">
                    <a:xfrm>
                      <a:off x="0" y="0"/>
                      <a:ext cx="5719791" cy="6682067"/>
                    </a:xfrm>
                    <a:prstGeom prst="rect">
                      <a:avLst/>
                    </a:prstGeom>
                    <a:ln>
                      <a:noFill/>
                    </a:ln>
                    <a:extLst>
                      <a:ext uri="{53640926-AAD7-44D8-BBD7-CCE9431645EC}">
                        <a14:shadowObscured xmlns:a14="http://schemas.microsoft.com/office/drawing/2010/main"/>
                      </a:ext>
                    </a:extLst>
                  </pic:spPr>
                </pic:pic>
              </a:graphicData>
            </a:graphic>
          </wp:inline>
        </w:drawing>
      </w:r>
    </w:p>
    <w:p w14:paraId="6E991329" w14:textId="03E2F3C4" w:rsidR="00F87105" w:rsidRPr="00267DAF" w:rsidRDefault="00F87105" w:rsidP="00F87105">
      <w:pPr>
        <w:pStyle w:val="Caption"/>
        <w:rPr>
          <w:highlight w:val="yellow"/>
        </w:rPr>
      </w:pPr>
      <w:bookmarkStart w:id="453" w:name="_Ref30777794"/>
      <w:bookmarkStart w:id="454" w:name="_Toc37775580"/>
      <w:bookmarkStart w:id="455" w:name="_Toc200464509"/>
      <w:r w:rsidRPr="00947E4F">
        <w:t xml:space="preserve">Figure </w:t>
      </w:r>
      <w:r>
        <w:rPr>
          <w:noProof/>
        </w:rPr>
        <w:fldChar w:fldCharType="begin"/>
      </w:r>
      <w:r>
        <w:rPr>
          <w:noProof/>
        </w:rPr>
        <w:instrText xml:space="preserve"> SEQ Figure \* ARABIC </w:instrText>
      </w:r>
      <w:r>
        <w:rPr>
          <w:noProof/>
        </w:rPr>
        <w:fldChar w:fldCharType="separate"/>
      </w:r>
      <w:r w:rsidR="00102828">
        <w:rPr>
          <w:noProof/>
        </w:rPr>
        <w:t>58</w:t>
      </w:r>
      <w:r>
        <w:rPr>
          <w:noProof/>
        </w:rPr>
        <w:fldChar w:fldCharType="end"/>
      </w:r>
      <w:bookmarkEnd w:id="453"/>
      <w:r w:rsidRPr="00947E4F">
        <w:t xml:space="preserve">. Back-calculated spawn dates </w:t>
      </w:r>
      <w:r>
        <w:t xml:space="preserve">(frequency) </w:t>
      </w:r>
      <w:r w:rsidRPr="00947E4F">
        <w:t xml:space="preserve">for larval golden perch </w:t>
      </w:r>
      <w:r>
        <w:t xml:space="preserve">(red bars) and silver perch </w:t>
      </w:r>
      <w:r w:rsidRPr="00947E4F">
        <w:t>(blue bars)</w:t>
      </w:r>
      <w:r>
        <w:t xml:space="preserve"> captured </w:t>
      </w:r>
      <w:r w:rsidRPr="00AF7828">
        <w:t xml:space="preserve">at long-term sites downstream of Locks 4 (2020–2024 only), 6 and 1, </w:t>
      </w:r>
      <w:r>
        <w:t xml:space="preserve">in the </w:t>
      </w:r>
      <w:r w:rsidR="00A925D5">
        <w:t>Lower Murray River</w:t>
      </w:r>
      <w:r w:rsidRPr="00947E4F">
        <w:t xml:space="preserve"> during spring/summer 2014–20</w:t>
      </w:r>
      <w:r>
        <w:t>24</w:t>
      </w:r>
      <w:r w:rsidRPr="00947E4F">
        <w:t>. Spawn date</w:t>
      </w:r>
      <w:r>
        <w:t>s are</w:t>
      </w:r>
      <w:r w:rsidRPr="00947E4F">
        <w:t xml:space="preserve"> plotted against discharge (ML/d) at the South Australian </w:t>
      </w:r>
      <w:r>
        <w:t xml:space="preserve">(SA) </w:t>
      </w:r>
      <w:r w:rsidRPr="00947E4F">
        <w:t>border (solid blue line) and water temper</w:t>
      </w:r>
      <w:r>
        <w:t>ature (°C) (dotted black line)</w:t>
      </w:r>
      <w:bookmarkEnd w:id="454"/>
      <w:r>
        <w:t xml:space="preserve">. Black stars represent the periods when </w:t>
      </w:r>
      <w:r w:rsidRPr="00AF7828">
        <w:t xml:space="preserve">golden perch and/or silver perch eggs </w:t>
      </w:r>
      <w:r>
        <w:t xml:space="preserve">were sampled in higher </w:t>
      </w:r>
      <w:r w:rsidRPr="00AF7828">
        <w:t>(&gt;50/trip)</w:t>
      </w:r>
      <w:r>
        <w:t xml:space="preserve"> quantities. Flow to SA peaked at </w:t>
      </w:r>
      <w:bookmarkStart w:id="456" w:name="_Hlk187234164"/>
      <w:r>
        <w:t xml:space="preserve">94,600 ML/d </w:t>
      </w:r>
      <w:bookmarkEnd w:id="456"/>
      <w:r>
        <w:t>on 29 November 201</w:t>
      </w:r>
      <w:r w:rsidR="00E00D68">
        <w:t>6</w:t>
      </w:r>
      <w:r>
        <w:t xml:space="preserve"> and at 187,600 ML/d on 22 December 2022.</w:t>
      </w:r>
      <w:bookmarkEnd w:id="447"/>
      <w:bookmarkEnd w:id="452"/>
      <w:bookmarkEnd w:id="455"/>
    </w:p>
    <w:p w14:paraId="0180EE0E" w14:textId="77777777" w:rsidR="00F87105" w:rsidRDefault="00F87105" w:rsidP="00F87105">
      <w:pPr>
        <w:rPr>
          <w:i/>
          <w:u w:val="single"/>
        </w:rPr>
      </w:pPr>
      <w:r>
        <w:rPr>
          <w:i/>
          <w:u w:val="single"/>
        </w:rPr>
        <w:t>Recruitment strength</w:t>
      </w:r>
    </w:p>
    <w:p w14:paraId="4A3940C3" w14:textId="6767AAE0" w:rsidR="00F87105" w:rsidRDefault="00F87105" w:rsidP="00F87105">
      <w:r w:rsidRPr="00027D19">
        <w:t xml:space="preserve">Recruitment strength, </w:t>
      </w:r>
      <w:r w:rsidRPr="00FD5CEB">
        <w:t>as determined by the relative abundance of age 1+ individuals in the following year, was</w:t>
      </w:r>
      <w:r>
        <w:t xml:space="preserve"> temporally</w:t>
      </w:r>
      <w:r w:rsidRPr="00FD5CEB">
        <w:t xml:space="preserve"> variable</w:t>
      </w:r>
      <w:r>
        <w:t xml:space="preserve"> </w:t>
      </w:r>
      <w:r w:rsidRPr="00FD5CEB">
        <w:t>for both species f</w:t>
      </w:r>
      <w:r w:rsidRPr="00027D19">
        <w:t>rom 2014 to 2023</w:t>
      </w:r>
      <w:r>
        <w:t xml:space="preserve"> (</w:t>
      </w:r>
      <w:r>
        <w:fldChar w:fldCharType="begin"/>
      </w:r>
      <w:r>
        <w:instrText xml:space="preserve"> REF _Ref187146813 \h </w:instrText>
      </w:r>
      <w:r>
        <w:fldChar w:fldCharType="separate"/>
      </w:r>
      <w:r w:rsidR="00102828">
        <w:t xml:space="preserve">Figure </w:t>
      </w:r>
      <w:r w:rsidR="00102828">
        <w:rPr>
          <w:noProof/>
        </w:rPr>
        <w:t>59</w:t>
      </w:r>
      <w:r>
        <w:fldChar w:fldCharType="end"/>
      </w:r>
      <w:r>
        <w:t>)</w:t>
      </w:r>
      <w:r w:rsidRPr="00027D19">
        <w:t>.</w:t>
      </w:r>
      <w:r>
        <w:t xml:space="preserve"> Stronger recruitment was observed for golden perch and silver perch during 2021-22 and </w:t>
      </w:r>
      <w:r>
        <w:lastRenderedPageBreak/>
        <w:t xml:space="preserve">2020-21. </w:t>
      </w:r>
      <w:r w:rsidR="007F6DF3">
        <w:t>Lower-level</w:t>
      </w:r>
      <w:r>
        <w:t xml:space="preserve"> recruitment was observed for golden perch from 2016–2019 and in 2022-23, and for silver perch in 2016-17.</w:t>
      </w:r>
    </w:p>
    <w:p w14:paraId="11766318" w14:textId="470C7441" w:rsidR="00F87105" w:rsidRPr="005D1DBE" w:rsidRDefault="000731F0" w:rsidP="00F87105">
      <w:pPr>
        <w:jc w:val="center"/>
        <w:rPr>
          <w:iCs/>
        </w:rPr>
      </w:pPr>
      <w:r>
        <w:rPr>
          <w:iCs/>
          <w:noProof/>
        </w:rPr>
        <w:drawing>
          <wp:inline distT="0" distB="0" distL="0" distR="0" wp14:anchorId="43D4B695" wp14:editId="7D6A5C50">
            <wp:extent cx="4581525" cy="5349320"/>
            <wp:effectExtent l="0" t="0" r="0" b="3810"/>
            <wp:docPr id="1789559278" name="Picture 2" descr="Graph of recruitment strength of golden perch and silver perch in the gorge geomorphic zone of the Lower Murray River from 2014–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559278" name="Picture 2" descr="Graph of recruitment strength of golden perch and silver perch in the gorge geomorphic zone of the Lower Murray River from 2014–2023."/>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4583826" cy="5352007"/>
                    </a:xfrm>
                    <a:prstGeom prst="rect">
                      <a:avLst/>
                    </a:prstGeom>
                  </pic:spPr>
                </pic:pic>
              </a:graphicData>
            </a:graphic>
          </wp:inline>
        </w:drawing>
      </w:r>
    </w:p>
    <w:p w14:paraId="05C43E07" w14:textId="62325C86" w:rsidR="00F87105" w:rsidRDefault="00F87105" w:rsidP="00F87105">
      <w:pPr>
        <w:pStyle w:val="Caption"/>
        <w:rPr>
          <w:i/>
          <w:u w:val="single"/>
        </w:rPr>
      </w:pPr>
      <w:bookmarkStart w:id="457" w:name="_Ref187146813"/>
      <w:bookmarkStart w:id="458" w:name="_Toc200464510"/>
      <w:r>
        <w:t xml:space="preserve">Figure </w:t>
      </w:r>
      <w:r>
        <w:fldChar w:fldCharType="begin"/>
      </w:r>
      <w:r>
        <w:instrText>SEQ Figure \* ARABIC</w:instrText>
      </w:r>
      <w:r>
        <w:fldChar w:fldCharType="separate"/>
      </w:r>
      <w:r w:rsidR="00102828">
        <w:rPr>
          <w:noProof/>
        </w:rPr>
        <w:t>59</w:t>
      </w:r>
      <w:r>
        <w:fldChar w:fldCharType="end"/>
      </w:r>
      <w:bookmarkEnd w:id="457"/>
      <w:r>
        <w:t>. Recruitment strength of (a) golden perch and (b) silver perch</w:t>
      </w:r>
      <w:r w:rsidRPr="00607412">
        <w:t xml:space="preserve"> in the gorge geomorphic zone (10 sites) </w:t>
      </w:r>
      <w:r>
        <w:t xml:space="preserve">of the Lower Murray River from 2014–2023, as determined </w:t>
      </w:r>
      <w:r w:rsidRPr="00223648">
        <w:t xml:space="preserve">by the </w:t>
      </w:r>
      <w:r>
        <w:t>mean</w:t>
      </w:r>
      <w:r w:rsidRPr="00223648">
        <w:t xml:space="preserve"> </w:t>
      </w:r>
      <w:r>
        <w:t>Category 1 Fish Assemblage</w:t>
      </w:r>
      <w:r w:rsidRPr="00607412">
        <w:t xml:space="preserve"> electrofishing </w:t>
      </w:r>
      <w:r w:rsidRPr="00223648">
        <w:t>catch-per-unit-effort (CPUE</w:t>
      </w:r>
      <w:r>
        <w:t xml:space="preserve">, </w:t>
      </w:r>
      <w:r w:rsidRPr="00607412">
        <w:t>individuals per 90 second shot</w:t>
      </w:r>
      <w:r w:rsidRPr="00223648">
        <w:t>) of</w:t>
      </w:r>
      <w:r w:rsidRPr="00607412">
        <w:t xml:space="preserve"> </w:t>
      </w:r>
      <w:r>
        <w:t xml:space="preserve">age 1+ </w:t>
      </w:r>
      <w:r w:rsidRPr="00607412">
        <w:t xml:space="preserve">captured </w:t>
      </w:r>
      <w:r>
        <w:t>in the following sampling season (</w:t>
      </w:r>
      <w:r w:rsidRPr="00607412">
        <w:t>201</w:t>
      </w:r>
      <w:r>
        <w:t>5–2024)</w:t>
      </w:r>
      <w:r w:rsidRPr="00607412">
        <w:t>.</w:t>
      </w:r>
      <w:r>
        <w:t xml:space="preserve"> Recruitment strength for 2024 could not be yet determined because sampling in autumn 2025 has not been undertaken.</w:t>
      </w:r>
      <w:r w:rsidRPr="00607412">
        <w:t xml:space="preserve"> </w:t>
      </w:r>
      <w:r>
        <w:t xml:space="preserve">Recruitment strength is calculated for 2017 using data from </w:t>
      </w:r>
      <w:r w:rsidRPr="003869F7">
        <w:t>five sites</w:t>
      </w:r>
      <w:r>
        <w:t xml:space="preserve"> sampled in autumn 2017</w:t>
      </w:r>
      <w:r w:rsidRPr="003869F7">
        <w:t>.</w:t>
      </w:r>
      <w:bookmarkEnd w:id="458"/>
    </w:p>
    <w:p w14:paraId="548C4FC2" w14:textId="77777777" w:rsidR="00F87105" w:rsidRPr="00907FB5" w:rsidRDefault="00F87105" w:rsidP="00F87105">
      <w:pPr>
        <w:rPr>
          <w:i/>
          <w:u w:val="single"/>
        </w:rPr>
      </w:pPr>
      <w:r w:rsidRPr="00551D2F">
        <w:rPr>
          <w:i/>
          <w:u w:val="single"/>
        </w:rPr>
        <w:t>Juvenile/adult abundance</w:t>
      </w:r>
    </w:p>
    <w:p w14:paraId="25DCAEAE" w14:textId="171ACA0A" w:rsidR="00F87105" w:rsidRPr="00027D19" w:rsidRDefault="00F87105" w:rsidP="00F87105">
      <w:r>
        <w:t xml:space="preserve">From </w:t>
      </w:r>
      <w:r w:rsidRPr="00643CC8">
        <w:t>2015</w:t>
      </w:r>
      <w:r>
        <w:t>–</w:t>
      </w:r>
      <w:r w:rsidRPr="00643CC8">
        <w:t xml:space="preserve">2024, </w:t>
      </w:r>
      <w:r>
        <w:t xml:space="preserve">there was a general decline in the </w:t>
      </w:r>
      <w:r w:rsidRPr="00643CC8">
        <w:t xml:space="preserve">relative abundance of golden perch </w:t>
      </w:r>
      <w:r>
        <w:t xml:space="preserve">from </w:t>
      </w:r>
      <w:r w:rsidRPr="00643CC8">
        <w:t xml:space="preserve">0.57 ± 0.08 ind./shot </w:t>
      </w:r>
      <w:r>
        <w:t xml:space="preserve">in 2015 </w:t>
      </w:r>
      <w:r w:rsidRPr="00643CC8">
        <w:t xml:space="preserve">to </w:t>
      </w:r>
      <w:r w:rsidRPr="003869F7">
        <w:t>0.28 ± 0.04 ind./shot in 2024</w:t>
      </w:r>
      <w:r>
        <w:t>. The exception was an increase in</w:t>
      </w:r>
      <w:r w:rsidRPr="00643CC8">
        <w:t xml:space="preserve"> abundance in 2022</w:t>
      </w:r>
      <w:r>
        <w:t xml:space="preserve"> (0.58 ± 0.13 ind./shot)</w:t>
      </w:r>
      <w:r w:rsidRPr="00643CC8">
        <w:t xml:space="preserve">, driven by </w:t>
      </w:r>
      <w:r>
        <w:t>an increase in the abundance of age 0+ individuals in the population (</w:t>
      </w:r>
      <w:r>
        <w:fldChar w:fldCharType="begin"/>
      </w:r>
      <w:r>
        <w:instrText xml:space="preserve"> REF _Ref81229309 \h </w:instrText>
      </w:r>
      <w:r>
        <w:fldChar w:fldCharType="separate"/>
      </w:r>
      <w:r w:rsidR="00102828" w:rsidRPr="009E0EDD">
        <w:t xml:space="preserve">Figure </w:t>
      </w:r>
      <w:r w:rsidR="00102828">
        <w:rPr>
          <w:noProof/>
        </w:rPr>
        <w:t>61</w:t>
      </w:r>
      <w:r>
        <w:fldChar w:fldCharType="end"/>
      </w:r>
      <w:r>
        <w:t>)</w:t>
      </w:r>
      <w:r w:rsidRPr="00643CC8">
        <w:t>.</w:t>
      </w:r>
      <w:r>
        <w:t xml:space="preserve"> </w:t>
      </w:r>
      <w:r w:rsidRPr="003869F7">
        <w:t>This was supported by PERMANOVA which demonstrated significant differences between years (</w:t>
      </w:r>
      <w:r w:rsidRPr="003869F7">
        <w:rPr>
          <w:i/>
          <w:lang w:val="en-US"/>
        </w:rPr>
        <w:t>Pseudo</w:t>
      </w:r>
      <w:r w:rsidRPr="003869F7">
        <w:rPr>
          <w:i/>
          <w:lang w:val="en-US"/>
        </w:rPr>
        <w:noBreakHyphen/>
        <w:t>F</w:t>
      </w:r>
      <w:r w:rsidRPr="003869F7">
        <w:rPr>
          <w:vertAlign w:val="subscript"/>
        </w:rPr>
        <w:t xml:space="preserve">8,94 </w:t>
      </w:r>
      <w:r w:rsidRPr="003869F7">
        <w:t xml:space="preserve">= 4.7065, </w:t>
      </w:r>
      <w:r w:rsidRPr="003869F7">
        <w:rPr>
          <w:i/>
        </w:rPr>
        <w:t xml:space="preserve">P </w:t>
      </w:r>
      <w:r w:rsidRPr="003869F7">
        <w:t xml:space="preserve">= </w:t>
      </w:r>
      <w:r w:rsidRPr="00643CC8">
        <w:t xml:space="preserve">0.0001). </w:t>
      </w:r>
      <w:r w:rsidRPr="00027D19">
        <w:t xml:space="preserve">Pair-wise comparisons revealed significant differences between 2016 </w:t>
      </w:r>
      <w:r w:rsidRPr="00027D19">
        <w:lastRenderedPageBreak/>
        <w:t>and 2019, and 2019 and 2023, but not between any other years (Table C</w:t>
      </w:r>
      <w:r w:rsidR="00891AA7">
        <w:t>1</w:t>
      </w:r>
      <w:r w:rsidR="00FB33C3">
        <w:t>8</w:t>
      </w:r>
      <w:r w:rsidRPr="00027D19">
        <w:t xml:space="preserve"> in Appendix C).</w:t>
      </w:r>
    </w:p>
    <w:p w14:paraId="1E25FD97" w14:textId="289D848D" w:rsidR="00F87105" w:rsidRDefault="00F87105" w:rsidP="00F87105">
      <w:r w:rsidRPr="00AE509E">
        <w:t>Silver perch relative abundance was relatively low (&lt;0.02 ind./shot) from 2015–2024, except for 2022 (0.03 ± 0.01 ind./shot) (</w:t>
      </w:r>
      <w:r w:rsidRPr="00AE509E">
        <w:fldChar w:fldCharType="begin"/>
      </w:r>
      <w:r w:rsidRPr="00AE509E">
        <w:instrText xml:space="preserve"> REF _Ref24642517 \h  \* MERGEFORMAT </w:instrText>
      </w:r>
      <w:r w:rsidRPr="00AE509E">
        <w:fldChar w:fldCharType="separate"/>
      </w:r>
      <w:r w:rsidR="00102828">
        <w:t xml:space="preserve">Figure </w:t>
      </w:r>
      <w:r w:rsidR="00102828">
        <w:rPr>
          <w:noProof/>
        </w:rPr>
        <w:t>60</w:t>
      </w:r>
      <w:r w:rsidRPr="00AE509E">
        <w:fldChar w:fldCharType="end"/>
      </w:r>
      <w:r w:rsidRPr="00AE509E">
        <w:t>b). No statistical comparisons were made due to low sample sizes and high variability in silver perch CPUE data.</w:t>
      </w:r>
    </w:p>
    <w:p w14:paraId="327E3C0F" w14:textId="77777777" w:rsidR="00F87105" w:rsidRDefault="00F87105" w:rsidP="00F87105">
      <w:pPr>
        <w:jc w:val="center"/>
        <w:rPr>
          <w:i/>
          <w:u w:val="single"/>
        </w:rPr>
      </w:pPr>
      <w:r w:rsidRPr="00920ECA">
        <w:rPr>
          <w:iCs/>
          <w:noProof/>
        </w:rPr>
        <w:drawing>
          <wp:inline distT="0" distB="0" distL="0" distR="0" wp14:anchorId="649006BD" wp14:editId="229DFB0E">
            <wp:extent cx="4468687" cy="5676181"/>
            <wp:effectExtent l="0" t="0" r="8255" b="1270"/>
            <wp:docPr id="1230221669" name="Picture 9" descr="Graphs showing mean catch-per-unit-effort of golden perch and silver perch captured during  fish Assemblage electrofishing in the gorge geomorphic zone of the Lower Murray River in autumn from 2015–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221669" name="Picture 9" descr="Graphs showing mean catch-per-unit-effort of golden perch and silver perch captured during  fish Assemblage electrofishing in the gorge geomorphic zone of the Lower Murray River in autumn from 2015–2024."/>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4475330" cy="5684619"/>
                    </a:xfrm>
                    <a:prstGeom prst="rect">
                      <a:avLst/>
                    </a:prstGeom>
                  </pic:spPr>
                </pic:pic>
              </a:graphicData>
            </a:graphic>
          </wp:inline>
        </w:drawing>
      </w:r>
    </w:p>
    <w:p w14:paraId="2FD2D9C0" w14:textId="0C092852" w:rsidR="00F87105" w:rsidRDefault="00F87105" w:rsidP="00F87105">
      <w:pPr>
        <w:pStyle w:val="Caption"/>
        <w:rPr>
          <w:i/>
          <w:u w:val="single"/>
        </w:rPr>
      </w:pPr>
      <w:bookmarkStart w:id="459" w:name="_Ref24642517"/>
      <w:bookmarkStart w:id="460" w:name="_Toc103170103"/>
      <w:bookmarkStart w:id="461" w:name="_Toc166771780"/>
      <w:bookmarkStart w:id="462" w:name="_Toc200464511"/>
      <w:r>
        <w:t xml:space="preserve">Figure </w:t>
      </w:r>
      <w:r>
        <w:fldChar w:fldCharType="begin"/>
      </w:r>
      <w:r>
        <w:instrText>SEQ Figure \* ARABIC</w:instrText>
      </w:r>
      <w:r>
        <w:fldChar w:fldCharType="separate"/>
      </w:r>
      <w:r w:rsidR="00102828">
        <w:rPr>
          <w:noProof/>
        </w:rPr>
        <w:t>60</w:t>
      </w:r>
      <w:r>
        <w:fldChar w:fldCharType="end"/>
      </w:r>
      <w:bookmarkEnd w:id="459"/>
      <w:r>
        <w:t xml:space="preserve">. </w:t>
      </w:r>
      <w:r w:rsidRPr="00607412">
        <w:t xml:space="preserve">Mean catch-per-unit-effort (CPUE) ± standard error of </w:t>
      </w:r>
      <w:r>
        <w:t>(a) golden perch and (b) silver perch</w:t>
      </w:r>
      <w:r w:rsidRPr="00607412">
        <w:t xml:space="preserve"> captured </w:t>
      </w:r>
      <w:r>
        <w:t>during Category 1 Fish Assemblage</w:t>
      </w:r>
      <w:r w:rsidRPr="00607412">
        <w:t xml:space="preserve"> electrofishing (individuals per 90 second shot) in the gorge </w:t>
      </w:r>
      <w:r w:rsidRPr="003869F7">
        <w:t>geomorphic zone (10 sites) of the Lower Murray River in autumn from 2015–2024. CPUE data from five sites are presented for 2017 as other sites were sampled post June 2017.</w:t>
      </w:r>
      <w:bookmarkEnd w:id="460"/>
      <w:bookmarkEnd w:id="461"/>
      <w:bookmarkEnd w:id="462"/>
    </w:p>
    <w:p w14:paraId="46F86D79" w14:textId="77777777" w:rsidR="00F87105" w:rsidRPr="00410B45" w:rsidRDefault="00F87105" w:rsidP="00F87105">
      <w:pPr>
        <w:rPr>
          <w:i/>
          <w:u w:val="single"/>
        </w:rPr>
      </w:pPr>
      <w:r>
        <w:rPr>
          <w:i/>
          <w:u w:val="single"/>
        </w:rPr>
        <w:t>A</w:t>
      </w:r>
      <w:r w:rsidRPr="00410B45">
        <w:rPr>
          <w:i/>
          <w:u w:val="single"/>
        </w:rPr>
        <w:t>ge structure</w:t>
      </w:r>
    </w:p>
    <w:p w14:paraId="438C82D0" w14:textId="448CE532" w:rsidR="00F87105" w:rsidRDefault="00F87105" w:rsidP="00F87105">
      <w:r w:rsidRPr="00027D19">
        <w:t>In 2015, the sampled population of golden perch ranged in age from 2+ to 18+ years, with dominant cohorts of age 3+, 4+, 5+, 14+ and 18+ fish, born in 2011-12, 2010-11, 2009-10, 2000-01 and 1996-97, respectively (</w:t>
      </w:r>
      <w:r>
        <w:fldChar w:fldCharType="begin"/>
      </w:r>
      <w:r>
        <w:instrText xml:space="preserve"> REF _Ref81229309 \h </w:instrText>
      </w:r>
      <w:r>
        <w:fldChar w:fldCharType="separate"/>
      </w:r>
      <w:r w:rsidR="00102828" w:rsidRPr="009E0EDD">
        <w:t xml:space="preserve">Figure </w:t>
      </w:r>
      <w:r w:rsidR="00102828">
        <w:rPr>
          <w:noProof/>
        </w:rPr>
        <w:t>61</w:t>
      </w:r>
      <w:r>
        <w:fldChar w:fldCharType="end"/>
      </w:r>
      <w:r w:rsidRPr="00027D19">
        <w:t xml:space="preserve">). In 2015, </w:t>
      </w:r>
      <w:r>
        <w:t xml:space="preserve">these cohorts </w:t>
      </w:r>
      <w:r w:rsidRPr="00027D19">
        <w:t xml:space="preserve">comprised 5, 30, 35, 9 and 10% of the sampled population in the LMR, respectively. These five cohorts have </w:t>
      </w:r>
      <w:r w:rsidRPr="00027D19">
        <w:lastRenderedPageBreak/>
        <w:t xml:space="preserve">persisted in the population from 2015–2024, but their relative contribution in the population </w:t>
      </w:r>
      <w:r>
        <w:t>have diminished</w:t>
      </w:r>
      <w:r w:rsidRPr="00027D19">
        <w:t>. In 2022,</w:t>
      </w:r>
      <w:r>
        <w:t xml:space="preserve"> strong recruitment was observed for the first time across the sampling period. T</w:t>
      </w:r>
      <w:r w:rsidRPr="009976F2">
        <w:t xml:space="preserve">he sampled population </w:t>
      </w:r>
      <w:r>
        <w:t xml:space="preserve">during that year </w:t>
      </w:r>
      <w:r w:rsidRPr="009976F2">
        <w:t>ranged in age from 0+ to 21+ years</w:t>
      </w:r>
      <w:r>
        <w:t>, with</w:t>
      </w:r>
      <w:r w:rsidRPr="009976F2">
        <w:t xml:space="preserve"> dominant cohorts of age 0+,</w:t>
      </w:r>
      <w:r>
        <w:t xml:space="preserve"> 3+,</w:t>
      </w:r>
      <w:r w:rsidRPr="009976F2">
        <w:t xml:space="preserve"> 5+ and 11+ fish, born in 2021-22, </w:t>
      </w:r>
      <w:r>
        <w:t xml:space="preserve">2018-19, </w:t>
      </w:r>
      <w:r w:rsidRPr="009976F2">
        <w:t xml:space="preserve">2016-17 and 2010-11, respectively, </w:t>
      </w:r>
      <w:r w:rsidRPr="00027D19">
        <w:t xml:space="preserve">and comprising 24, </w:t>
      </w:r>
      <w:r>
        <w:t xml:space="preserve">9, </w:t>
      </w:r>
      <w:r w:rsidRPr="00027D19">
        <w:t>14 and 11% of the sampled population in the LMR, respectively</w:t>
      </w:r>
      <w:r w:rsidRPr="009976F2">
        <w:t xml:space="preserve"> (</w:t>
      </w:r>
      <w:r>
        <w:fldChar w:fldCharType="begin"/>
      </w:r>
      <w:r>
        <w:instrText xml:space="preserve"> REF _Ref81229309 \h </w:instrText>
      </w:r>
      <w:r>
        <w:fldChar w:fldCharType="separate"/>
      </w:r>
      <w:r w:rsidR="00102828" w:rsidRPr="009E0EDD">
        <w:t xml:space="preserve">Figure </w:t>
      </w:r>
      <w:r w:rsidR="00102828">
        <w:rPr>
          <w:noProof/>
        </w:rPr>
        <w:t>61</w:t>
      </w:r>
      <w:r>
        <w:fldChar w:fldCharType="end"/>
      </w:r>
      <w:r w:rsidRPr="009976F2">
        <w:t>).</w:t>
      </w:r>
      <w:r w:rsidRPr="00275006">
        <w:t xml:space="preserve"> </w:t>
      </w:r>
      <w:r>
        <w:t>In 2024, the population was dominated by age 2+ from the 2021-22 cohort (40%) and consisted of several other cohorts from age 0+ to 14+, including the 2018-19 and 2016-17 cohorts, which both represented 10% of the sampled population.</w:t>
      </w:r>
    </w:p>
    <w:p w14:paraId="008346D3" w14:textId="648B0C35" w:rsidR="00F87105" w:rsidRPr="00027D19" w:rsidRDefault="00F87105" w:rsidP="00F87105">
      <w:r>
        <w:t xml:space="preserve">From </w:t>
      </w:r>
      <w:r w:rsidRPr="00275006">
        <w:t>20</w:t>
      </w:r>
      <w:r>
        <w:t>15–2024</w:t>
      </w:r>
      <w:r w:rsidRPr="00275006">
        <w:t xml:space="preserve">, silver perch collected in the LMR ranged in age from 0+ to </w:t>
      </w:r>
      <w:r>
        <w:t>7</w:t>
      </w:r>
      <w:r w:rsidRPr="00275006">
        <w:t>+ years (</w:t>
      </w:r>
      <w:r>
        <w:fldChar w:fldCharType="begin"/>
      </w:r>
      <w:r>
        <w:instrText xml:space="preserve"> REF _Ref187155336 \h </w:instrText>
      </w:r>
      <w:r>
        <w:fldChar w:fldCharType="separate"/>
      </w:r>
      <w:r w:rsidR="00102828" w:rsidRPr="009E0EDD">
        <w:t xml:space="preserve">Figure </w:t>
      </w:r>
      <w:r w:rsidR="00102828">
        <w:rPr>
          <w:noProof/>
        </w:rPr>
        <w:t>62</w:t>
      </w:r>
      <w:r>
        <w:fldChar w:fldCharType="end"/>
      </w:r>
      <w:r w:rsidRPr="00275006">
        <w:t xml:space="preserve">). </w:t>
      </w:r>
      <w:r>
        <w:t>Low sample numbers were present in most years, except 2022, when the sampled population comprised of six coh</w:t>
      </w:r>
      <w:r w:rsidRPr="007E56CA">
        <w:t xml:space="preserve">orts from age 0+ to 5+ years, and age 3+ fish, born in 2018–19, represented 46% of the population. </w:t>
      </w:r>
    </w:p>
    <w:p w14:paraId="4740B749" w14:textId="77777777" w:rsidR="00F87105" w:rsidRPr="00027D19" w:rsidRDefault="00F87105" w:rsidP="00F87105">
      <w:pPr>
        <w:pStyle w:val="Caption"/>
        <w:rPr>
          <w:b w:val="0"/>
          <w:bCs w:val="0"/>
          <w:i/>
          <w:sz w:val="21"/>
          <w:szCs w:val="21"/>
          <w:u w:val="single"/>
        </w:rPr>
      </w:pPr>
      <w:r w:rsidRPr="00027D19">
        <w:rPr>
          <w:b w:val="0"/>
          <w:bCs w:val="0"/>
          <w:i/>
          <w:sz w:val="21"/>
          <w:szCs w:val="21"/>
          <w:u w:val="single"/>
        </w:rPr>
        <w:t>Natal origin of prominent cohorts</w:t>
      </w:r>
    </w:p>
    <w:p w14:paraId="18C452ED" w14:textId="5E88799B" w:rsidR="00F87105" w:rsidRDefault="00F87105" w:rsidP="00F87105">
      <w:r>
        <w:t>From 2015–2024, a total of 351 golden perch and 77 silver perch (excluding larvae) were analysed for natal origin and migration history (Table C</w:t>
      </w:r>
      <w:r w:rsidR="00891AA7">
        <w:t>1</w:t>
      </w:r>
      <w:r w:rsidR="00FB33C3">
        <w:t>9</w:t>
      </w:r>
      <w:r>
        <w:t xml:space="preserve"> in Appendix C). Golden perch from the four most dominant year classes of 2021-22, 2011-12, 2010-11 and 2009-10 exhibited otolith core </w:t>
      </w:r>
      <w:r w:rsidRPr="00027D19">
        <w:rPr>
          <w:vertAlign w:val="superscript"/>
        </w:rPr>
        <w:t>87</w:t>
      </w:r>
      <w:r>
        <w:t>Sr/</w:t>
      </w:r>
      <w:r w:rsidRPr="00027D19">
        <w:rPr>
          <w:vertAlign w:val="superscript"/>
        </w:rPr>
        <w:t>86</w:t>
      </w:r>
      <w:r>
        <w:t xml:space="preserve">Sr comparable to water </w:t>
      </w:r>
      <w:r w:rsidRPr="0011703F">
        <w:rPr>
          <w:vertAlign w:val="superscript"/>
        </w:rPr>
        <w:t>87</w:t>
      </w:r>
      <w:r>
        <w:t>Sr/</w:t>
      </w:r>
      <w:r w:rsidRPr="0011703F">
        <w:rPr>
          <w:vertAlign w:val="superscript"/>
        </w:rPr>
        <w:t>86</w:t>
      </w:r>
      <w:r>
        <w:t>Sr in the lower River Murray (Murray River downstream of the Darling River junction) and the Darling River (</w:t>
      </w:r>
      <w:r>
        <w:fldChar w:fldCharType="begin"/>
      </w:r>
      <w:r>
        <w:instrText xml:space="preserve"> REF _Ref16606571 \h </w:instrText>
      </w:r>
      <w:r>
        <w:fldChar w:fldCharType="separate"/>
      </w:r>
      <w:r w:rsidR="00102828">
        <w:t xml:space="preserve">Figure </w:t>
      </w:r>
      <w:r w:rsidR="00102828">
        <w:rPr>
          <w:noProof/>
        </w:rPr>
        <w:t>56</w:t>
      </w:r>
      <w:r>
        <w:fldChar w:fldCharType="end"/>
      </w:r>
      <w:r>
        <w:t xml:space="preserve">; </w:t>
      </w:r>
      <w:r>
        <w:fldChar w:fldCharType="begin"/>
      </w:r>
      <w:r>
        <w:instrText xml:space="preserve"> REF _Ref81229309 \h </w:instrText>
      </w:r>
      <w:r>
        <w:fldChar w:fldCharType="separate"/>
      </w:r>
      <w:r w:rsidR="00102828" w:rsidRPr="009E0EDD">
        <w:t xml:space="preserve">Figure </w:t>
      </w:r>
      <w:r w:rsidR="00102828">
        <w:rPr>
          <w:noProof/>
        </w:rPr>
        <w:t>61</w:t>
      </w:r>
      <w:r>
        <w:fldChar w:fldCharType="end"/>
      </w:r>
      <w:r>
        <w:t xml:space="preserve">). Otolith transects indicated that some fish from these cohorts were born and spent their entire lives in the lower River Murray, whilst others originated from the Darling River and transitioned into the lower River Murray in their first (i.e. age 0+) or second year (i.e. age 1+) and remained in this region until capture. </w:t>
      </w:r>
    </w:p>
    <w:p w14:paraId="3EAE0026" w14:textId="42A05DF1" w:rsidR="00F87105" w:rsidRDefault="00F87105" w:rsidP="00F87105">
      <w:r>
        <w:t xml:space="preserve">Golden perch cohorts from 2016–2021, 2000-01 and 1996-97, generally exhibited otolith core </w:t>
      </w:r>
      <w:r w:rsidRPr="0011703F">
        <w:rPr>
          <w:vertAlign w:val="superscript"/>
        </w:rPr>
        <w:t>87</w:t>
      </w:r>
      <w:r>
        <w:t>Sr/</w:t>
      </w:r>
      <w:r w:rsidRPr="0011703F">
        <w:rPr>
          <w:vertAlign w:val="superscript"/>
        </w:rPr>
        <w:t>86</w:t>
      </w:r>
      <w:r>
        <w:t xml:space="preserve">Sr comparable to water </w:t>
      </w:r>
      <w:r w:rsidRPr="0011703F">
        <w:rPr>
          <w:vertAlign w:val="superscript"/>
        </w:rPr>
        <w:t>87</w:t>
      </w:r>
      <w:r>
        <w:t>Sr/</w:t>
      </w:r>
      <w:r w:rsidRPr="0011703F">
        <w:rPr>
          <w:vertAlign w:val="superscript"/>
        </w:rPr>
        <w:t>86</w:t>
      </w:r>
      <w:r>
        <w:t>Sr in the lower River Murray (</w:t>
      </w:r>
      <w:r>
        <w:fldChar w:fldCharType="begin"/>
      </w:r>
      <w:r>
        <w:instrText xml:space="preserve"> REF _Ref16606571 \h </w:instrText>
      </w:r>
      <w:r>
        <w:fldChar w:fldCharType="separate"/>
      </w:r>
      <w:r w:rsidR="00102828">
        <w:t xml:space="preserve">Figure </w:t>
      </w:r>
      <w:r w:rsidR="00102828">
        <w:rPr>
          <w:noProof/>
        </w:rPr>
        <w:t>56</w:t>
      </w:r>
      <w:r>
        <w:fldChar w:fldCharType="end"/>
      </w:r>
      <w:r>
        <w:t xml:space="preserve">; </w:t>
      </w:r>
      <w:r>
        <w:fldChar w:fldCharType="begin"/>
      </w:r>
      <w:r>
        <w:instrText xml:space="preserve"> REF _Ref81229309 \h </w:instrText>
      </w:r>
      <w:r>
        <w:fldChar w:fldCharType="separate"/>
      </w:r>
      <w:r w:rsidR="00102828" w:rsidRPr="009E0EDD">
        <w:t xml:space="preserve">Figure </w:t>
      </w:r>
      <w:r w:rsidR="00102828">
        <w:rPr>
          <w:noProof/>
        </w:rPr>
        <w:t>61</w:t>
      </w:r>
      <w:r>
        <w:fldChar w:fldCharType="end"/>
      </w:r>
      <w:r>
        <w:t xml:space="preserve">). Golden perch from the 2005-06 cohort exhibited otolith core </w:t>
      </w:r>
      <w:r w:rsidRPr="0011703F">
        <w:rPr>
          <w:vertAlign w:val="superscript"/>
        </w:rPr>
        <w:t>87</w:t>
      </w:r>
      <w:r>
        <w:t>Sr/</w:t>
      </w:r>
      <w:r w:rsidRPr="0011703F">
        <w:rPr>
          <w:vertAlign w:val="superscript"/>
        </w:rPr>
        <w:t>86</w:t>
      </w:r>
      <w:r>
        <w:t xml:space="preserve">Sr comparable to water </w:t>
      </w:r>
      <w:r w:rsidRPr="0011703F">
        <w:rPr>
          <w:vertAlign w:val="superscript"/>
        </w:rPr>
        <w:t>87</w:t>
      </w:r>
      <w:r>
        <w:t>Sr/</w:t>
      </w:r>
      <w:r w:rsidRPr="0011703F">
        <w:rPr>
          <w:vertAlign w:val="superscript"/>
        </w:rPr>
        <w:t>86</w:t>
      </w:r>
      <w:r>
        <w:t>Sr in the lower River Murray and the mid-Murray River (</w:t>
      </w:r>
      <w:r>
        <w:fldChar w:fldCharType="begin"/>
      </w:r>
      <w:r>
        <w:instrText xml:space="preserve"> REF _Ref16606571 \h </w:instrText>
      </w:r>
      <w:r>
        <w:fldChar w:fldCharType="separate"/>
      </w:r>
      <w:r w:rsidR="00102828">
        <w:t xml:space="preserve">Figure </w:t>
      </w:r>
      <w:r w:rsidR="00102828">
        <w:rPr>
          <w:noProof/>
        </w:rPr>
        <w:t>56</w:t>
      </w:r>
      <w:r>
        <w:fldChar w:fldCharType="end"/>
      </w:r>
      <w:r>
        <w:t xml:space="preserve">; </w:t>
      </w:r>
      <w:r>
        <w:fldChar w:fldCharType="begin"/>
      </w:r>
      <w:r>
        <w:instrText xml:space="preserve"> REF _Ref81229309 \h </w:instrText>
      </w:r>
      <w:r>
        <w:fldChar w:fldCharType="separate"/>
      </w:r>
      <w:r w:rsidR="00102828" w:rsidRPr="009E0EDD">
        <w:t xml:space="preserve">Figure </w:t>
      </w:r>
      <w:r w:rsidR="00102828">
        <w:rPr>
          <w:noProof/>
        </w:rPr>
        <w:t>61</w:t>
      </w:r>
      <w:r>
        <w:fldChar w:fldCharType="end"/>
      </w:r>
      <w:r>
        <w:t>). Otolith transects indicated that some fish from this cohorts were born and spent their entire lives in the lower River Murray, whilst others originated from the mid-Murray River, upstream of the Darling River junction, and transitioned into the lower River Murray early in their first year (i.e. age 0+), and remained in this region until capture.</w:t>
      </w:r>
    </w:p>
    <w:p w14:paraId="34489888" w14:textId="41DBB2B0" w:rsidR="00F87105" w:rsidRDefault="00F87105" w:rsidP="00F87105">
      <w:r>
        <w:t xml:space="preserve">Silver perch sampled from 2015–2024 predominantly exhibited otolith core </w:t>
      </w:r>
      <w:r w:rsidRPr="0011703F">
        <w:rPr>
          <w:vertAlign w:val="superscript"/>
        </w:rPr>
        <w:t>87</w:t>
      </w:r>
      <w:r>
        <w:t>Sr/</w:t>
      </w:r>
      <w:r w:rsidRPr="0011703F">
        <w:rPr>
          <w:vertAlign w:val="superscript"/>
        </w:rPr>
        <w:t>86</w:t>
      </w:r>
      <w:r>
        <w:t xml:space="preserve">Sr comparable to water </w:t>
      </w:r>
      <w:r w:rsidRPr="0011703F">
        <w:rPr>
          <w:vertAlign w:val="superscript"/>
        </w:rPr>
        <w:t>87</w:t>
      </w:r>
      <w:r>
        <w:t>Sr/</w:t>
      </w:r>
      <w:r w:rsidRPr="0011703F">
        <w:rPr>
          <w:vertAlign w:val="superscript"/>
        </w:rPr>
        <w:t>86</w:t>
      </w:r>
      <w:r>
        <w:t xml:space="preserve">Sr in the lower River Murray and the </w:t>
      </w:r>
      <w:r w:rsidRPr="00077C6E">
        <w:t>mid-Murray River</w:t>
      </w:r>
      <w:r>
        <w:t xml:space="preserve"> (</w:t>
      </w:r>
      <w:r>
        <w:fldChar w:fldCharType="begin"/>
      </w:r>
      <w:r>
        <w:instrText xml:space="preserve"> REF _Ref16606571 \h </w:instrText>
      </w:r>
      <w:r>
        <w:fldChar w:fldCharType="separate"/>
      </w:r>
      <w:r w:rsidR="00102828">
        <w:t xml:space="preserve">Figure </w:t>
      </w:r>
      <w:r w:rsidR="00102828">
        <w:rPr>
          <w:noProof/>
        </w:rPr>
        <w:t>56</w:t>
      </w:r>
      <w:r>
        <w:fldChar w:fldCharType="end"/>
      </w:r>
      <w:r>
        <w:t xml:space="preserve">; </w:t>
      </w:r>
      <w:r>
        <w:fldChar w:fldCharType="begin"/>
      </w:r>
      <w:r>
        <w:instrText xml:space="preserve"> REF _Ref187155336 \h </w:instrText>
      </w:r>
      <w:r>
        <w:fldChar w:fldCharType="separate"/>
      </w:r>
      <w:r w:rsidR="00102828" w:rsidRPr="009E0EDD">
        <w:t xml:space="preserve">Figure </w:t>
      </w:r>
      <w:r w:rsidR="00102828">
        <w:rPr>
          <w:noProof/>
        </w:rPr>
        <w:t>62</w:t>
      </w:r>
      <w:r>
        <w:fldChar w:fldCharType="end"/>
      </w:r>
      <w:r>
        <w:t xml:space="preserve">). Otolith transects indicated that some fish from these cohorts were born and spent their entire lives in the lower River Murray, whilst others originated from the mid-Murray River, upstream of the Darling River junction, and transitioned into the lower River Murray early in their first year (i.e. age 0+), and remained in this region until capture. </w:t>
      </w:r>
    </w:p>
    <w:p w14:paraId="6010745E" w14:textId="77777777" w:rsidR="00F87105" w:rsidRDefault="00F87105" w:rsidP="00F87105">
      <w:r>
        <w:t xml:space="preserve">Two individual silver perch sampled in 2016, from 2009-10 and 2011-12 year classes, </w:t>
      </w:r>
      <w:r w:rsidRPr="002334B4">
        <w:t xml:space="preserve">exhibited otolith core </w:t>
      </w:r>
      <w:r w:rsidRPr="00027D19">
        <w:rPr>
          <w:vertAlign w:val="superscript"/>
        </w:rPr>
        <w:t>87</w:t>
      </w:r>
      <w:r w:rsidRPr="002334B4">
        <w:t>Sr/</w:t>
      </w:r>
      <w:r w:rsidRPr="00027D19">
        <w:rPr>
          <w:vertAlign w:val="superscript"/>
        </w:rPr>
        <w:t>86</w:t>
      </w:r>
      <w:r w:rsidRPr="002334B4">
        <w:t xml:space="preserve">Sr comparable to water </w:t>
      </w:r>
      <w:r w:rsidRPr="00027D19">
        <w:rPr>
          <w:vertAlign w:val="superscript"/>
        </w:rPr>
        <w:t>87</w:t>
      </w:r>
      <w:r w:rsidRPr="002334B4">
        <w:t>Sr/</w:t>
      </w:r>
      <w:r w:rsidRPr="00027D19">
        <w:rPr>
          <w:vertAlign w:val="superscript"/>
        </w:rPr>
        <w:t>86</w:t>
      </w:r>
      <w:r w:rsidRPr="002334B4">
        <w:t>Sr in the</w:t>
      </w:r>
      <w:r>
        <w:t xml:space="preserve"> Darling River. Otolith transects indicated that some fish originated from the Darling River and transitioned into the lower River Murray in their first (i.e. age 0+, 2011-12) or second year (i.e. age 1+, 2009-10), and remained in this region until capture.</w:t>
      </w:r>
    </w:p>
    <w:p w14:paraId="724D279E" w14:textId="77777777" w:rsidR="00F87105" w:rsidRDefault="00F87105" w:rsidP="00F87105"/>
    <w:p w14:paraId="14F5C0B4" w14:textId="77777777" w:rsidR="00F87105" w:rsidRPr="009E0EDD" w:rsidRDefault="00F87105" w:rsidP="00F87105">
      <w:pPr>
        <w:jc w:val="center"/>
      </w:pPr>
      <w:r>
        <w:rPr>
          <w:noProof/>
        </w:rPr>
        <w:lastRenderedPageBreak/>
        <w:drawing>
          <wp:inline distT="0" distB="0" distL="0" distR="0" wp14:anchorId="5A0B6791" wp14:editId="11D0A2E6">
            <wp:extent cx="5592726" cy="7358380"/>
            <wp:effectExtent l="0" t="0" r="8255" b="0"/>
            <wp:docPr id="1502917028" name="Picture 2" descr="Graphs showing age frequency distribution of golden perch from the Lower Murray River from 2015–2024 and the natal origins of dominant cohorts inferred from otolith core signatures of the sampled fish in comparison to the water sample reference coll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17028" name="Picture 2" descr="Graphs showing age frequency distribution of golden perch from the Lower Murray River from 2015–2024 and the natal origins of dominant cohorts inferred from otolith core signatures of the sampled fish in comparison to the water sample reference collection ."/>
                    <pic:cNvPicPr/>
                  </pic:nvPicPr>
                  <pic:blipFill rotWithShape="1">
                    <a:blip r:embed="rId130" cstate="print">
                      <a:extLst>
                        <a:ext uri="{28A0092B-C50C-407E-A947-70E740481C1C}">
                          <a14:useLocalDpi xmlns:a14="http://schemas.microsoft.com/office/drawing/2010/main" val="0"/>
                        </a:ext>
                      </a:extLst>
                    </a:blip>
                    <a:srcRect t="4154" r="2416"/>
                    <a:stretch/>
                  </pic:blipFill>
                  <pic:spPr bwMode="auto">
                    <a:xfrm>
                      <a:off x="0" y="0"/>
                      <a:ext cx="5593051" cy="7358808"/>
                    </a:xfrm>
                    <a:prstGeom prst="rect">
                      <a:avLst/>
                    </a:prstGeom>
                    <a:ln>
                      <a:noFill/>
                    </a:ln>
                    <a:extLst>
                      <a:ext uri="{53640926-AAD7-44D8-BBD7-CCE9431645EC}">
                        <a14:shadowObscured xmlns:a14="http://schemas.microsoft.com/office/drawing/2010/main"/>
                      </a:ext>
                    </a:extLst>
                  </pic:spPr>
                </pic:pic>
              </a:graphicData>
            </a:graphic>
          </wp:inline>
        </w:drawing>
      </w:r>
    </w:p>
    <w:p w14:paraId="32EE66E0" w14:textId="3C927EB2" w:rsidR="00F87105" w:rsidRDefault="00F87105" w:rsidP="00605FB2">
      <w:pPr>
        <w:pStyle w:val="Captions"/>
      </w:pPr>
      <w:bookmarkStart w:id="463" w:name="_Ref81229309"/>
      <w:bookmarkStart w:id="464" w:name="_Ref531251781"/>
      <w:bookmarkStart w:id="465" w:name="_Toc200464512"/>
      <w:bookmarkStart w:id="466" w:name="_Toc3558379"/>
      <w:bookmarkStart w:id="467" w:name="_Toc103170104"/>
      <w:bookmarkStart w:id="468" w:name="_Toc166771781"/>
      <w:r w:rsidRPr="009E0EDD">
        <w:t xml:space="preserve">Figure </w:t>
      </w:r>
      <w:r w:rsidR="00967BB2">
        <w:fldChar w:fldCharType="begin"/>
      </w:r>
      <w:r w:rsidR="00967BB2">
        <w:instrText xml:space="preserve"> SEQ Figure \* ARABIC </w:instrText>
      </w:r>
      <w:r w:rsidR="00967BB2">
        <w:fldChar w:fldCharType="separate"/>
      </w:r>
      <w:r w:rsidR="00102828">
        <w:rPr>
          <w:noProof/>
        </w:rPr>
        <w:t>61</w:t>
      </w:r>
      <w:r w:rsidR="00967BB2">
        <w:rPr>
          <w:noProof/>
        </w:rPr>
        <w:fldChar w:fldCharType="end"/>
      </w:r>
      <w:bookmarkEnd w:id="463"/>
      <w:bookmarkEnd w:id="464"/>
      <w:r w:rsidRPr="009E0EDD">
        <w:t xml:space="preserve">. </w:t>
      </w:r>
      <w:r w:rsidRPr="00BB15D5">
        <w:t xml:space="preserve">Age frequency distribution of golden perch from the </w:t>
      </w:r>
      <w:r w:rsidR="00A925D5">
        <w:t>Lower Murray River</w:t>
      </w:r>
      <w:r w:rsidRPr="00BB15D5">
        <w:t xml:space="preserve"> from 2015–20</w:t>
      </w:r>
      <w:r>
        <w:t>24</w:t>
      </w:r>
      <w:r w:rsidRPr="00BB15D5">
        <w:t xml:space="preserve"> showing the natal origins of dominant cohorts inferred from otolith core signatures of the sampled fish in comparison to the water sample reference collection </w:t>
      </w:r>
      <w:r>
        <w:t>(</w:t>
      </w:r>
      <w:r>
        <w:fldChar w:fldCharType="begin"/>
      </w:r>
      <w:r>
        <w:instrText xml:space="preserve"> REF _Ref16606571 \h </w:instrText>
      </w:r>
      <w:r>
        <w:fldChar w:fldCharType="separate"/>
      </w:r>
      <w:r w:rsidR="00102828">
        <w:t xml:space="preserve">Figure </w:t>
      </w:r>
      <w:r w:rsidR="00102828">
        <w:rPr>
          <w:noProof/>
        </w:rPr>
        <w:t>56</w:t>
      </w:r>
      <w:r>
        <w:fldChar w:fldCharType="end"/>
      </w:r>
      <w:r w:rsidRPr="00BB15D5">
        <w:t xml:space="preserve">). LRM = Murray River, below the Darling </w:t>
      </w:r>
      <w:r w:rsidR="00E75E8D">
        <w:t>River junction</w:t>
      </w:r>
      <w:r w:rsidRPr="00BB15D5">
        <w:t>. Percentage of origin for each cohort are based on the subsampled population. Age cohorts with grey bars were not assessed for natal origin.</w:t>
      </w:r>
      <w:bookmarkEnd w:id="465"/>
      <w:r w:rsidRPr="00BB15D5">
        <w:t xml:space="preserve"> </w:t>
      </w:r>
      <w:bookmarkEnd w:id="466"/>
      <w:bookmarkEnd w:id="467"/>
      <w:bookmarkEnd w:id="468"/>
    </w:p>
    <w:p w14:paraId="7EED5CAA" w14:textId="77777777" w:rsidR="00F87105" w:rsidRDefault="00F87105" w:rsidP="00F87105">
      <w:pPr>
        <w:rPr>
          <w:lang w:val="en-US"/>
        </w:rPr>
      </w:pPr>
      <w:r>
        <w:rPr>
          <w:noProof/>
          <w:lang w:val="en-US"/>
        </w:rPr>
        <w:lastRenderedPageBreak/>
        <w:drawing>
          <wp:inline distT="0" distB="0" distL="0" distR="0" wp14:anchorId="10AFB0BB" wp14:editId="79F82794">
            <wp:extent cx="5603358" cy="7397115"/>
            <wp:effectExtent l="0" t="0" r="0" b="0"/>
            <wp:docPr id="1032281522" name="Picture 3" descr="Age frequency distribution graphs of silver perch from the Lower Murray River from 2015–2024 showing the natal origins of dominant cohorts inferred from otolith core signatures of the sampled fish in comparison to the water sample reference coll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281522" name="Picture 3" descr="Age frequency distribution graphs of silver perch from the Lower Murray River from 2015–2024 showing the natal origins of dominant cohorts inferred from otolith core signatures of the sampled fish in comparison to the water sample reference collection. "/>
                    <pic:cNvPicPr/>
                  </pic:nvPicPr>
                  <pic:blipFill rotWithShape="1">
                    <a:blip r:embed="rId131" cstate="print">
                      <a:extLst>
                        <a:ext uri="{28A0092B-C50C-407E-A947-70E740481C1C}">
                          <a14:useLocalDpi xmlns:a14="http://schemas.microsoft.com/office/drawing/2010/main" val="0"/>
                        </a:ext>
                      </a:extLst>
                    </a:blip>
                    <a:srcRect t="4134" r="2231"/>
                    <a:stretch/>
                  </pic:blipFill>
                  <pic:spPr bwMode="auto">
                    <a:xfrm>
                      <a:off x="0" y="0"/>
                      <a:ext cx="5603682" cy="7397543"/>
                    </a:xfrm>
                    <a:prstGeom prst="rect">
                      <a:avLst/>
                    </a:prstGeom>
                    <a:ln>
                      <a:noFill/>
                    </a:ln>
                    <a:extLst>
                      <a:ext uri="{53640926-AAD7-44D8-BBD7-CCE9431645EC}">
                        <a14:shadowObscured xmlns:a14="http://schemas.microsoft.com/office/drawing/2010/main"/>
                      </a:ext>
                    </a:extLst>
                  </pic:spPr>
                </pic:pic>
              </a:graphicData>
            </a:graphic>
          </wp:inline>
        </w:drawing>
      </w:r>
    </w:p>
    <w:p w14:paraId="7308D5EC" w14:textId="3C67CDE2" w:rsidR="00F87105" w:rsidRPr="00BB15D5" w:rsidRDefault="00F87105" w:rsidP="00605FB2">
      <w:pPr>
        <w:pStyle w:val="Captions"/>
      </w:pPr>
      <w:bookmarkStart w:id="469" w:name="_Ref187155336"/>
      <w:bookmarkStart w:id="470" w:name="_Toc200464513"/>
      <w:r w:rsidRPr="009E0EDD">
        <w:t xml:space="preserve">Figure </w:t>
      </w:r>
      <w:r w:rsidR="00967BB2">
        <w:fldChar w:fldCharType="begin"/>
      </w:r>
      <w:r w:rsidR="00967BB2">
        <w:instrText xml:space="preserve"> SEQ Figure \* ARABIC </w:instrText>
      </w:r>
      <w:r w:rsidR="00967BB2">
        <w:fldChar w:fldCharType="separate"/>
      </w:r>
      <w:r w:rsidR="00102828">
        <w:rPr>
          <w:noProof/>
        </w:rPr>
        <w:t>62</w:t>
      </w:r>
      <w:r w:rsidR="00967BB2">
        <w:rPr>
          <w:noProof/>
        </w:rPr>
        <w:fldChar w:fldCharType="end"/>
      </w:r>
      <w:bookmarkEnd w:id="469"/>
      <w:r w:rsidRPr="009E0EDD">
        <w:t xml:space="preserve">. </w:t>
      </w:r>
      <w:r w:rsidRPr="00BB15D5">
        <w:t xml:space="preserve">Age frequency distribution of </w:t>
      </w:r>
      <w:r>
        <w:t>silver</w:t>
      </w:r>
      <w:r w:rsidRPr="00BB15D5">
        <w:t xml:space="preserve"> perch from the </w:t>
      </w:r>
      <w:r w:rsidR="00A925D5">
        <w:t>Lower Murray River</w:t>
      </w:r>
      <w:r w:rsidRPr="00BB15D5">
        <w:t xml:space="preserve"> from 2015–20</w:t>
      </w:r>
      <w:r>
        <w:t>24</w:t>
      </w:r>
      <w:r w:rsidRPr="00BB15D5">
        <w:t xml:space="preserve"> showing the natal origins of dominant cohorts inferred from otolith core signatures of the sampled fish in comparison to the water sample reference collection (</w:t>
      </w:r>
      <w:r>
        <w:rPr>
          <w:highlight w:val="yellow"/>
        </w:rPr>
        <w:fldChar w:fldCharType="begin"/>
      </w:r>
      <w:r>
        <w:instrText xml:space="preserve"> REF _Ref16606571 \h </w:instrText>
      </w:r>
      <w:r>
        <w:rPr>
          <w:highlight w:val="yellow"/>
        </w:rPr>
      </w:r>
      <w:r>
        <w:rPr>
          <w:highlight w:val="yellow"/>
        </w:rPr>
        <w:fldChar w:fldCharType="separate"/>
      </w:r>
      <w:r w:rsidR="00102828">
        <w:t xml:space="preserve">Figure </w:t>
      </w:r>
      <w:r w:rsidR="00102828">
        <w:rPr>
          <w:noProof/>
        </w:rPr>
        <w:t>56</w:t>
      </w:r>
      <w:r>
        <w:rPr>
          <w:highlight w:val="yellow"/>
        </w:rPr>
        <w:fldChar w:fldCharType="end"/>
      </w:r>
      <w:r w:rsidRPr="00BB15D5">
        <w:t xml:space="preserve">). LRM = Murray River, below the Darling </w:t>
      </w:r>
      <w:r w:rsidR="00E75E8D">
        <w:t>River junction</w:t>
      </w:r>
      <w:r w:rsidRPr="00BB15D5">
        <w:t>. Percentage of origin for each cohort are based on the subsampled population. Age cohorts with grey bars were not assessed for natal origin.</w:t>
      </w:r>
      <w:bookmarkEnd w:id="470"/>
    </w:p>
    <w:p w14:paraId="272BD15F" w14:textId="77777777" w:rsidR="00560E8D" w:rsidRDefault="00560E8D" w:rsidP="00F87105">
      <w:pPr>
        <w:jc w:val="center"/>
        <w:sectPr w:rsidR="00560E8D" w:rsidSect="005353EE">
          <w:pgSz w:w="11906" w:h="16838"/>
          <w:pgMar w:top="1440" w:right="1440" w:bottom="1440" w:left="1440" w:header="708" w:footer="708" w:gutter="0"/>
          <w:cols w:space="708"/>
          <w:docGrid w:linePitch="360"/>
        </w:sectPr>
      </w:pPr>
    </w:p>
    <w:p w14:paraId="6B48145D" w14:textId="77777777" w:rsidR="00F87105" w:rsidRDefault="00F87105" w:rsidP="00F87105">
      <w:pPr>
        <w:pStyle w:val="Heading3"/>
      </w:pPr>
      <w:r w:rsidRPr="00B76721">
        <w:lastRenderedPageBreak/>
        <w:t>Evaluation</w:t>
      </w:r>
    </w:p>
    <w:p w14:paraId="474227C6" w14:textId="6CE48274" w:rsidR="00F87105" w:rsidRDefault="00F87105" w:rsidP="00F87105">
      <w:r>
        <w:t xml:space="preserve">The evaluation approach, including assessment criteria, is described in the evaluation section for Hydraulic Regime (Section </w:t>
      </w:r>
      <w:r>
        <w:fldChar w:fldCharType="begin"/>
      </w:r>
      <w:r>
        <w:instrText xml:space="preserve"> REF _Ref35872226 \r \h  \* MERGEFORMAT </w:instrText>
      </w:r>
      <w:r>
        <w:fldChar w:fldCharType="separate"/>
      </w:r>
      <w:r w:rsidR="00102828">
        <w:t>2.1</w:t>
      </w:r>
      <w:r>
        <w:fldChar w:fldCharType="end"/>
      </w:r>
      <w:r>
        <w:t>).</w:t>
      </w:r>
    </w:p>
    <w:p w14:paraId="4FFCB7A9" w14:textId="2AC8718D" w:rsidR="00F87105" w:rsidRPr="00B76721" w:rsidRDefault="00F87105" w:rsidP="00F87105">
      <w:pPr>
        <w:pStyle w:val="Caption"/>
      </w:pPr>
      <w:bookmarkStart w:id="471" w:name="_Ref127969575"/>
      <w:bookmarkStart w:id="472" w:name="_Toc101963878"/>
      <w:bookmarkStart w:id="473" w:name="_Toc166771817"/>
      <w:bookmarkStart w:id="474" w:name="_Toc200464544"/>
      <w:r>
        <w:t xml:space="preserve">Table </w:t>
      </w:r>
      <w:r>
        <w:fldChar w:fldCharType="begin"/>
      </w:r>
      <w:r>
        <w:instrText>SEQ Table \* ARABIC</w:instrText>
      </w:r>
      <w:r>
        <w:fldChar w:fldCharType="separate"/>
      </w:r>
      <w:r w:rsidR="00102828">
        <w:rPr>
          <w:noProof/>
        </w:rPr>
        <w:t>20</w:t>
      </w:r>
      <w:r>
        <w:fldChar w:fldCharType="end"/>
      </w:r>
      <w:bookmarkEnd w:id="471"/>
      <w:r>
        <w:t xml:space="preserve">. </w:t>
      </w:r>
      <w:r w:rsidRPr="00F46757">
        <w:t xml:space="preserve">Flow-cued Spawning Fish </w:t>
      </w:r>
      <w:r>
        <w:t>Reproduction evaluation questions and answers.</w:t>
      </w:r>
      <w:bookmarkEnd w:id="472"/>
      <w:bookmarkEnd w:id="473"/>
      <w:bookmarkEnd w:id="474"/>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Flow-cued Spawning Fish Reproduction evaluation questions and answers."/>
      </w:tblPr>
      <w:tblGrid>
        <w:gridCol w:w="1837"/>
        <w:gridCol w:w="1133"/>
        <w:gridCol w:w="993"/>
        <w:gridCol w:w="59"/>
        <w:gridCol w:w="1163"/>
        <w:gridCol w:w="56"/>
        <w:gridCol w:w="990"/>
        <w:gridCol w:w="117"/>
        <w:gridCol w:w="1158"/>
        <w:gridCol w:w="1278"/>
        <w:gridCol w:w="1275"/>
        <w:gridCol w:w="1278"/>
        <w:gridCol w:w="1283"/>
        <w:gridCol w:w="1328"/>
      </w:tblGrid>
      <w:tr w:rsidR="00F87105" w:rsidRPr="004561A6" w14:paraId="6E026A1A" w14:textId="77777777" w:rsidTr="00B406CF">
        <w:trPr>
          <w:cantSplit/>
          <w:trHeight w:val="20"/>
          <w:tblHeader/>
        </w:trPr>
        <w:tc>
          <w:tcPr>
            <w:tcW w:w="659" w:type="pct"/>
            <w:vMerge w:val="restart"/>
            <w:tcBorders>
              <w:top w:val="single" w:sz="4" w:space="0" w:color="auto"/>
              <w:left w:val="single" w:sz="4" w:space="0" w:color="auto"/>
              <w:right w:val="single" w:sz="4" w:space="0" w:color="auto"/>
            </w:tcBorders>
          </w:tcPr>
          <w:p w14:paraId="2D1EBB57" w14:textId="77777777" w:rsidR="00F87105" w:rsidRPr="004561A6" w:rsidRDefault="00F87105" w:rsidP="006A4AFE">
            <w:pPr>
              <w:pStyle w:val="TableHeading"/>
              <w:jc w:val="center"/>
              <w:rPr>
                <w:sz w:val="18"/>
                <w:szCs w:val="18"/>
              </w:rPr>
            </w:pPr>
            <w:r>
              <w:rPr>
                <w:sz w:val="18"/>
                <w:szCs w:val="18"/>
              </w:rPr>
              <w:t>CEWH</w:t>
            </w:r>
            <w:r w:rsidRPr="004561A6">
              <w:rPr>
                <w:sz w:val="18"/>
                <w:szCs w:val="18"/>
              </w:rPr>
              <w:t xml:space="preserve"> evaluation questions </w:t>
            </w:r>
          </w:p>
        </w:tc>
        <w:tc>
          <w:tcPr>
            <w:tcW w:w="4341" w:type="pct"/>
            <w:gridSpan w:val="13"/>
            <w:tcBorders>
              <w:top w:val="single" w:sz="4" w:space="0" w:color="auto"/>
              <w:left w:val="single" w:sz="4" w:space="0" w:color="auto"/>
              <w:right w:val="single" w:sz="4" w:space="0" w:color="auto"/>
            </w:tcBorders>
          </w:tcPr>
          <w:p w14:paraId="0F05D67E" w14:textId="77777777" w:rsidR="00F87105" w:rsidRPr="004561A6" w:rsidRDefault="00F87105" w:rsidP="006A4AFE">
            <w:pPr>
              <w:pStyle w:val="TableHeading"/>
              <w:jc w:val="center"/>
              <w:rPr>
                <w:sz w:val="18"/>
                <w:szCs w:val="18"/>
              </w:rPr>
            </w:pPr>
            <w:r w:rsidRPr="004561A6">
              <w:rPr>
                <w:sz w:val="18"/>
                <w:szCs w:val="18"/>
              </w:rPr>
              <w:t>Outcomes of flow delivery</w:t>
            </w:r>
          </w:p>
        </w:tc>
      </w:tr>
      <w:tr w:rsidR="00560E8D" w:rsidRPr="004561A6" w14:paraId="3485E17B" w14:textId="77777777" w:rsidTr="0040128C">
        <w:trPr>
          <w:cantSplit/>
          <w:trHeight w:val="20"/>
          <w:tblHeader/>
        </w:trPr>
        <w:tc>
          <w:tcPr>
            <w:tcW w:w="659" w:type="pct"/>
            <w:vMerge/>
            <w:tcBorders>
              <w:left w:val="single" w:sz="4" w:space="0" w:color="auto"/>
              <w:bottom w:val="single" w:sz="4" w:space="0" w:color="auto"/>
              <w:right w:val="single" w:sz="4" w:space="0" w:color="auto"/>
            </w:tcBorders>
          </w:tcPr>
          <w:p w14:paraId="6DAD487A" w14:textId="77777777" w:rsidR="00560E8D" w:rsidRPr="004561A6" w:rsidRDefault="00560E8D" w:rsidP="006A4AFE">
            <w:pPr>
              <w:pStyle w:val="TableHeading"/>
              <w:jc w:val="center"/>
              <w:rPr>
                <w:sz w:val="18"/>
                <w:szCs w:val="18"/>
              </w:rPr>
            </w:pPr>
          </w:p>
        </w:tc>
        <w:tc>
          <w:tcPr>
            <w:tcW w:w="406" w:type="pct"/>
            <w:tcBorders>
              <w:left w:val="single" w:sz="4" w:space="0" w:color="auto"/>
              <w:bottom w:val="single" w:sz="4" w:space="0" w:color="auto"/>
            </w:tcBorders>
            <w:vAlign w:val="bottom"/>
          </w:tcPr>
          <w:p w14:paraId="4F090A01" w14:textId="74845050" w:rsidR="00560E8D" w:rsidRPr="004561A6" w:rsidRDefault="00560E8D" w:rsidP="006A4AFE">
            <w:pPr>
              <w:pStyle w:val="TableHeading"/>
              <w:jc w:val="center"/>
              <w:rPr>
                <w:sz w:val="18"/>
                <w:szCs w:val="18"/>
              </w:rPr>
            </w:pPr>
            <w:r w:rsidRPr="004561A6">
              <w:rPr>
                <w:sz w:val="18"/>
                <w:szCs w:val="18"/>
              </w:rPr>
              <w:t>2014</w:t>
            </w:r>
            <w:r>
              <w:rPr>
                <w:sz w:val="18"/>
                <w:szCs w:val="18"/>
              </w:rPr>
              <w:t>-15</w:t>
            </w:r>
          </w:p>
        </w:tc>
        <w:tc>
          <w:tcPr>
            <w:tcW w:w="356" w:type="pct"/>
            <w:tcBorders>
              <w:left w:val="single" w:sz="4" w:space="0" w:color="auto"/>
              <w:bottom w:val="single" w:sz="4" w:space="0" w:color="auto"/>
            </w:tcBorders>
            <w:vAlign w:val="bottom"/>
          </w:tcPr>
          <w:p w14:paraId="28D1AA12" w14:textId="69FD4609" w:rsidR="00560E8D" w:rsidRPr="004561A6" w:rsidRDefault="00560E8D" w:rsidP="006A4AFE">
            <w:pPr>
              <w:pStyle w:val="TableHeading"/>
              <w:jc w:val="center"/>
              <w:rPr>
                <w:sz w:val="18"/>
                <w:szCs w:val="18"/>
              </w:rPr>
            </w:pPr>
            <w:r>
              <w:rPr>
                <w:sz w:val="18"/>
                <w:szCs w:val="18"/>
              </w:rPr>
              <w:t>2015-16</w:t>
            </w:r>
          </w:p>
        </w:tc>
        <w:tc>
          <w:tcPr>
            <w:tcW w:w="458" w:type="pct"/>
            <w:gridSpan w:val="3"/>
            <w:tcBorders>
              <w:left w:val="single" w:sz="4" w:space="0" w:color="auto"/>
              <w:bottom w:val="single" w:sz="4" w:space="0" w:color="auto"/>
            </w:tcBorders>
            <w:vAlign w:val="bottom"/>
          </w:tcPr>
          <w:p w14:paraId="0E7648FD" w14:textId="72FC77D9" w:rsidR="00560E8D" w:rsidRPr="004561A6" w:rsidRDefault="00560E8D" w:rsidP="006A4AFE">
            <w:pPr>
              <w:pStyle w:val="TableHeading"/>
              <w:jc w:val="center"/>
              <w:rPr>
                <w:sz w:val="18"/>
                <w:szCs w:val="18"/>
              </w:rPr>
            </w:pPr>
            <w:r>
              <w:rPr>
                <w:sz w:val="18"/>
                <w:szCs w:val="18"/>
              </w:rPr>
              <w:t>2016-17</w:t>
            </w:r>
          </w:p>
        </w:tc>
        <w:tc>
          <w:tcPr>
            <w:tcW w:w="355" w:type="pct"/>
            <w:tcBorders>
              <w:left w:val="single" w:sz="4" w:space="0" w:color="auto"/>
              <w:bottom w:val="single" w:sz="4" w:space="0" w:color="auto"/>
            </w:tcBorders>
            <w:vAlign w:val="bottom"/>
          </w:tcPr>
          <w:p w14:paraId="6ADABA38" w14:textId="2961A520" w:rsidR="00560E8D" w:rsidRPr="004561A6" w:rsidRDefault="00560E8D" w:rsidP="006A4AFE">
            <w:pPr>
              <w:pStyle w:val="TableHeading"/>
              <w:jc w:val="center"/>
              <w:rPr>
                <w:sz w:val="18"/>
                <w:szCs w:val="18"/>
              </w:rPr>
            </w:pPr>
            <w:r>
              <w:rPr>
                <w:sz w:val="18"/>
                <w:szCs w:val="18"/>
              </w:rPr>
              <w:t>2017-18</w:t>
            </w:r>
          </w:p>
        </w:tc>
        <w:tc>
          <w:tcPr>
            <w:tcW w:w="457" w:type="pct"/>
            <w:gridSpan w:val="2"/>
            <w:tcBorders>
              <w:left w:val="single" w:sz="4" w:space="0" w:color="auto"/>
              <w:bottom w:val="single" w:sz="4" w:space="0" w:color="auto"/>
            </w:tcBorders>
            <w:vAlign w:val="bottom"/>
          </w:tcPr>
          <w:p w14:paraId="2BC252DA" w14:textId="0EC1F2E1" w:rsidR="00560E8D" w:rsidRPr="004561A6" w:rsidRDefault="00560E8D" w:rsidP="006A4AFE">
            <w:pPr>
              <w:pStyle w:val="TableHeading"/>
              <w:jc w:val="center"/>
              <w:rPr>
                <w:sz w:val="18"/>
                <w:szCs w:val="18"/>
              </w:rPr>
            </w:pPr>
            <w:r>
              <w:rPr>
                <w:sz w:val="18"/>
                <w:szCs w:val="18"/>
              </w:rPr>
              <w:t>2018-19</w:t>
            </w:r>
          </w:p>
        </w:tc>
        <w:tc>
          <w:tcPr>
            <w:tcW w:w="458" w:type="pct"/>
            <w:tcBorders>
              <w:top w:val="single" w:sz="4" w:space="0" w:color="auto"/>
              <w:bottom w:val="single" w:sz="4" w:space="0" w:color="auto"/>
            </w:tcBorders>
          </w:tcPr>
          <w:p w14:paraId="58F149A3" w14:textId="77777777" w:rsidR="00560E8D" w:rsidRPr="004561A6" w:rsidRDefault="00560E8D" w:rsidP="006A4AFE">
            <w:pPr>
              <w:pStyle w:val="TableHeading"/>
              <w:jc w:val="center"/>
              <w:rPr>
                <w:sz w:val="18"/>
                <w:szCs w:val="18"/>
              </w:rPr>
            </w:pPr>
            <w:r w:rsidRPr="004561A6">
              <w:rPr>
                <w:sz w:val="18"/>
                <w:szCs w:val="18"/>
              </w:rPr>
              <w:t>2019-20*</w:t>
            </w:r>
          </w:p>
        </w:tc>
        <w:tc>
          <w:tcPr>
            <w:tcW w:w="457" w:type="pct"/>
            <w:tcBorders>
              <w:top w:val="single" w:sz="4" w:space="0" w:color="auto"/>
              <w:bottom w:val="single" w:sz="4" w:space="0" w:color="auto"/>
            </w:tcBorders>
          </w:tcPr>
          <w:p w14:paraId="3BA2E741" w14:textId="77777777" w:rsidR="00560E8D" w:rsidRPr="004561A6" w:rsidRDefault="00560E8D" w:rsidP="006A4AFE">
            <w:pPr>
              <w:pStyle w:val="TableHeading"/>
              <w:jc w:val="center"/>
              <w:rPr>
                <w:sz w:val="18"/>
                <w:szCs w:val="18"/>
              </w:rPr>
            </w:pPr>
            <w:r w:rsidRPr="004561A6">
              <w:rPr>
                <w:sz w:val="18"/>
                <w:szCs w:val="18"/>
              </w:rPr>
              <w:t>2020-21</w:t>
            </w:r>
          </w:p>
        </w:tc>
        <w:tc>
          <w:tcPr>
            <w:tcW w:w="458" w:type="pct"/>
            <w:tcBorders>
              <w:top w:val="single" w:sz="4" w:space="0" w:color="auto"/>
              <w:bottom w:val="single" w:sz="4" w:space="0" w:color="auto"/>
            </w:tcBorders>
          </w:tcPr>
          <w:p w14:paraId="738E77CF" w14:textId="77777777" w:rsidR="00560E8D" w:rsidRPr="004561A6" w:rsidRDefault="00560E8D" w:rsidP="006A4AFE">
            <w:pPr>
              <w:pStyle w:val="TableHeading"/>
              <w:jc w:val="center"/>
              <w:rPr>
                <w:sz w:val="18"/>
                <w:szCs w:val="18"/>
              </w:rPr>
            </w:pPr>
            <w:r w:rsidRPr="004561A6">
              <w:rPr>
                <w:sz w:val="18"/>
                <w:szCs w:val="18"/>
              </w:rPr>
              <w:t>2021-22</w:t>
            </w:r>
          </w:p>
        </w:tc>
        <w:tc>
          <w:tcPr>
            <w:tcW w:w="460" w:type="pct"/>
            <w:tcBorders>
              <w:top w:val="single" w:sz="4" w:space="0" w:color="auto"/>
              <w:bottom w:val="single" w:sz="4" w:space="0" w:color="auto"/>
            </w:tcBorders>
          </w:tcPr>
          <w:p w14:paraId="278C0E20" w14:textId="61998BEE" w:rsidR="00560E8D" w:rsidRDefault="00560E8D" w:rsidP="006A4AFE">
            <w:pPr>
              <w:pStyle w:val="TableHeading"/>
              <w:jc w:val="center"/>
              <w:rPr>
                <w:sz w:val="18"/>
                <w:szCs w:val="18"/>
              </w:rPr>
            </w:pPr>
            <w:r>
              <w:rPr>
                <w:sz w:val="18"/>
                <w:szCs w:val="18"/>
              </w:rPr>
              <w:t xml:space="preserve">2022–23 </w:t>
            </w:r>
          </w:p>
        </w:tc>
        <w:tc>
          <w:tcPr>
            <w:tcW w:w="475" w:type="pct"/>
            <w:tcBorders>
              <w:top w:val="single" w:sz="4" w:space="0" w:color="auto"/>
              <w:bottom w:val="single" w:sz="4" w:space="0" w:color="auto"/>
            </w:tcBorders>
          </w:tcPr>
          <w:p w14:paraId="3B97402D" w14:textId="6FF7229D" w:rsidR="00560E8D" w:rsidRDefault="00560E8D" w:rsidP="006A4AFE">
            <w:pPr>
              <w:pStyle w:val="TableHeading"/>
              <w:jc w:val="center"/>
              <w:rPr>
                <w:sz w:val="18"/>
                <w:szCs w:val="18"/>
              </w:rPr>
            </w:pPr>
            <w:r>
              <w:rPr>
                <w:sz w:val="18"/>
                <w:szCs w:val="18"/>
              </w:rPr>
              <w:t>2023-24</w:t>
            </w:r>
          </w:p>
        </w:tc>
      </w:tr>
      <w:tr w:rsidR="00AE780D" w:rsidRPr="004561A6" w14:paraId="087FE5DA" w14:textId="77777777" w:rsidTr="0040128C">
        <w:trPr>
          <w:cantSplit/>
          <w:trHeight w:val="20"/>
        </w:trPr>
        <w:tc>
          <w:tcPr>
            <w:tcW w:w="659" w:type="pct"/>
            <w:vMerge w:val="restart"/>
            <w:tcBorders>
              <w:left w:val="single" w:sz="4" w:space="0" w:color="auto"/>
              <w:right w:val="single" w:sz="4" w:space="0" w:color="auto"/>
            </w:tcBorders>
          </w:tcPr>
          <w:p w14:paraId="0F27EB14" w14:textId="3CE57C69" w:rsidR="00560E8D" w:rsidRPr="004561A6" w:rsidRDefault="00560E8D" w:rsidP="006A4AFE">
            <w:pPr>
              <w:pStyle w:val="TableHeading"/>
              <w:jc w:val="left"/>
              <w:rPr>
                <w:sz w:val="18"/>
                <w:szCs w:val="18"/>
              </w:rPr>
            </w:pPr>
            <w:r w:rsidRPr="004561A6">
              <w:rPr>
                <w:b w:val="0"/>
                <w:sz w:val="18"/>
                <w:szCs w:val="18"/>
              </w:rPr>
              <w:t>Did the flow regime (including environmental water) contribute to reproduction (spawning and recruitment</w:t>
            </w:r>
            <w:r w:rsidR="007E151E" w:rsidRPr="007E151E">
              <w:rPr>
                <w:b w:val="0"/>
                <w:sz w:val="18"/>
                <w:szCs w:val="18"/>
                <w:vertAlign w:val="superscript"/>
              </w:rPr>
              <w:t>#</w:t>
            </w:r>
            <w:r w:rsidRPr="004561A6">
              <w:rPr>
                <w:b w:val="0"/>
                <w:sz w:val="18"/>
                <w:szCs w:val="18"/>
              </w:rPr>
              <w:t xml:space="preserve">) of </w:t>
            </w:r>
            <w:r w:rsidRPr="006E74F1">
              <w:rPr>
                <w:bCs/>
                <w:sz w:val="18"/>
                <w:szCs w:val="18"/>
              </w:rPr>
              <w:t>golden perch</w:t>
            </w:r>
            <w:r w:rsidRPr="004561A6">
              <w:rPr>
                <w:b w:val="0"/>
                <w:sz w:val="18"/>
                <w:szCs w:val="18"/>
              </w:rPr>
              <w:t>?</w:t>
            </w:r>
          </w:p>
        </w:tc>
        <w:tc>
          <w:tcPr>
            <w:tcW w:w="406" w:type="pct"/>
            <w:tcBorders>
              <w:left w:val="single" w:sz="4" w:space="0" w:color="auto"/>
              <w:bottom w:val="single" w:sz="4" w:space="0" w:color="auto"/>
            </w:tcBorders>
            <w:shd w:val="clear" w:color="auto" w:fill="E2EFD9" w:themeFill="accent6" w:themeFillTint="33"/>
          </w:tcPr>
          <w:p w14:paraId="258A9ABB" w14:textId="08A4EA94" w:rsidR="00560E8D" w:rsidRPr="004561A6" w:rsidRDefault="00560E8D" w:rsidP="006A4AFE">
            <w:pPr>
              <w:pStyle w:val="TableHeading"/>
              <w:jc w:val="left"/>
              <w:rPr>
                <w:sz w:val="18"/>
                <w:szCs w:val="18"/>
              </w:rPr>
            </w:pPr>
            <w:r w:rsidRPr="004561A6">
              <w:rPr>
                <w:b w:val="0"/>
                <w:sz w:val="18"/>
                <w:szCs w:val="18"/>
              </w:rPr>
              <w:t xml:space="preserve">Coincident spawning, </w:t>
            </w:r>
            <w:r w:rsidR="00AE780D">
              <w:rPr>
                <w:b w:val="0"/>
                <w:sz w:val="18"/>
                <w:szCs w:val="18"/>
              </w:rPr>
              <w:t>negligible</w:t>
            </w:r>
            <w:r w:rsidRPr="004561A6">
              <w:rPr>
                <w:b w:val="0"/>
                <w:sz w:val="18"/>
                <w:szCs w:val="18"/>
              </w:rPr>
              <w:t xml:space="preserve"> recruitment</w:t>
            </w:r>
          </w:p>
        </w:tc>
        <w:tc>
          <w:tcPr>
            <w:tcW w:w="356" w:type="pct"/>
            <w:tcBorders>
              <w:left w:val="single" w:sz="4" w:space="0" w:color="auto"/>
              <w:bottom w:val="single" w:sz="4" w:space="0" w:color="auto"/>
            </w:tcBorders>
            <w:shd w:val="clear" w:color="auto" w:fill="E2EFD9" w:themeFill="accent6" w:themeFillTint="33"/>
          </w:tcPr>
          <w:p w14:paraId="515EB41A" w14:textId="2B97E581" w:rsidR="00560E8D" w:rsidRPr="004561A6" w:rsidRDefault="00AE780D" w:rsidP="006A4AFE">
            <w:pPr>
              <w:pStyle w:val="TableHeading"/>
              <w:jc w:val="left"/>
              <w:rPr>
                <w:sz w:val="18"/>
                <w:szCs w:val="18"/>
              </w:rPr>
            </w:pPr>
            <w:r w:rsidRPr="004561A6">
              <w:rPr>
                <w:b w:val="0"/>
                <w:sz w:val="18"/>
                <w:szCs w:val="18"/>
              </w:rPr>
              <w:t xml:space="preserve">Coincident spawning, </w:t>
            </w:r>
            <w:r>
              <w:rPr>
                <w:b w:val="0"/>
                <w:sz w:val="18"/>
                <w:szCs w:val="18"/>
              </w:rPr>
              <w:t>negligible</w:t>
            </w:r>
            <w:r w:rsidRPr="004561A6">
              <w:rPr>
                <w:b w:val="0"/>
                <w:sz w:val="18"/>
                <w:szCs w:val="18"/>
              </w:rPr>
              <w:t xml:space="preserve"> recruitment</w:t>
            </w:r>
          </w:p>
        </w:tc>
        <w:tc>
          <w:tcPr>
            <w:tcW w:w="458" w:type="pct"/>
            <w:gridSpan w:val="3"/>
            <w:tcBorders>
              <w:left w:val="single" w:sz="4" w:space="0" w:color="auto"/>
              <w:bottom w:val="single" w:sz="4" w:space="0" w:color="auto"/>
            </w:tcBorders>
            <w:shd w:val="clear" w:color="auto" w:fill="70AD47" w:themeFill="accent6"/>
          </w:tcPr>
          <w:p w14:paraId="39301DD1" w14:textId="4B87E1F1" w:rsidR="00560E8D" w:rsidRPr="004561A6" w:rsidRDefault="00560E8D" w:rsidP="006A4AFE">
            <w:pPr>
              <w:pStyle w:val="TableHeading"/>
              <w:jc w:val="left"/>
              <w:rPr>
                <w:sz w:val="18"/>
                <w:szCs w:val="18"/>
              </w:rPr>
            </w:pPr>
            <w:r>
              <w:rPr>
                <w:b w:val="0"/>
                <w:color w:val="auto"/>
                <w:sz w:val="18"/>
                <w:szCs w:val="18"/>
              </w:rPr>
              <w:t>Coincident spawning and minor recruitment</w:t>
            </w:r>
          </w:p>
        </w:tc>
        <w:tc>
          <w:tcPr>
            <w:tcW w:w="355" w:type="pct"/>
            <w:tcBorders>
              <w:left w:val="single" w:sz="4" w:space="0" w:color="auto"/>
              <w:bottom w:val="single" w:sz="4" w:space="0" w:color="auto"/>
            </w:tcBorders>
            <w:shd w:val="clear" w:color="auto" w:fill="A8D08D" w:themeFill="accent6" w:themeFillTint="99"/>
          </w:tcPr>
          <w:p w14:paraId="05F4A2A3" w14:textId="211D4A61" w:rsidR="00560E8D" w:rsidRPr="00AE780D" w:rsidRDefault="00AE780D" w:rsidP="006A4AFE">
            <w:pPr>
              <w:pStyle w:val="TableHeading"/>
              <w:jc w:val="left"/>
              <w:rPr>
                <w:b w:val="0"/>
                <w:bCs/>
                <w:sz w:val="18"/>
                <w:szCs w:val="18"/>
              </w:rPr>
            </w:pPr>
            <w:r w:rsidRPr="00AE780D">
              <w:rPr>
                <w:b w:val="0"/>
                <w:bCs/>
                <w:sz w:val="18"/>
                <w:szCs w:val="18"/>
              </w:rPr>
              <w:t>Coincident spawning and minor recruitment</w:t>
            </w:r>
          </w:p>
        </w:tc>
        <w:tc>
          <w:tcPr>
            <w:tcW w:w="457" w:type="pct"/>
            <w:gridSpan w:val="2"/>
            <w:tcBorders>
              <w:left w:val="single" w:sz="4" w:space="0" w:color="auto"/>
              <w:bottom w:val="single" w:sz="4" w:space="0" w:color="auto"/>
            </w:tcBorders>
            <w:shd w:val="clear" w:color="auto" w:fill="A8D08D" w:themeFill="accent6" w:themeFillTint="99"/>
          </w:tcPr>
          <w:p w14:paraId="09720502" w14:textId="30FAE71D" w:rsidR="00560E8D" w:rsidRPr="00AE780D" w:rsidRDefault="00AE780D" w:rsidP="006A4AFE">
            <w:pPr>
              <w:pStyle w:val="TableHeading"/>
              <w:jc w:val="left"/>
              <w:rPr>
                <w:b w:val="0"/>
                <w:bCs/>
                <w:sz w:val="18"/>
                <w:szCs w:val="18"/>
              </w:rPr>
            </w:pPr>
            <w:r w:rsidRPr="00AE780D">
              <w:rPr>
                <w:b w:val="0"/>
                <w:bCs/>
                <w:sz w:val="18"/>
                <w:szCs w:val="18"/>
              </w:rPr>
              <w:t>Coincident spawning and minor recruitment</w:t>
            </w:r>
          </w:p>
        </w:tc>
        <w:tc>
          <w:tcPr>
            <w:tcW w:w="458" w:type="pct"/>
            <w:tcBorders>
              <w:top w:val="single" w:sz="4" w:space="0" w:color="auto"/>
              <w:bottom w:val="single" w:sz="4" w:space="0" w:color="auto"/>
            </w:tcBorders>
            <w:shd w:val="clear" w:color="auto" w:fill="E2EFD9" w:themeFill="accent6" w:themeFillTint="33"/>
          </w:tcPr>
          <w:p w14:paraId="7636CDAD" w14:textId="77777777" w:rsidR="00560E8D" w:rsidRPr="004561A6" w:rsidRDefault="00560E8D" w:rsidP="006A4AFE">
            <w:pPr>
              <w:pStyle w:val="TableHeading"/>
              <w:jc w:val="left"/>
              <w:rPr>
                <w:b w:val="0"/>
                <w:color w:val="auto"/>
                <w:sz w:val="18"/>
                <w:szCs w:val="18"/>
              </w:rPr>
            </w:pPr>
            <w:r w:rsidRPr="004561A6">
              <w:rPr>
                <w:b w:val="0"/>
                <w:color w:val="auto"/>
                <w:sz w:val="18"/>
                <w:szCs w:val="18"/>
              </w:rPr>
              <w:t>Negligible recruitment</w:t>
            </w:r>
          </w:p>
        </w:tc>
        <w:tc>
          <w:tcPr>
            <w:tcW w:w="457" w:type="pct"/>
            <w:tcBorders>
              <w:top w:val="single" w:sz="4" w:space="0" w:color="auto"/>
              <w:bottom w:val="single" w:sz="4" w:space="0" w:color="auto"/>
            </w:tcBorders>
            <w:shd w:val="clear" w:color="auto" w:fill="70AD47" w:themeFill="accent6"/>
          </w:tcPr>
          <w:p w14:paraId="2F7D6FA4" w14:textId="77777777" w:rsidR="00560E8D" w:rsidRPr="004561A6" w:rsidRDefault="00560E8D" w:rsidP="006A4AFE">
            <w:pPr>
              <w:pStyle w:val="TableHeading"/>
              <w:jc w:val="left"/>
              <w:rPr>
                <w:b w:val="0"/>
                <w:sz w:val="18"/>
                <w:szCs w:val="18"/>
              </w:rPr>
            </w:pPr>
            <w:r w:rsidRPr="004561A6">
              <w:rPr>
                <w:b w:val="0"/>
                <w:sz w:val="18"/>
                <w:szCs w:val="18"/>
              </w:rPr>
              <w:t>Coincident spawning, minor recruitment</w:t>
            </w:r>
          </w:p>
        </w:tc>
        <w:tc>
          <w:tcPr>
            <w:tcW w:w="458" w:type="pct"/>
            <w:tcBorders>
              <w:top w:val="single" w:sz="4" w:space="0" w:color="auto"/>
              <w:bottom w:val="single" w:sz="4" w:space="0" w:color="auto"/>
            </w:tcBorders>
            <w:shd w:val="clear" w:color="auto" w:fill="5BA2F7"/>
          </w:tcPr>
          <w:p w14:paraId="7A30C1EA" w14:textId="77777777" w:rsidR="00560E8D" w:rsidRPr="004561A6" w:rsidRDefault="00560E8D" w:rsidP="006A4AFE">
            <w:pPr>
              <w:pStyle w:val="TableHeading"/>
              <w:jc w:val="left"/>
              <w:rPr>
                <w:b w:val="0"/>
                <w:color w:val="auto"/>
                <w:sz w:val="18"/>
                <w:szCs w:val="18"/>
              </w:rPr>
            </w:pPr>
            <w:r>
              <w:rPr>
                <w:b w:val="0"/>
                <w:color w:val="auto"/>
                <w:sz w:val="18"/>
                <w:szCs w:val="18"/>
              </w:rPr>
              <w:t>Coincident spawning and strong recruitment</w:t>
            </w:r>
          </w:p>
        </w:tc>
        <w:tc>
          <w:tcPr>
            <w:tcW w:w="460" w:type="pct"/>
            <w:tcBorders>
              <w:top w:val="single" w:sz="4" w:space="0" w:color="auto"/>
              <w:bottom w:val="single" w:sz="4" w:space="0" w:color="auto"/>
            </w:tcBorders>
            <w:shd w:val="clear" w:color="auto" w:fill="70AD47" w:themeFill="accent6"/>
          </w:tcPr>
          <w:p w14:paraId="7E89714E" w14:textId="79B84D2E" w:rsidR="00560E8D" w:rsidRDefault="00560E8D" w:rsidP="006A4AFE">
            <w:pPr>
              <w:pStyle w:val="TableHeading"/>
              <w:jc w:val="left"/>
              <w:rPr>
                <w:b w:val="0"/>
                <w:color w:val="auto"/>
                <w:sz w:val="18"/>
                <w:szCs w:val="18"/>
              </w:rPr>
            </w:pPr>
            <w:r>
              <w:rPr>
                <w:b w:val="0"/>
                <w:color w:val="auto"/>
                <w:sz w:val="18"/>
                <w:szCs w:val="18"/>
              </w:rPr>
              <w:t>Coincident spawning and minor recruitment</w:t>
            </w:r>
          </w:p>
        </w:tc>
        <w:tc>
          <w:tcPr>
            <w:tcW w:w="475" w:type="pct"/>
            <w:tcBorders>
              <w:top w:val="single" w:sz="4" w:space="0" w:color="auto"/>
              <w:bottom w:val="single" w:sz="4" w:space="0" w:color="auto"/>
            </w:tcBorders>
            <w:shd w:val="clear" w:color="auto" w:fill="70AD47" w:themeFill="accent6"/>
          </w:tcPr>
          <w:p w14:paraId="3B8C17F5" w14:textId="37F9E759" w:rsidR="00560E8D" w:rsidRDefault="00560E8D" w:rsidP="006A4AFE">
            <w:pPr>
              <w:pStyle w:val="TableHeading"/>
              <w:jc w:val="left"/>
              <w:rPr>
                <w:b w:val="0"/>
                <w:color w:val="auto"/>
                <w:sz w:val="18"/>
                <w:szCs w:val="18"/>
              </w:rPr>
            </w:pPr>
            <w:r>
              <w:rPr>
                <w:b w:val="0"/>
                <w:color w:val="auto"/>
                <w:sz w:val="18"/>
                <w:szCs w:val="18"/>
              </w:rPr>
              <w:t>Coincident spawning and minor recruitment</w:t>
            </w:r>
          </w:p>
        </w:tc>
      </w:tr>
      <w:tr w:rsidR="00F87105" w:rsidRPr="004561A6" w14:paraId="1D647486" w14:textId="77777777" w:rsidTr="00B406CF">
        <w:trPr>
          <w:cantSplit/>
          <w:trHeight w:val="20"/>
        </w:trPr>
        <w:tc>
          <w:tcPr>
            <w:tcW w:w="659" w:type="pct"/>
            <w:vMerge/>
            <w:tcBorders>
              <w:left w:val="single" w:sz="4" w:space="0" w:color="auto"/>
              <w:bottom w:val="single" w:sz="4" w:space="0" w:color="auto"/>
              <w:right w:val="single" w:sz="4" w:space="0" w:color="auto"/>
            </w:tcBorders>
          </w:tcPr>
          <w:p w14:paraId="2DA1997D" w14:textId="77777777" w:rsidR="00F87105" w:rsidRPr="004561A6" w:rsidRDefault="00F87105" w:rsidP="006A4AFE">
            <w:pPr>
              <w:pStyle w:val="TableHeading"/>
              <w:jc w:val="left"/>
              <w:rPr>
                <w:b w:val="0"/>
                <w:sz w:val="18"/>
                <w:szCs w:val="18"/>
              </w:rPr>
            </w:pPr>
          </w:p>
        </w:tc>
        <w:tc>
          <w:tcPr>
            <w:tcW w:w="4341" w:type="pct"/>
            <w:gridSpan w:val="13"/>
            <w:tcBorders>
              <w:left w:val="single" w:sz="4" w:space="0" w:color="auto"/>
              <w:bottom w:val="single" w:sz="4" w:space="0" w:color="auto"/>
            </w:tcBorders>
          </w:tcPr>
          <w:p w14:paraId="2B8A1A37" w14:textId="79F0034A" w:rsidR="00F87105" w:rsidRPr="00832FAD" w:rsidRDefault="00F87105" w:rsidP="006A4AFE">
            <w:pPr>
              <w:pStyle w:val="TableHeading"/>
              <w:jc w:val="left"/>
              <w:rPr>
                <w:b w:val="0"/>
                <w:color w:val="auto"/>
                <w:sz w:val="18"/>
                <w:szCs w:val="18"/>
              </w:rPr>
            </w:pPr>
            <w:r w:rsidRPr="00FE5558">
              <w:rPr>
                <w:b w:val="0"/>
                <w:color w:val="auto"/>
                <w:sz w:val="18"/>
                <w:szCs w:val="18"/>
              </w:rPr>
              <w:t>In 202</w:t>
            </w:r>
            <w:r>
              <w:rPr>
                <w:b w:val="0"/>
                <w:color w:val="auto"/>
                <w:sz w:val="18"/>
                <w:szCs w:val="18"/>
              </w:rPr>
              <w:t>3</w:t>
            </w:r>
            <w:r w:rsidRPr="00FE5558">
              <w:rPr>
                <w:b w:val="0"/>
                <w:color w:val="auto"/>
                <w:sz w:val="18"/>
                <w:szCs w:val="18"/>
              </w:rPr>
              <w:t>-2</w:t>
            </w:r>
            <w:r>
              <w:rPr>
                <w:b w:val="0"/>
                <w:color w:val="auto"/>
                <w:sz w:val="18"/>
                <w:szCs w:val="18"/>
              </w:rPr>
              <w:t>4</w:t>
            </w:r>
            <w:r w:rsidRPr="00FE5558">
              <w:rPr>
                <w:b w:val="0"/>
                <w:color w:val="auto"/>
                <w:sz w:val="18"/>
                <w:szCs w:val="18"/>
              </w:rPr>
              <w:t>, spawning</w:t>
            </w:r>
            <w:r>
              <w:rPr>
                <w:b w:val="0"/>
                <w:color w:val="auto"/>
                <w:sz w:val="18"/>
                <w:szCs w:val="18"/>
              </w:rPr>
              <w:t xml:space="preserve"> </w:t>
            </w:r>
            <w:r w:rsidRPr="00FE5558">
              <w:rPr>
                <w:b w:val="0"/>
                <w:color w:val="auto"/>
                <w:sz w:val="18"/>
                <w:szCs w:val="18"/>
              </w:rPr>
              <w:t xml:space="preserve">in the LMR between </w:t>
            </w:r>
            <w:r>
              <w:rPr>
                <w:b w:val="0"/>
                <w:color w:val="auto"/>
                <w:sz w:val="18"/>
                <w:szCs w:val="18"/>
              </w:rPr>
              <w:t>early November</w:t>
            </w:r>
            <w:r w:rsidRPr="00FE5558">
              <w:rPr>
                <w:b w:val="0"/>
                <w:color w:val="auto"/>
                <w:sz w:val="18"/>
                <w:szCs w:val="18"/>
              </w:rPr>
              <w:t xml:space="preserve"> and </w:t>
            </w:r>
            <w:r>
              <w:rPr>
                <w:b w:val="0"/>
                <w:color w:val="auto"/>
                <w:sz w:val="18"/>
                <w:szCs w:val="18"/>
              </w:rPr>
              <w:t>mid-December</w:t>
            </w:r>
            <w:r w:rsidR="00DF7758">
              <w:rPr>
                <w:b w:val="0"/>
                <w:color w:val="auto"/>
                <w:sz w:val="18"/>
                <w:szCs w:val="18"/>
              </w:rPr>
              <w:t xml:space="preserve"> </w:t>
            </w:r>
            <w:r w:rsidRPr="00FE5558">
              <w:rPr>
                <w:b w:val="0"/>
                <w:color w:val="auto"/>
                <w:sz w:val="18"/>
                <w:szCs w:val="18"/>
              </w:rPr>
              <w:t xml:space="preserve">was coincident with </w:t>
            </w:r>
            <w:r w:rsidRPr="00A2721F">
              <w:rPr>
                <w:b w:val="0"/>
                <w:color w:val="auto"/>
                <w:sz w:val="18"/>
                <w:szCs w:val="18"/>
              </w:rPr>
              <w:t xml:space="preserve">environmental water delivery in the mid-Murray River and </w:t>
            </w:r>
            <w:r w:rsidR="00E75E8D">
              <w:rPr>
                <w:b w:val="0"/>
                <w:color w:val="auto"/>
                <w:sz w:val="18"/>
                <w:szCs w:val="18"/>
              </w:rPr>
              <w:t>Murray River, downstream of the Darling River junction</w:t>
            </w:r>
            <w:r>
              <w:rPr>
                <w:b w:val="0"/>
                <w:color w:val="auto"/>
                <w:sz w:val="18"/>
                <w:szCs w:val="18"/>
              </w:rPr>
              <w:t xml:space="preserve">, which contributed to November and </w:t>
            </w:r>
            <w:r w:rsidR="00DF7758">
              <w:rPr>
                <w:b w:val="0"/>
                <w:color w:val="auto"/>
                <w:sz w:val="18"/>
                <w:szCs w:val="18"/>
              </w:rPr>
              <w:t>December</w:t>
            </w:r>
            <w:r>
              <w:rPr>
                <w:b w:val="0"/>
                <w:color w:val="auto"/>
                <w:sz w:val="18"/>
                <w:szCs w:val="18"/>
              </w:rPr>
              <w:t xml:space="preserve"> flow pulses (&gt;20,000 ML/d)</w:t>
            </w:r>
            <w:r w:rsidRPr="00FE5558">
              <w:rPr>
                <w:b w:val="0"/>
                <w:color w:val="auto"/>
                <w:sz w:val="18"/>
                <w:szCs w:val="18"/>
              </w:rPr>
              <w:t xml:space="preserve">. </w:t>
            </w:r>
            <w:r w:rsidRPr="00A2721F">
              <w:rPr>
                <w:b w:val="0"/>
                <w:color w:val="auto"/>
                <w:sz w:val="18"/>
                <w:szCs w:val="18"/>
              </w:rPr>
              <w:t xml:space="preserve">Environmental water contributed to </w:t>
            </w:r>
            <w:r>
              <w:rPr>
                <w:b w:val="0"/>
                <w:color w:val="auto"/>
                <w:sz w:val="18"/>
                <w:szCs w:val="18"/>
              </w:rPr>
              <w:t>3</w:t>
            </w:r>
            <w:r w:rsidR="00DF7758">
              <w:rPr>
                <w:b w:val="0"/>
                <w:color w:val="auto"/>
                <w:sz w:val="18"/>
                <w:szCs w:val="18"/>
              </w:rPr>
              <w:t>3</w:t>
            </w:r>
            <w:r w:rsidRPr="00A2721F">
              <w:rPr>
                <w:b w:val="0"/>
                <w:color w:val="auto"/>
                <w:sz w:val="18"/>
                <w:szCs w:val="18"/>
              </w:rPr>
              <w:t xml:space="preserve">% of total flow during the peak </w:t>
            </w:r>
            <w:r w:rsidRPr="00374E26">
              <w:rPr>
                <w:b w:val="0"/>
                <w:color w:val="auto"/>
                <w:sz w:val="18"/>
                <w:szCs w:val="18"/>
              </w:rPr>
              <w:t xml:space="preserve">spawning period (early November to </w:t>
            </w:r>
            <w:r w:rsidR="00DF7758" w:rsidRPr="00374E26">
              <w:rPr>
                <w:b w:val="0"/>
                <w:color w:val="auto"/>
                <w:sz w:val="18"/>
                <w:szCs w:val="18"/>
              </w:rPr>
              <w:t>mid-December</w:t>
            </w:r>
            <w:r w:rsidRPr="00374E26">
              <w:rPr>
                <w:b w:val="0"/>
                <w:color w:val="auto"/>
                <w:sz w:val="18"/>
                <w:szCs w:val="18"/>
              </w:rPr>
              <w:t>).</w:t>
            </w:r>
            <w:r w:rsidR="00DF7758" w:rsidRPr="00374E26">
              <w:rPr>
                <w:b w:val="0"/>
                <w:color w:val="auto"/>
                <w:sz w:val="18"/>
                <w:szCs w:val="18"/>
              </w:rPr>
              <w:t xml:space="preserve"> </w:t>
            </w:r>
            <w:r w:rsidR="00374E26" w:rsidRPr="00374E26">
              <w:rPr>
                <w:b w:val="0"/>
                <w:color w:val="auto"/>
                <w:sz w:val="18"/>
                <w:szCs w:val="18"/>
              </w:rPr>
              <w:t xml:space="preserve">One </w:t>
            </w:r>
            <w:r w:rsidR="00DF7758" w:rsidRPr="00374E26">
              <w:rPr>
                <w:b w:val="0"/>
                <w:color w:val="auto"/>
                <w:sz w:val="18"/>
                <w:szCs w:val="18"/>
              </w:rPr>
              <w:t xml:space="preserve">YOY golden perch </w:t>
            </w:r>
            <w:r w:rsidR="00374E26" w:rsidRPr="00374E26">
              <w:rPr>
                <w:b w:val="0"/>
                <w:color w:val="auto"/>
                <w:sz w:val="18"/>
                <w:szCs w:val="18"/>
              </w:rPr>
              <w:t xml:space="preserve">was </w:t>
            </w:r>
            <w:r w:rsidR="00DF7758" w:rsidRPr="00374E26">
              <w:rPr>
                <w:b w:val="0"/>
                <w:color w:val="auto"/>
                <w:sz w:val="18"/>
                <w:szCs w:val="18"/>
              </w:rPr>
              <w:t>sampled in autumn 202</w:t>
            </w:r>
            <w:r w:rsidR="00374E26" w:rsidRPr="00374E26">
              <w:rPr>
                <w:b w:val="0"/>
                <w:color w:val="auto"/>
                <w:sz w:val="18"/>
                <w:szCs w:val="18"/>
              </w:rPr>
              <w:t>4 (1% of the population), but spawn dates could not be calculated from this individual</w:t>
            </w:r>
            <w:r w:rsidR="00DF7758" w:rsidRPr="00374E26">
              <w:rPr>
                <w:b w:val="0"/>
                <w:color w:val="auto"/>
                <w:sz w:val="18"/>
                <w:szCs w:val="18"/>
              </w:rPr>
              <w:t>. Nevertheless, the overall flow regime in 202</w:t>
            </w:r>
            <w:r w:rsidR="00374E26" w:rsidRPr="00374E26">
              <w:rPr>
                <w:b w:val="0"/>
                <w:color w:val="auto"/>
                <w:sz w:val="18"/>
                <w:szCs w:val="18"/>
              </w:rPr>
              <w:t>3</w:t>
            </w:r>
            <w:r w:rsidR="00DF7758" w:rsidRPr="00374E26">
              <w:rPr>
                <w:b w:val="0"/>
                <w:color w:val="auto"/>
                <w:sz w:val="18"/>
                <w:szCs w:val="18"/>
              </w:rPr>
              <w:t>-2</w:t>
            </w:r>
            <w:r w:rsidR="00374E26" w:rsidRPr="00374E26">
              <w:rPr>
                <w:b w:val="0"/>
                <w:color w:val="auto"/>
                <w:sz w:val="18"/>
                <w:szCs w:val="18"/>
              </w:rPr>
              <w:t>4</w:t>
            </w:r>
            <w:r w:rsidR="00DF7758" w:rsidRPr="00374E26">
              <w:rPr>
                <w:b w:val="0"/>
                <w:color w:val="auto"/>
                <w:sz w:val="18"/>
                <w:szCs w:val="18"/>
              </w:rPr>
              <w:t xml:space="preserve"> supported spawning and recruitment of golden perch in the LMR and supported the downstream dispersal of larvae from the </w:t>
            </w:r>
            <w:r w:rsidR="00374E26" w:rsidRPr="00374E26">
              <w:rPr>
                <w:b w:val="0"/>
                <w:color w:val="auto"/>
                <w:sz w:val="18"/>
                <w:szCs w:val="18"/>
              </w:rPr>
              <w:t>Mid-Murray River</w:t>
            </w:r>
            <w:r w:rsidR="00DF7758" w:rsidRPr="00374E26">
              <w:rPr>
                <w:b w:val="0"/>
                <w:color w:val="auto"/>
                <w:sz w:val="18"/>
                <w:szCs w:val="18"/>
              </w:rPr>
              <w:t>.</w:t>
            </w:r>
          </w:p>
          <w:p w14:paraId="6C1C8698" w14:textId="77777777" w:rsidR="00F87105" w:rsidRPr="00FE5558" w:rsidRDefault="00F87105" w:rsidP="006A4AFE">
            <w:pPr>
              <w:pStyle w:val="TableHeading"/>
              <w:jc w:val="left"/>
              <w:rPr>
                <w:b w:val="0"/>
                <w:color w:val="auto"/>
                <w:sz w:val="18"/>
                <w:szCs w:val="18"/>
              </w:rPr>
            </w:pPr>
            <w:r w:rsidRPr="00832FAD">
              <w:rPr>
                <w:b w:val="0"/>
                <w:sz w:val="18"/>
                <w:szCs w:val="18"/>
              </w:rPr>
              <w:t>This is not a long-term evaluation question.</w:t>
            </w:r>
          </w:p>
        </w:tc>
      </w:tr>
      <w:tr w:rsidR="00F87105" w:rsidRPr="004561A6" w14:paraId="36D5AE7B" w14:textId="77777777" w:rsidTr="00B406CF">
        <w:trPr>
          <w:cantSplit/>
          <w:trHeight w:val="20"/>
        </w:trPr>
        <w:tc>
          <w:tcPr>
            <w:tcW w:w="659" w:type="pct"/>
            <w:tcBorders>
              <w:left w:val="single" w:sz="4" w:space="0" w:color="auto"/>
              <w:bottom w:val="single" w:sz="4" w:space="0" w:color="auto"/>
              <w:right w:val="single" w:sz="4" w:space="0" w:color="auto"/>
            </w:tcBorders>
          </w:tcPr>
          <w:p w14:paraId="31D70389" w14:textId="2F2447C9" w:rsidR="00F87105" w:rsidRPr="004561A6" w:rsidRDefault="00F87105" w:rsidP="006A4AFE">
            <w:pPr>
              <w:pStyle w:val="TableHeading"/>
              <w:jc w:val="left"/>
              <w:rPr>
                <w:b w:val="0"/>
                <w:sz w:val="18"/>
                <w:szCs w:val="18"/>
              </w:rPr>
            </w:pPr>
            <w:bookmarkStart w:id="475" w:name="_Hlk192148357"/>
            <w:r w:rsidRPr="004561A6">
              <w:rPr>
                <w:b w:val="0"/>
                <w:sz w:val="18"/>
                <w:szCs w:val="18"/>
              </w:rPr>
              <w:t xml:space="preserve">Did the flow regime (including environmental water) contribute to the resilience of </w:t>
            </w:r>
            <w:r w:rsidRPr="006E74F1">
              <w:rPr>
                <w:bCs/>
                <w:sz w:val="18"/>
                <w:szCs w:val="18"/>
              </w:rPr>
              <w:t>golden perch</w:t>
            </w:r>
            <w:r w:rsidRPr="004561A6">
              <w:rPr>
                <w:b w:val="0"/>
                <w:sz w:val="18"/>
                <w:szCs w:val="18"/>
              </w:rPr>
              <w:t xml:space="preserve"> populations?</w:t>
            </w:r>
            <w:bookmarkEnd w:id="475"/>
          </w:p>
        </w:tc>
        <w:tc>
          <w:tcPr>
            <w:tcW w:w="4341" w:type="pct"/>
            <w:gridSpan w:val="13"/>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0AF63DB" w14:textId="0E1BEAC3" w:rsidR="00F87105" w:rsidRPr="00B718C4" w:rsidRDefault="00F87105" w:rsidP="006A4AFE">
            <w:pPr>
              <w:pStyle w:val="TableHeading"/>
              <w:spacing w:before="80" w:after="80"/>
              <w:rPr>
                <w:b w:val="0"/>
                <w:sz w:val="18"/>
                <w:szCs w:val="18"/>
              </w:rPr>
            </w:pPr>
            <w:bookmarkStart w:id="476" w:name="_Hlk192148166"/>
            <w:r>
              <w:rPr>
                <w:b w:val="0"/>
                <w:sz w:val="18"/>
                <w:szCs w:val="18"/>
              </w:rPr>
              <w:t>Long-term (2014–2024) outcome = minor.</w:t>
            </w:r>
          </w:p>
          <w:p w14:paraId="41D8D7A5" w14:textId="71751234" w:rsidR="00F87105" w:rsidRDefault="00F87105" w:rsidP="007F459D">
            <w:pPr>
              <w:pStyle w:val="TableHeading"/>
              <w:jc w:val="left"/>
              <w:rPr>
                <w:b w:val="0"/>
                <w:sz w:val="18"/>
                <w:szCs w:val="18"/>
              </w:rPr>
            </w:pPr>
            <w:r w:rsidRPr="00C55748">
              <w:rPr>
                <w:b w:val="0"/>
                <w:sz w:val="18"/>
                <w:szCs w:val="18"/>
              </w:rPr>
              <w:t>In the LMR in 2024, golden perch ranging in age from 0+ to 7+ years (75% of the population) can be associated with recruitment coincident with spring-summer flows that included environmental water. The presence of these cohorts contributes to population resilience</w:t>
            </w:r>
            <w:r w:rsidR="00C55748" w:rsidRPr="00C55748">
              <w:rPr>
                <w:sz w:val="18"/>
                <w:szCs w:val="18"/>
              </w:rPr>
              <w:t xml:space="preserve"> </w:t>
            </w:r>
            <w:r w:rsidR="00C55748" w:rsidRPr="00C55748">
              <w:rPr>
                <w:b w:val="0"/>
                <w:bCs/>
                <w:sz w:val="18"/>
                <w:szCs w:val="18"/>
              </w:rPr>
              <w:t>via p</w:t>
            </w:r>
            <w:r w:rsidR="00C55748" w:rsidRPr="00C55748">
              <w:rPr>
                <w:b w:val="0"/>
                <w:sz w:val="18"/>
                <w:szCs w:val="18"/>
              </w:rPr>
              <w:t>romoting a more diverse age structure</w:t>
            </w:r>
            <w:r w:rsidRPr="00C55748">
              <w:rPr>
                <w:b w:val="0"/>
                <w:sz w:val="18"/>
                <w:szCs w:val="18"/>
              </w:rPr>
              <w:t>, although abundance in the LMR has generally declined since 2015.</w:t>
            </w:r>
            <w:bookmarkEnd w:id="476"/>
          </w:p>
        </w:tc>
      </w:tr>
      <w:tr w:rsidR="00D4336A" w:rsidRPr="004561A6" w14:paraId="3DF44822" w14:textId="77777777" w:rsidTr="0040128C">
        <w:trPr>
          <w:cantSplit/>
          <w:trHeight w:val="20"/>
        </w:trPr>
        <w:tc>
          <w:tcPr>
            <w:tcW w:w="659" w:type="pct"/>
            <w:vMerge w:val="restart"/>
            <w:tcBorders>
              <w:left w:val="single" w:sz="4" w:space="0" w:color="auto"/>
              <w:right w:val="single" w:sz="4" w:space="0" w:color="auto"/>
            </w:tcBorders>
          </w:tcPr>
          <w:p w14:paraId="1424D25F" w14:textId="52987B74" w:rsidR="00D4336A" w:rsidRPr="004561A6" w:rsidRDefault="00D4336A" w:rsidP="00DA5F11">
            <w:pPr>
              <w:pStyle w:val="TableHeading"/>
              <w:jc w:val="left"/>
              <w:rPr>
                <w:sz w:val="18"/>
                <w:szCs w:val="18"/>
              </w:rPr>
            </w:pPr>
            <w:r w:rsidRPr="004561A6">
              <w:rPr>
                <w:b w:val="0"/>
                <w:sz w:val="18"/>
                <w:szCs w:val="18"/>
              </w:rPr>
              <w:lastRenderedPageBreak/>
              <w:t>Did the flow regime (including environmental water) contribute to reproduction (spawning and recruitment</w:t>
            </w:r>
            <w:r w:rsidR="00987CBB" w:rsidRPr="00987CBB">
              <w:rPr>
                <w:b w:val="0"/>
                <w:sz w:val="18"/>
                <w:szCs w:val="18"/>
                <w:vertAlign w:val="superscript"/>
              </w:rPr>
              <w:t>#</w:t>
            </w:r>
            <w:r w:rsidRPr="004561A6">
              <w:rPr>
                <w:b w:val="0"/>
                <w:sz w:val="18"/>
                <w:szCs w:val="18"/>
              </w:rPr>
              <w:t xml:space="preserve">) </w:t>
            </w:r>
            <w:r w:rsidRPr="006E74F1">
              <w:rPr>
                <w:bCs/>
                <w:sz w:val="18"/>
                <w:szCs w:val="18"/>
              </w:rPr>
              <w:t>of silver perch</w:t>
            </w:r>
            <w:r w:rsidRPr="004561A6">
              <w:rPr>
                <w:b w:val="0"/>
                <w:sz w:val="18"/>
                <w:szCs w:val="18"/>
              </w:rPr>
              <w:t>?</w:t>
            </w:r>
          </w:p>
        </w:tc>
        <w:tc>
          <w:tcPr>
            <w:tcW w:w="406" w:type="pct"/>
            <w:tcBorders>
              <w:left w:val="single" w:sz="4" w:space="0" w:color="auto"/>
              <w:bottom w:val="single" w:sz="4" w:space="0" w:color="auto"/>
            </w:tcBorders>
            <w:shd w:val="clear" w:color="auto" w:fill="E2EFD9" w:themeFill="accent6" w:themeFillTint="33"/>
          </w:tcPr>
          <w:p w14:paraId="7E4499B4" w14:textId="1E1B0B5C" w:rsidR="00D4336A" w:rsidRPr="004561A6" w:rsidRDefault="00D4336A" w:rsidP="00DA5F11">
            <w:pPr>
              <w:pStyle w:val="TableHeading"/>
              <w:jc w:val="left"/>
              <w:rPr>
                <w:sz w:val="18"/>
                <w:szCs w:val="18"/>
              </w:rPr>
            </w:pPr>
            <w:r>
              <w:rPr>
                <w:b w:val="0"/>
                <w:color w:val="auto"/>
                <w:sz w:val="18"/>
                <w:szCs w:val="18"/>
              </w:rPr>
              <w:t>None/negligible spawning and recruitment</w:t>
            </w:r>
          </w:p>
        </w:tc>
        <w:tc>
          <w:tcPr>
            <w:tcW w:w="377" w:type="pct"/>
            <w:gridSpan w:val="2"/>
            <w:tcBorders>
              <w:left w:val="single" w:sz="4" w:space="0" w:color="auto"/>
              <w:bottom w:val="single" w:sz="4" w:space="0" w:color="auto"/>
            </w:tcBorders>
            <w:shd w:val="clear" w:color="auto" w:fill="E2EFD9" w:themeFill="accent6" w:themeFillTint="33"/>
          </w:tcPr>
          <w:p w14:paraId="28C9835B" w14:textId="63EAFCB7" w:rsidR="00D4336A" w:rsidRPr="004561A6" w:rsidRDefault="00D4336A" w:rsidP="00DA5F11">
            <w:pPr>
              <w:pStyle w:val="TableHeading"/>
              <w:jc w:val="left"/>
              <w:rPr>
                <w:sz w:val="18"/>
                <w:szCs w:val="18"/>
              </w:rPr>
            </w:pPr>
            <w:r>
              <w:rPr>
                <w:b w:val="0"/>
                <w:color w:val="auto"/>
                <w:sz w:val="18"/>
                <w:szCs w:val="18"/>
              </w:rPr>
              <w:t>None/negligible spawning and recruitment</w:t>
            </w:r>
          </w:p>
        </w:tc>
        <w:tc>
          <w:tcPr>
            <w:tcW w:w="417" w:type="pct"/>
            <w:tcBorders>
              <w:left w:val="single" w:sz="4" w:space="0" w:color="auto"/>
              <w:bottom w:val="single" w:sz="4" w:space="0" w:color="auto"/>
            </w:tcBorders>
            <w:shd w:val="clear" w:color="auto" w:fill="A8D08D" w:themeFill="accent6" w:themeFillTint="99"/>
          </w:tcPr>
          <w:p w14:paraId="55C1025D" w14:textId="491E7B86" w:rsidR="00D4336A" w:rsidRPr="004561A6" w:rsidRDefault="00D4336A" w:rsidP="00DA5F11">
            <w:pPr>
              <w:pStyle w:val="TableHeading"/>
              <w:jc w:val="left"/>
              <w:rPr>
                <w:sz w:val="18"/>
                <w:szCs w:val="18"/>
              </w:rPr>
            </w:pPr>
            <w:r>
              <w:rPr>
                <w:b w:val="0"/>
                <w:color w:val="auto"/>
                <w:sz w:val="18"/>
                <w:szCs w:val="18"/>
              </w:rPr>
              <w:t xml:space="preserve">None/negligible spawning and </w:t>
            </w:r>
            <w:r w:rsidR="00987CBB">
              <w:rPr>
                <w:b w:val="0"/>
                <w:color w:val="auto"/>
                <w:sz w:val="18"/>
                <w:szCs w:val="18"/>
              </w:rPr>
              <w:t>minor</w:t>
            </w:r>
            <w:r>
              <w:rPr>
                <w:b w:val="0"/>
                <w:color w:val="auto"/>
                <w:sz w:val="18"/>
                <w:szCs w:val="18"/>
              </w:rPr>
              <w:t xml:space="preserve"> recruitment</w:t>
            </w:r>
          </w:p>
        </w:tc>
        <w:tc>
          <w:tcPr>
            <w:tcW w:w="417" w:type="pct"/>
            <w:gridSpan w:val="3"/>
            <w:tcBorders>
              <w:left w:val="single" w:sz="4" w:space="0" w:color="auto"/>
              <w:bottom w:val="single" w:sz="4" w:space="0" w:color="auto"/>
            </w:tcBorders>
            <w:shd w:val="clear" w:color="auto" w:fill="E2EFD9" w:themeFill="accent6" w:themeFillTint="33"/>
          </w:tcPr>
          <w:p w14:paraId="68848E7D" w14:textId="3D4790F6" w:rsidR="00D4336A" w:rsidRPr="004561A6" w:rsidRDefault="00D4336A" w:rsidP="00DA5F11">
            <w:pPr>
              <w:pStyle w:val="TableHeading"/>
              <w:jc w:val="left"/>
              <w:rPr>
                <w:sz w:val="18"/>
                <w:szCs w:val="18"/>
              </w:rPr>
            </w:pPr>
            <w:r>
              <w:rPr>
                <w:b w:val="0"/>
                <w:color w:val="auto"/>
                <w:sz w:val="18"/>
                <w:szCs w:val="18"/>
              </w:rPr>
              <w:t>None/negligible spawning and recruitment</w:t>
            </w:r>
          </w:p>
        </w:tc>
        <w:tc>
          <w:tcPr>
            <w:tcW w:w="415" w:type="pct"/>
            <w:tcBorders>
              <w:left w:val="single" w:sz="4" w:space="0" w:color="auto"/>
              <w:bottom w:val="single" w:sz="4" w:space="0" w:color="auto"/>
            </w:tcBorders>
            <w:shd w:val="clear" w:color="auto" w:fill="E2EFD9" w:themeFill="accent6" w:themeFillTint="33"/>
          </w:tcPr>
          <w:p w14:paraId="63A73CFC" w14:textId="2ED2C5B9" w:rsidR="00D4336A" w:rsidRPr="004561A6" w:rsidRDefault="00D4336A" w:rsidP="00DA5F11">
            <w:pPr>
              <w:pStyle w:val="TableHeading"/>
              <w:jc w:val="left"/>
              <w:rPr>
                <w:sz w:val="18"/>
                <w:szCs w:val="18"/>
              </w:rPr>
            </w:pPr>
            <w:r>
              <w:rPr>
                <w:b w:val="0"/>
                <w:color w:val="auto"/>
                <w:sz w:val="18"/>
                <w:szCs w:val="18"/>
              </w:rPr>
              <w:t>None/negligible spawning and recruitment</w:t>
            </w:r>
          </w:p>
        </w:tc>
        <w:tc>
          <w:tcPr>
            <w:tcW w:w="458" w:type="pct"/>
            <w:tcBorders>
              <w:top w:val="single" w:sz="4" w:space="0" w:color="auto"/>
              <w:bottom w:val="single" w:sz="4" w:space="0" w:color="auto"/>
            </w:tcBorders>
            <w:shd w:val="clear" w:color="auto" w:fill="E2EFD9" w:themeFill="accent6" w:themeFillTint="33"/>
          </w:tcPr>
          <w:p w14:paraId="21DB6B69" w14:textId="77777777" w:rsidR="00D4336A" w:rsidRPr="004561A6" w:rsidRDefault="00D4336A" w:rsidP="00DA5F11">
            <w:pPr>
              <w:pStyle w:val="TableHeading"/>
              <w:jc w:val="left"/>
              <w:rPr>
                <w:b w:val="0"/>
                <w:color w:val="auto"/>
                <w:sz w:val="18"/>
                <w:szCs w:val="18"/>
              </w:rPr>
            </w:pPr>
            <w:r w:rsidRPr="004561A6">
              <w:rPr>
                <w:b w:val="0"/>
                <w:color w:val="auto"/>
                <w:sz w:val="18"/>
                <w:szCs w:val="18"/>
              </w:rPr>
              <w:t>Negligible recruitment</w:t>
            </w:r>
          </w:p>
        </w:tc>
        <w:tc>
          <w:tcPr>
            <w:tcW w:w="457" w:type="pct"/>
            <w:tcBorders>
              <w:top w:val="single" w:sz="4" w:space="0" w:color="auto"/>
              <w:bottom w:val="single" w:sz="4" w:space="0" w:color="auto"/>
            </w:tcBorders>
            <w:shd w:val="clear" w:color="auto" w:fill="A8D08D" w:themeFill="accent6" w:themeFillTint="99"/>
          </w:tcPr>
          <w:p w14:paraId="79B46924" w14:textId="50CF6E12" w:rsidR="00D4336A" w:rsidRPr="004561A6" w:rsidRDefault="00D4336A" w:rsidP="00DA5F11">
            <w:pPr>
              <w:pStyle w:val="TableHeading"/>
              <w:jc w:val="left"/>
              <w:rPr>
                <w:b w:val="0"/>
                <w:sz w:val="18"/>
                <w:szCs w:val="18"/>
              </w:rPr>
            </w:pPr>
            <w:r>
              <w:rPr>
                <w:b w:val="0"/>
                <w:color w:val="auto"/>
                <w:sz w:val="18"/>
                <w:szCs w:val="18"/>
              </w:rPr>
              <w:t xml:space="preserve">Coincident spawning and </w:t>
            </w:r>
            <w:r w:rsidR="00987CBB">
              <w:rPr>
                <w:b w:val="0"/>
                <w:color w:val="auto"/>
                <w:sz w:val="18"/>
                <w:szCs w:val="18"/>
              </w:rPr>
              <w:t>minor</w:t>
            </w:r>
            <w:r>
              <w:rPr>
                <w:b w:val="0"/>
                <w:color w:val="auto"/>
                <w:sz w:val="18"/>
                <w:szCs w:val="18"/>
              </w:rPr>
              <w:t xml:space="preserve"> recruitment</w:t>
            </w:r>
          </w:p>
        </w:tc>
        <w:tc>
          <w:tcPr>
            <w:tcW w:w="458" w:type="pct"/>
            <w:tcBorders>
              <w:top w:val="single" w:sz="4" w:space="0" w:color="auto"/>
              <w:bottom w:val="single" w:sz="4" w:space="0" w:color="auto"/>
            </w:tcBorders>
            <w:shd w:val="clear" w:color="auto" w:fill="70AD47" w:themeFill="accent6"/>
          </w:tcPr>
          <w:p w14:paraId="19328DA8" w14:textId="2D77EA21" w:rsidR="00D4336A" w:rsidRPr="004561A6" w:rsidRDefault="00D4336A" w:rsidP="00DA5F11">
            <w:pPr>
              <w:pStyle w:val="TableHeading"/>
              <w:jc w:val="left"/>
              <w:rPr>
                <w:b w:val="0"/>
                <w:color w:val="auto"/>
                <w:sz w:val="18"/>
                <w:szCs w:val="18"/>
              </w:rPr>
            </w:pPr>
            <w:r>
              <w:rPr>
                <w:b w:val="0"/>
                <w:color w:val="auto"/>
                <w:sz w:val="18"/>
                <w:szCs w:val="18"/>
              </w:rPr>
              <w:t xml:space="preserve">Coincident spawning and </w:t>
            </w:r>
            <w:r w:rsidR="00987CBB">
              <w:rPr>
                <w:b w:val="0"/>
                <w:color w:val="auto"/>
                <w:sz w:val="18"/>
                <w:szCs w:val="18"/>
              </w:rPr>
              <w:t>moderate</w:t>
            </w:r>
            <w:r>
              <w:rPr>
                <w:b w:val="0"/>
                <w:color w:val="auto"/>
                <w:sz w:val="18"/>
                <w:szCs w:val="18"/>
              </w:rPr>
              <w:t xml:space="preserve"> recruitment</w:t>
            </w:r>
          </w:p>
        </w:tc>
        <w:tc>
          <w:tcPr>
            <w:tcW w:w="460" w:type="pct"/>
            <w:tcBorders>
              <w:top w:val="single" w:sz="4" w:space="0" w:color="auto"/>
              <w:bottom w:val="single" w:sz="4" w:space="0" w:color="auto"/>
            </w:tcBorders>
            <w:shd w:val="clear" w:color="auto" w:fill="E2EFD9" w:themeFill="accent6" w:themeFillTint="33"/>
          </w:tcPr>
          <w:p w14:paraId="43711802" w14:textId="33576EDB" w:rsidR="00D4336A" w:rsidRDefault="00D4336A" w:rsidP="00DA5F11">
            <w:pPr>
              <w:pStyle w:val="TableHeading"/>
              <w:jc w:val="left"/>
              <w:rPr>
                <w:b w:val="0"/>
                <w:color w:val="auto"/>
                <w:sz w:val="18"/>
                <w:szCs w:val="18"/>
              </w:rPr>
            </w:pPr>
            <w:r>
              <w:rPr>
                <w:b w:val="0"/>
                <w:color w:val="auto"/>
                <w:sz w:val="18"/>
                <w:szCs w:val="18"/>
              </w:rPr>
              <w:t>None/negligible spawning and recruitment</w:t>
            </w:r>
          </w:p>
        </w:tc>
        <w:tc>
          <w:tcPr>
            <w:tcW w:w="475" w:type="pct"/>
            <w:tcBorders>
              <w:top w:val="single" w:sz="4" w:space="0" w:color="auto"/>
              <w:bottom w:val="single" w:sz="4" w:space="0" w:color="auto"/>
            </w:tcBorders>
            <w:shd w:val="clear" w:color="auto" w:fill="70AD47" w:themeFill="accent6"/>
          </w:tcPr>
          <w:p w14:paraId="64B2E47C" w14:textId="4D616A38" w:rsidR="00D4336A" w:rsidRDefault="00D4336A" w:rsidP="00DA5F11">
            <w:pPr>
              <w:pStyle w:val="TableHeading"/>
              <w:jc w:val="left"/>
              <w:rPr>
                <w:b w:val="0"/>
                <w:color w:val="auto"/>
                <w:sz w:val="18"/>
                <w:szCs w:val="18"/>
              </w:rPr>
            </w:pPr>
            <w:r>
              <w:rPr>
                <w:b w:val="0"/>
                <w:color w:val="auto"/>
                <w:sz w:val="18"/>
                <w:szCs w:val="18"/>
              </w:rPr>
              <w:t xml:space="preserve">Coincident spawning and </w:t>
            </w:r>
            <w:r w:rsidR="00987CBB">
              <w:rPr>
                <w:b w:val="0"/>
                <w:color w:val="auto"/>
                <w:sz w:val="18"/>
                <w:szCs w:val="18"/>
              </w:rPr>
              <w:t>minor</w:t>
            </w:r>
            <w:r>
              <w:rPr>
                <w:b w:val="0"/>
                <w:color w:val="auto"/>
                <w:sz w:val="18"/>
                <w:szCs w:val="18"/>
              </w:rPr>
              <w:t xml:space="preserve"> recruitment</w:t>
            </w:r>
          </w:p>
        </w:tc>
      </w:tr>
      <w:tr w:rsidR="006E74F1" w:rsidRPr="004561A6" w14:paraId="618322DA" w14:textId="77777777" w:rsidTr="00B406CF">
        <w:trPr>
          <w:cantSplit/>
          <w:trHeight w:val="20"/>
        </w:trPr>
        <w:tc>
          <w:tcPr>
            <w:tcW w:w="659" w:type="pct"/>
            <w:vMerge/>
            <w:tcBorders>
              <w:left w:val="single" w:sz="4" w:space="0" w:color="auto"/>
              <w:bottom w:val="single" w:sz="4" w:space="0" w:color="auto"/>
              <w:right w:val="single" w:sz="4" w:space="0" w:color="auto"/>
            </w:tcBorders>
          </w:tcPr>
          <w:p w14:paraId="5F800715" w14:textId="77777777" w:rsidR="006E74F1" w:rsidRPr="004561A6" w:rsidRDefault="006E74F1" w:rsidP="00DA5F11">
            <w:pPr>
              <w:pStyle w:val="TableHeading"/>
              <w:jc w:val="left"/>
              <w:rPr>
                <w:b w:val="0"/>
                <w:sz w:val="18"/>
                <w:szCs w:val="18"/>
              </w:rPr>
            </w:pPr>
          </w:p>
        </w:tc>
        <w:tc>
          <w:tcPr>
            <w:tcW w:w="4341" w:type="pct"/>
            <w:gridSpan w:val="13"/>
            <w:tcBorders>
              <w:left w:val="single" w:sz="4" w:space="0" w:color="auto"/>
              <w:bottom w:val="single" w:sz="4" w:space="0" w:color="auto"/>
            </w:tcBorders>
          </w:tcPr>
          <w:p w14:paraId="4D9C9C73" w14:textId="43087F02" w:rsidR="006E74F1" w:rsidRPr="00832FAD" w:rsidRDefault="006E74F1" w:rsidP="00DA5F11">
            <w:pPr>
              <w:pStyle w:val="TableHeading"/>
              <w:jc w:val="left"/>
              <w:rPr>
                <w:b w:val="0"/>
                <w:color w:val="auto"/>
                <w:sz w:val="18"/>
                <w:szCs w:val="18"/>
              </w:rPr>
            </w:pPr>
            <w:r w:rsidRPr="00FE5558">
              <w:rPr>
                <w:b w:val="0"/>
                <w:color w:val="auto"/>
                <w:sz w:val="18"/>
                <w:szCs w:val="18"/>
              </w:rPr>
              <w:t>In 202</w:t>
            </w:r>
            <w:r>
              <w:rPr>
                <w:b w:val="0"/>
                <w:color w:val="auto"/>
                <w:sz w:val="18"/>
                <w:szCs w:val="18"/>
              </w:rPr>
              <w:t>3</w:t>
            </w:r>
            <w:r w:rsidRPr="00FE5558">
              <w:rPr>
                <w:b w:val="0"/>
                <w:color w:val="auto"/>
                <w:sz w:val="18"/>
                <w:szCs w:val="18"/>
              </w:rPr>
              <w:t>-2</w:t>
            </w:r>
            <w:r>
              <w:rPr>
                <w:b w:val="0"/>
                <w:color w:val="auto"/>
                <w:sz w:val="18"/>
                <w:szCs w:val="18"/>
              </w:rPr>
              <w:t>4</w:t>
            </w:r>
            <w:r w:rsidRPr="00FE5558">
              <w:rPr>
                <w:b w:val="0"/>
                <w:color w:val="auto"/>
                <w:sz w:val="18"/>
                <w:szCs w:val="18"/>
              </w:rPr>
              <w:t>, spawning</w:t>
            </w:r>
            <w:r>
              <w:rPr>
                <w:b w:val="0"/>
                <w:color w:val="auto"/>
                <w:sz w:val="18"/>
                <w:szCs w:val="18"/>
              </w:rPr>
              <w:t xml:space="preserve"> </w:t>
            </w:r>
            <w:r w:rsidRPr="00FE5558">
              <w:rPr>
                <w:b w:val="0"/>
                <w:color w:val="auto"/>
                <w:sz w:val="18"/>
                <w:szCs w:val="18"/>
              </w:rPr>
              <w:t xml:space="preserve">of silver perch in the LMR between </w:t>
            </w:r>
            <w:r>
              <w:rPr>
                <w:b w:val="0"/>
                <w:color w:val="auto"/>
                <w:sz w:val="18"/>
                <w:szCs w:val="18"/>
              </w:rPr>
              <w:t>mid-November and mid-January</w:t>
            </w:r>
            <w:r w:rsidRPr="00FE5558">
              <w:rPr>
                <w:b w:val="0"/>
                <w:color w:val="auto"/>
                <w:sz w:val="18"/>
                <w:szCs w:val="18"/>
              </w:rPr>
              <w:t xml:space="preserve"> was coincident with </w:t>
            </w:r>
            <w:r w:rsidRPr="00A2721F">
              <w:rPr>
                <w:b w:val="0"/>
                <w:color w:val="auto"/>
                <w:sz w:val="18"/>
                <w:szCs w:val="18"/>
              </w:rPr>
              <w:t xml:space="preserve">environmental water delivery in the mid-Murray River and </w:t>
            </w:r>
            <w:r>
              <w:rPr>
                <w:b w:val="0"/>
                <w:color w:val="auto"/>
                <w:sz w:val="18"/>
                <w:szCs w:val="18"/>
              </w:rPr>
              <w:t>Murray River, downstream of the Darling River junction, which contributed to November and January flow pulses (&gt;20,000 ML/d)</w:t>
            </w:r>
            <w:r w:rsidRPr="00FE5558">
              <w:rPr>
                <w:b w:val="0"/>
                <w:color w:val="auto"/>
                <w:sz w:val="18"/>
                <w:szCs w:val="18"/>
              </w:rPr>
              <w:t xml:space="preserve">. </w:t>
            </w:r>
            <w:r w:rsidRPr="00A2721F">
              <w:rPr>
                <w:b w:val="0"/>
                <w:color w:val="auto"/>
                <w:sz w:val="18"/>
                <w:szCs w:val="18"/>
              </w:rPr>
              <w:t xml:space="preserve">Environmental water contributed to </w:t>
            </w:r>
            <w:r>
              <w:rPr>
                <w:b w:val="0"/>
                <w:color w:val="auto"/>
                <w:sz w:val="18"/>
                <w:szCs w:val="18"/>
              </w:rPr>
              <w:t>3</w:t>
            </w:r>
            <w:r w:rsidR="00E8122D">
              <w:rPr>
                <w:b w:val="0"/>
                <w:color w:val="auto"/>
                <w:sz w:val="18"/>
                <w:szCs w:val="18"/>
              </w:rPr>
              <w:t>3</w:t>
            </w:r>
            <w:r w:rsidRPr="00A2721F">
              <w:rPr>
                <w:b w:val="0"/>
                <w:color w:val="auto"/>
                <w:sz w:val="18"/>
                <w:szCs w:val="18"/>
              </w:rPr>
              <w:t>% of total flow during the peak spawning period (</w:t>
            </w:r>
            <w:r w:rsidR="00E8122D">
              <w:rPr>
                <w:b w:val="0"/>
                <w:color w:val="auto"/>
                <w:sz w:val="18"/>
                <w:szCs w:val="18"/>
              </w:rPr>
              <w:t>mid-</w:t>
            </w:r>
            <w:r>
              <w:rPr>
                <w:b w:val="0"/>
                <w:color w:val="auto"/>
                <w:sz w:val="18"/>
                <w:szCs w:val="18"/>
              </w:rPr>
              <w:t>November</w:t>
            </w:r>
            <w:r w:rsidRPr="00A2721F">
              <w:rPr>
                <w:b w:val="0"/>
                <w:color w:val="auto"/>
                <w:sz w:val="18"/>
                <w:szCs w:val="18"/>
              </w:rPr>
              <w:t xml:space="preserve"> to mid-January).</w:t>
            </w:r>
            <w:r w:rsidR="00E8122D">
              <w:rPr>
                <w:b w:val="0"/>
                <w:color w:val="auto"/>
                <w:sz w:val="18"/>
                <w:szCs w:val="18"/>
              </w:rPr>
              <w:t xml:space="preserve"> </w:t>
            </w:r>
            <w:r w:rsidR="005943B3">
              <w:rPr>
                <w:b w:val="0"/>
                <w:color w:val="auto"/>
                <w:sz w:val="18"/>
                <w:szCs w:val="18"/>
              </w:rPr>
              <w:t>Two</w:t>
            </w:r>
            <w:r w:rsidR="00E8122D">
              <w:rPr>
                <w:b w:val="0"/>
                <w:color w:val="auto"/>
                <w:sz w:val="18"/>
                <w:szCs w:val="18"/>
              </w:rPr>
              <w:t xml:space="preserve"> YOY silver perch were sampled in autumn 2024</w:t>
            </w:r>
            <w:r w:rsidR="005943B3">
              <w:rPr>
                <w:b w:val="0"/>
                <w:color w:val="auto"/>
                <w:sz w:val="18"/>
                <w:szCs w:val="18"/>
              </w:rPr>
              <w:t xml:space="preserve"> (67% of the sampled population)</w:t>
            </w:r>
            <w:r w:rsidR="005943B3" w:rsidRPr="00374E26">
              <w:rPr>
                <w:b w:val="0"/>
                <w:color w:val="auto"/>
                <w:sz w:val="18"/>
                <w:szCs w:val="18"/>
              </w:rPr>
              <w:t>, but spawn dates could not be calculated from th</w:t>
            </w:r>
            <w:r w:rsidR="005943B3">
              <w:rPr>
                <w:b w:val="0"/>
                <w:color w:val="auto"/>
                <w:sz w:val="18"/>
                <w:szCs w:val="18"/>
              </w:rPr>
              <w:t>ese</w:t>
            </w:r>
            <w:r w:rsidR="005943B3" w:rsidRPr="00374E26">
              <w:rPr>
                <w:b w:val="0"/>
                <w:color w:val="auto"/>
                <w:sz w:val="18"/>
                <w:szCs w:val="18"/>
              </w:rPr>
              <w:t xml:space="preserve"> individual</w:t>
            </w:r>
            <w:r w:rsidR="005943B3">
              <w:rPr>
                <w:b w:val="0"/>
                <w:color w:val="auto"/>
                <w:sz w:val="18"/>
                <w:szCs w:val="18"/>
              </w:rPr>
              <w:t>s</w:t>
            </w:r>
            <w:r w:rsidR="005943B3" w:rsidRPr="00374E26">
              <w:rPr>
                <w:b w:val="0"/>
                <w:color w:val="auto"/>
                <w:sz w:val="18"/>
                <w:szCs w:val="18"/>
              </w:rPr>
              <w:t xml:space="preserve">. Nevertheless, the overall flow regime in 2023-24 </w:t>
            </w:r>
            <w:r w:rsidR="00B63DCB">
              <w:rPr>
                <w:b w:val="0"/>
                <w:color w:val="auto"/>
                <w:sz w:val="18"/>
                <w:szCs w:val="18"/>
              </w:rPr>
              <w:t xml:space="preserve">coincided </w:t>
            </w:r>
            <w:r w:rsidR="00A82C93">
              <w:rPr>
                <w:b w:val="0"/>
                <w:color w:val="auto"/>
                <w:sz w:val="18"/>
                <w:szCs w:val="18"/>
              </w:rPr>
              <w:t>with</w:t>
            </w:r>
            <w:r w:rsidR="00A82C93" w:rsidRPr="00374E26">
              <w:rPr>
                <w:b w:val="0"/>
                <w:color w:val="auto"/>
                <w:sz w:val="18"/>
                <w:szCs w:val="18"/>
              </w:rPr>
              <w:t xml:space="preserve"> </w:t>
            </w:r>
            <w:r w:rsidR="005943B3" w:rsidRPr="00374E26">
              <w:rPr>
                <w:b w:val="0"/>
                <w:color w:val="auto"/>
                <w:sz w:val="18"/>
                <w:szCs w:val="18"/>
              </w:rPr>
              <w:t xml:space="preserve">spawning and recruitment of </w:t>
            </w:r>
            <w:r w:rsidR="005943B3">
              <w:rPr>
                <w:b w:val="0"/>
                <w:color w:val="auto"/>
                <w:sz w:val="18"/>
                <w:szCs w:val="18"/>
              </w:rPr>
              <w:t>silver</w:t>
            </w:r>
            <w:r w:rsidR="005943B3" w:rsidRPr="00374E26">
              <w:rPr>
                <w:b w:val="0"/>
                <w:color w:val="auto"/>
                <w:sz w:val="18"/>
                <w:szCs w:val="18"/>
              </w:rPr>
              <w:t xml:space="preserve"> perch in the LMR and supported the downstream dispersal of larvae from the Mid-Murray River.</w:t>
            </w:r>
          </w:p>
          <w:p w14:paraId="0C2AD03B" w14:textId="77777777" w:rsidR="006E74F1" w:rsidRPr="00FE5558" w:rsidRDefault="006E74F1" w:rsidP="00DA5F11">
            <w:pPr>
              <w:pStyle w:val="TableHeading"/>
              <w:jc w:val="left"/>
              <w:rPr>
                <w:b w:val="0"/>
                <w:color w:val="auto"/>
                <w:sz w:val="18"/>
                <w:szCs w:val="18"/>
              </w:rPr>
            </w:pPr>
            <w:r w:rsidRPr="00832FAD">
              <w:rPr>
                <w:b w:val="0"/>
                <w:sz w:val="18"/>
                <w:szCs w:val="18"/>
              </w:rPr>
              <w:t>This is not a long-term evaluation question.</w:t>
            </w:r>
          </w:p>
        </w:tc>
      </w:tr>
      <w:tr w:rsidR="006E74F1" w:rsidRPr="004561A6" w14:paraId="477DF88E" w14:textId="77777777" w:rsidTr="00B406CF">
        <w:trPr>
          <w:cantSplit/>
          <w:trHeight w:val="20"/>
        </w:trPr>
        <w:tc>
          <w:tcPr>
            <w:tcW w:w="659" w:type="pct"/>
            <w:tcBorders>
              <w:left w:val="single" w:sz="4" w:space="0" w:color="auto"/>
              <w:bottom w:val="single" w:sz="4" w:space="0" w:color="auto"/>
              <w:right w:val="single" w:sz="4" w:space="0" w:color="auto"/>
            </w:tcBorders>
          </w:tcPr>
          <w:p w14:paraId="7EDCE09B" w14:textId="1A5F412C" w:rsidR="006E74F1" w:rsidRPr="004561A6" w:rsidRDefault="006E74F1" w:rsidP="00DA5F11">
            <w:pPr>
              <w:pStyle w:val="TableHeading"/>
              <w:jc w:val="left"/>
              <w:rPr>
                <w:b w:val="0"/>
                <w:sz w:val="18"/>
                <w:szCs w:val="18"/>
              </w:rPr>
            </w:pPr>
            <w:r w:rsidRPr="004561A6">
              <w:rPr>
                <w:b w:val="0"/>
                <w:sz w:val="18"/>
                <w:szCs w:val="18"/>
              </w:rPr>
              <w:t xml:space="preserve">Did the flow regime (including environmental water) contribute to the resilience of </w:t>
            </w:r>
            <w:r w:rsidRPr="006E74F1">
              <w:rPr>
                <w:bCs/>
                <w:sz w:val="18"/>
                <w:szCs w:val="18"/>
              </w:rPr>
              <w:t>silver perch</w:t>
            </w:r>
            <w:r w:rsidRPr="004561A6">
              <w:rPr>
                <w:b w:val="0"/>
                <w:sz w:val="18"/>
                <w:szCs w:val="18"/>
              </w:rPr>
              <w:t xml:space="preserve"> populations?</w:t>
            </w:r>
          </w:p>
        </w:tc>
        <w:tc>
          <w:tcPr>
            <w:tcW w:w="4341" w:type="pct"/>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A18B39" w14:textId="6E8BC07E" w:rsidR="006E74F1" w:rsidRPr="00B718C4" w:rsidRDefault="006E74F1" w:rsidP="00DA5F11">
            <w:pPr>
              <w:pStyle w:val="TableHeading"/>
              <w:spacing w:before="80" w:after="80"/>
              <w:rPr>
                <w:b w:val="0"/>
                <w:sz w:val="18"/>
                <w:szCs w:val="18"/>
              </w:rPr>
            </w:pPr>
            <w:r>
              <w:rPr>
                <w:b w:val="0"/>
                <w:sz w:val="18"/>
                <w:szCs w:val="18"/>
              </w:rPr>
              <w:t xml:space="preserve">Long-term (2014–2024) outcome = </w:t>
            </w:r>
            <w:r w:rsidR="004E12D9">
              <w:rPr>
                <w:b w:val="0"/>
                <w:sz w:val="18"/>
                <w:szCs w:val="18"/>
              </w:rPr>
              <w:t>unknown</w:t>
            </w:r>
            <w:r>
              <w:rPr>
                <w:b w:val="0"/>
                <w:sz w:val="18"/>
                <w:szCs w:val="18"/>
              </w:rPr>
              <w:t>.</w:t>
            </w:r>
          </w:p>
          <w:p w14:paraId="2266FFB9" w14:textId="61660996" w:rsidR="006E74F1" w:rsidRPr="00C55748" w:rsidRDefault="006E74F1" w:rsidP="00DA5F11">
            <w:pPr>
              <w:pStyle w:val="TableHeading"/>
              <w:jc w:val="left"/>
              <w:rPr>
                <w:b w:val="0"/>
                <w:sz w:val="18"/>
                <w:szCs w:val="18"/>
              </w:rPr>
            </w:pPr>
            <w:r w:rsidRPr="00C55748">
              <w:rPr>
                <w:b w:val="0"/>
                <w:sz w:val="18"/>
                <w:szCs w:val="18"/>
              </w:rPr>
              <w:t xml:space="preserve">In the LMR </w:t>
            </w:r>
            <w:r w:rsidR="005943B3">
              <w:rPr>
                <w:b w:val="0"/>
                <w:sz w:val="18"/>
                <w:szCs w:val="18"/>
              </w:rPr>
              <w:t>from 2021–2024</w:t>
            </w:r>
            <w:r w:rsidRPr="00C55748">
              <w:rPr>
                <w:b w:val="0"/>
                <w:sz w:val="18"/>
                <w:szCs w:val="18"/>
              </w:rPr>
              <w:t xml:space="preserve">, </w:t>
            </w:r>
            <w:r w:rsidR="005943B3">
              <w:rPr>
                <w:b w:val="0"/>
                <w:sz w:val="18"/>
                <w:szCs w:val="18"/>
              </w:rPr>
              <w:t xml:space="preserve">the </w:t>
            </w:r>
            <w:r w:rsidRPr="00C55748">
              <w:rPr>
                <w:b w:val="0"/>
                <w:sz w:val="18"/>
                <w:szCs w:val="18"/>
              </w:rPr>
              <w:t xml:space="preserve">silver perch </w:t>
            </w:r>
            <w:r w:rsidR="005943B3">
              <w:rPr>
                <w:b w:val="0"/>
                <w:sz w:val="18"/>
                <w:szCs w:val="18"/>
              </w:rPr>
              <w:t xml:space="preserve">population </w:t>
            </w:r>
            <w:r w:rsidR="005117D2">
              <w:rPr>
                <w:b w:val="0"/>
                <w:sz w:val="18"/>
                <w:szCs w:val="18"/>
              </w:rPr>
              <w:t>was</w:t>
            </w:r>
            <w:r w:rsidR="005943B3">
              <w:rPr>
                <w:b w:val="0"/>
                <w:sz w:val="18"/>
                <w:szCs w:val="18"/>
              </w:rPr>
              <w:t xml:space="preserve"> comprised of fish &lt;6</w:t>
            </w:r>
            <w:r w:rsidRPr="00C55748">
              <w:rPr>
                <w:b w:val="0"/>
                <w:sz w:val="18"/>
                <w:szCs w:val="18"/>
              </w:rPr>
              <w:t xml:space="preserve"> years </w:t>
            </w:r>
            <w:r w:rsidR="005943B3">
              <w:rPr>
                <w:b w:val="0"/>
                <w:sz w:val="18"/>
                <w:szCs w:val="18"/>
              </w:rPr>
              <w:t>old</w:t>
            </w:r>
            <w:r w:rsidR="007F459D">
              <w:rPr>
                <w:b w:val="0"/>
                <w:sz w:val="18"/>
                <w:szCs w:val="18"/>
              </w:rPr>
              <w:t xml:space="preserve"> </w:t>
            </w:r>
            <w:r w:rsidR="00A82C93">
              <w:rPr>
                <w:b w:val="0"/>
                <w:sz w:val="18"/>
                <w:szCs w:val="18"/>
              </w:rPr>
              <w:t xml:space="preserve">derived </w:t>
            </w:r>
            <w:r w:rsidR="007F459D">
              <w:rPr>
                <w:b w:val="0"/>
                <w:sz w:val="18"/>
                <w:szCs w:val="18"/>
              </w:rPr>
              <w:t>from</w:t>
            </w:r>
            <w:r w:rsidR="005943B3">
              <w:rPr>
                <w:b w:val="0"/>
                <w:sz w:val="18"/>
                <w:szCs w:val="18"/>
              </w:rPr>
              <w:t xml:space="preserve"> </w:t>
            </w:r>
            <w:r w:rsidR="007F459D">
              <w:rPr>
                <w:b w:val="0"/>
                <w:sz w:val="18"/>
                <w:szCs w:val="18"/>
              </w:rPr>
              <w:t>spawning</w:t>
            </w:r>
            <w:r w:rsidR="007F459D" w:rsidRPr="00C55748">
              <w:rPr>
                <w:b w:val="0"/>
                <w:sz w:val="18"/>
                <w:szCs w:val="18"/>
              </w:rPr>
              <w:t xml:space="preserve"> </w:t>
            </w:r>
            <w:r w:rsidR="007F459D">
              <w:rPr>
                <w:b w:val="0"/>
                <w:sz w:val="18"/>
                <w:szCs w:val="18"/>
              </w:rPr>
              <w:t xml:space="preserve">during the monitoring period from </w:t>
            </w:r>
            <w:r w:rsidR="005943B3">
              <w:rPr>
                <w:b w:val="0"/>
                <w:sz w:val="18"/>
                <w:szCs w:val="18"/>
              </w:rPr>
              <w:t>2016-17 to 2023-24</w:t>
            </w:r>
            <w:r w:rsidR="005117D2">
              <w:rPr>
                <w:b w:val="0"/>
                <w:sz w:val="18"/>
                <w:szCs w:val="18"/>
              </w:rPr>
              <w:t xml:space="preserve"> </w:t>
            </w:r>
            <w:r w:rsidR="00BD3851">
              <w:rPr>
                <w:b w:val="0"/>
                <w:sz w:val="18"/>
                <w:szCs w:val="18"/>
              </w:rPr>
              <w:t>and</w:t>
            </w:r>
            <w:r w:rsidR="005117D2">
              <w:rPr>
                <w:b w:val="0"/>
                <w:sz w:val="18"/>
                <w:szCs w:val="18"/>
              </w:rPr>
              <w:t xml:space="preserve"> </w:t>
            </w:r>
            <w:r w:rsidR="005117D2" w:rsidRPr="00C55748">
              <w:rPr>
                <w:b w:val="0"/>
                <w:sz w:val="18"/>
                <w:szCs w:val="18"/>
              </w:rPr>
              <w:t>coincident with spring</w:t>
            </w:r>
            <w:r w:rsidR="00B63DCB">
              <w:rPr>
                <w:b w:val="0"/>
                <w:sz w:val="18"/>
                <w:szCs w:val="18"/>
              </w:rPr>
              <w:t>–</w:t>
            </w:r>
            <w:r w:rsidR="005117D2" w:rsidRPr="00C55748">
              <w:rPr>
                <w:b w:val="0"/>
                <w:sz w:val="18"/>
                <w:szCs w:val="18"/>
              </w:rPr>
              <w:t>summer flows that included environmental water</w:t>
            </w:r>
            <w:r w:rsidR="005943B3">
              <w:rPr>
                <w:b w:val="0"/>
                <w:sz w:val="18"/>
                <w:szCs w:val="18"/>
              </w:rPr>
              <w:t xml:space="preserve">. </w:t>
            </w:r>
            <w:r w:rsidR="007F459D">
              <w:rPr>
                <w:b w:val="0"/>
                <w:sz w:val="18"/>
                <w:szCs w:val="18"/>
              </w:rPr>
              <w:t xml:space="preserve">Due to low abundance and otolith sample size in most years, there is low confidence in assessing the </w:t>
            </w:r>
            <w:r w:rsidR="007F459D" w:rsidRPr="007F459D">
              <w:rPr>
                <w:b w:val="0"/>
                <w:sz w:val="18"/>
                <w:szCs w:val="18"/>
              </w:rPr>
              <w:t>contribut</w:t>
            </w:r>
            <w:r w:rsidR="007F459D">
              <w:rPr>
                <w:b w:val="0"/>
                <w:sz w:val="18"/>
                <w:szCs w:val="18"/>
              </w:rPr>
              <w:t>ion of the flow regime (including environmental water)</w:t>
            </w:r>
            <w:r w:rsidR="007F459D" w:rsidRPr="007F459D">
              <w:rPr>
                <w:b w:val="0"/>
                <w:sz w:val="18"/>
                <w:szCs w:val="18"/>
              </w:rPr>
              <w:t xml:space="preserve"> to the resilience of silver perch populations</w:t>
            </w:r>
            <w:r w:rsidR="007F459D">
              <w:rPr>
                <w:b w:val="0"/>
                <w:sz w:val="18"/>
                <w:szCs w:val="18"/>
              </w:rPr>
              <w:t xml:space="preserve">  </w:t>
            </w:r>
            <w:r w:rsidRPr="00C55748">
              <w:rPr>
                <w:b w:val="0"/>
                <w:sz w:val="18"/>
                <w:szCs w:val="18"/>
              </w:rPr>
              <w:t xml:space="preserve"> </w:t>
            </w:r>
          </w:p>
          <w:p w14:paraId="646D12FA" w14:textId="77777777" w:rsidR="006E74F1" w:rsidRDefault="006E74F1" w:rsidP="00DA5F11">
            <w:pPr>
              <w:pStyle w:val="TableHeading"/>
              <w:spacing w:before="80" w:after="80"/>
              <w:rPr>
                <w:b w:val="0"/>
                <w:sz w:val="18"/>
                <w:szCs w:val="18"/>
              </w:rPr>
            </w:pPr>
          </w:p>
        </w:tc>
      </w:tr>
    </w:tbl>
    <w:p w14:paraId="0142BF71" w14:textId="77777777" w:rsidR="006E74F1" w:rsidRDefault="006E74F1" w:rsidP="00F87105">
      <w:pPr>
        <w:pStyle w:val="NoSpacing"/>
        <w:rPr>
          <w:rFonts w:ascii="Century Gothic" w:hAnsi="Century Gothic"/>
          <w:sz w:val="18"/>
          <w:szCs w:val="18"/>
        </w:rPr>
      </w:pPr>
    </w:p>
    <w:p w14:paraId="3E9380D9" w14:textId="3DB91AB7" w:rsidR="00F87105" w:rsidRDefault="00F87105" w:rsidP="00F87105">
      <w:pPr>
        <w:pStyle w:val="NoSpacing"/>
        <w:rPr>
          <w:rFonts w:ascii="Century Gothic" w:hAnsi="Century Gothic"/>
          <w:sz w:val="18"/>
          <w:szCs w:val="18"/>
        </w:rPr>
      </w:pPr>
      <w:r w:rsidRPr="004561A6">
        <w:rPr>
          <w:rFonts w:ascii="Century Gothic" w:hAnsi="Century Gothic"/>
          <w:sz w:val="18"/>
          <w:szCs w:val="18"/>
        </w:rPr>
        <w:t>*Contribution of the flow regime to spawning was not investigated in 2019-20.</w:t>
      </w:r>
    </w:p>
    <w:p w14:paraId="4E97AF53" w14:textId="331AD694" w:rsidR="007E151E" w:rsidRPr="004561A6" w:rsidRDefault="007E151E" w:rsidP="00F87105">
      <w:pPr>
        <w:pStyle w:val="NoSpacing"/>
        <w:rPr>
          <w:rFonts w:ascii="Century Gothic" w:hAnsi="Century Gothic"/>
          <w:sz w:val="18"/>
          <w:szCs w:val="18"/>
        </w:rPr>
      </w:pPr>
      <w:r w:rsidRPr="007E151E">
        <w:rPr>
          <w:b/>
          <w:sz w:val="18"/>
          <w:szCs w:val="18"/>
          <w:vertAlign w:val="superscript"/>
        </w:rPr>
        <w:t>#</w:t>
      </w:r>
      <w:r w:rsidR="004E12D9">
        <w:rPr>
          <w:rFonts w:ascii="Century Gothic" w:hAnsi="Century Gothic"/>
          <w:sz w:val="18"/>
          <w:szCs w:val="18"/>
        </w:rPr>
        <w:t>Spawning considers the CPUE of perch eggs and</w:t>
      </w:r>
      <w:r w:rsidR="004E12D9" w:rsidRPr="004E12D9">
        <w:rPr>
          <w:rFonts w:ascii="Century Gothic" w:hAnsi="Century Gothic"/>
          <w:sz w:val="18"/>
          <w:szCs w:val="18"/>
        </w:rPr>
        <w:t xml:space="preserve"> larvae (</w:t>
      </w:r>
      <w:r w:rsidR="004E12D9" w:rsidRPr="004E12D9">
        <w:rPr>
          <w:rFonts w:ascii="Century Gothic" w:hAnsi="Century Gothic"/>
          <w:sz w:val="18"/>
          <w:szCs w:val="18"/>
        </w:rPr>
        <w:fldChar w:fldCharType="begin"/>
      </w:r>
      <w:r w:rsidR="004E12D9" w:rsidRPr="004E12D9">
        <w:rPr>
          <w:rFonts w:ascii="Century Gothic" w:hAnsi="Century Gothic"/>
          <w:sz w:val="18"/>
          <w:szCs w:val="18"/>
        </w:rPr>
        <w:instrText xml:space="preserve"> REF _Ref1376668 \h  \* MERGEFORMAT </w:instrText>
      </w:r>
      <w:r w:rsidR="004E12D9" w:rsidRPr="004E12D9">
        <w:rPr>
          <w:rFonts w:ascii="Century Gothic" w:hAnsi="Century Gothic"/>
          <w:sz w:val="18"/>
          <w:szCs w:val="18"/>
        </w:rPr>
      </w:r>
      <w:r w:rsidR="004E12D9" w:rsidRPr="004E12D9">
        <w:rPr>
          <w:rFonts w:ascii="Century Gothic" w:hAnsi="Century Gothic"/>
          <w:sz w:val="18"/>
          <w:szCs w:val="18"/>
        </w:rPr>
        <w:fldChar w:fldCharType="separate"/>
      </w:r>
      <w:r w:rsidR="00102828" w:rsidRPr="00102828">
        <w:rPr>
          <w:rFonts w:ascii="Century Gothic" w:hAnsi="Century Gothic"/>
          <w:sz w:val="18"/>
          <w:szCs w:val="18"/>
        </w:rPr>
        <w:t xml:space="preserve">Figure </w:t>
      </w:r>
      <w:r w:rsidR="00102828" w:rsidRPr="00102828">
        <w:rPr>
          <w:rFonts w:ascii="Century Gothic" w:hAnsi="Century Gothic"/>
          <w:noProof/>
          <w:sz w:val="18"/>
          <w:szCs w:val="18"/>
        </w:rPr>
        <w:t>57</w:t>
      </w:r>
      <w:r w:rsidR="004E12D9" w:rsidRPr="004E12D9">
        <w:rPr>
          <w:rFonts w:ascii="Century Gothic" w:hAnsi="Century Gothic"/>
          <w:sz w:val="18"/>
          <w:szCs w:val="18"/>
        </w:rPr>
        <w:fldChar w:fldCharType="end"/>
      </w:r>
      <w:r w:rsidR="004E12D9" w:rsidRPr="004E12D9">
        <w:rPr>
          <w:rFonts w:ascii="Century Gothic" w:hAnsi="Century Gothic"/>
          <w:sz w:val="18"/>
          <w:szCs w:val="18"/>
        </w:rPr>
        <w:t>). R</w:t>
      </w:r>
      <w:r w:rsidRPr="004E12D9">
        <w:rPr>
          <w:rFonts w:ascii="Century Gothic" w:hAnsi="Century Gothic"/>
          <w:sz w:val="18"/>
          <w:szCs w:val="18"/>
        </w:rPr>
        <w:t xml:space="preserve">ecruitment </w:t>
      </w:r>
      <w:r>
        <w:rPr>
          <w:rFonts w:ascii="Century Gothic" w:hAnsi="Century Gothic"/>
          <w:sz w:val="18"/>
          <w:szCs w:val="18"/>
        </w:rPr>
        <w:t xml:space="preserve">considers the CPUE of age 1+ in the </w:t>
      </w:r>
      <w:r w:rsidRPr="007E151E">
        <w:rPr>
          <w:rFonts w:ascii="Century Gothic" w:hAnsi="Century Gothic"/>
          <w:sz w:val="18"/>
          <w:szCs w:val="18"/>
        </w:rPr>
        <w:t>following year (</w:t>
      </w:r>
      <w:r>
        <w:rPr>
          <w:rFonts w:ascii="Century Gothic" w:hAnsi="Century Gothic"/>
          <w:sz w:val="18"/>
          <w:szCs w:val="18"/>
        </w:rPr>
        <w:t>‘recruitmen</w:t>
      </w:r>
      <w:r w:rsidRPr="007E151E">
        <w:rPr>
          <w:rFonts w:ascii="Century Gothic" w:hAnsi="Century Gothic"/>
          <w:sz w:val="18"/>
          <w:szCs w:val="18"/>
        </w:rPr>
        <w:t xml:space="preserve">t strength’, </w:t>
      </w:r>
      <w:r w:rsidRPr="007E151E">
        <w:rPr>
          <w:rFonts w:ascii="Century Gothic" w:hAnsi="Century Gothic"/>
          <w:sz w:val="18"/>
          <w:szCs w:val="18"/>
        </w:rPr>
        <w:fldChar w:fldCharType="begin"/>
      </w:r>
      <w:r w:rsidRPr="007E151E">
        <w:rPr>
          <w:rFonts w:ascii="Century Gothic" w:hAnsi="Century Gothic"/>
          <w:sz w:val="18"/>
          <w:szCs w:val="18"/>
        </w:rPr>
        <w:instrText xml:space="preserve"> REF _Ref187146813 \h  \* MERGEFORMAT </w:instrText>
      </w:r>
      <w:r w:rsidRPr="007E151E">
        <w:rPr>
          <w:rFonts w:ascii="Century Gothic" w:hAnsi="Century Gothic"/>
          <w:sz w:val="18"/>
          <w:szCs w:val="18"/>
        </w:rPr>
      </w:r>
      <w:r w:rsidRPr="007E151E">
        <w:rPr>
          <w:rFonts w:ascii="Century Gothic" w:hAnsi="Century Gothic"/>
          <w:sz w:val="18"/>
          <w:szCs w:val="18"/>
        </w:rPr>
        <w:fldChar w:fldCharType="separate"/>
      </w:r>
      <w:r w:rsidR="00102828" w:rsidRPr="00102828">
        <w:rPr>
          <w:rFonts w:ascii="Century Gothic" w:hAnsi="Century Gothic"/>
          <w:sz w:val="18"/>
          <w:szCs w:val="18"/>
        </w:rPr>
        <w:t xml:space="preserve">Figure </w:t>
      </w:r>
      <w:r w:rsidR="00102828" w:rsidRPr="00102828">
        <w:rPr>
          <w:rFonts w:ascii="Century Gothic" w:hAnsi="Century Gothic"/>
          <w:noProof/>
          <w:sz w:val="18"/>
          <w:szCs w:val="18"/>
        </w:rPr>
        <w:t>59</w:t>
      </w:r>
      <w:r w:rsidRPr="007E151E">
        <w:rPr>
          <w:rFonts w:ascii="Century Gothic" w:hAnsi="Century Gothic"/>
          <w:sz w:val="18"/>
          <w:szCs w:val="18"/>
        </w:rPr>
        <w:fldChar w:fldCharType="end"/>
      </w:r>
      <w:r w:rsidRPr="007E151E">
        <w:rPr>
          <w:rFonts w:ascii="Century Gothic" w:hAnsi="Century Gothic"/>
          <w:sz w:val="18"/>
          <w:szCs w:val="18"/>
        </w:rPr>
        <w:t xml:space="preserve">), the presence and </w:t>
      </w:r>
      <w:r>
        <w:rPr>
          <w:rFonts w:ascii="Century Gothic" w:hAnsi="Century Gothic"/>
          <w:sz w:val="18"/>
          <w:szCs w:val="18"/>
        </w:rPr>
        <w:t>percentage contribution of that cohort</w:t>
      </w:r>
      <w:r w:rsidRPr="007E151E">
        <w:rPr>
          <w:rFonts w:ascii="Century Gothic" w:hAnsi="Century Gothic"/>
          <w:sz w:val="18"/>
          <w:szCs w:val="18"/>
        </w:rPr>
        <w:t xml:space="preserve"> </w:t>
      </w:r>
      <w:r>
        <w:rPr>
          <w:rFonts w:ascii="Century Gothic" w:hAnsi="Century Gothic"/>
          <w:sz w:val="18"/>
          <w:szCs w:val="18"/>
        </w:rPr>
        <w:t xml:space="preserve">to the population </w:t>
      </w:r>
      <w:r w:rsidRPr="007E151E">
        <w:rPr>
          <w:rFonts w:ascii="Century Gothic" w:hAnsi="Century Gothic"/>
          <w:sz w:val="18"/>
          <w:szCs w:val="18"/>
        </w:rPr>
        <w:t>through time (</w:t>
      </w:r>
      <w:r w:rsidR="005117D2">
        <w:rPr>
          <w:rFonts w:ascii="Century Gothic" w:hAnsi="Century Gothic"/>
          <w:sz w:val="18"/>
          <w:szCs w:val="18"/>
        </w:rPr>
        <w:t xml:space="preserve">golden perch only due to low sample size of silver perch, </w:t>
      </w:r>
      <w:r w:rsidRPr="007E151E">
        <w:rPr>
          <w:rFonts w:ascii="Century Gothic" w:hAnsi="Century Gothic"/>
          <w:sz w:val="18"/>
          <w:szCs w:val="18"/>
        </w:rPr>
        <w:fldChar w:fldCharType="begin"/>
      </w:r>
      <w:r w:rsidRPr="007E151E">
        <w:rPr>
          <w:rFonts w:ascii="Century Gothic" w:hAnsi="Century Gothic"/>
          <w:sz w:val="18"/>
          <w:szCs w:val="18"/>
        </w:rPr>
        <w:instrText xml:space="preserve"> REF _Ref81229309 \h  \* MERGEFORMAT </w:instrText>
      </w:r>
      <w:r w:rsidRPr="007E151E">
        <w:rPr>
          <w:rFonts w:ascii="Century Gothic" w:hAnsi="Century Gothic"/>
          <w:sz w:val="18"/>
          <w:szCs w:val="18"/>
        </w:rPr>
      </w:r>
      <w:r w:rsidRPr="007E151E">
        <w:rPr>
          <w:rFonts w:ascii="Century Gothic" w:hAnsi="Century Gothic"/>
          <w:sz w:val="18"/>
          <w:szCs w:val="18"/>
        </w:rPr>
        <w:fldChar w:fldCharType="separate"/>
      </w:r>
      <w:r w:rsidR="00102828" w:rsidRPr="00102828">
        <w:rPr>
          <w:rFonts w:ascii="Century Gothic" w:hAnsi="Century Gothic"/>
          <w:sz w:val="18"/>
          <w:szCs w:val="18"/>
        </w:rPr>
        <w:t xml:space="preserve">Figure </w:t>
      </w:r>
      <w:r w:rsidR="00102828" w:rsidRPr="00102828">
        <w:rPr>
          <w:rFonts w:ascii="Century Gothic" w:hAnsi="Century Gothic"/>
          <w:noProof/>
          <w:sz w:val="18"/>
          <w:szCs w:val="18"/>
        </w:rPr>
        <w:t>61</w:t>
      </w:r>
      <w:r w:rsidRPr="007E151E">
        <w:rPr>
          <w:rFonts w:ascii="Century Gothic" w:hAnsi="Century Gothic"/>
          <w:sz w:val="18"/>
          <w:szCs w:val="18"/>
        </w:rPr>
        <w:fldChar w:fldCharType="end"/>
      </w:r>
      <w:r w:rsidRPr="007E151E">
        <w:rPr>
          <w:rFonts w:ascii="Century Gothic" w:hAnsi="Century Gothic"/>
          <w:sz w:val="18"/>
          <w:szCs w:val="18"/>
        </w:rPr>
        <w:t>)</w:t>
      </w:r>
      <w:r>
        <w:rPr>
          <w:rFonts w:ascii="Century Gothic" w:hAnsi="Century Gothic"/>
          <w:sz w:val="18"/>
          <w:szCs w:val="18"/>
        </w:rPr>
        <w:t xml:space="preserve"> and, in the absence of multi-year data, the CPUE of YOY in the autumn following spawning </w:t>
      </w:r>
      <w:r w:rsidRPr="007E151E">
        <w:rPr>
          <w:rFonts w:ascii="Century Gothic" w:hAnsi="Century Gothic"/>
          <w:sz w:val="18"/>
          <w:szCs w:val="18"/>
        </w:rPr>
        <w:t>(</w:t>
      </w:r>
      <w:r w:rsidRPr="007E151E">
        <w:rPr>
          <w:rFonts w:ascii="Century Gothic" w:hAnsi="Century Gothic"/>
          <w:sz w:val="18"/>
          <w:szCs w:val="18"/>
        </w:rPr>
        <w:fldChar w:fldCharType="begin"/>
      </w:r>
      <w:r w:rsidRPr="007E151E">
        <w:rPr>
          <w:rFonts w:ascii="Century Gothic" w:hAnsi="Century Gothic"/>
          <w:sz w:val="18"/>
          <w:szCs w:val="18"/>
        </w:rPr>
        <w:instrText xml:space="preserve"> REF _Ref81229309 \h  \* MERGEFORMAT </w:instrText>
      </w:r>
      <w:r w:rsidRPr="007E151E">
        <w:rPr>
          <w:rFonts w:ascii="Century Gothic" w:hAnsi="Century Gothic"/>
          <w:sz w:val="18"/>
          <w:szCs w:val="18"/>
        </w:rPr>
      </w:r>
      <w:r w:rsidRPr="007E151E">
        <w:rPr>
          <w:rFonts w:ascii="Century Gothic" w:hAnsi="Century Gothic"/>
          <w:sz w:val="18"/>
          <w:szCs w:val="18"/>
        </w:rPr>
        <w:fldChar w:fldCharType="separate"/>
      </w:r>
      <w:r w:rsidR="00102828" w:rsidRPr="00102828">
        <w:rPr>
          <w:rFonts w:ascii="Century Gothic" w:hAnsi="Century Gothic"/>
          <w:sz w:val="18"/>
          <w:szCs w:val="18"/>
        </w:rPr>
        <w:t xml:space="preserve">Figure </w:t>
      </w:r>
      <w:r w:rsidR="00102828" w:rsidRPr="00102828">
        <w:rPr>
          <w:rFonts w:ascii="Century Gothic" w:hAnsi="Century Gothic"/>
          <w:noProof/>
          <w:sz w:val="18"/>
          <w:szCs w:val="18"/>
        </w:rPr>
        <w:t>61</w:t>
      </w:r>
      <w:r w:rsidRPr="007E151E">
        <w:rPr>
          <w:rFonts w:ascii="Century Gothic" w:hAnsi="Century Gothic"/>
          <w:sz w:val="18"/>
          <w:szCs w:val="18"/>
        </w:rPr>
        <w:fldChar w:fldCharType="end"/>
      </w:r>
      <w:r w:rsidRPr="007E151E">
        <w:rPr>
          <w:rFonts w:ascii="Century Gothic" w:hAnsi="Century Gothic"/>
          <w:sz w:val="18"/>
          <w:szCs w:val="18"/>
        </w:rPr>
        <w:t xml:space="preserve">, </w:t>
      </w:r>
      <w:r w:rsidRPr="007E151E">
        <w:rPr>
          <w:rFonts w:ascii="Century Gothic" w:hAnsi="Century Gothic"/>
          <w:sz w:val="18"/>
          <w:szCs w:val="18"/>
        </w:rPr>
        <w:fldChar w:fldCharType="begin"/>
      </w:r>
      <w:r w:rsidRPr="007E151E">
        <w:rPr>
          <w:rFonts w:ascii="Century Gothic" w:hAnsi="Century Gothic"/>
          <w:sz w:val="18"/>
          <w:szCs w:val="18"/>
        </w:rPr>
        <w:instrText xml:space="preserve"> REF _Ref187155336 \h  \* MERGEFORMAT </w:instrText>
      </w:r>
      <w:r w:rsidRPr="007E151E">
        <w:rPr>
          <w:rFonts w:ascii="Century Gothic" w:hAnsi="Century Gothic"/>
          <w:sz w:val="18"/>
          <w:szCs w:val="18"/>
        </w:rPr>
      </w:r>
      <w:r w:rsidRPr="007E151E">
        <w:rPr>
          <w:rFonts w:ascii="Century Gothic" w:hAnsi="Century Gothic"/>
          <w:sz w:val="18"/>
          <w:szCs w:val="18"/>
        </w:rPr>
        <w:fldChar w:fldCharType="separate"/>
      </w:r>
      <w:r w:rsidR="00102828" w:rsidRPr="00102828">
        <w:rPr>
          <w:rFonts w:ascii="Century Gothic" w:hAnsi="Century Gothic"/>
          <w:sz w:val="18"/>
          <w:szCs w:val="18"/>
        </w:rPr>
        <w:t xml:space="preserve">Figure </w:t>
      </w:r>
      <w:r w:rsidR="00102828" w:rsidRPr="00102828">
        <w:rPr>
          <w:rFonts w:ascii="Century Gothic" w:hAnsi="Century Gothic"/>
          <w:noProof/>
          <w:sz w:val="18"/>
          <w:szCs w:val="18"/>
        </w:rPr>
        <w:t>62</w:t>
      </w:r>
      <w:r w:rsidRPr="007E151E">
        <w:rPr>
          <w:rFonts w:ascii="Century Gothic" w:hAnsi="Century Gothic"/>
          <w:sz w:val="18"/>
          <w:szCs w:val="18"/>
        </w:rPr>
        <w:fldChar w:fldCharType="end"/>
      </w:r>
      <w:r w:rsidRPr="007E151E">
        <w:rPr>
          <w:rFonts w:ascii="Century Gothic" w:hAnsi="Century Gothic"/>
          <w:sz w:val="18"/>
          <w:szCs w:val="18"/>
        </w:rPr>
        <w:t>)</w:t>
      </w:r>
      <w:r>
        <w:rPr>
          <w:rFonts w:ascii="Century Gothic" w:hAnsi="Century Gothic"/>
          <w:sz w:val="18"/>
          <w:szCs w:val="18"/>
        </w:rPr>
        <w:t>.</w:t>
      </w:r>
    </w:p>
    <w:p w14:paraId="3BC2C858" w14:textId="77777777" w:rsidR="00F87105" w:rsidRPr="004561A6" w:rsidRDefault="00F87105" w:rsidP="00F87105">
      <w:pPr>
        <w:spacing w:before="0" w:after="0" w:line="240" w:lineRule="auto"/>
        <w:jc w:val="left"/>
        <w:rPr>
          <w:color w:val="auto"/>
          <w:kern w:val="0"/>
          <w:sz w:val="18"/>
          <w:szCs w:val="18"/>
          <w:lang w:val="en-US" w:bidi="en-US"/>
        </w:rPr>
      </w:pPr>
      <w:r>
        <w:rPr>
          <w:color w:val="auto"/>
          <w:kern w:val="0"/>
          <w:sz w:val="18"/>
          <w:szCs w:val="18"/>
          <w:lang w:val="en-US" w:bidi="en-US"/>
        </w:rPr>
        <w:t>Assignment of c</w:t>
      </w:r>
      <w:r w:rsidRPr="004561A6">
        <w:rPr>
          <w:color w:val="auto"/>
          <w:kern w:val="0"/>
          <w:sz w:val="18"/>
          <w:szCs w:val="18"/>
          <w:lang w:val="en-US" w:bidi="en-US"/>
        </w:rPr>
        <w:t xml:space="preserve">ontribution (to what extent the flow regime </w:t>
      </w:r>
      <w:r>
        <w:rPr>
          <w:color w:val="auto"/>
          <w:kern w:val="0"/>
          <w:sz w:val="18"/>
          <w:szCs w:val="18"/>
          <w:lang w:val="en-US" w:bidi="en-US"/>
        </w:rPr>
        <w:t>[</w:t>
      </w:r>
      <w:r w:rsidRPr="004561A6">
        <w:rPr>
          <w:color w:val="auto"/>
          <w:kern w:val="0"/>
          <w:sz w:val="18"/>
          <w:szCs w:val="18"/>
          <w:lang w:val="en-US" w:bidi="en-US"/>
        </w:rPr>
        <w:t>including environmental water</w:t>
      </w:r>
      <w:r>
        <w:rPr>
          <w:color w:val="auto"/>
          <w:kern w:val="0"/>
          <w:sz w:val="18"/>
          <w:szCs w:val="18"/>
          <w:lang w:val="en-US" w:bidi="en-US"/>
        </w:rPr>
        <w:t>]</w:t>
      </w:r>
      <w:r w:rsidRPr="004561A6">
        <w:rPr>
          <w:color w:val="auto"/>
          <w:kern w:val="0"/>
          <w:sz w:val="18"/>
          <w:szCs w:val="18"/>
          <w:lang w:val="en-US" w:bidi="en-US"/>
        </w:rPr>
        <w:t xml:space="preserve"> contributed towards the outcome, with the significance of the outcome considered)</w:t>
      </w:r>
      <w:r>
        <w:rPr>
          <w:color w:val="auto"/>
          <w:kern w:val="0"/>
          <w:sz w:val="18"/>
          <w:szCs w:val="18"/>
          <w:lang w:val="en-US" w:bidi="en-US"/>
        </w:rPr>
        <w:t xml:space="preserve"> is semi-quantitative.</w:t>
      </w:r>
    </w:p>
    <w:tbl>
      <w:tblPr>
        <w:tblW w:w="6710" w:type="dxa"/>
        <w:tblLook w:val="04A0" w:firstRow="1" w:lastRow="0" w:firstColumn="1" w:lastColumn="0" w:noHBand="0" w:noVBand="1"/>
      </w:tblPr>
      <w:tblGrid>
        <w:gridCol w:w="222"/>
        <w:gridCol w:w="1021"/>
        <w:gridCol w:w="222"/>
        <w:gridCol w:w="1626"/>
        <w:gridCol w:w="222"/>
        <w:gridCol w:w="700"/>
        <w:gridCol w:w="222"/>
        <w:gridCol w:w="1095"/>
        <w:gridCol w:w="222"/>
        <w:gridCol w:w="1158"/>
      </w:tblGrid>
      <w:tr w:rsidR="00F87105" w:rsidRPr="004561A6" w14:paraId="28029DD2" w14:textId="77777777" w:rsidTr="006A4AFE">
        <w:tc>
          <w:tcPr>
            <w:tcW w:w="222" w:type="dxa"/>
            <w:shd w:val="clear" w:color="auto" w:fill="D9D9D9" w:themeFill="background1" w:themeFillShade="D9"/>
          </w:tcPr>
          <w:p w14:paraId="3A8CA4B2" w14:textId="77777777" w:rsidR="00F87105" w:rsidRPr="004561A6" w:rsidRDefault="00F87105" w:rsidP="006A4AFE">
            <w:pPr>
              <w:contextualSpacing/>
              <w:rPr>
                <w:sz w:val="18"/>
                <w:szCs w:val="18"/>
              </w:rPr>
            </w:pPr>
          </w:p>
        </w:tc>
        <w:tc>
          <w:tcPr>
            <w:tcW w:w="1021" w:type="dxa"/>
            <w:vAlign w:val="center"/>
          </w:tcPr>
          <w:p w14:paraId="40971A81" w14:textId="77777777" w:rsidR="00F87105" w:rsidRPr="004561A6" w:rsidRDefault="00F87105" w:rsidP="006A4AFE">
            <w:pPr>
              <w:contextualSpacing/>
              <w:rPr>
                <w:sz w:val="18"/>
                <w:szCs w:val="18"/>
              </w:rPr>
            </w:pPr>
            <w:r w:rsidRPr="004561A6">
              <w:rPr>
                <w:sz w:val="18"/>
                <w:szCs w:val="18"/>
              </w:rPr>
              <w:t>Unknown</w:t>
            </w:r>
          </w:p>
        </w:tc>
        <w:tc>
          <w:tcPr>
            <w:tcW w:w="222" w:type="dxa"/>
            <w:shd w:val="clear" w:color="auto" w:fill="E2EFD9" w:themeFill="accent6" w:themeFillTint="33"/>
            <w:vAlign w:val="center"/>
          </w:tcPr>
          <w:p w14:paraId="7FE09888" w14:textId="77777777" w:rsidR="00F87105" w:rsidRPr="004561A6" w:rsidRDefault="00F87105" w:rsidP="006A4AFE">
            <w:pPr>
              <w:contextualSpacing/>
              <w:rPr>
                <w:sz w:val="18"/>
                <w:szCs w:val="18"/>
              </w:rPr>
            </w:pPr>
          </w:p>
        </w:tc>
        <w:tc>
          <w:tcPr>
            <w:tcW w:w="1626" w:type="dxa"/>
            <w:vAlign w:val="center"/>
          </w:tcPr>
          <w:p w14:paraId="66489928" w14:textId="77777777" w:rsidR="00F87105" w:rsidRPr="004561A6" w:rsidRDefault="00F87105" w:rsidP="006A4AFE">
            <w:pPr>
              <w:contextualSpacing/>
              <w:rPr>
                <w:sz w:val="18"/>
                <w:szCs w:val="18"/>
              </w:rPr>
            </w:pPr>
            <w:r w:rsidRPr="004561A6">
              <w:rPr>
                <w:sz w:val="18"/>
                <w:szCs w:val="18"/>
              </w:rPr>
              <w:t>None/negligible</w:t>
            </w:r>
          </w:p>
        </w:tc>
        <w:tc>
          <w:tcPr>
            <w:tcW w:w="222" w:type="dxa"/>
            <w:shd w:val="clear" w:color="auto" w:fill="A8D08D" w:themeFill="accent6" w:themeFillTint="99"/>
            <w:vAlign w:val="center"/>
          </w:tcPr>
          <w:p w14:paraId="0A288833" w14:textId="77777777" w:rsidR="00F87105" w:rsidRPr="004561A6" w:rsidRDefault="00F87105" w:rsidP="006A4AFE">
            <w:pPr>
              <w:contextualSpacing/>
              <w:rPr>
                <w:sz w:val="18"/>
                <w:szCs w:val="18"/>
              </w:rPr>
            </w:pPr>
          </w:p>
        </w:tc>
        <w:tc>
          <w:tcPr>
            <w:tcW w:w="700" w:type="dxa"/>
            <w:vAlign w:val="center"/>
          </w:tcPr>
          <w:p w14:paraId="4FFDB8E2" w14:textId="77777777" w:rsidR="00F87105" w:rsidRPr="004561A6" w:rsidRDefault="00F87105" w:rsidP="006A4AFE">
            <w:pPr>
              <w:contextualSpacing/>
              <w:rPr>
                <w:sz w:val="18"/>
                <w:szCs w:val="18"/>
              </w:rPr>
            </w:pPr>
            <w:r w:rsidRPr="004561A6">
              <w:rPr>
                <w:sz w:val="18"/>
                <w:szCs w:val="18"/>
              </w:rPr>
              <w:t>Minor</w:t>
            </w:r>
          </w:p>
        </w:tc>
        <w:tc>
          <w:tcPr>
            <w:tcW w:w="222" w:type="dxa"/>
            <w:shd w:val="clear" w:color="auto" w:fill="70AD47" w:themeFill="accent6"/>
            <w:vAlign w:val="center"/>
          </w:tcPr>
          <w:p w14:paraId="53AAA452" w14:textId="77777777" w:rsidR="00F87105" w:rsidRPr="004561A6" w:rsidRDefault="00F87105" w:rsidP="006A4AFE">
            <w:pPr>
              <w:contextualSpacing/>
              <w:rPr>
                <w:sz w:val="18"/>
                <w:szCs w:val="18"/>
              </w:rPr>
            </w:pPr>
          </w:p>
        </w:tc>
        <w:tc>
          <w:tcPr>
            <w:tcW w:w="1095" w:type="dxa"/>
            <w:vAlign w:val="center"/>
          </w:tcPr>
          <w:p w14:paraId="546EBF0C" w14:textId="77777777" w:rsidR="00F87105" w:rsidRPr="004561A6" w:rsidRDefault="00F87105" w:rsidP="006A4AFE">
            <w:pPr>
              <w:contextualSpacing/>
              <w:rPr>
                <w:sz w:val="18"/>
                <w:szCs w:val="18"/>
              </w:rPr>
            </w:pPr>
            <w:r w:rsidRPr="004561A6">
              <w:rPr>
                <w:sz w:val="18"/>
                <w:szCs w:val="18"/>
              </w:rPr>
              <w:t>Moderate</w:t>
            </w:r>
          </w:p>
        </w:tc>
        <w:tc>
          <w:tcPr>
            <w:tcW w:w="222" w:type="dxa"/>
            <w:shd w:val="clear" w:color="auto" w:fill="5BA2F7"/>
          </w:tcPr>
          <w:p w14:paraId="37A4005C" w14:textId="77777777" w:rsidR="00F87105" w:rsidRPr="004561A6" w:rsidRDefault="00F87105" w:rsidP="006A4AFE">
            <w:pPr>
              <w:contextualSpacing/>
              <w:rPr>
                <w:sz w:val="18"/>
                <w:szCs w:val="18"/>
              </w:rPr>
            </w:pPr>
          </w:p>
        </w:tc>
        <w:tc>
          <w:tcPr>
            <w:tcW w:w="1158" w:type="dxa"/>
            <w:vAlign w:val="center"/>
          </w:tcPr>
          <w:p w14:paraId="29AE8A76" w14:textId="77777777" w:rsidR="00F87105" w:rsidRPr="004561A6" w:rsidRDefault="00F87105" w:rsidP="006A4AFE">
            <w:pPr>
              <w:contextualSpacing/>
              <w:jc w:val="left"/>
              <w:rPr>
                <w:sz w:val="18"/>
                <w:szCs w:val="18"/>
              </w:rPr>
            </w:pPr>
            <w:r w:rsidRPr="004561A6">
              <w:rPr>
                <w:sz w:val="18"/>
                <w:szCs w:val="18"/>
              </w:rPr>
              <w:t>Substantial</w:t>
            </w:r>
          </w:p>
        </w:tc>
      </w:tr>
    </w:tbl>
    <w:p w14:paraId="226FBA5E" w14:textId="77777777" w:rsidR="00560E8D" w:rsidRDefault="00560E8D" w:rsidP="007F41E8">
      <w:pPr>
        <w:sectPr w:rsidR="00560E8D" w:rsidSect="00560E8D">
          <w:pgSz w:w="16838" w:h="11906" w:orient="landscape"/>
          <w:pgMar w:top="1440" w:right="1440" w:bottom="1440" w:left="1440" w:header="709" w:footer="709" w:gutter="0"/>
          <w:cols w:space="708"/>
          <w:docGrid w:linePitch="360"/>
        </w:sectPr>
      </w:pPr>
      <w:bookmarkStart w:id="477" w:name="_Hlk187231056"/>
    </w:p>
    <w:p w14:paraId="06B010CC" w14:textId="2EC00427" w:rsidR="00F87105" w:rsidRPr="00095FA3" w:rsidRDefault="00F87105" w:rsidP="00F87105">
      <w:pPr>
        <w:pStyle w:val="Heading3"/>
      </w:pPr>
      <w:r w:rsidRPr="00095FA3">
        <w:lastRenderedPageBreak/>
        <w:t>Discussion</w:t>
      </w:r>
    </w:p>
    <w:bookmarkEnd w:id="477"/>
    <w:p w14:paraId="2B811643" w14:textId="1C05ADA3" w:rsidR="00F87105" w:rsidRPr="000B4041" w:rsidRDefault="00F87105" w:rsidP="00F87105">
      <w:r w:rsidRPr="000B4041">
        <w:rPr>
          <w:bCs/>
        </w:rPr>
        <w:t xml:space="preserve">Over the CEWH LTIM and </w:t>
      </w:r>
      <w:r>
        <w:rPr>
          <w:bCs/>
        </w:rPr>
        <w:t>Flow-</w:t>
      </w:r>
      <w:r w:rsidRPr="000B4041">
        <w:rPr>
          <w:bCs/>
        </w:rPr>
        <w:t xml:space="preserve">MER </w:t>
      </w:r>
      <w:r w:rsidR="00807804">
        <w:rPr>
          <w:bCs/>
        </w:rPr>
        <w:t>p</w:t>
      </w:r>
      <w:r w:rsidRPr="000B4041">
        <w:rPr>
          <w:bCs/>
        </w:rPr>
        <w:t>rojects, we aimed to identify potential associations between recruitment of golden perch and silver perch and flow, including environmental water delivery. We hypothesise that (1) increased flow (nominally &gt;20,000 ML/d) in spring–summer will promote spawning and recruitment to YOY, and (2) multiple years of enhanced spring–summer flow will increase the resilience of golden perch and silver perch populations in the LMR by promoting a diverse age structure.</w:t>
      </w:r>
    </w:p>
    <w:p w14:paraId="78E0A95A" w14:textId="77777777" w:rsidR="00F87105" w:rsidRPr="00606736" w:rsidRDefault="00F87105" w:rsidP="00F87105">
      <w:pPr>
        <w:rPr>
          <w:i/>
          <w:iCs/>
          <w:u w:val="single"/>
        </w:rPr>
      </w:pPr>
      <w:r>
        <w:rPr>
          <w:i/>
          <w:iCs/>
          <w:u w:val="single"/>
        </w:rPr>
        <w:t>Golden perch</w:t>
      </w:r>
    </w:p>
    <w:p w14:paraId="5DCDDA7A" w14:textId="29BAAF8A" w:rsidR="00F87105" w:rsidRDefault="00F87105" w:rsidP="00F87105">
      <w:r w:rsidRPr="00AB589F">
        <w:t xml:space="preserve">From 2014–2024, increased spawning of golden perch, as indicated by the abundance of eggs and/or larvae, was </w:t>
      </w:r>
      <w:r w:rsidR="004B728C">
        <w:t xml:space="preserve">generally </w:t>
      </w:r>
      <w:r w:rsidRPr="00AB589F">
        <w:t>associated with elevated in-channel (&gt;20,000 ML/d) and overbank (&gt;45,000 ML/d) flows in concert with water temperatures ≥20ºC during spring–summer. Despite sampling few or no larvae during overbank spring</w:t>
      </w:r>
      <w:r w:rsidR="00B4732C" w:rsidRPr="00AB589F">
        <w:t>–</w:t>
      </w:r>
      <w:r w:rsidRPr="00AB589F">
        <w:t>summer flow years in 2016-17</w:t>
      </w:r>
      <w:r>
        <w:t xml:space="preserve"> (peak </w:t>
      </w:r>
      <w:r w:rsidRPr="00861659">
        <w:t>94,600 ML/d</w:t>
      </w:r>
      <w:r>
        <w:t>)</w:t>
      </w:r>
      <w:r w:rsidRPr="00AB589F">
        <w:t xml:space="preserve"> and 2022-23</w:t>
      </w:r>
      <w:r>
        <w:t xml:space="preserve"> (</w:t>
      </w:r>
      <w:r w:rsidRPr="000B4041">
        <w:rPr>
          <w:bCs/>
        </w:rPr>
        <w:t>187,600 ML/d</w:t>
      </w:r>
      <w:r>
        <w:t>)</w:t>
      </w:r>
      <w:r w:rsidRPr="00AB589F">
        <w:t>, respectively, these years were associated with high egg abundance, relative to low flow years (2014-15, 2015-16, 2017-18, 2018-19)</w:t>
      </w:r>
      <w:r>
        <w:t>, except for 2020-21</w:t>
      </w:r>
      <w:r w:rsidRPr="00AB589F">
        <w:t xml:space="preserve">. </w:t>
      </w:r>
      <w:r>
        <w:t xml:space="preserve">Larvae abundance in the LMR main channel during </w:t>
      </w:r>
      <w:r w:rsidR="00F63726">
        <w:t xml:space="preserve">overbank </w:t>
      </w:r>
      <w:r>
        <w:t xml:space="preserve">flow years may be underestimated due to sampling </w:t>
      </w:r>
      <w:r w:rsidRPr="00BA10F9">
        <w:t xml:space="preserve">inefficiencies from dilution effects and changes in spatial distribution of larvae due to lateral connectivity and inundation. It is also possible that a hypoxic blackwater event associated with overbank floods in 2016 (Ye </w:t>
      </w:r>
      <w:r w:rsidRPr="00BA10F9">
        <w:rPr>
          <w:i/>
        </w:rPr>
        <w:t xml:space="preserve">et al. </w:t>
      </w:r>
      <w:r w:rsidRPr="00BA10F9">
        <w:t>2018) compromised the survival of eggs and larvae</w:t>
      </w:r>
      <w:r>
        <w:t>, resulting in low abundance of larvae during sampling</w:t>
      </w:r>
      <w:r w:rsidRPr="00BA10F9">
        <w:t>.</w:t>
      </w:r>
    </w:p>
    <w:p w14:paraId="3D437308" w14:textId="50B1B409" w:rsidR="00F87105" w:rsidRDefault="00F87105" w:rsidP="00F87105">
      <w:r>
        <w:t xml:space="preserve">Trends in recruitment of golden perch in the LMR generally followed those for spawning (larval abundance). Strong recruitment, as indicated by the abundance of age 1+ year olds in the following year, was observed </w:t>
      </w:r>
      <w:r w:rsidR="009421D6">
        <w:t xml:space="preserve">for the </w:t>
      </w:r>
      <w:r>
        <w:t>2021-22</w:t>
      </w:r>
      <w:r w:rsidR="009421D6">
        <w:t xml:space="preserve"> cohort spawned</w:t>
      </w:r>
      <w:r>
        <w:t xml:space="preserve"> during high, in-channel flows (peak </w:t>
      </w:r>
      <w:r w:rsidRPr="00F1388E">
        <w:t>37,500 ML/d in late December</w:t>
      </w:r>
      <w:r>
        <w:t>). L</w:t>
      </w:r>
      <w:r w:rsidRPr="00744751">
        <w:t>ow</w:t>
      </w:r>
      <w:r>
        <w:t xml:space="preserve">er </w:t>
      </w:r>
      <w:r w:rsidRPr="00744751">
        <w:t>level</w:t>
      </w:r>
      <w:r>
        <w:t>s of</w:t>
      </w:r>
      <w:r w:rsidRPr="00744751">
        <w:t xml:space="preserve"> recruitment in this reach</w:t>
      </w:r>
      <w:r>
        <w:t xml:space="preserve"> also occurred in the overbank (&gt;45,000 ML/d) flow years of 2016-17 and 2022-23, a high (&gt;20,000 ML/d) in-channel flow year in 2023-24 and in-channel (&lt;20,000 ML/d) spring-summer flow years 2017–2019 and 2020-21. During most of these in-channel flow years, environmental water </w:t>
      </w:r>
      <w:r w:rsidR="0080636F">
        <w:t xml:space="preserve">assisted in promoting and maintaining elevated spring-summer </w:t>
      </w:r>
      <w:r>
        <w:t>flow during period</w:t>
      </w:r>
      <w:r w:rsidR="009421D6">
        <w:t>s</w:t>
      </w:r>
      <w:r>
        <w:t xml:space="preserve"> coincide</w:t>
      </w:r>
      <w:r w:rsidR="009421D6">
        <w:t>nt</w:t>
      </w:r>
      <w:r>
        <w:t xml:space="preserve"> with peak spawning (</w:t>
      </w:r>
      <w:r>
        <w:fldChar w:fldCharType="begin"/>
      </w:r>
      <w:r>
        <w:instrText xml:space="preserve"> REF _Ref127969575 \h </w:instrText>
      </w:r>
      <w:r>
        <w:fldChar w:fldCharType="separate"/>
      </w:r>
      <w:r w:rsidR="00102828">
        <w:t xml:space="preserve">Table </w:t>
      </w:r>
      <w:r w:rsidR="00102828">
        <w:rPr>
          <w:noProof/>
        </w:rPr>
        <w:t>20</w:t>
      </w:r>
      <w:r>
        <w:fldChar w:fldCharType="end"/>
      </w:r>
      <w:r>
        <w:t xml:space="preserve">; </w:t>
      </w:r>
      <w:r w:rsidRPr="001C5B86">
        <w:t xml:space="preserve">Ye </w:t>
      </w:r>
      <w:r w:rsidRPr="00736725">
        <w:rPr>
          <w:i/>
          <w:iCs/>
        </w:rPr>
        <w:t>et al.</w:t>
      </w:r>
      <w:r w:rsidRPr="001C5B86">
        <w:t xml:space="preserve"> </w:t>
      </w:r>
      <w:r>
        <w:t>2020a</w:t>
      </w:r>
      <w:r w:rsidR="004E6686">
        <w:t>,</w:t>
      </w:r>
      <w:r>
        <w:t xml:space="preserve"> </w:t>
      </w:r>
      <w:r w:rsidRPr="001C5B86">
        <w:t>2021</w:t>
      </w:r>
      <w:r w:rsidR="004E6686">
        <w:t>,</w:t>
      </w:r>
      <w:r w:rsidRPr="001C5B86">
        <w:t xml:space="preserve"> 2022</w:t>
      </w:r>
      <w:r w:rsidR="004E6686">
        <w:t>,</w:t>
      </w:r>
      <w:r w:rsidRPr="001C5B86">
        <w:t xml:space="preserve"> 2023</w:t>
      </w:r>
      <w:r w:rsidR="004E6686">
        <w:t>,</w:t>
      </w:r>
      <w:r w:rsidRPr="001C5B86">
        <w:t xml:space="preserve"> 2024</w:t>
      </w:r>
      <w:r>
        <w:t xml:space="preserve">). </w:t>
      </w:r>
      <w:r w:rsidRPr="00260F17">
        <w:t xml:space="preserve">In </w:t>
      </w:r>
      <w:r>
        <w:t>2024</w:t>
      </w:r>
      <w:r w:rsidRPr="00260F17">
        <w:t xml:space="preserve">, </w:t>
      </w:r>
      <w:r>
        <w:t xml:space="preserve">the 2021-22, 2020-21, 2018-19 and 2016-17 </w:t>
      </w:r>
      <w:r w:rsidRPr="00260F17">
        <w:t xml:space="preserve">cohorts  </w:t>
      </w:r>
      <w:r w:rsidR="009421D6">
        <w:t xml:space="preserve">(i.e. </w:t>
      </w:r>
      <w:r>
        <w:t>2+, 3</w:t>
      </w:r>
      <w:r w:rsidRPr="00260F17">
        <w:t xml:space="preserve">+, </w:t>
      </w:r>
      <w:r>
        <w:t>5</w:t>
      </w:r>
      <w:r w:rsidRPr="00260F17">
        <w:t xml:space="preserve">+ and </w:t>
      </w:r>
      <w:r>
        <w:t>7</w:t>
      </w:r>
      <w:r w:rsidRPr="00260F17">
        <w:t>+ year old</w:t>
      </w:r>
      <w:r>
        <w:t>s</w:t>
      </w:r>
      <w:r w:rsidR="009421D6">
        <w:t>)</w:t>
      </w:r>
      <w:r w:rsidRPr="00260F17">
        <w:t xml:space="preserve"> were apparent in the age structure, </w:t>
      </w:r>
      <w:r>
        <w:t xml:space="preserve">and </w:t>
      </w:r>
      <w:r w:rsidRPr="00260F17">
        <w:t>collectively compris</w:t>
      </w:r>
      <w:r>
        <w:t>ed</w:t>
      </w:r>
      <w:r w:rsidRPr="00260F17">
        <w:t xml:space="preserve"> </w:t>
      </w:r>
      <w:r>
        <w:t>67</w:t>
      </w:r>
      <w:r w:rsidRPr="00260F17">
        <w:t xml:space="preserve">% of the sample. The </w:t>
      </w:r>
      <w:r>
        <w:t>increased prominence</w:t>
      </w:r>
      <w:r w:rsidRPr="00260F17">
        <w:t xml:space="preserve"> of </w:t>
      </w:r>
      <w:r>
        <w:t xml:space="preserve">some of </w:t>
      </w:r>
      <w:r w:rsidRPr="00260F17">
        <w:t xml:space="preserve">these cohorts </w:t>
      </w:r>
      <w:r w:rsidR="009421D6">
        <w:t xml:space="preserve">(e.g. 2018-19 and 2016-17) </w:t>
      </w:r>
      <w:r w:rsidRPr="00260F17">
        <w:t>as older fish in the population</w:t>
      </w:r>
      <w:r>
        <w:t>,</w:t>
      </w:r>
      <w:r w:rsidRPr="00260F17">
        <w:t xml:space="preserve"> reinforces the need for a long-term perspective (5–10 years) </w:t>
      </w:r>
      <w:r w:rsidR="000123E0">
        <w:t>for</w:t>
      </w:r>
      <w:r w:rsidRPr="00260F17">
        <w:t xml:space="preserve"> detecting population responses of long-lived fishes to flow variability and management interventions.</w:t>
      </w:r>
    </w:p>
    <w:p w14:paraId="5FA0C548" w14:textId="77777777" w:rsidR="00F87105" w:rsidRDefault="00F87105" w:rsidP="00F87105">
      <w:pPr>
        <w:rPr>
          <w:bCs/>
        </w:rPr>
      </w:pPr>
      <w:r w:rsidRPr="00641E11">
        <w:rPr>
          <w:bCs/>
        </w:rPr>
        <w:t xml:space="preserve">Recruitment and the establishment of distinct cohorts of golden perch in the LMR is influenced by local spawning and the downstream transport and migration of larvae/YOY (age 0+) and juveniles (predominantly age 1+) from spatially distinct spawning areas (Zampatti 2019). Fish originating from years of high flow (i.e. 2009-10, 2010-11 and 2011-12 and 2021-22) in the Darling River contributed substantially to prominent age cohorts in the LMR. Thus, spawning and recruitment in the Darling River, and physical and hydrological connectivity between the Darling and Murray rivers, are substantial drivers of golden perch population dynamics of the lower River Murray. Whilst some downstream transport of eggs, larvae and early-stage juveniles from the Darling River to the lower River Murray may occur during low-intermediate flows, it appears that high in-channel–overbank flows </w:t>
      </w:r>
      <w:r w:rsidRPr="00641E11">
        <w:rPr>
          <w:bCs/>
        </w:rPr>
        <w:lastRenderedPageBreak/>
        <w:t>in both the Darling and Murray rivers are associated with significant downstream dispersal of juvenile golden perch from recruitment sources in the Darling River</w:t>
      </w:r>
      <w:r>
        <w:rPr>
          <w:bCs/>
        </w:rPr>
        <w:t xml:space="preserve"> (Zampatti and Leigh 2013; Zampatti </w:t>
      </w:r>
      <w:r w:rsidRPr="00904121">
        <w:rPr>
          <w:bCs/>
          <w:i/>
          <w:iCs/>
        </w:rPr>
        <w:t>et al.</w:t>
      </w:r>
      <w:r>
        <w:rPr>
          <w:bCs/>
        </w:rPr>
        <w:t xml:space="preserve"> 2021)</w:t>
      </w:r>
      <w:r w:rsidRPr="00641E11">
        <w:rPr>
          <w:bCs/>
        </w:rPr>
        <w:t>.</w:t>
      </w:r>
    </w:p>
    <w:p w14:paraId="35BD5105" w14:textId="1F33C57D" w:rsidR="00F87105" w:rsidRDefault="00F87105" w:rsidP="00F87105">
      <w:pPr>
        <w:rPr>
          <w:bCs/>
          <w:highlight w:val="yellow"/>
        </w:rPr>
      </w:pPr>
      <w:r w:rsidRPr="000F087C">
        <w:rPr>
          <w:bCs/>
        </w:rPr>
        <w:t xml:space="preserve">In association with an ageing population, abundance of golden perch in the LMR steadily declined by almost half from 2015 to 2020. Potential factors </w:t>
      </w:r>
      <w:r w:rsidR="000123E0">
        <w:rPr>
          <w:bCs/>
        </w:rPr>
        <w:t xml:space="preserve">that </w:t>
      </w:r>
      <w:r w:rsidRPr="000F087C">
        <w:rPr>
          <w:bCs/>
        </w:rPr>
        <w:t>contribut</w:t>
      </w:r>
      <w:r w:rsidR="000123E0">
        <w:rPr>
          <w:bCs/>
        </w:rPr>
        <w:t>ed</w:t>
      </w:r>
      <w:r w:rsidRPr="000F087C">
        <w:rPr>
          <w:bCs/>
        </w:rPr>
        <w:t xml:space="preserve"> to the decline are </w:t>
      </w:r>
      <w:r w:rsidR="000123E0">
        <w:rPr>
          <w:bCs/>
        </w:rPr>
        <w:t>limited</w:t>
      </w:r>
      <w:r w:rsidRPr="000F087C">
        <w:rPr>
          <w:bCs/>
        </w:rPr>
        <w:t xml:space="preserve"> recruitment, mortality (fishing and natural) and upstream emigration of adults (Zampatti </w:t>
      </w:r>
      <w:r w:rsidRPr="000F087C">
        <w:rPr>
          <w:bCs/>
          <w:i/>
        </w:rPr>
        <w:t>et al</w:t>
      </w:r>
      <w:r w:rsidRPr="000F087C">
        <w:rPr>
          <w:bCs/>
        </w:rPr>
        <w:t xml:space="preserve">. 2018b). In 2022, however, abundances of golden perch increased to </w:t>
      </w:r>
      <w:r w:rsidR="000123E0">
        <w:rPr>
          <w:bCs/>
        </w:rPr>
        <w:t xml:space="preserve">levels </w:t>
      </w:r>
      <w:r w:rsidRPr="000F087C">
        <w:rPr>
          <w:bCs/>
        </w:rPr>
        <w:t xml:space="preserve">comparable </w:t>
      </w:r>
      <w:r w:rsidR="000123E0">
        <w:rPr>
          <w:bCs/>
        </w:rPr>
        <w:t xml:space="preserve">to </w:t>
      </w:r>
      <w:r w:rsidRPr="000F087C">
        <w:rPr>
          <w:bCs/>
        </w:rPr>
        <w:t>2015, due mainly to greater abundances of YOY fish</w:t>
      </w:r>
      <w:r w:rsidR="000123E0">
        <w:rPr>
          <w:bCs/>
        </w:rPr>
        <w:t xml:space="preserve"> and increased prominence</w:t>
      </w:r>
      <w:r w:rsidRPr="000F087C">
        <w:rPr>
          <w:bCs/>
        </w:rPr>
        <w:t xml:space="preserve"> of the age 3+ and 5+ cohorts</w:t>
      </w:r>
      <w:r w:rsidR="00C55748">
        <w:rPr>
          <w:bCs/>
        </w:rPr>
        <w:t>.</w:t>
      </w:r>
      <w:r w:rsidRPr="000F087C">
        <w:rPr>
          <w:bCs/>
        </w:rPr>
        <w:t xml:space="preserve"> The decline in abundance during 2023 and 2024, following recruitment during 2022-23 and 2023-24, may reflect emigration of adults (</w:t>
      </w:r>
      <w:r w:rsidR="001A2424">
        <w:rPr>
          <w:bCs/>
        </w:rPr>
        <w:t xml:space="preserve">e.g. 2009–2014 year classes; </w:t>
      </w:r>
      <w:r w:rsidRPr="000F087C">
        <w:rPr>
          <w:bCs/>
        </w:rPr>
        <w:t xml:space="preserve">Zampatti </w:t>
      </w:r>
      <w:r w:rsidRPr="000F087C">
        <w:rPr>
          <w:bCs/>
          <w:i/>
          <w:iCs/>
        </w:rPr>
        <w:t>et al.</w:t>
      </w:r>
      <w:r w:rsidRPr="000F087C">
        <w:rPr>
          <w:bCs/>
        </w:rPr>
        <w:t xml:space="preserve"> 2018a; Bice </w:t>
      </w:r>
      <w:r w:rsidRPr="000F087C">
        <w:rPr>
          <w:bCs/>
          <w:i/>
          <w:iCs/>
        </w:rPr>
        <w:t>et al.</w:t>
      </w:r>
      <w:r w:rsidRPr="000F087C">
        <w:rPr>
          <w:bCs/>
        </w:rPr>
        <w:t xml:space="preserve"> 2021) or fishing mortality.    </w:t>
      </w:r>
    </w:p>
    <w:p w14:paraId="3AD9FBF1" w14:textId="77777777" w:rsidR="00F87105" w:rsidRPr="00606736" w:rsidRDefault="00F87105" w:rsidP="00F87105">
      <w:pPr>
        <w:rPr>
          <w:i/>
          <w:iCs/>
          <w:u w:val="single"/>
        </w:rPr>
      </w:pPr>
      <w:r>
        <w:rPr>
          <w:i/>
          <w:iCs/>
          <w:u w:val="single"/>
        </w:rPr>
        <w:t>Silver perch</w:t>
      </w:r>
    </w:p>
    <w:p w14:paraId="57A31F32" w14:textId="77777777" w:rsidR="00F87105" w:rsidRDefault="00F87105" w:rsidP="00F87105">
      <w:pPr>
        <w:rPr>
          <w:bCs/>
        </w:rPr>
      </w:pPr>
      <w:r w:rsidRPr="00027D19">
        <w:rPr>
          <w:bCs/>
        </w:rPr>
        <w:t xml:space="preserve">From 2014–2024, silver perch </w:t>
      </w:r>
      <w:r>
        <w:rPr>
          <w:bCs/>
        </w:rPr>
        <w:t>were sampled in low abundance which limits confidence in interpretations and informing management for this species. Increased spawning, as determined by the abundance of larvae, and recruitment, as determined by the presence of YOY or age 1+ individuals in the following year, was observed during in-channel flows &gt;20,000 ML/d (2021-22 and 2023-24) but also a 17,900 ML/d in-channel flow year (2020-21). Nonetheless, based on age structures from 2014–2024, it appears recruitment of silver perch in the LMR is less episodic than golden perch. As above for golden perch, environmental water has played a key role in promoting in-channel spring–summer flows that have coincided with spawning of silver perch.</w:t>
      </w:r>
    </w:p>
    <w:p w14:paraId="27F0A86B" w14:textId="77777777" w:rsidR="00F87105" w:rsidRPr="00027D19" w:rsidRDefault="00F87105" w:rsidP="00F87105">
      <w:pPr>
        <w:rPr>
          <w:bCs/>
        </w:rPr>
      </w:pPr>
      <w:r w:rsidRPr="00641E11">
        <w:rPr>
          <w:bCs/>
        </w:rPr>
        <w:t xml:space="preserve">Recruitment and the establishment of distinct cohorts of </w:t>
      </w:r>
      <w:r>
        <w:rPr>
          <w:bCs/>
        </w:rPr>
        <w:t>silver</w:t>
      </w:r>
      <w:r w:rsidRPr="00641E11">
        <w:rPr>
          <w:bCs/>
        </w:rPr>
        <w:t xml:space="preserve"> perch in the LMR is influenced by local spawning and the downstream transport and migration</w:t>
      </w:r>
      <w:r>
        <w:rPr>
          <w:bCs/>
        </w:rPr>
        <w:t>,</w:t>
      </w:r>
      <w:r w:rsidRPr="00641E11">
        <w:rPr>
          <w:bCs/>
        </w:rPr>
        <w:t xml:space="preserve"> of larvae</w:t>
      </w:r>
      <w:r>
        <w:rPr>
          <w:bCs/>
        </w:rPr>
        <w:t xml:space="preserve"> predominantly,</w:t>
      </w:r>
      <w:r w:rsidRPr="00641E11">
        <w:rPr>
          <w:bCs/>
        </w:rPr>
        <w:t xml:space="preserve"> from</w:t>
      </w:r>
      <w:r>
        <w:rPr>
          <w:bCs/>
        </w:rPr>
        <w:t xml:space="preserve"> the mid-Murray River</w:t>
      </w:r>
      <w:r w:rsidRPr="00641E11">
        <w:rPr>
          <w:bCs/>
        </w:rPr>
        <w:t xml:space="preserve">. Thus, spawning in the </w:t>
      </w:r>
      <w:r>
        <w:rPr>
          <w:bCs/>
        </w:rPr>
        <w:t>mid-Murray River</w:t>
      </w:r>
      <w:r w:rsidRPr="00641E11">
        <w:rPr>
          <w:bCs/>
        </w:rPr>
        <w:t xml:space="preserve">, and </w:t>
      </w:r>
      <w:r>
        <w:rPr>
          <w:bCs/>
        </w:rPr>
        <w:t>longitudinal</w:t>
      </w:r>
      <w:r w:rsidRPr="00641E11">
        <w:rPr>
          <w:bCs/>
        </w:rPr>
        <w:t xml:space="preserve"> connectivity between the </w:t>
      </w:r>
      <w:r>
        <w:rPr>
          <w:bCs/>
        </w:rPr>
        <w:t xml:space="preserve">mid- </w:t>
      </w:r>
      <w:r w:rsidRPr="00641E11">
        <w:rPr>
          <w:bCs/>
        </w:rPr>
        <w:t>and</w:t>
      </w:r>
      <w:r>
        <w:rPr>
          <w:bCs/>
        </w:rPr>
        <w:t xml:space="preserve"> lower</w:t>
      </w:r>
      <w:r w:rsidRPr="00641E11">
        <w:rPr>
          <w:bCs/>
        </w:rPr>
        <w:t xml:space="preserve"> Murray rivers, are substantial drivers of </w:t>
      </w:r>
      <w:r>
        <w:rPr>
          <w:bCs/>
        </w:rPr>
        <w:t>silver</w:t>
      </w:r>
      <w:r w:rsidRPr="00641E11">
        <w:rPr>
          <w:bCs/>
        </w:rPr>
        <w:t xml:space="preserve"> perch population dynamics of the lower River Murray. </w:t>
      </w:r>
    </w:p>
    <w:p w14:paraId="5679CFE2" w14:textId="77777777" w:rsidR="00F87105" w:rsidRPr="00666A91" w:rsidRDefault="00F87105" w:rsidP="00F87105">
      <w:pPr>
        <w:pStyle w:val="Heading3"/>
      </w:pPr>
      <w:r w:rsidRPr="0050466F">
        <w:t>Management implications</w:t>
      </w:r>
    </w:p>
    <w:p w14:paraId="1A290817" w14:textId="18D6C679" w:rsidR="00F87105" w:rsidRPr="00666A91" w:rsidRDefault="00F87105" w:rsidP="00F87105">
      <w:pPr>
        <w:rPr>
          <w:bCs/>
        </w:rPr>
      </w:pPr>
      <w:r w:rsidRPr="00666A91">
        <w:rPr>
          <w:bCs/>
        </w:rPr>
        <w:t xml:space="preserve">Over the past ten years, golden perch recruitment in the LMR has been episodic, aligning with the </w:t>
      </w:r>
      <w:r>
        <w:rPr>
          <w:bCs/>
        </w:rPr>
        <w:t xml:space="preserve">periodic </w:t>
      </w:r>
      <w:r w:rsidRPr="00666A91">
        <w:rPr>
          <w:bCs/>
        </w:rPr>
        <w:t xml:space="preserve">life history characteristics of this species. Evidence from the current investigation and allied studies suggest that, in the highly regulated lower </w:t>
      </w:r>
      <w:r w:rsidR="003F774B">
        <w:rPr>
          <w:bCs/>
        </w:rPr>
        <w:t xml:space="preserve">River </w:t>
      </w:r>
      <w:r w:rsidRPr="00666A91">
        <w:rPr>
          <w:bCs/>
        </w:rPr>
        <w:t>Murray, flow pulses &gt;20,000 ML/d within the spawning season of golden perch (typically with peak spawning between November and January in the LMR), that coincide with water temperatures &gt;20°C, are likely required to significantly influence local golden perch spawning and recruitment. Annual spring–summer in-channel flow pulses of this magnitude were a key feature of the hydrograph of the LMR prior to regulation (Mallen-Cooper and Zampatti 2018), and would have occurred in recent years under natural, unregulated conditions.</w:t>
      </w:r>
    </w:p>
    <w:p w14:paraId="33281EEA" w14:textId="77777777" w:rsidR="00F87105" w:rsidRPr="00666A91" w:rsidRDefault="00F87105" w:rsidP="00F87105">
      <w:pPr>
        <w:rPr>
          <w:bCs/>
        </w:rPr>
      </w:pPr>
      <w:r w:rsidRPr="00666A91">
        <w:rPr>
          <w:bCs/>
        </w:rPr>
        <w:t>Nuanced understanding of the spawning, downstream dispersal and recruitment of silver perch in the LMR lags that for golden perch. Nevertheless, the collection of silver perch larvae and evidence of recruitment (from detection of YOY or age 1+ in the following year) from 2020–2022 and 2023-24 suggests that the spring</w:t>
      </w:r>
      <w:r w:rsidRPr="00666A91">
        <w:rPr>
          <w:rFonts w:ascii="Calibri" w:hAnsi="Calibri" w:cs="Calibri"/>
          <w:bCs/>
        </w:rPr>
        <w:t>–</w:t>
      </w:r>
      <w:r w:rsidRPr="00666A91">
        <w:rPr>
          <w:bCs/>
        </w:rPr>
        <w:t xml:space="preserve">summer hydrograph during these years in the Murray River between Lock 1 and Lock 15 was </w:t>
      </w:r>
      <w:r>
        <w:rPr>
          <w:bCs/>
        </w:rPr>
        <w:t xml:space="preserve">conducive to silver perch spawning </w:t>
      </w:r>
      <w:r w:rsidRPr="00666A91">
        <w:rPr>
          <w:bCs/>
        </w:rPr>
        <w:t xml:space="preserve">and </w:t>
      </w:r>
      <w:r>
        <w:rPr>
          <w:bCs/>
        </w:rPr>
        <w:t xml:space="preserve">the </w:t>
      </w:r>
      <w:r w:rsidRPr="00666A91">
        <w:rPr>
          <w:bCs/>
        </w:rPr>
        <w:t xml:space="preserve">downstream drift </w:t>
      </w:r>
      <w:r>
        <w:rPr>
          <w:bCs/>
        </w:rPr>
        <w:t xml:space="preserve">of early-stage juveniles </w:t>
      </w:r>
      <w:r w:rsidRPr="00666A91">
        <w:rPr>
          <w:bCs/>
        </w:rPr>
        <w:t>to the LMR.</w:t>
      </w:r>
    </w:p>
    <w:p w14:paraId="2536D891" w14:textId="77777777" w:rsidR="00F87105" w:rsidRPr="001C5B86" w:rsidRDefault="00F87105" w:rsidP="00F87105">
      <w:pPr>
        <w:pStyle w:val="Heading3"/>
      </w:pPr>
      <w:r w:rsidRPr="001C5B86">
        <w:lastRenderedPageBreak/>
        <w:t>Conclusion</w:t>
      </w:r>
    </w:p>
    <w:p w14:paraId="441EF92F" w14:textId="1BEE7B1E" w:rsidR="00F87105" w:rsidRDefault="00F87105" w:rsidP="00F87105">
      <w:r w:rsidRPr="001C5B86">
        <w:rPr>
          <w:bCs/>
        </w:rPr>
        <w:t>Since 2013-14, there has been episodic recruitment of golden perch in the LMR</w:t>
      </w:r>
      <w:r>
        <w:rPr>
          <w:bCs/>
        </w:rPr>
        <w:t>. In 2024</w:t>
      </w:r>
      <w:r w:rsidRPr="001C5B86">
        <w:rPr>
          <w:bCs/>
        </w:rPr>
        <w:t>,</w:t>
      </w:r>
      <w:r>
        <w:rPr>
          <w:bCs/>
        </w:rPr>
        <w:t xml:space="preserve"> the population was characterised by</w:t>
      </w:r>
      <w:r w:rsidRPr="001C5B86">
        <w:rPr>
          <w:bCs/>
        </w:rPr>
        <w:t xml:space="preserve"> a strong cohort </w:t>
      </w:r>
      <w:r w:rsidR="000123E0">
        <w:rPr>
          <w:bCs/>
        </w:rPr>
        <w:t xml:space="preserve">derived </w:t>
      </w:r>
      <w:r w:rsidRPr="001C5B86">
        <w:rPr>
          <w:bCs/>
        </w:rPr>
        <w:t xml:space="preserve">from </w:t>
      </w:r>
      <w:r w:rsidR="000123E0">
        <w:rPr>
          <w:bCs/>
        </w:rPr>
        <w:t xml:space="preserve">spawning in </w:t>
      </w:r>
      <w:r w:rsidRPr="001C5B86">
        <w:rPr>
          <w:bCs/>
        </w:rPr>
        <w:t>2021-22</w:t>
      </w:r>
      <w:r w:rsidR="000123E0">
        <w:rPr>
          <w:bCs/>
        </w:rPr>
        <w:t xml:space="preserve"> (currently aged 2+)</w:t>
      </w:r>
      <w:r w:rsidRPr="001C5B86">
        <w:rPr>
          <w:bCs/>
        </w:rPr>
        <w:t xml:space="preserve"> and several small cohorts ranging from age 0+ to 7+.</w:t>
      </w:r>
      <w:r>
        <w:rPr>
          <w:bCs/>
        </w:rPr>
        <w:t xml:space="preserve"> Since 2015, there has been an overall decline in golden perch abundance in the LMR. </w:t>
      </w:r>
      <w:r w:rsidRPr="001C5B86">
        <w:rPr>
          <w:bCs/>
        </w:rPr>
        <w:t xml:space="preserve">Silver perch abundance in the LMR </w:t>
      </w:r>
      <w:r w:rsidR="00AA6D7B">
        <w:rPr>
          <w:bCs/>
        </w:rPr>
        <w:t>was</w:t>
      </w:r>
      <w:r w:rsidRPr="001C5B86">
        <w:rPr>
          <w:bCs/>
        </w:rPr>
        <w:t xml:space="preserve"> </w:t>
      </w:r>
      <w:r w:rsidR="00DF6BB0">
        <w:rPr>
          <w:bCs/>
        </w:rPr>
        <w:t xml:space="preserve">low and </w:t>
      </w:r>
      <w:r w:rsidRPr="001C5B86">
        <w:rPr>
          <w:bCs/>
        </w:rPr>
        <w:t xml:space="preserve">variable, although a low level of near-annual recruitment </w:t>
      </w:r>
      <w:r w:rsidR="00AA6D7B">
        <w:rPr>
          <w:bCs/>
        </w:rPr>
        <w:t>wa</w:t>
      </w:r>
      <w:r w:rsidRPr="001C5B86">
        <w:rPr>
          <w:bCs/>
        </w:rPr>
        <w:t xml:space="preserve">s evident. </w:t>
      </w:r>
      <w:bookmarkStart w:id="478" w:name="_Hlk157523918"/>
      <w:r w:rsidRPr="001C5B86">
        <w:rPr>
          <w:bCs/>
        </w:rPr>
        <w:t xml:space="preserve">To improve the resilience of golden perch and silver perch populations in the LMR, it is pertinent to consider flows that may facilitate spawning and recruitment. Specifically, Commonwealth environmental water could contribute to spring/early summer flow pulses </w:t>
      </w:r>
      <w:r w:rsidR="000123E0">
        <w:rPr>
          <w:bCs/>
        </w:rPr>
        <w:t xml:space="preserve">(November–January) </w:t>
      </w:r>
      <w:r w:rsidRPr="001C5B86">
        <w:rPr>
          <w:bCs/>
        </w:rPr>
        <w:t xml:space="preserve">along the Murray River (nominally </w:t>
      </w:r>
      <w:r w:rsidRPr="001C5B86">
        <w:t>&gt;20,000 ML/d QSA) to promote spawning, recruitment and subsequent dispersal of golden perch and silver perch.</w:t>
      </w:r>
      <w:bookmarkEnd w:id="478"/>
      <w:r>
        <w:br w:type="page"/>
      </w:r>
    </w:p>
    <w:p w14:paraId="734A56FD" w14:textId="77777777" w:rsidR="00F87105" w:rsidRPr="005C5548" w:rsidRDefault="00F87105" w:rsidP="00F87105">
      <w:pPr>
        <w:pStyle w:val="Heading2"/>
      </w:pPr>
      <w:bookmarkStart w:id="479" w:name="_Ref50027079"/>
      <w:bookmarkStart w:id="480" w:name="_Ref127537757"/>
      <w:bookmarkStart w:id="481" w:name="_Toc166771630"/>
      <w:bookmarkStart w:id="482" w:name="_Toc200467866"/>
      <w:r w:rsidRPr="005C5548">
        <w:lastRenderedPageBreak/>
        <w:t>Murray Cod Recruitment</w:t>
      </w:r>
      <w:bookmarkEnd w:id="479"/>
      <w:bookmarkEnd w:id="480"/>
      <w:bookmarkEnd w:id="481"/>
      <w:bookmarkEnd w:id="482"/>
    </w:p>
    <w:p w14:paraId="05F81CBA" w14:textId="77777777" w:rsidR="00F87105" w:rsidRPr="00C001D6" w:rsidDel="0015522E" w:rsidRDefault="00F87105" w:rsidP="00F87105">
      <w:pPr>
        <w:pStyle w:val="Heading3"/>
      </w:pPr>
      <w:bookmarkStart w:id="483" w:name="_Hlk58844708"/>
      <w:r w:rsidRPr="005C5548" w:rsidDel="0015522E">
        <w:t>Background</w:t>
      </w:r>
    </w:p>
    <w:p w14:paraId="1A72C5F1" w14:textId="77777777" w:rsidR="00F87105" w:rsidRPr="00C001D6" w:rsidDel="0015522E" w:rsidRDefault="00F87105" w:rsidP="00F87105">
      <w:r w:rsidRPr="00C001D6" w:rsidDel="0015522E">
        <w:t xml:space="preserve">Murray cod has great recreational and cultural significance in the MDB. Nonetheless, populations have declined </w:t>
      </w:r>
      <w:r>
        <w:t xml:space="preserve">due to </w:t>
      </w:r>
      <w:r w:rsidRPr="00C001D6" w:rsidDel="0015522E">
        <w:t xml:space="preserve">human impacts </w:t>
      </w:r>
      <w:r>
        <w:t>that include</w:t>
      </w:r>
      <w:r w:rsidRPr="00C001D6" w:rsidDel="0015522E">
        <w:t xml:space="preserve"> alteration of flow regimes, barriers to movement, overharvesting and habitat (hydraulic and physical) degradation (Lintermans and Phillips 2005), and the species is currently considered vulnerable under the Australian </w:t>
      </w:r>
      <w:r w:rsidRPr="00310C5C" w:rsidDel="0015522E">
        <w:rPr>
          <w:i/>
          <w:iCs/>
        </w:rPr>
        <w:t>EPBC Act</w:t>
      </w:r>
      <w:r w:rsidRPr="00C001D6" w:rsidDel="0015522E">
        <w:t xml:space="preserve"> (1999). In the Murray River downstream of the Darling River junction, the fragmentation of the river by sequential weirs, alteration to hydraulics and loss of lotic habitats are considered primary threats to the persistence of Murray cod populations (Zampatti </w:t>
      </w:r>
      <w:r w:rsidRPr="00C001D6" w:rsidDel="0015522E">
        <w:rPr>
          <w:i/>
          <w:iCs/>
        </w:rPr>
        <w:t>et al.</w:t>
      </w:r>
      <w:r w:rsidRPr="00C001D6" w:rsidDel="0015522E">
        <w:t xml:space="preserve"> 2014; Mallen-Cooper and Zampatti 2018). Indeed, under low flows, lotic environments that provide favourable juvenile and adult habitat, and support key life history processes (spawning and recruitment) are restricted to select anabranch systems (e.g. Chowilla) and lock and weir tailwaters. During elevated flows (e.g. &gt;20,000 ML/d), however, lotic conditions are returned to considerable reaches of the </w:t>
      </w:r>
      <w:r w:rsidRPr="00C001D6">
        <w:t>LMR</w:t>
      </w:r>
      <w:r w:rsidRPr="00C001D6" w:rsidDel="0015522E">
        <w:t xml:space="preserve"> (Bice </w:t>
      </w:r>
      <w:r w:rsidRPr="00C001D6" w:rsidDel="0015522E">
        <w:rPr>
          <w:i/>
          <w:iCs/>
        </w:rPr>
        <w:t>et al.</w:t>
      </w:r>
      <w:r w:rsidRPr="00C001D6" w:rsidDel="0015522E">
        <w:t xml:space="preserve"> 2017).  </w:t>
      </w:r>
    </w:p>
    <w:p w14:paraId="40207522" w14:textId="2C989971" w:rsidR="00F87105" w:rsidRPr="001D0E26" w:rsidDel="0015522E" w:rsidRDefault="00F87105" w:rsidP="00F87105">
      <w:r w:rsidRPr="00C001D6" w:rsidDel="0015522E">
        <w:t xml:space="preserve">Murray cod spawn annually over a well-defined period from October–December, irrespective of flow (Davis 1977; Rowland 1998), but recruitment in the LMR main channel </w:t>
      </w:r>
      <w:r>
        <w:t>has been</w:t>
      </w:r>
      <w:r w:rsidRPr="00C001D6" w:rsidDel="0015522E">
        <w:t xml:space="preserve"> positively associated with flow (Ye and Zampatti 2007; Zampatti </w:t>
      </w:r>
      <w:r w:rsidRPr="00C001D6" w:rsidDel="0015522E">
        <w:rPr>
          <w:i/>
          <w:iCs/>
        </w:rPr>
        <w:t>et al.</w:t>
      </w:r>
      <w:r w:rsidRPr="00C001D6" w:rsidDel="0015522E">
        <w:t xml:space="preserve"> 2014). Indeed, from 2003</w:t>
      </w:r>
      <w:r>
        <w:t>–201</w:t>
      </w:r>
      <w:r w:rsidRPr="00C001D6" w:rsidDel="0015522E">
        <w:t xml:space="preserve">0 during the Millennium Drought, discharge in the LMR was predominantly &lt;10,000 ML/d, and Murray cod recruitment, measured as abundances of YOY in autumn, was </w:t>
      </w:r>
      <w:r w:rsidR="00CB3087">
        <w:t xml:space="preserve">negligible </w:t>
      </w:r>
      <w:r w:rsidRPr="00C001D6" w:rsidDel="0015522E">
        <w:t>in the predominantly lentic main channel. Subsequently, recruitment was observed in association with spawning that occurred in high flow years from 2010</w:t>
      </w:r>
      <w:r>
        <w:t>–201</w:t>
      </w:r>
      <w:r w:rsidRPr="00C001D6" w:rsidDel="0015522E">
        <w:t xml:space="preserve">3 (Zampatti </w:t>
      </w:r>
      <w:r w:rsidRPr="00C001D6" w:rsidDel="0015522E">
        <w:rPr>
          <w:i/>
          <w:iCs/>
        </w:rPr>
        <w:t>et al.</w:t>
      </w:r>
      <w:r w:rsidRPr="00C001D6" w:rsidDel="0015522E">
        <w:t xml:space="preserve"> 2014). </w:t>
      </w:r>
    </w:p>
    <w:p w14:paraId="383A773D" w14:textId="77777777" w:rsidR="00F87105" w:rsidRPr="001D0E26" w:rsidRDefault="00F87105" w:rsidP="00F87105">
      <w:r>
        <w:t xml:space="preserve">In the LMR, </w:t>
      </w:r>
      <w:r w:rsidRPr="001D0E26" w:rsidDel="0015522E">
        <w:t xml:space="preserve">mechanisms that facilitate recruitment of Murray cod (to YOY) likely relate to </w:t>
      </w:r>
      <w:r w:rsidRPr="001D0E26">
        <w:t>increas</w:t>
      </w:r>
      <w:r w:rsidRPr="001D0E26" w:rsidDel="0015522E">
        <w:t xml:space="preserve">ed spawning habitat and survival of early life stages associated with improved riverine hydraulics and productivity. Survival is likely mediated by enhanced habitat availability, </w:t>
      </w:r>
      <w:r w:rsidRPr="001D0E26">
        <w:t xml:space="preserve">fish </w:t>
      </w:r>
      <w:r w:rsidRPr="001D0E26" w:rsidDel="0015522E">
        <w:t>growth rates and condition, and ultimately determines recruitment and population abundance. This indicator explore</w:t>
      </w:r>
      <w:r>
        <w:t>d</w:t>
      </w:r>
      <w:r w:rsidRPr="001D0E26" w:rsidDel="0015522E">
        <w:t xml:space="preserve"> these mechanisms, by assessing aspects of Murray cod recruitment (e.g. abundance, growth, condition) in association with flow. Understanding the magnitude of recruitment, and links between recruitment and flow</w:t>
      </w:r>
      <w:r w:rsidRPr="001D0E26">
        <w:t xml:space="preserve"> (hydraulic habitat and food resources)</w:t>
      </w:r>
      <w:r w:rsidRPr="001D0E26" w:rsidDel="0015522E">
        <w:t>, is critical for informing future environmental flow management and will help evaluate ecological outcomes of Commonwealth environmental water.</w:t>
      </w:r>
    </w:p>
    <w:p w14:paraId="35FD297D" w14:textId="77777777" w:rsidR="00F87105" w:rsidRPr="001D0E26" w:rsidDel="0015522E" w:rsidRDefault="00F87105" w:rsidP="00F87105">
      <w:pPr>
        <w:rPr>
          <w:i/>
          <w:u w:val="single"/>
        </w:rPr>
      </w:pPr>
      <w:r>
        <w:rPr>
          <w:i/>
          <w:u w:val="single"/>
        </w:rPr>
        <w:t>H</w:t>
      </w:r>
      <w:r w:rsidRPr="001D0E26" w:rsidDel="0015522E">
        <w:rPr>
          <w:i/>
          <w:u w:val="single"/>
        </w:rPr>
        <w:t>ypotheses</w:t>
      </w:r>
    </w:p>
    <w:p w14:paraId="4C2D8171" w14:textId="77777777" w:rsidR="00F87105" w:rsidRPr="001D0E26" w:rsidDel="0015522E" w:rsidRDefault="00F87105" w:rsidP="00F87105">
      <w:pPr>
        <w:pStyle w:val="ListParagraph"/>
        <w:numPr>
          <w:ilvl w:val="0"/>
          <w:numId w:val="10"/>
        </w:numPr>
        <w:spacing w:before="0" w:after="160" w:line="259" w:lineRule="auto"/>
      </w:pPr>
      <w:r w:rsidRPr="001D0E26" w:rsidDel="0015522E">
        <w:t>Elevated spring–summer flow, either in-channel or overbank, and associated increase in lotic habitat, will enhance recruitment (to YOY) of Murray cod;</w:t>
      </w:r>
    </w:p>
    <w:p w14:paraId="08CBAE83" w14:textId="77777777" w:rsidR="00F87105" w:rsidRPr="001D0E26" w:rsidDel="0015522E" w:rsidRDefault="00F87105" w:rsidP="00F87105">
      <w:pPr>
        <w:pStyle w:val="ListParagraph"/>
        <w:numPr>
          <w:ilvl w:val="0"/>
          <w:numId w:val="10"/>
        </w:numPr>
        <w:spacing w:before="0" w:after="160" w:line="259" w:lineRule="auto"/>
      </w:pPr>
      <w:r w:rsidRPr="001D0E26" w:rsidDel="0015522E">
        <w:t>Elevated spring–summer flow, either in-channel or overbank, and associated increase in lotic habitat, will enhance growth rates and morphometric condition of Murray cod; and</w:t>
      </w:r>
    </w:p>
    <w:p w14:paraId="08F27EA2" w14:textId="77777777" w:rsidR="00F87105" w:rsidRPr="001D0E26" w:rsidDel="0015522E" w:rsidRDefault="00F87105" w:rsidP="00F87105">
      <w:pPr>
        <w:pStyle w:val="ListParagraph"/>
        <w:numPr>
          <w:ilvl w:val="0"/>
          <w:numId w:val="10"/>
        </w:numPr>
        <w:spacing w:before="0" w:after="160" w:line="259" w:lineRule="auto"/>
      </w:pPr>
      <w:r w:rsidRPr="001D0E26" w:rsidDel="0015522E">
        <w:t xml:space="preserve">Multiple years of </w:t>
      </w:r>
      <w:r w:rsidRPr="001D0E26">
        <w:t>elevated</w:t>
      </w:r>
      <w:r w:rsidRPr="001D0E26" w:rsidDel="0015522E">
        <w:t xml:space="preserve"> spring–summer flow will result in broad size/age distributions of Murray cod and increased population resilience in the </w:t>
      </w:r>
      <w:r w:rsidRPr="001D0E26">
        <w:t>LMR</w:t>
      </w:r>
      <w:r w:rsidRPr="001D0E26" w:rsidDel="0015522E">
        <w:t>.</w:t>
      </w:r>
    </w:p>
    <w:bookmarkEnd w:id="483"/>
    <w:p w14:paraId="59F0B251" w14:textId="77777777" w:rsidR="00F87105" w:rsidRPr="006C3F33" w:rsidRDefault="00F87105" w:rsidP="00F87105">
      <w:pPr>
        <w:pStyle w:val="Heading3"/>
      </w:pPr>
      <w:r w:rsidRPr="006C3F33">
        <w:lastRenderedPageBreak/>
        <w:t>Methods</w:t>
      </w:r>
    </w:p>
    <w:p w14:paraId="01F5A060" w14:textId="77777777" w:rsidR="00F87105" w:rsidRPr="006C3F33" w:rsidRDefault="00F87105" w:rsidP="00F87105">
      <w:r w:rsidRPr="006C3F33">
        <w:t xml:space="preserve">To evaluate the contribution of flow, including Commonwealth environmental water, to the morphometric condition, growth and recruitment of Murray cod in the LMR from 2019–2024, we used: (1) length–weight relationships and associated metrics to assess body condition; (2) otolith microstructure analysis (including daily otolith growth increments) to determine the time of spawning, along with seasonal and daily growth rates; and (3) electrofishing to quantify the abundance of YOY to assess recruitment, and to establish a length frequency distribution of the Murray cod population in the LMR to determine population structure. Reference data collected in numerous past monitoring projects and presented in Ye </w:t>
      </w:r>
      <w:r w:rsidRPr="006C3F33">
        <w:rPr>
          <w:i/>
          <w:iCs/>
        </w:rPr>
        <w:t>et al.</w:t>
      </w:r>
      <w:r w:rsidRPr="006C3F33">
        <w:t xml:space="preserve"> (2021) were used and presented in this indicator section. </w:t>
      </w:r>
    </w:p>
    <w:p w14:paraId="47163946" w14:textId="77777777" w:rsidR="00F87105" w:rsidRPr="006C3F33" w:rsidRDefault="00F87105" w:rsidP="00F87105">
      <w:pPr>
        <w:pStyle w:val="Heading4"/>
      </w:pPr>
      <w:r w:rsidRPr="006C3F33">
        <w:t>Sampling</w:t>
      </w:r>
    </w:p>
    <w:p w14:paraId="3AA00754" w14:textId="349790A7" w:rsidR="00F87105" w:rsidRPr="00F869A0" w:rsidRDefault="00F87105" w:rsidP="00F87105">
      <w:r w:rsidRPr="006C3F33">
        <w:t>Murray cod were sampled in the main channel of the LMR at several stages during early ontogeny, from larvae through to YOY (&gt;120 d of age) (</w:t>
      </w:r>
      <w:r w:rsidRPr="006C3F33">
        <w:fldChar w:fldCharType="begin"/>
      </w:r>
      <w:r w:rsidRPr="006C3F33">
        <w:instrText xml:space="preserve"> REF _Ref57899670 \h </w:instrText>
      </w:r>
      <w:r>
        <w:instrText xml:space="preserve"> \* MERGEFORMAT </w:instrText>
      </w:r>
      <w:r w:rsidRPr="006C3F33">
        <w:fldChar w:fldCharType="separate"/>
      </w:r>
      <w:r w:rsidR="00102828" w:rsidRPr="006C3F33">
        <w:t xml:space="preserve">Table </w:t>
      </w:r>
      <w:r w:rsidR="00102828">
        <w:rPr>
          <w:noProof/>
        </w:rPr>
        <w:t>21</w:t>
      </w:r>
      <w:r w:rsidRPr="006C3F33">
        <w:fldChar w:fldCharType="end"/>
      </w:r>
      <w:r w:rsidRPr="006C3F33">
        <w:t>). Sampling for larvae (&lt;30 mm TL) in November comprised a combination of passive (light traps) and active (bongo net tows) methods. Sampling effort varied across sites but included setting ~30 quatrefoil light traps (225 x 225 x 255 mm, 5 mm mesh) and 2–4 drift nets (1.5 m long x 0.5 m diameter, 500 µm mesh) overnight for 2–3 </w:t>
      </w:r>
      <w:r w:rsidRPr="00F869A0">
        <w:t xml:space="preserve">nights (set time of ~15 hours). Larval tows were performed opportunistically with a paired bongo net (0.5 x 0.5 m x 3 m long, 500 µm mesh) (Ye </w:t>
      </w:r>
      <w:r w:rsidRPr="00F869A0">
        <w:rPr>
          <w:i/>
          <w:iCs/>
        </w:rPr>
        <w:t>et al.</w:t>
      </w:r>
      <w:r w:rsidRPr="00F869A0">
        <w:t xml:space="preserve"> 2018). Larvae were preserved (70–95% ethanol) in the field and returned to the laboratory for processing.</w:t>
      </w:r>
    </w:p>
    <w:p w14:paraId="2845E447" w14:textId="7BD16886" w:rsidR="00F87105" w:rsidRPr="00F869A0" w:rsidRDefault="00F87105" w:rsidP="00F87105">
      <w:pPr>
        <w:rPr>
          <w:b/>
          <w:sz w:val="20"/>
        </w:rPr>
      </w:pPr>
      <w:r w:rsidRPr="00F869A0">
        <w:t>Electrofishing was used specifically to collect juveniles (~30–160 mm) and sample the broader population (</w:t>
      </w:r>
      <w:r w:rsidRPr="00F869A0">
        <w:fldChar w:fldCharType="begin"/>
      </w:r>
      <w:r w:rsidRPr="00F869A0">
        <w:instrText xml:space="preserve"> REF _Ref57899670 \h  \* MERGEFORMAT </w:instrText>
      </w:r>
      <w:r w:rsidRPr="00F869A0">
        <w:fldChar w:fldCharType="separate"/>
      </w:r>
      <w:r w:rsidR="00102828" w:rsidRPr="006C3F33">
        <w:t xml:space="preserve">Table </w:t>
      </w:r>
      <w:r w:rsidR="00102828">
        <w:rPr>
          <w:noProof/>
        </w:rPr>
        <w:t>21</w:t>
      </w:r>
      <w:r w:rsidRPr="00F869A0">
        <w:fldChar w:fldCharType="end"/>
      </w:r>
      <w:r w:rsidRPr="00F869A0">
        <w:t>). All sampling was performed using a 7.5 kW Smith Root (Model GPP 7.5) boat electrofishing unit during daylight hours. Sampling in January and February was targeted towards preferred habitat of early juveniles (e.g. root complexes of snags and rock crevices). Two complementary types of sampling were used to assess YOY abundance and population structure: 1) autumn (typically March</w:t>
      </w:r>
      <w:r>
        <w:t>–</w:t>
      </w:r>
      <w:r w:rsidRPr="00F869A0">
        <w:t xml:space="preserve">April) non-targeted Fish (Channel) electrofishing (see Section </w:t>
      </w:r>
      <w:r w:rsidRPr="00F869A0">
        <w:fldChar w:fldCharType="begin"/>
      </w:r>
      <w:r w:rsidRPr="00F869A0">
        <w:instrText xml:space="preserve"> REF _Ref56693925 \r \h  \* MERGEFORMAT </w:instrText>
      </w:r>
      <w:r w:rsidRPr="00F869A0">
        <w:fldChar w:fldCharType="separate"/>
      </w:r>
      <w:r w:rsidR="00102828">
        <w:t>2.8</w:t>
      </w:r>
      <w:r w:rsidRPr="00F869A0">
        <w:fldChar w:fldCharType="end"/>
      </w:r>
      <w:r w:rsidRPr="00F869A0">
        <w:t xml:space="preserve"> ‘Fish Assemblage’) and 2) autumn (typically May) habitat-specific (targeted) electrofishing. Electrofishing during May targeted a wider range of Murray cod habitats, including snags in flowing habitat extending beyond the riverbank (preferred by sub-adults and adults). At each site, electrofishing ‘on-time’ effort was variable, and depended on the available habitat. All individuals were measured for TL (nearest mm) and weight (to 0.5 kg), and a sub-sample of juvenile (~&lt;180 mm) fish were retained for morphometric and otolith analyses. </w:t>
      </w:r>
    </w:p>
    <w:p w14:paraId="1C534B91" w14:textId="77777777" w:rsidR="00F87105" w:rsidRPr="00600380" w:rsidRDefault="00F87105" w:rsidP="00F87105">
      <w:pPr>
        <w:spacing w:before="0" w:after="160" w:line="259" w:lineRule="auto"/>
        <w:jc w:val="left"/>
        <w:rPr>
          <w:b/>
          <w:sz w:val="20"/>
          <w:highlight w:val="yellow"/>
        </w:rPr>
      </w:pPr>
      <w:r w:rsidRPr="00600380">
        <w:rPr>
          <w:b/>
          <w:sz w:val="20"/>
          <w:highlight w:val="yellow"/>
        </w:rPr>
        <w:br w:type="page"/>
      </w:r>
    </w:p>
    <w:p w14:paraId="4286B000" w14:textId="7FBCD1A7" w:rsidR="00F87105" w:rsidRPr="006C3F33" w:rsidRDefault="00F87105" w:rsidP="00605FB2">
      <w:pPr>
        <w:pStyle w:val="Captions"/>
      </w:pPr>
      <w:bookmarkStart w:id="484" w:name="_Ref57899670"/>
      <w:bookmarkStart w:id="485" w:name="_Toc101963879"/>
      <w:bookmarkStart w:id="486" w:name="_Toc166771818"/>
      <w:bookmarkStart w:id="487" w:name="_Toc200464545"/>
      <w:r w:rsidRPr="006C3F33">
        <w:lastRenderedPageBreak/>
        <w:t xml:space="preserve">Table </w:t>
      </w:r>
      <w:r>
        <w:fldChar w:fldCharType="begin"/>
      </w:r>
      <w:r>
        <w:instrText xml:space="preserve"> SEQ Table \* ARABIC </w:instrText>
      </w:r>
      <w:r>
        <w:fldChar w:fldCharType="separate"/>
      </w:r>
      <w:r w:rsidR="00102828">
        <w:rPr>
          <w:noProof/>
        </w:rPr>
        <w:t>21</w:t>
      </w:r>
      <w:r>
        <w:rPr>
          <w:noProof/>
        </w:rPr>
        <w:fldChar w:fldCharType="end"/>
      </w:r>
      <w:bookmarkEnd w:id="484"/>
      <w:r w:rsidRPr="006C3F33">
        <w:t>. Sampling trips targeting Murray cod in the main channel of the Lower Murray River from 2019–2024.</w:t>
      </w:r>
      <w:bookmarkEnd w:id="485"/>
      <w:bookmarkEnd w:id="486"/>
      <w:bookmarkEnd w:id="487"/>
    </w:p>
    <w:tbl>
      <w:tblPr>
        <w:tblW w:w="0" w:type="auto"/>
        <w:jc w:val="center"/>
        <w:tblLook w:val="04A0" w:firstRow="1" w:lastRow="0" w:firstColumn="1" w:lastColumn="0" w:noHBand="0" w:noVBand="1"/>
        <w:tblDescription w:val="Sampling trips targeting Murray cod in the main channel of the Lower Murray River from 2019–2024."/>
      </w:tblPr>
      <w:tblGrid>
        <w:gridCol w:w="2608"/>
        <w:gridCol w:w="3119"/>
        <w:gridCol w:w="3072"/>
      </w:tblGrid>
      <w:tr w:rsidR="00F87105" w:rsidRPr="00B0452A" w14:paraId="7C32548E" w14:textId="77777777" w:rsidTr="006A4AFE">
        <w:trPr>
          <w:trHeight w:val="340"/>
          <w:jc w:val="center"/>
        </w:trPr>
        <w:tc>
          <w:tcPr>
            <w:tcW w:w="2608" w:type="dxa"/>
            <w:tcBorders>
              <w:top w:val="single" w:sz="4" w:space="0" w:color="auto"/>
              <w:bottom w:val="single" w:sz="4" w:space="0" w:color="auto"/>
            </w:tcBorders>
            <w:vAlign w:val="bottom"/>
          </w:tcPr>
          <w:p w14:paraId="441ABDED" w14:textId="77777777" w:rsidR="00F87105" w:rsidRPr="00B0452A" w:rsidRDefault="00F87105" w:rsidP="006A4AFE">
            <w:pPr>
              <w:contextualSpacing/>
              <w:jc w:val="left"/>
              <w:rPr>
                <w:b/>
                <w:sz w:val="19"/>
                <w:szCs w:val="19"/>
              </w:rPr>
            </w:pPr>
            <w:r w:rsidRPr="00B0452A">
              <w:rPr>
                <w:b/>
                <w:sz w:val="19"/>
                <w:szCs w:val="19"/>
              </w:rPr>
              <w:t>Typically sampling period</w:t>
            </w:r>
          </w:p>
        </w:tc>
        <w:tc>
          <w:tcPr>
            <w:tcW w:w="3119" w:type="dxa"/>
            <w:tcBorders>
              <w:top w:val="single" w:sz="4" w:space="0" w:color="auto"/>
              <w:bottom w:val="single" w:sz="4" w:space="0" w:color="auto"/>
            </w:tcBorders>
            <w:vAlign w:val="bottom"/>
          </w:tcPr>
          <w:p w14:paraId="50F50357" w14:textId="77777777" w:rsidR="00F87105" w:rsidRPr="00B0452A" w:rsidRDefault="00F87105" w:rsidP="006A4AFE">
            <w:pPr>
              <w:contextualSpacing/>
              <w:jc w:val="left"/>
              <w:rPr>
                <w:b/>
                <w:sz w:val="19"/>
                <w:szCs w:val="19"/>
              </w:rPr>
            </w:pPr>
            <w:r w:rsidRPr="00B0452A">
              <w:rPr>
                <w:b/>
                <w:sz w:val="19"/>
                <w:szCs w:val="19"/>
              </w:rPr>
              <w:t>Methods</w:t>
            </w:r>
          </w:p>
        </w:tc>
        <w:tc>
          <w:tcPr>
            <w:tcW w:w="3072" w:type="dxa"/>
            <w:tcBorders>
              <w:top w:val="single" w:sz="4" w:space="0" w:color="auto"/>
              <w:bottom w:val="single" w:sz="4" w:space="0" w:color="auto"/>
            </w:tcBorders>
            <w:vAlign w:val="bottom"/>
          </w:tcPr>
          <w:p w14:paraId="628DFD11" w14:textId="77777777" w:rsidR="00F87105" w:rsidRPr="00B0452A" w:rsidRDefault="00F87105" w:rsidP="006A4AFE">
            <w:pPr>
              <w:contextualSpacing/>
              <w:jc w:val="left"/>
              <w:rPr>
                <w:b/>
                <w:sz w:val="19"/>
                <w:szCs w:val="19"/>
              </w:rPr>
            </w:pPr>
            <w:r w:rsidRPr="00B0452A">
              <w:rPr>
                <w:b/>
                <w:sz w:val="19"/>
                <w:szCs w:val="19"/>
              </w:rPr>
              <w:t>Indicator</w:t>
            </w:r>
          </w:p>
        </w:tc>
      </w:tr>
      <w:tr w:rsidR="00F87105" w:rsidRPr="00B0452A" w14:paraId="702FAE44" w14:textId="77777777" w:rsidTr="006A4AFE">
        <w:trPr>
          <w:trHeight w:val="340"/>
          <w:jc w:val="center"/>
        </w:trPr>
        <w:tc>
          <w:tcPr>
            <w:tcW w:w="2608" w:type="dxa"/>
            <w:tcBorders>
              <w:top w:val="single" w:sz="4" w:space="0" w:color="auto"/>
            </w:tcBorders>
          </w:tcPr>
          <w:p w14:paraId="31E2D48E" w14:textId="77777777" w:rsidR="00F87105" w:rsidRPr="00B0452A" w:rsidRDefault="00F87105" w:rsidP="006A4AFE">
            <w:pPr>
              <w:contextualSpacing/>
              <w:rPr>
                <w:sz w:val="19"/>
                <w:szCs w:val="19"/>
              </w:rPr>
            </w:pPr>
            <w:r w:rsidRPr="00B0452A">
              <w:rPr>
                <w:sz w:val="19"/>
                <w:szCs w:val="19"/>
              </w:rPr>
              <w:t>November</w:t>
            </w:r>
          </w:p>
        </w:tc>
        <w:tc>
          <w:tcPr>
            <w:tcW w:w="3119" w:type="dxa"/>
            <w:tcBorders>
              <w:top w:val="single" w:sz="4" w:space="0" w:color="auto"/>
            </w:tcBorders>
          </w:tcPr>
          <w:p w14:paraId="660126EC" w14:textId="77777777" w:rsidR="00F87105" w:rsidRPr="00B0452A" w:rsidRDefault="00F87105" w:rsidP="006A4AFE">
            <w:pPr>
              <w:contextualSpacing/>
              <w:rPr>
                <w:sz w:val="19"/>
                <w:szCs w:val="19"/>
              </w:rPr>
            </w:pPr>
            <w:r w:rsidRPr="00B0452A">
              <w:rPr>
                <w:sz w:val="19"/>
                <w:szCs w:val="19"/>
              </w:rPr>
              <w:t>Light traps, larval tows, drift nets</w:t>
            </w:r>
          </w:p>
        </w:tc>
        <w:tc>
          <w:tcPr>
            <w:tcW w:w="3072" w:type="dxa"/>
            <w:tcBorders>
              <w:top w:val="single" w:sz="4" w:space="0" w:color="auto"/>
            </w:tcBorders>
          </w:tcPr>
          <w:p w14:paraId="553F15AF" w14:textId="77777777" w:rsidR="00F87105" w:rsidRPr="00B0452A" w:rsidRDefault="00F87105" w:rsidP="006A4AFE">
            <w:pPr>
              <w:contextualSpacing/>
              <w:rPr>
                <w:sz w:val="19"/>
                <w:szCs w:val="19"/>
              </w:rPr>
            </w:pPr>
            <w:r w:rsidRPr="00B0452A">
              <w:rPr>
                <w:sz w:val="19"/>
                <w:szCs w:val="19"/>
              </w:rPr>
              <w:t>Growth, condition, larval abundance</w:t>
            </w:r>
          </w:p>
        </w:tc>
      </w:tr>
      <w:tr w:rsidR="00F87105" w:rsidRPr="00B0452A" w14:paraId="7B9B22EC" w14:textId="77777777" w:rsidTr="006A4AFE">
        <w:trPr>
          <w:trHeight w:val="340"/>
          <w:jc w:val="center"/>
        </w:trPr>
        <w:tc>
          <w:tcPr>
            <w:tcW w:w="2608" w:type="dxa"/>
          </w:tcPr>
          <w:p w14:paraId="703D62C8" w14:textId="77777777" w:rsidR="00F87105" w:rsidRPr="00B0452A" w:rsidRDefault="00F87105" w:rsidP="006A4AFE">
            <w:pPr>
              <w:contextualSpacing/>
              <w:rPr>
                <w:sz w:val="19"/>
                <w:szCs w:val="19"/>
              </w:rPr>
            </w:pPr>
            <w:r w:rsidRPr="00B0452A">
              <w:rPr>
                <w:sz w:val="19"/>
                <w:szCs w:val="19"/>
              </w:rPr>
              <w:t>January</w:t>
            </w:r>
            <w:r w:rsidRPr="00B0452A">
              <w:rPr>
                <w:sz w:val="19"/>
                <w:szCs w:val="19"/>
                <w:vertAlign w:val="superscript"/>
              </w:rPr>
              <w:t>a</w:t>
            </w:r>
          </w:p>
        </w:tc>
        <w:tc>
          <w:tcPr>
            <w:tcW w:w="3119" w:type="dxa"/>
          </w:tcPr>
          <w:p w14:paraId="7E038B10" w14:textId="77777777" w:rsidR="00F87105" w:rsidRPr="00B0452A" w:rsidRDefault="00F87105" w:rsidP="006A4AFE">
            <w:pPr>
              <w:contextualSpacing/>
              <w:rPr>
                <w:sz w:val="19"/>
                <w:szCs w:val="19"/>
              </w:rPr>
            </w:pPr>
            <w:r w:rsidRPr="00B0452A">
              <w:rPr>
                <w:sz w:val="19"/>
                <w:szCs w:val="19"/>
              </w:rPr>
              <w:t>Electrofishing</w:t>
            </w:r>
          </w:p>
        </w:tc>
        <w:tc>
          <w:tcPr>
            <w:tcW w:w="3072" w:type="dxa"/>
          </w:tcPr>
          <w:p w14:paraId="68FAE11E" w14:textId="77777777" w:rsidR="00F87105" w:rsidRPr="00B0452A" w:rsidRDefault="00F87105" w:rsidP="006A4AFE">
            <w:pPr>
              <w:contextualSpacing/>
              <w:rPr>
                <w:sz w:val="19"/>
                <w:szCs w:val="19"/>
              </w:rPr>
            </w:pPr>
            <w:r w:rsidRPr="00B0452A">
              <w:rPr>
                <w:sz w:val="19"/>
                <w:szCs w:val="19"/>
              </w:rPr>
              <w:t>Growth, condition</w:t>
            </w:r>
          </w:p>
        </w:tc>
      </w:tr>
      <w:tr w:rsidR="00F87105" w:rsidRPr="00B0452A" w14:paraId="28F0FDBA" w14:textId="77777777" w:rsidTr="006A4AFE">
        <w:trPr>
          <w:trHeight w:val="340"/>
          <w:jc w:val="center"/>
        </w:trPr>
        <w:tc>
          <w:tcPr>
            <w:tcW w:w="2608" w:type="dxa"/>
          </w:tcPr>
          <w:p w14:paraId="0997AE93" w14:textId="77777777" w:rsidR="00F87105" w:rsidRPr="00B0452A" w:rsidRDefault="00F87105" w:rsidP="006A4AFE">
            <w:pPr>
              <w:contextualSpacing/>
              <w:rPr>
                <w:sz w:val="19"/>
                <w:szCs w:val="19"/>
              </w:rPr>
            </w:pPr>
            <w:r w:rsidRPr="00B0452A">
              <w:rPr>
                <w:sz w:val="19"/>
                <w:szCs w:val="19"/>
              </w:rPr>
              <w:t>February</w:t>
            </w:r>
          </w:p>
        </w:tc>
        <w:tc>
          <w:tcPr>
            <w:tcW w:w="3119" w:type="dxa"/>
          </w:tcPr>
          <w:p w14:paraId="1B10F42D" w14:textId="77777777" w:rsidR="00F87105" w:rsidRPr="00B0452A" w:rsidRDefault="00F87105" w:rsidP="006A4AFE">
            <w:pPr>
              <w:contextualSpacing/>
              <w:rPr>
                <w:sz w:val="19"/>
                <w:szCs w:val="19"/>
              </w:rPr>
            </w:pPr>
            <w:r w:rsidRPr="00B0452A">
              <w:rPr>
                <w:sz w:val="19"/>
                <w:szCs w:val="19"/>
              </w:rPr>
              <w:t>Electrofishing</w:t>
            </w:r>
          </w:p>
        </w:tc>
        <w:tc>
          <w:tcPr>
            <w:tcW w:w="3072" w:type="dxa"/>
          </w:tcPr>
          <w:p w14:paraId="747433B8" w14:textId="77777777" w:rsidR="00F87105" w:rsidRPr="00B0452A" w:rsidRDefault="00F87105" w:rsidP="006A4AFE">
            <w:pPr>
              <w:contextualSpacing/>
              <w:rPr>
                <w:sz w:val="19"/>
                <w:szCs w:val="19"/>
              </w:rPr>
            </w:pPr>
            <w:r w:rsidRPr="00B0452A">
              <w:rPr>
                <w:sz w:val="19"/>
                <w:szCs w:val="19"/>
              </w:rPr>
              <w:t>Growth, condition</w:t>
            </w:r>
          </w:p>
        </w:tc>
      </w:tr>
      <w:tr w:rsidR="00F87105" w:rsidRPr="00B0452A" w14:paraId="2FF3B538" w14:textId="77777777" w:rsidTr="006A4AFE">
        <w:trPr>
          <w:trHeight w:val="340"/>
          <w:jc w:val="center"/>
        </w:trPr>
        <w:tc>
          <w:tcPr>
            <w:tcW w:w="2608" w:type="dxa"/>
          </w:tcPr>
          <w:p w14:paraId="404280FE" w14:textId="77777777" w:rsidR="00F87105" w:rsidRPr="00B0452A" w:rsidRDefault="00F87105" w:rsidP="006A4AFE">
            <w:pPr>
              <w:contextualSpacing/>
              <w:rPr>
                <w:sz w:val="19"/>
                <w:szCs w:val="19"/>
              </w:rPr>
            </w:pPr>
            <w:r>
              <w:rPr>
                <w:sz w:val="19"/>
                <w:szCs w:val="19"/>
              </w:rPr>
              <w:t>March/</w:t>
            </w:r>
            <w:r w:rsidRPr="00B0452A">
              <w:rPr>
                <w:sz w:val="19"/>
                <w:szCs w:val="19"/>
              </w:rPr>
              <w:t>April</w:t>
            </w:r>
            <w:r w:rsidRPr="00B0452A">
              <w:rPr>
                <w:sz w:val="19"/>
                <w:szCs w:val="19"/>
                <w:vertAlign w:val="superscript"/>
              </w:rPr>
              <w:t>b</w:t>
            </w:r>
          </w:p>
        </w:tc>
        <w:tc>
          <w:tcPr>
            <w:tcW w:w="3119" w:type="dxa"/>
          </w:tcPr>
          <w:p w14:paraId="525B617F" w14:textId="77777777" w:rsidR="00F87105" w:rsidRPr="00B0452A" w:rsidRDefault="00F87105" w:rsidP="006A4AFE">
            <w:pPr>
              <w:contextualSpacing/>
              <w:rPr>
                <w:sz w:val="19"/>
                <w:szCs w:val="19"/>
              </w:rPr>
            </w:pPr>
            <w:r w:rsidRPr="00B0452A">
              <w:rPr>
                <w:sz w:val="19"/>
                <w:szCs w:val="19"/>
              </w:rPr>
              <w:t>Electrofishing</w:t>
            </w:r>
          </w:p>
        </w:tc>
        <w:tc>
          <w:tcPr>
            <w:tcW w:w="3072" w:type="dxa"/>
          </w:tcPr>
          <w:p w14:paraId="16B81B15" w14:textId="77777777" w:rsidR="00F87105" w:rsidRPr="00B0452A" w:rsidRDefault="00F87105" w:rsidP="006A4AFE">
            <w:pPr>
              <w:contextualSpacing/>
              <w:rPr>
                <w:sz w:val="19"/>
                <w:szCs w:val="19"/>
              </w:rPr>
            </w:pPr>
            <w:r w:rsidRPr="00B0452A">
              <w:rPr>
                <w:sz w:val="19"/>
                <w:szCs w:val="19"/>
              </w:rPr>
              <w:t>Condition, YOY abundance, population structure</w:t>
            </w:r>
          </w:p>
        </w:tc>
      </w:tr>
      <w:tr w:rsidR="00F87105" w:rsidRPr="00B0452A" w14:paraId="6FB6A350" w14:textId="77777777" w:rsidTr="006A4AFE">
        <w:trPr>
          <w:trHeight w:val="340"/>
          <w:jc w:val="center"/>
        </w:trPr>
        <w:tc>
          <w:tcPr>
            <w:tcW w:w="2608" w:type="dxa"/>
            <w:tcBorders>
              <w:bottom w:val="single" w:sz="4" w:space="0" w:color="auto"/>
            </w:tcBorders>
          </w:tcPr>
          <w:p w14:paraId="337BEED9" w14:textId="77777777" w:rsidR="00F87105" w:rsidRPr="00B0452A" w:rsidRDefault="00F87105" w:rsidP="006A4AFE">
            <w:pPr>
              <w:contextualSpacing/>
              <w:rPr>
                <w:sz w:val="19"/>
                <w:szCs w:val="19"/>
              </w:rPr>
            </w:pPr>
            <w:r w:rsidRPr="00B0452A">
              <w:rPr>
                <w:sz w:val="19"/>
                <w:szCs w:val="19"/>
              </w:rPr>
              <w:t>May</w:t>
            </w:r>
          </w:p>
        </w:tc>
        <w:tc>
          <w:tcPr>
            <w:tcW w:w="3119" w:type="dxa"/>
            <w:tcBorders>
              <w:bottom w:val="single" w:sz="4" w:space="0" w:color="auto"/>
            </w:tcBorders>
          </w:tcPr>
          <w:p w14:paraId="3486DBF1" w14:textId="77777777" w:rsidR="00F87105" w:rsidRPr="00B0452A" w:rsidRDefault="00F87105" w:rsidP="006A4AFE">
            <w:pPr>
              <w:contextualSpacing/>
              <w:rPr>
                <w:sz w:val="19"/>
                <w:szCs w:val="19"/>
              </w:rPr>
            </w:pPr>
            <w:r w:rsidRPr="00B0452A">
              <w:rPr>
                <w:sz w:val="19"/>
                <w:szCs w:val="19"/>
              </w:rPr>
              <w:t>Electrofishing</w:t>
            </w:r>
          </w:p>
        </w:tc>
        <w:tc>
          <w:tcPr>
            <w:tcW w:w="3072" w:type="dxa"/>
            <w:tcBorders>
              <w:bottom w:val="single" w:sz="4" w:space="0" w:color="auto"/>
            </w:tcBorders>
          </w:tcPr>
          <w:p w14:paraId="34B06F9D" w14:textId="77777777" w:rsidR="00F87105" w:rsidRPr="00B0452A" w:rsidRDefault="00F87105" w:rsidP="006A4AFE">
            <w:pPr>
              <w:contextualSpacing/>
              <w:rPr>
                <w:sz w:val="19"/>
                <w:szCs w:val="19"/>
              </w:rPr>
            </w:pPr>
            <w:r w:rsidRPr="00B0452A">
              <w:rPr>
                <w:sz w:val="19"/>
                <w:szCs w:val="19"/>
              </w:rPr>
              <w:t>Condition, YOY abundance, population structure</w:t>
            </w:r>
          </w:p>
        </w:tc>
      </w:tr>
    </w:tbl>
    <w:p w14:paraId="4CA426A1" w14:textId="77777777" w:rsidR="00F87105" w:rsidRPr="00B0452A" w:rsidRDefault="00F87105" w:rsidP="00F87105">
      <w:pPr>
        <w:contextualSpacing/>
        <w:rPr>
          <w:sz w:val="18"/>
        </w:rPr>
      </w:pPr>
      <w:r w:rsidRPr="00B0452A">
        <w:rPr>
          <w:sz w:val="18"/>
          <w:vertAlign w:val="superscript"/>
        </w:rPr>
        <w:t>a</w:t>
      </w:r>
      <w:r w:rsidRPr="00B0452A">
        <w:rPr>
          <w:sz w:val="18"/>
        </w:rPr>
        <w:t xml:space="preserve"> Due to consistent low catch rates, January sampling was not undertaken in 2022-23 and 2023-24.</w:t>
      </w:r>
    </w:p>
    <w:p w14:paraId="506ABDFD" w14:textId="49159392" w:rsidR="00F87105" w:rsidRPr="00B0452A" w:rsidRDefault="00F87105" w:rsidP="00F87105">
      <w:pPr>
        <w:rPr>
          <w:sz w:val="18"/>
        </w:rPr>
      </w:pPr>
      <w:r w:rsidRPr="00B0452A">
        <w:rPr>
          <w:sz w:val="18"/>
          <w:vertAlign w:val="superscript"/>
        </w:rPr>
        <w:t>b</w:t>
      </w:r>
      <w:r w:rsidRPr="00B0452A">
        <w:rPr>
          <w:sz w:val="18"/>
        </w:rPr>
        <w:t xml:space="preserve"> Fish (Channel) sampling in the Gorge zone (see Section </w:t>
      </w:r>
      <w:r w:rsidRPr="00B0452A">
        <w:rPr>
          <w:sz w:val="18"/>
        </w:rPr>
        <w:fldChar w:fldCharType="begin"/>
      </w:r>
      <w:r w:rsidRPr="00B0452A">
        <w:rPr>
          <w:sz w:val="18"/>
        </w:rPr>
        <w:instrText xml:space="preserve"> REF _Ref56693948 \r \h  \* MERGEFORMAT </w:instrText>
      </w:r>
      <w:r w:rsidRPr="00B0452A">
        <w:rPr>
          <w:sz w:val="18"/>
        </w:rPr>
      </w:r>
      <w:r w:rsidRPr="00B0452A">
        <w:rPr>
          <w:sz w:val="18"/>
        </w:rPr>
        <w:fldChar w:fldCharType="separate"/>
      </w:r>
      <w:r w:rsidR="00102828">
        <w:rPr>
          <w:sz w:val="18"/>
        </w:rPr>
        <w:t>2.8</w:t>
      </w:r>
      <w:r w:rsidRPr="00B0452A">
        <w:rPr>
          <w:sz w:val="18"/>
        </w:rPr>
        <w:fldChar w:fldCharType="end"/>
      </w:r>
      <w:r w:rsidRPr="00B0452A">
        <w:rPr>
          <w:sz w:val="18"/>
        </w:rPr>
        <w:t xml:space="preserve"> ‘Fish Assemblage’ for details).</w:t>
      </w:r>
    </w:p>
    <w:p w14:paraId="2A076209" w14:textId="50D0431F" w:rsidR="00F87105" w:rsidRPr="00F869A0" w:rsidRDefault="00F87105" w:rsidP="00F87105">
      <w:r w:rsidRPr="00D03E21">
        <w:t>Sampling for larvae (November) and early juveniles (February</w:t>
      </w:r>
      <w:r>
        <w:t>–</w:t>
      </w:r>
      <w:r w:rsidRPr="00D03E21">
        <w:t>March) was conducted in the tailwaters (&lt;15 km downstream) of Lock 3 (Gorge zone) and Lock 4 (Floodplain zone) (</w:t>
      </w:r>
      <w:r w:rsidRPr="00D03E21">
        <w:fldChar w:fldCharType="begin"/>
      </w:r>
      <w:r w:rsidRPr="00D03E21">
        <w:instrText xml:space="preserve"> REF _Ref469926522 \h  \* MERGEFORMAT </w:instrText>
      </w:r>
      <w:r w:rsidRPr="00D03E21">
        <w:fldChar w:fldCharType="separate"/>
      </w:r>
      <w:r w:rsidR="00102828">
        <w:t xml:space="preserve">Figure </w:t>
      </w:r>
      <w:r w:rsidR="00102828">
        <w:rPr>
          <w:noProof/>
        </w:rPr>
        <w:t>1</w:t>
      </w:r>
      <w:r w:rsidRPr="00D03E21">
        <w:fldChar w:fldCharType="end"/>
      </w:r>
      <w:r w:rsidRPr="00D03E21">
        <w:t xml:space="preserve">). </w:t>
      </w:r>
      <w:r w:rsidRPr="00F869A0">
        <w:t xml:space="preserve">Sampling to assess YOY abundance and population structure in May occurred at sites in the tailwaters of Locks 3 (Gorge zone), 4 and 5 (Floodplain zone), and was supplemented by non-targeted sampling in March/April at ten sites between Locks 1 and 3 in the Gorge zone (Fish (Channel) sampling). In addition to the sampling described above, Murray cod larvae and juveniles were opportunistically collected through other MER field sampling (e.g. Section </w:t>
      </w:r>
      <w:r w:rsidRPr="00F869A0">
        <w:fldChar w:fldCharType="begin"/>
      </w:r>
      <w:r w:rsidRPr="00F869A0">
        <w:instrText xml:space="preserve"> REF _Ref53046930 \r \h  \* MERGEFORMAT </w:instrText>
      </w:r>
      <w:r w:rsidRPr="00F869A0">
        <w:fldChar w:fldCharType="separate"/>
      </w:r>
      <w:r w:rsidR="00102828">
        <w:t>2.6</w:t>
      </w:r>
      <w:r w:rsidRPr="00F869A0">
        <w:fldChar w:fldCharType="end"/>
      </w:r>
      <w:r w:rsidRPr="00F869A0">
        <w:t xml:space="preserve"> ‘Flow-cued Spawning Fish Reproduction’) and sampling from other projects (e.g. Chowilla TLM condition and targeted cod monitoring). Samples from the main river channel were included in all analyses, while samples from anabranches were used solely to supplement age analyses to determine the range of spawn dates for Murray cod in the LMR.</w:t>
      </w:r>
    </w:p>
    <w:p w14:paraId="7848C5EA" w14:textId="77777777" w:rsidR="00F87105" w:rsidRPr="00B16E16" w:rsidRDefault="00F87105" w:rsidP="00F87105">
      <w:pPr>
        <w:pStyle w:val="Heading4"/>
      </w:pPr>
      <w:r w:rsidRPr="00B16E16">
        <w:t>Otolith preparation and increment counts and measurements</w:t>
      </w:r>
    </w:p>
    <w:p w14:paraId="1ADD8943" w14:textId="77777777" w:rsidR="00F87105" w:rsidRPr="00B16E16" w:rsidRDefault="00F87105" w:rsidP="00F87105">
      <w:r w:rsidRPr="00B16E16">
        <w:t xml:space="preserve">Larval/juvenile Murray cod were measured for TL to the nearest millimetre, weighed to 0.001 of a gram, and sagittal otoliths were removed. Larval otoliths were prepared in sagittal sections. Larger otoliths were ground on the distal surface first before grinding and polishing, with 9 and 3 μm lapping film, from the proximal surface to produce sections of ~50 μm thickness. Smaller otoliths required only grinding the proximal surface or not at all. Sagittae were embedded in crystal bond™ with the proximal surface facing upwards. Larger juveniles from January were prepared in transverse sections which involved grinding and polishing, with 16 μm lapping film, from the anterior margin towards the core before flipping and grinding/polishing from the posterior side. Otoliths were adhered to the centre of a microscope slide using crystal bond™ </w:t>
      </w:r>
      <w:bookmarkStart w:id="488" w:name="_Hlk120784799"/>
      <w:r w:rsidRPr="00B16E16">
        <w:t>with the proximal surface facing upwards</w:t>
      </w:r>
      <w:bookmarkEnd w:id="488"/>
      <w:r w:rsidRPr="00B16E16">
        <w:t xml:space="preserve">.  </w:t>
      </w:r>
    </w:p>
    <w:p w14:paraId="3FE78E81" w14:textId="77777777" w:rsidR="00F87105" w:rsidRPr="00B16E16" w:rsidRDefault="00F87105" w:rsidP="00F87105">
      <w:r w:rsidRPr="00B16E16">
        <w:t xml:space="preserve">Prominent hatch marks were evident on most sectioned otoliths, providing a reliable reference point to begin increment counts. As such, daily increment counts were made from the hatch mark along the maximum growth axis towards the ventral apex. Two readers examined each otolith on separate occasions and each reader performed two counts of the increments. Counts from each reader were compared and if they differed by more than 10%, the otolith was rejected; but if count variation was within 10%, the mean of all counts was accepted as the daily increment number and estimate of age. Hatch dates were determined by subtracting estimated age from capture dates. Prior to </w:t>
      </w:r>
      <w:r w:rsidRPr="00B16E16">
        <w:lastRenderedPageBreak/>
        <w:t>increment counts, otolith readers were calibrated by reading a reference collection of otoliths from known-age Murray cod larvae and achieving 90% agreement. Otolith sections were examined using a compound microscope (x 200) fitted with a digital camera and Olympus Stream image analysis software (version 2.3). YOY Murray cod collected in April and May were omitted from age analyses due to unreliability in daily increment estimates for fish &gt;150 days.</w:t>
      </w:r>
    </w:p>
    <w:p w14:paraId="3152C96D" w14:textId="77777777" w:rsidR="00F87105" w:rsidRPr="00825393" w:rsidRDefault="00F87105" w:rsidP="00F87105">
      <w:pPr>
        <w:pStyle w:val="Heading4"/>
      </w:pPr>
      <w:r w:rsidRPr="00825393">
        <w:t>Data analyses</w:t>
      </w:r>
    </w:p>
    <w:p w14:paraId="500616EA" w14:textId="77777777" w:rsidR="00F87105" w:rsidRPr="00825393" w:rsidRDefault="00F87105" w:rsidP="00F87105">
      <w:pPr>
        <w:rPr>
          <w:i/>
          <w:iCs/>
        </w:rPr>
      </w:pPr>
      <w:r w:rsidRPr="00825393">
        <w:rPr>
          <w:i/>
          <w:iCs/>
        </w:rPr>
        <w:t>Spawning</w:t>
      </w:r>
    </w:p>
    <w:p w14:paraId="14A9F151" w14:textId="3CC86388" w:rsidR="00F87105" w:rsidRPr="006C3F33" w:rsidRDefault="00F87105" w:rsidP="00F87105">
      <w:r w:rsidRPr="00825393">
        <w:t xml:space="preserve">To compare the magnitude of Murray cod spawning across years, temporal variability in the abundance of Murray cod larvae was investigated. We used two separate datasets: 1) targeted light trap sampling during November 2019–2024 in two reaches, downstream of Locks 3 and 4; and 2) </w:t>
      </w:r>
      <w:r>
        <w:t xml:space="preserve">day-time </w:t>
      </w:r>
      <w:r w:rsidRPr="00825393">
        <w:t xml:space="preserve">egg and larval fish bongo tow sampling described in Section </w:t>
      </w:r>
      <w:r w:rsidRPr="00825393">
        <w:fldChar w:fldCharType="begin"/>
      </w:r>
      <w:r w:rsidRPr="00825393">
        <w:instrText xml:space="preserve"> REF _Ref53046930 \r \h </w:instrText>
      </w:r>
      <w:r>
        <w:instrText xml:space="preserve"> \* MERGEFORMAT </w:instrText>
      </w:r>
      <w:r w:rsidRPr="00825393">
        <w:fldChar w:fldCharType="separate"/>
      </w:r>
      <w:r w:rsidR="00102828">
        <w:t>2.6</w:t>
      </w:r>
      <w:r w:rsidRPr="00825393">
        <w:fldChar w:fldCharType="end"/>
      </w:r>
      <w:r w:rsidRPr="00825393">
        <w:t xml:space="preserve">. Abundance was presented as total CPUE (total catch/total effort). No statistical comparisons were made due to the low sample numbers and/or low numbers of </w:t>
      </w:r>
      <w:r w:rsidRPr="006C3F33">
        <w:t>replicates.</w:t>
      </w:r>
    </w:p>
    <w:p w14:paraId="569B6FE4" w14:textId="77777777" w:rsidR="00F87105" w:rsidRPr="006C3F33" w:rsidRDefault="00F87105" w:rsidP="00F87105">
      <w:pPr>
        <w:rPr>
          <w:i/>
          <w:iCs/>
        </w:rPr>
      </w:pPr>
      <w:r w:rsidRPr="006C3F33">
        <w:rPr>
          <w:i/>
          <w:iCs/>
        </w:rPr>
        <w:t>Morphometric condition</w:t>
      </w:r>
    </w:p>
    <w:p w14:paraId="242051E6" w14:textId="77777777" w:rsidR="00F87105" w:rsidRPr="006C3F33" w:rsidRDefault="00F87105" w:rsidP="00F87105">
      <w:r>
        <w:t>L</w:t>
      </w:r>
      <w:r w:rsidRPr="006C3F33">
        <w:t xml:space="preserve">ength–weight relationships for juvenile (0+ year old, typically &lt;160 mm) Murray cod were described using linear regression, following the methods outlined in Tonkin </w:t>
      </w:r>
      <w:r w:rsidRPr="006C3F33">
        <w:rPr>
          <w:i/>
          <w:iCs/>
        </w:rPr>
        <w:t>et al.</w:t>
      </w:r>
      <w:r w:rsidRPr="006C3F33">
        <w:t xml:space="preserve"> (2008). Linear and non-linear relationships were examined with non-linearity modelled by fitting polynomial terms of increasing order (up to 4) to length. The relative support for each of the models was assessed using Akaike’s Information Criterion, corrected for small sample size (AICc) (Burnham and Anderson 2002). AICc values were rescaled as differences between the model and the model with the lowest AICc value, with the likelihood of the model calculated (see Tonkin </w:t>
      </w:r>
      <w:r w:rsidRPr="006C3F33">
        <w:rPr>
          <w:i/>
          <w:iCs/>
        </w:rPr>
        <w:t>et al.</w:t>
      </w:r>
      <w:r w:rsidRPr="006C3F33">
        <w:t xml:space="preserve"> 2008 for equation). Morphometric condition was estimated by calculating the relative condition factor (K</w:t>
      </w:r>
      <w:r w:rsidRPr="006C3F33">
        <w:rPr>
          <w:i/>
        </w:rPr>
        <w:t>rel</w:t>
      </w:r>
      <w:r w:rsidRPr="006C3F33">
        <w:t>) of an individual fish, using the estimated weight calculated from the selected model equation: K</w:t>
      </w:r>
      <w:r w:rsidRPr="006C3F33">
        <w:rPr>
          <w:i/>
        </w:rPr>
        <w:t>rel</w:t>
      </w:r>
      <w:r w:rsidRPr="006C3F33">
        <w:t xml:space="preserve"> = Wt</w:t>
      </w:r>
      <w:r w:rsidRPr="006C3F33">
        <w:rPr>
          <w:vertAlign w:val="subscript"/>
        </w:rPr>
        <w:t>actual</w:t>
      </w:r>
      <w:r w:rsidRPr="006C3F33">
        <w:t>/Wt</w:t>
      </w:r>
      <w:r w:rsidRPr="006C3F33">
        <w:rPr>
          <w:vertAlign w:val="subscript"/>
        </w:rPr>
        <w:t>estimated</w:t>
      </w:r>
      <w:r w:rsidRPr="006C3F33">
        <w:t>. To determine if the condition of Murray cod differed among years (i.e. 2015–2024) of different flow regimes, differences in K</w:t>
      </w:r>
      <w:r w:rsidRPr="006C3F33">
        <w:rPr>
          <w:i/>
        </w:rPr>
        <w:t>rel</w:t>
      </w:r>
      <w:r w:rsidRPr="006C3F33">
        <w:t xml:space="preserve"> of individuals sampled between March and August were assessed using a single-factor univariate PERMANOVA (permutational ANOVA and MANOVA) in the software package PRIMER v. 6.1.12 and PERMANOVA+ (Anderson </w:t>
      </w:r>
      <w:r w:rsidRPr="006C3F33">
        <w:rPr>
          <w:i/>
          <w:iCs/>
        </w:rPr>
        <w:t>et al.</w:t>
      </w:r>
      <w:r w:rsidRPr="006C3F33">
        <w:t xml:space="preserve"> 2008). Data from 2022 were not analysed statistically due to low (</w:t>
      </w:r>
      <w:r w:rsidRPr="006C3F33">
        <w:rPr>
          <w:i/>
          <w:iCs/>
        </w:rPr>
        <w:t xml:space="preserve">n </w:t>
      </w:r>
      <w:r w:rsidRPr="006C3F33">
        <w:t xml:space="preserve">= 2) sample size. A significance value of </w:t>
      </w:r>
      <w:r w:rsidRPr="006C3F33">
        <w:rPr>
          <w:i/>
          <w:iCs/>
        </w:rPr>
        <w:t>α</w:t>
      </w:r>
      <w:r w:rsidRPr="006C3F33">
        <w:t xml:space="preserve"> = 0.05 was adopted for all statistical comparisons, acknowledging an increased likelihood of type 1 errors for multiple comparisons. Comparisons of morphometric condition, seasonal growth rate and CPUE between weir pools were not explored as they were not of interest in this study.</w:t>
      </w:r>
    </w:p>
    <w:p w14:paraId="06F2B6C1" w14:textId="77777777" w:rsidR="00F87105" w:rsidRPr="00B00BC9" w:rsidRDefault="00F87105" w:rsidP="00F87105">
      <w:pPr>
        <w:rPr>
          <w:i/>
          <w:iCs/>
        </w:rPr>
      </w:pPr>
      <w:r w:rsidRPr="00B00BC9">
        <w:rPr>
          <w:i/>
          <w:iCs/>
        </w:rPr>
        <w:t>Growth rate</w:t>
      </w:r>
    </w:p>
    <w:p w14:paraId="2859C78E" w14:textId="7E965050" w:rsidR="00F87105" w:rsidRPr="006C3F33" w:rsidRDefault="00F87105" w:rsidP="00F87105">
      <w:r w:rsidRPr="00B00BC9">
        <w:t>Mean seasonal growth was described by fitting linear and non-linear models to length-at-age data. Three models were considered for fish growth rate: linear, Gompertz and Von Bertalanffy. Model selection procedures using AICc, as described above, were used to select the model with most support. For YOY (excluding larvae), mean seasonal growth rate was calculated as the function of TL and age (days) at capture. No statistical comparisons between years (2019–</w:t>
      </w:r>
      <w:r w:rsidR="00295AE8">
        <w:t>20</w:t>
      </w:r>
      <w:r w:rsidRPr="00B00BC9">
        <w:t>24) were made due to the low number of replicates (</w:t>
      </w:r>
      <w:r w:rsidRPr="00B00BC9">
        <w:rPr>
          <w:i/>
          <w:iCs/>
        </w:rPr>
        <w:t>n</w:t>
      </w:r>
      <w:r w:rsidRPr="00B00BC9">
        <w:t xml:space="preserve"> ≤ </w:t>
      </w:r>
      <w:r w:rsidRPr="006C3F33">
        <w:t>2) during 2021-22, 2022-23 and 2023-24.</w:t>
      </w:r>
    </w:p>
    <w:p w14:paraId="17496A54" w14:textId="77777777" w:rsidR="00F87105" w:rsidRPr="006C3F33" w:rsidRDefault="00F87105" w:rsidP="00F87105">
      <w:pPr>
        <w:rPr>
          <w:i/>
          <w:iCs/>
        </w:rPr>
      </w:pPr>
      <w:r w:rsidRPr="006C3F33">
        <w:rPr>
          <w:i/>
          <w:iCs/>
        </w:rPr>
        <w:lastRenderedPageBreak/>
        <w:t>Recruitment</w:t>
      </w:r>
    </w:p>
    <w:p w14:paraId="7680E6E3" w14:textId="68C555AF" w:rsidR="00F87105" w:rsidRPr="00B03065" w:rsidRDefault="00F87105" w:rsidP="00F87105">
      <w:r w:rsidRPr="006C3F33">
        <w:t xml:space="preserve">To compare recruitment and abundance of Murray cod across years (2013–2024), temporal variability in the relative abundance of YOY and all Murray cod was assessed using two datasets: 1) non-targeted Category 1 electrofishing CPUE data (see Section </w:t>
      </w:r>
      <w:r w:rsidRPr="006C3F33">
        <w:fldChar w:fldCharType="begin"/>
      </w:r>
      <w:r w:rsidRPr="006C3F33">
        <w:instrText xml:space="preserve"> REF _Ref56694021 \r \h  \* MERGEFORMAT </w:instrText>
      </w:r>
      <w:r w:rsidRPr="006C3F33">
        <w:fldChar w:fldCharType="separate"/>
      </w:r>
      <w:r w:rsidR="00102828">
        <w:t>2.8</w:t>
      </w:r>
      <w:r w:rsidRPr="006C3F33">
        <w:fldChar w:fldCharType="end"/>
      </w:r>
      <w:r w:rsidRPr="006C3F33">
        <w:t xml:space="preserve"> ‘Fish Assemblage’); and 2) targeted electrofishing CPUE data. For the first dataset, sites (</w:t>
      </w:r>
      <w:r w:rsidRPr="006C3F33">
        <w:rPr>
          <w:i/>
          <w:iCs/>
        </w:rPr>
        <w:t xml:space="preserve">n = </w:t>
      </w:r>
      <w:r w:rsidRPr="006C3F33">
        <w:t>10) were grouped and represented as two reaches, namely downstream of Lock 3 and downstream of Lock 2. For the second data set, numerous ‘shots’ (</w:t>
      </w:r>
      <w:r w:rsidRPr="006C3F33">
        <w:rPr>
          <w:i/>
          <w:iCs/>
        </w:rPr>
        <w:t>n</w:t>
      </w:r>
      <w:r w:rsidRPr="006C3F33">
        <w:t xml:space="preserve"> = 1–5) were undertaken across broad sites downstream of Locks 3, 4 and 5, and CPUE data presented as per the first dataset. Differences in relative abundance of YOY (individuals per minute of electrofishing on-time effort) among years at each reach were analysed using univariate single-factor PERMANOVA. These analyses were performed on untransformed, standardised relative abundance data. For the first dataset, YOY CPUE data from downstream of Lock 2 and Lock 3 were amalgamated to represent the gorge geomorphic zone because there were no significant effects of reach or an interaction between reach and year. For the second dataset, data from downstream of Lock 4 were used to represent the floodplain geomorphic zone because sampling downstream of Locks 5 and 3 had low replication in multiple years (</w:t>
      </w:r>
      <w:r w:rsidRPr="006C3F33">
        <w:rPr>
          <w:i/>
          <w:iCs/>
        </w:rPr>
        <w:t>n</w:t>
      </w:r>
      <w:r w:rsidRPr="006C3F33">
        <w:t xml:space="preserve"> &lt; 3) </w:t>
      </w:r>
      <w:r>
        <w:t>or these sites</w:t>
      </w:r>
      <w:r w:rsidRPr="006C3F33">
        <w:t xml:space="preserve"> were not sampled across all years.</w:t>
      </w:r>
      <w:r w:rsidRPr="00B03065">
        <w:t xml:space="preserve">  </w:t>
      </w:r>
    </w:p>
    <w:p w14:paraId="4A269284" w14:textId="77777777" w:rsidR="00F87105" w:rsidRDefault="00F87105" w:rsidP="00F87105">
      <w:pPr>
        <w:pStyle w:val="Heading3"/>
      </w:pPr>
      <w:bookmarkStart w:id="489" w:name="_Hlk153878733"/>
      <w:r>
        <w:t>Results</w:t>
      </w:r>
    </w:p>
    <w:p w14:paraId="44CFBC20" w14:textId="77777777" w:rsidR="00F87105" w:rsidRPr="00703BE5" w:rsidRDefault="00F87105" w:rsidP="00F87105">
      <w:pPr>
        <w:pStyle w:val="Heading4"/>
      </w:pPr>
      <w:r w:rsidRPr="00703BE5">
        <w:t>Catch summary</w:t>
      </w:r>
    </w:p>
    <w:p w14:paraId="70710039" w14:textId="1E8DCCAA" w:rsidR="00F87105" w:rsidRDefault="00F87105" w:rsidP="00F87105">
      <w:r w:rsidRPr="00703BE5">
        <w:t xml:space="preserve">During Flow-MER sampling in the main channel of the LMR from 2019 to 2024, a total of </w:t>
      </w:r>
      <w:r>
        <w:t>187</w:t>
      </w:r>
      <w:r w:rsidRPr="00F71C92">
        <w:rPr>
          <w:highlight w:val="yellow"/>
        </w:rPr>
        <w:t xml:space="preserve"> </w:t>
      </w:r>
      <w:r w:rsidRPr="00703BE5">
        <w:t xml:space="preserve">Murray cod </w:t>
      </w:r>
      <w:r>
        <w:t>(excluding larvae) estimated</w:t>
      </w:r>
      <w:r w:rsidRPr="00703BE5">
        <w:t xml:space="preserve"> to be age 0+ were collected. </w:t>
      </w:r>
      <w:r w:rsidRPr="00003542">
        <w:t xml:space="preserve">Most of </w:t>
      </w:r>
      <w:r>
        <w:t>these individuals</w:t>
      </w:r>
      <w:r w:rsidRPr="00003542">
        <w:t xml:space="preserve"> (</w:t>
      </w:r>
      <w:r w:rsidRPr="007E4377">
        <w:rPr>
          <w:i/>
          <w:iCs/>
        </w:rPr>
        <w:t>n</w:t>
      </w:r>
      <w:r>
        <w:t> </w:t>
      </w:r>
      <w:r w:rsidRPr="00003542">
        <w:t>=</w:t>
      </w:r>
      <w:r>
        <w:t> 158</w:t>
      </w:r>
      <w:r w:rsidR="00283C78">
        <w:t>/187</w:t>
      </w:r>
      <w:r w:rsidRPr="00003542">
        <w:t>)</w:t>
      </w:r>
      <w:r w:rsidR="00283C78">
        <w:t>,</w:t>
      </w:r>
      <w:r w:rsidRPr="00003542">
        <w:t xml:space="preserve"> </w:t>
      </w:r>
      <w:r>
        <w:t>and several others (</w:t>
      </w:r>
      <w:r w:rsidRPr="007E4377">
        <w:rPr>
          <w:i/>
          <w:iCs/>
        </w:rPr>
        <w:t>n</w:t>
      </w:r>
      <w:r w:rsidRPr="00003542">
        <w:t xml:space="preserve"> = </w:t>
      </w:r>
      <w:r>
        <w:t>28) sampled in the main channel and anabranches of the LMR in other projects (e.g. Chowilla TLM Icon Site Condition Monitoring, MDBA’s Murray–Darling Basin Fish Survey, DEW Katarapko and Pike Condition Monitoring)</w:t>
      </w:r>
      <w:r w:rsidR="00283C78">
        <w:t>,</w:t>
      </w:r>
      <w:r>
        <w:t xml:space="preserve"> </w:t>
      </w:r>
      <w:r w:rsidRPr="00003542">
        <w:t>were retained for morphometric, age and growth assessments.</w:t>
      </w:r>
      <w:r>
        <w:t xml:space="preserve"> </w:t>
      </w:r>
    </w:p>
    <w:p w14:paraId="3A227A6D" w14:textId="77777777" w:rsidR="00F87105" w:rsidRPr="00403730" w:rsidRDefault="00F87105" w:rsidP="00F87105">
      <w:pPr>
        <w:pStyle w:val="Heading4"/>
      </w:pPr>
      <w:r w:rsidRPr="00403730">
        <w:t>Spawning</w:t>
      </w:r>
    </w:p>
    <w:p w14:paraId="57BF7AD8" w14:textId="77777777" w:rsidR="00F87105" w:rsidRPr="00F869A0" w:rsidRDefault="00F87105" w:rsidP="00F87105">
      <w:pPr>
        <w:rPr>
          <w:i/>
          <w:iCs/>
        </w:rPr>
      </w:pPr>
      <w:r w:rsidRPr="00F869A0">
        <w:rPr>
          <w:i/>
          <w:iCs/>
        </w:rPr>
        <w:t>Abundance</w:t>
      </w:r>
    </w:p>
    <w:p w14:paraId="67D882BD" w14:textId="1EC6AA6A" w:rsidR="00F87105" w:rsidRDefault="00F87105" w:rsidP="00F87105">
      <w:r>
        <w:t xml:space="preserve">Trends in larval abundance (CPUE) were consistent among sampling techniques </w:t>
      </w:r>
      <w:r w:rsidRPr="00403730">
        <w:t>(</w:t>
      </w:r>
      <w:r w:rsidRPr="00403730">
        <w:fldChar w:fldCharType="begin"/>
      </w:r>
      <w:r w:rsidRPr="00403730">
        <w:instrText xml:space="preserve"> REF _Ref127868095 \h  \* MERGEFORMAT </w:instrText>
      </w:r>
      <w:r w:rsidRPr="00403730">
        <w:fldChar w:fldCharType="separate"/>
      </w:r>
      <w:r w:rsidR="00102828">
        <w:t xml:space="preserve">Figure </w:t>
      </w:r>
      <w:r w:rsidR="00102828">
        <w:rPr>
          <w:noProof/>
        </w:rPr>
        <w:t>63</w:t>
      </w:r>
      <w:r w:rsidRPr="00403730">
        <w:fldChar w:fldCharType="end"/>
      </w:r>
      <w:r w:rsidRPr="00403730">
        <w:t>)</w:t>
      </w:r>
      <w:r>
        <w:t xml:space="preserve">. Larval abundance was temporally and spatially variable but observed during most years. Increased abundance of larvae occurred during 2014-15, 2016-17, 2018-19, as determined by bongo tow sampling, and during 2019-20 as determined by light trap sampling. Of the four sites, larvae were most consistently sampled downstream of </w:t>
      </w:r>
      <w:r w:rsidR="009E4256">
        <w:t>L</w:t>
      </w:r>
      <w:r>
        <w:t>ocks 1 and 4, noting that bongo tow sampling did not occur downstream of Lock 4 until 2020-21.</w:t>
      </w:r>
    </w:p>
    <w:p w14:paraId="781C776E" w14:textId="77777777" w:rsidR="00F87105" w:rsidRDefault="00F87105" w:rsidP="00F87105">
      <w:pPr>
        <w:jc w:val="center"/>
      </w:pPr>
      <w:r w:rsidRPr="003E3E24">
        <w:lastRenderedPageBreak/>
        <w:t xml:space="preserve"> </w:t>
      </w:r>
      <w:r>
        <w:rPr>
          <w:noProof/>
        </w:rPr>
        <w:drawing>
          <wp:inline distT="0" distB="0" distL="0" distR="0" wp14:anchorId="23DA42D6" wp14:editId="66324E85">
            <wp:extent cx="4136065" cy="4478545"/>
            <wp:effectExtent l="0" t="0" r="0" b="0"/>
            <wp:docPr id="855563178" name="Picture 1" descr="Graph showing total catch-per-unit-effort of Murray cod larvae in the Lower Murray River from targeted light trap sampling in the tailwaters below Locks 3 and 4, and egg and larval fish bongo tow sampling in the tailwaters below Locks 1, 4 and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563178" name="Picture 1" descr="Graph showing total catch-per-unit-effort of Murray cod larvae in the Lower Murray River from targeted light trap sampling in the tailwaters below Locks 3 and 4, and egg and larval fish bongo tow sampling in the tailwaters below Locks 1, 4 and 6. "/>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4139627" cy="4482402"/>
                    </a:xfrm>
                    <a:prstGeom prst="rect">
                      <a:avLst/>
                    </a:prstGeom>
                  </pic:spPr>
                </pic:pic>
              </a:graphicData>
            </a:graphic>
          </wp:inline>
        </w:drawing>
      </w:r>
    </w:p>
    <w:p w14:paraId="771EB0F1" w14:textId="667460D2" w:rsidR="00F87105" w:rsidRPr="00CD088A" w:rsidRDefault="00F87105" w:rsidP="00F87105">
      <w:pPr>
        <w:pStyle w:val="Caption"/>
      </w:pPr>
      <w:bookmarkStart w:id="490" w:name="_Ref127868095"/>
      <w:bookmarkStart w:id="491" w:name="_Toc166771784"/>
      <w:bookmarkStart w:id="492" w:name="_Toc200464514"/>
      <w:r>
        <w:t xml:space="preserve">Figure </w:t>
      </w:r>
      <w:r>
        <w:fldChar w:fldCharType="begin"/>
      </w:r>
      <w:r>
        <w:instrText>SEQ Figure \* ARABIC</w:instrText>
      </w:r>
      <w:r>
        <w:fldChar w:fldCharType="separate"/>
      </w:r>
      <w:r w:rsidR="00102828">
        <w:rPr>
          <w:noProof/>
        </w:rPr>
        <w:t>63</w:t>
      </w:r>
      <w:r>
        <w:fldChar w:fldCharType="end"/>
      </w:r>
      <w:bookmarkEnd w:id="490"/>
      <w:r>
        <w:t>. Total c</w:t>
      </w:r>
      <w:r w:rsidRPr="00A43B76">
        <w:t xml:space="preserve">atch-per-unit-effort </w:t>
      </w:r>
      <w:r>
        <w:t xml:space="preserve">of Murray cod larvae in the Lower Murray River from (a) targeted light trap sampling </w:t>
      </w:r>
      <w:r w:rsidRPr="00A43B76">
        <w:t>(</w:t>
      </w:r>
      <w:r>
        <w:t>CPUE, larvae per 30 traps</w:t>
      </w:r>
      <w:r w:rsidRPr="00A43B76">
        <w:t xml:space="preserve">) </w:t>
      </w:r>
      <w:r>
        <w:t xml:space="preserve">in the tailwaters below Locks </w:t>
      </w:r>
      <w:r w:rsidR="009E4256">
        <w:t>3 and 4</w:t>
      </w:r>
      <w:r>
        <w:t xml:space="preserve">, and (b) day-time egg and larval fish bongo tow sampling </w:t>
      </w:r>
      <w:r w:rsidRPr="00A43B76">
        <w:t>(</w:t>
      </w:r>
      <w:r>
        <w:t>CPUE, larvae per 30 net tows</w:t>
      </w:r>
      <w:r w:rsidRPr="00A43B76">
        <w:t xml:space="preserve">) </w:t>
      </w:r>
      <w:r>
        <w:t>in the tailwaters below Locks 1, 4 and 6</w:t>
      </w:r>
      <w:r w:rsidRPr="00A43B76">
        <w:t>.</w:t>
      </w:r>
      <w:bookmarkEnd w:id="491"/>
      <w:r>
        <w:t xml:space="preserve"> No sampling (n.s.) occurred between 2014–2019 for light traps and 2019-20 for bongo tows. Bongo tow sampling did not occur downstream of Lock 4 prior to 2020-21.</w:t>
      </w:r>
      <w:bookmarkEnd w:id="492"/>
    </w:p>
    <w:p w14:paraId="6F7702A9" w14:textId="77777777" w:rsidR="00F87105" w:rsidRPr="00F869A0" w:rsidRDefault="00F87105" w:rsidP="00F87105">
      <w:pPr>
        <w:rPr>
          <w:i/>
          <w:iCs/>
        </w:rPr>
      </w:pPr>
      <w:r>
        <w:rPr>
          <w:i/>
          <w:iCs/>
        </w:rPr>
        <w:t>Spawn</w:t>
      </w:r>
      <w:r w:rsidRPr="00F869A0">
        <w:rPr>
          <w:i/>
          <w:iCs/>
        </w:rPr>
        <w:t xml:space="preserve"> dates</w:t>
      </w:r>
    </w:p>
    <w:p w14:paraId="43AE0A00" w14:textId="741B81FE" w:rsidR="00F87105" w:rsidRDefault="00F87105" w:rsidP="00F87105">
      <w:r w:rsidRPr="00A2745E">
        <w:t xml:space="preserve">From 2019–2024, daily ages were assigned to a total of 96 Murray cod larvae and age 0+ juveniles sampled from the LMR main channel during Flow-MER sampling. These individuals ranged in length from 9–117 mm TL, corresponding to 8–152 days </w:t>
      </w:r>
      <w:r>
        <w:t>of age</w:t>
      </w:r>
      <w:r w:rsidRPr="00A2745E">
        <w:t xml:space="preserve"> and hatch dates from 11 October to 1 December. Assuming an incubation period of seven days (Ingram </w:t>
      </w:r>
      <w:r w:rsidRPr="00A2745E">
        <w:rPr>
          <w:i/>
          <w:iCs/>
        </w:rPr>
        <w:t>et al.</w:t>
      </w:r>
      <w:r w:rsidRPr="00A2745E">
        <w:t xml:space="preserve"> 2012), these individuals were estimated to be derived from spawning that occurred from 4 October to 24 November (</w:t>
      </w:r>
      <w:r w:rsidR="00AE217B">
        <w:t>Table 22</w:t>
      </w:r>
      <w:r w:rsidRPr="00A2745E">
        <w:t>).</w:t>
      </w:r>
    </w:p>
    <w:p w14:paraId="1CC68F51" w14:textId="77777777" w:rsidR="00C5731E" w:rsidRDefault="00C5731E">
      <w:pPr>
        <w:spacing w:before="0" w:after="160" w:line="259" w:lineRule="auto"/>
        <w:jc w:val="left"/>
        <w:rPr>
          <w:b/>
          <w:bCs/>
          <w:color w:val="auto"/>
          <w:sz w:val="20"/>
          <w:szCs w:val="18"/>
        </w:rPr>
      </w:pPr>
      <w:bookmarkStart w:id="493" w:name="_Ref187416157"/>
      <w:r>
        <w:br w:type="page"/>
      </w:r>
    </w:p>
    <w:p w14:paraId="06C27E8A" w14:textId="6196EA3B" w:rsidR="00F87105" w:rsidRPr="00B16E16" w:rsidRDefault="00F87105" w:rsidP="00F87105">
      <w:pPr>
        <w:pStyle w:val="Caption"/>
      </w:pPr>
      <w:bookmarkStart w:id="494" w:name="_Toc200464546"/>
      <w:r w:rsidRPr="00B16E16">
        <w:lastRenderedPageBreak/>
        <w:t xml:space="preserve">Table </w:t>
      </w:r>
      <w:r>
        <w:fldChar w:fldCharType="begin"/>
      </w:r>
      <w:r>
        <w:instrText>SEQ Table \* ARABIC</w:instrText>
      </w:r>
      <w:r>
        <w:fldChar w:fldCharType="separate"/>
      </w:r>
      <w:r w:rsidR="00102828">
        <w:rPr>
          <w:noProof/>
        </w:rPr>
        <w:t>22</w:t>
      </w:r>
      <w:r>
        <w:fldChar w:fldCharType="end"/>
      </w:r>
      <w:bookmarkEnd w:id="493"/>
      <w:r w:rsidRPr="00B16E16">
        <w:t xml:space="preserve">. </w:t>
      </w:r>
      <w:r>
        <w:t>Spawn</w:t>
      </w:r>
      <w:r w:rsidRPr="00B16E16">
        <w:t xml:space="preserve"> dates of Murray cod in the main channel of the Lower Murray River from 2019–2024, as determined by back-calculated daily ages from larvae and age 0+ juveniles</w:t>
      </w:r>
      <w:r>
        <w:t xml:space="preserve"> and an incubation period of 7 days (</w:t>
      </w:r>
      <w:r w:rsidRPr="00851F95">
        <w:t>Ingram et al. 2012</w:t>
      </w:r>
      <w:r>
        <w:t>).</w:t>
      </w:r>
      <w:bookmarkEnd w:id="494"/>
    </w:p>
    <w:tbl>
      <w:tblPr>
        <w:tblW w:w="0" w:type="auto"/>
        <w:jc w:val="center"/>
        <w:tblLook w:val="04A0" w:firstRow="1" w:lastRow="0" w:firstColumn="1" w:lastColumn="0" w:noHBand="0" w:noVBand="1"/>
        <w:tblDescription w:val="Table of spawn dates of Murray cod in the main channel of the Lower Murray River from 2019–2024."/>
      </w:tblPr>
      <w:tblGrid>
        <w:gridCol w:w="1984"/>
        <w:gridCol w:w="3119"/>
        <w:gridCol w:w="1134"/>
      </w:tblGrid>
      <w:tr w:rsidR="00F87105" w:rsidRPr="00B16E16" w14:paraId="61F01361" w14:textId="77777777" w:rsidTr="006A4AFE">
        <w:trPr>
          <w:trHeight w:val="340"/>
          <w:jc w:val="center"/>
        </w:trPr>
        <w:tc>
          <w:tcPr>
            <w:tcW w:w="1984" w:type="dxa"/>
            <w:tcBorders>
              <w:top w:val="single" w:sz="4" w:space="0" w:color="auto"/>
              <w:bottom w:val="single" w:sz="4" w:space="0" w:color="auto"/>
            </w:tcBorders>
            <w:vAlign w:val="bottom"/>
          </w:tcPr>
          <w:p w14:paraId="6E7D341E" w14:textId="77777777" w:rsidR="00F87105" w:rsidRPr="00B16E16" w:rsidRDefault="00F87105" w:rsidP="006A4AFE">
            <w:pPr>
              <w:contextualSpacing/>
              <w:jc w:val="left"/>
              <w:rPr>
                <w:b/>
                <w:sz w:val="19"/>
                <w:szCs w:val="19"/>
              </w:rPr>
            </w:pPr>
            <w:r w:rsidRPr="00B16E16">
              <w:rPr>
                <w:b/>
                <w:sz w:val="19"/>
                <w:szCs w:val="19"/>
              </w:rPr>
              <w:t>Spawning year</w:t>
            </w:r>
          </w:p>
        </w:tc>
        <w:tc>
          <w:tcPr>
            <w:tcW w:w="3119" w:type="dxa"/>
            <w:tcBorders>
              <w:top w:val="single" w:sz="4" w:space="0" w:color="auto"/>
              <w:bottom w:val="single" w:sz="4" w:space="0" w:color="auto"/>
            </w:tcBorders>
            <w:vAlign w:val="bottom"/>
          </w:tcPr>
          <w:p w14:paraId="544567BF" w14:textId="77777777" w:rsidR="00F87105" w:rsidRPr="00B16E16" w:rsidRDefault="00F87105" w:rsidP="006A4AFE">
            <w:pPr>
              <w:contextualSpacing/>
              <w:jc w:val="left"/>
              <w:rPr>
                <w:b/>
                <w:sz w:val="19"/>
                <w:szCs w:val="19"/>
              </w:rPr>
            </w:pPr>
            <w:r>
              <w:rPr>
                <w:b/>
                <w:sz w:val="19"/>
                <w:szCs w:val="19"/>
              </w:rPr>
              <w:t>Spawn</w:t>
            </w:r>
            <w:r w:rsidRPr="00B16E16">
              <w:rPr>
                <w:b/>
                <w:sz w:val="19"/>
                <w:szCs w:val="19"/>
              </w:rPr>
              <w:t xml:space="preserve"> date</w:t>
            </w:r>
            <w:r>
              <w:rPr>
                <w:b/>
                <w:sz w:val="19"/>
                <w:szCs w:val="19"/>
              </w:rPr>
              <w:t>s</w:t>
            </w:r>
            <w:r w:rsidRPr="00B16E16">
              <w:rPr>
                <w:b/>
                <w:sz w:val="19"/>
                <w:szCs w:val="19"/>
              </w:rPr>
              <w:t xml:space="preserve"> range</w:t>
            </w:r>
          </w:p>
        </w:tc>
        <w:tc>
          <w:tcPr>
            <w:tcW w:w="1134" w:type="dxa"/>
            <w:tcBorders>
              <w:top w:val="single" w:sz="4" w:space="0" w:color="auto"/>
              <w:bottom w:val="single" w:sz="4" w:space="0" w:color="auto"/>
            </w:tcBorders>
            <w:vAlign w:val="bottom"/>
          </w:tcPr>
          <w:p w14:paraId="05A9E62E" w14:textId="77777777" w:rsidR="00F87105" w:rsidRPr="00F869A0" w:rsidRDefault="00F87105" w:rsidP="006A4AFE">
            <w:pPr>
              <w:contextualSpacing/>
              <w:jc w:val="left"/>
              <w:rPr>
                <w:b/>
                <w:i/>
                <w:iCs/>
                <w:sz w:val="19"/>
                <w:szCs w:val="19"/>
              </w:rPr>
            </w:pPr>
            <w:r w:rsidRPr="00F869A0">
              <w:rPr>
                <w:b/>
                <w:i/>
                <w:iCs/>
                <w:sz w:val="19"/>
                <w:szCs w:val="19"/>
              </w:rPr>
              <w:t>n</w:t>
            </w:r>
          </w:p>
        </w:tc>
      </w:tr>
      <w:tr w:rsidR="00F87105" w:rsidRPr="00B16E16" w14:paraId="130DA245" w14:textId="77777777" w:rsidTr="006A4AFE">
        <w:trPr>
          <w:trHeight w:val="340"/>
          <w:jc w:val="center"/>
        </w:trPr>
        <w:tc>
          <w:tcPr>
            <w:tcW w:w="1984" w:type="dxa"/>
            <w:tcBorders>
              <w:top w:val="single" w:sz="4" w:space="0" w:color="auto"/>
            </w:tcBorders>
          </w:tcPr>
          <w:p w14:paraId="52245192" w14:textId="77777777" w:rsidR="00F87105" w:rsidRPr="00B16E16" w:rsidRDefault="00F87105" w:rsidP="006A4AFE">
            <w:pPr>
              <w:contextualSpacing/>
              <w:rPr>
                <w:sz w:val="19"/>
                <w:szCs w:val="19"/>
              </w:rPr>
            </w:pPr>
            <w:r w:rsidRPr="00B16E16">
              <w:rPr>
                <w:sz w:val="19"/>
                <w:szCs w:val="19"/>
              </w:rPr>
              <w:t>2019-20</w:t>
            </w:r>
          </w:p>
        </w:tc>
        <w:tc>
          <w:tcPr>
            <w:tcW w:w="3119" w:type="dxa"/>
            <w:tcBorders>
              <w:top w:val="single" w:sz="4" w:space="0" w:color="auto"/>
            </w:tcBorders>
          </w:tcPr>
          <w:p w14:paraId="565A2601" w14:textId="77777777" w:rsidR="00F87105" w:rsidRPr="00B16E16" w:rsidRDefault="00F87105" w:rsidP="006A4AFE">
            <w:pPr>
              <w:contextualSpacing/>
              <w:rPr>
                <w:sz w:val="19"/>
                <w:szCs w:val="19"/>
              </w:rPr>
            </w:pPr>
            <w:r>
              <w:rPr>
                <w:sz w:val="19"/>
                <w:szCs w:val="19"/>
              </w:rPr>
              <w:t>6 October–11 November*</w:t>
            </w:r>
          </w:p>
        </w:tc>
        <w:tc>
          <w:tcPr>
            <w:tcW w:w="1134" w:type="dxa"/>
            <w:tcBorders>
              <w:top w:val="single" w:sz="4" w:space="0" w:color="auto"/>
            </w:tcBorders>
          </w:tcPr>
          <w:p w14:paraId="5B70D7A4" w14:textId="77777777" w:rsidR="00F87105" w:rsidRPr="00B16E16" w:rsidRDefault="00F87105" w:rsidP="006A4AFE">
            <w:pPr>
              <w:contextualSpacing/>
              <w:rPr>
                <w:sz w:val="19"/>
                <w:szCs w:val="19"/>
              </w:rPr>
            </w:pPr>
            <w:r>
              <w:rPr>
                <w:sz w:val="19"/>
                <w:szCs w:val="19"/>
              </w:rPr>
              <w:t>64</w:t>
            </w:r>
          </w:p>
        </w:tc>
      </w:tr>
      <w:tr w:rsidR="00F87105" w:rsidRPr="00B16E16" w14:paraId="59E5F95B" w14:textId="77777777" w:rsidTr="006A4AFE">
        <w:trPr>
          <w:trHeight w:val="340"/>
          <w:jc w:val="center"/>
        </w:trPr>
        <w:tc>
          <w:tcPr>
            <w:tcW w:w="1984" w:type="dxa"/>
          </w:tcPr>
          <w:p w14:paraId="0D16F5EE" w14:textId="77777777" w:rsidR="00F87105" w:rsidRPr="00B16E16" w:rsidRDefault="00F87105" w:rsidP="006A4AFE">
            <w:pPr>
              <w:contextualSpacing/>
              <w:rPr>
                <w:sz w:val="19"/>
                <w:szCs w:val="19"/>
              </w:rPr>
            </w:pPr>
            <w:r w:rsidRPr="00B16E16">
              <w:rPr>
                <w:sz w:val="19"/>
                <w:szCs w:val="19"/>
              </w:rPr>
              <w:t>2020-21</w:t>
            </w:r>
          </w:p>
        </w:tc>
        <w:tc>
          <w:tcPr>
            <w:tcW w:w="3119" w:type="dxa"/>
          </w:tcPr>
          <w:p w14:paraId="44E55C2A" w14:textId="77777777" w:rsidR="00F87105" w:rsidRPr="00B16E16" w:rsidRDefault="00F87105" w:rsidP="006A4AFE">
            <w:pPr>
              <w:contextualSpacing/>
              <w:rPr>
                <w:sz w:val="19"/>
                <w:szCs w:val="19"/>
              </w:rPr>
            </w:pPr>
            <w:r>
              <w:rPr>
                <w:sz w:val="19"/>
                <w:szCs w:val="19"/>
              </w:rPr>
              <w:t>19 October–24 November</w:t>
            </w:r>
          </w:p>
        </w:tc>
        <w:tc>
          <w:tcPr>
            <w:tcW w:w="1134" w:type="dxa"/>
          </w:tcPr>
          <w:p w14:paraId="2E0D93A5" w14:textId="77777777" w:rsidR="00F87105" w:rsidRPr="00B16E16" w:rsidRDefault="00F87105" w:rsidP="006A4AFE">
            <w:pPr>
              <w:contextualSpacing/>
              <w:rPr>
                <w:sz w:val="19"/>
                <w:szCs w:val="19"/>
              </w:rPr>
            </w:pPr>
            <w:r>
              <w:rPr>
                <w:sz w:val="19"/>
                <w:szCs w:val="19"/>
              </w:rPr>
              <w:t>10</w:t>
            </w:r>
          </w:p>
        </w:tc>
      </w:tr>
      <w:tr w:rsidR="00F87105" w:rsidRPr="00B16E16" w14:paraId="0C0C87F9" w14:textId="77777777" w:rsidTr="006A4AFE">
        <w:trPr>
          <w:trHeight w:val="340"/>
          <w:jc w:val="center"/>
        </w:trPr>
        <w:tc>
          <w:tcPr>
            <w:tcW w:w="1984" w:type="dxa"/>
          </w:tcPr>
          <w:p w14:paraId="669BFEC9" w14:textId="77777777" w:rsidR="00F87105" w:rsidRPr="00B16E16" w:rsidRDefault="00F87105" w:rsidP="006A4AFE">
            <w:pPr>
              <w:contextualSpacing/>
              <w:rPr>
                <w:sz w:val="19"/>
                <w:szCs w:val="19"/>
              </w:rPr>
            </w:pPr>
            <w:r w:rsidRPr="00B16E16">
              <w:rPr>
                <w:sz w:val="19"/>
                <w:szCs w:val="19"/>
              </w:rPr>
              <w:t>2021-22</w:t>
            </w:r>
          </w:p>
        </w:tc>
        <w:tc>
          <w:tcPr>
            <w:tcW w:w="3119" w:type="dxa"/>
          </w:tcPr>
          <w:p w14:paraId="098A3FFC" w14:textId="77777777" w:rsidR="00F87105" w:rsidRPr="00B16E16" w:rsidRDefault="00F87105" w:rsidP="006A4AFE">
            <w:pPr>
              <w:contextualSpacing/>
              <w:rPr>
                <w:sz w:val="19"/>
                <w:szCs w:val="19"/>
              </w:rPr>
            </w:pPr>
            <w:r>
              <w:rPr>
                <w:sz w:val="19"/>
                <w:szCs w:val="19"/>
              </w:rPr>
              <w:t>20 October–12 November</w:t>
            </w:r>
          </w:p>
        </w:tc>
        <w:tc>
          <w:tcPr>
            <w:tcW w:w="1134" w:type="dxa"/>
          </w:tcPr>
          <w:p w14:paraId="17C56DA8" w14:textId="77777777" w:rsidR="00F87105" w:rsidRPr="00B16E16" w:rsidRDefault="00F87105" w:rsidP="006A4AFE">
            <w:pPr>
              <w:contextualSpacing/>
              <w:rPr>
                <w:sz w:val="19"/>
                <w:szCs w:val="19"/>
              </w:rPr>
            </w:pPr>
            <w:r>
              <w:rPr>
                <w:sz w:val="19"/>
                <w:szCs w:val="19"/>
              </w:rPr>
              <w:t>7</w:t>
            </w:r>
          </w:p>
        </w:tc>
      </w:tr>
      <w:tr w:rsidR="00F87105" w:rsidRPr="00B16E16" w14:paraId="1BE92E0D" w14:textId="77777777" w:rsidTr="006A4AFE">
        <w:trPr>
          <w:trHeight w:val="340"/>
          <w:jc w:val="center"/>
        </w:trPr>
        <w:tc>
          <w:tcPr>
            <w:tcW w:w="1984" w:type="dxa"/>
          </w:tcPr>
          <w:p w14:paraId="57C908F0" w14:textId="77777777" w:rsidR="00F87105" w:rsidRPr="00B16E16" w:rsidRDefault="00F87105" w:rsidP="006A4AFE">
            <w:pPr>
              <w:contextualSpacing/>
              <w:rPr>
                <w:sz w:val="19"/>
                <w:szCs w:val="19"/>
              </w:rPr>
            </w:pPr>
            <w:r w:rsidRPr="00B16E16">
              <w:rPr>
                <w:sz w:val="19"/>
                <w:szCs w:val="19"/>
              </w:rPr>
              <w:t>2022-23</w:t>
            </w:r>
          </w:p>
        </w:tc>
        <w:tc>
          <w:tcPr>
            <w:tcW w:w="3119" w:type="dxa"/>
          </w:tcPr>
          <w:p w14:paraId="5668C2D7" w14:textId="77777777" w:rsidR="00F87105" w:rsidRPr="00B16E16" w:rsidRDefault="00F87105" w:rsidP="006A4AFE">
            <w:pPr>
              <w:contextualSpacing/>
              <w:rPr>
                <w:sz w:val="19"/>
                <w:szCs w:val="19"/>
              </w:rPr>
            </w:pPr>
            <w:r>
              <w:rPr>
                <w:sz w:val="19"/>
                <w:szCs w:val="19"/>
              </w:rPr>
              <w:t>7</w:t>
            </w:r>
            <w:r w:rsidRPr="00851F95">
              <w:rPr>
                <w:sz w:val="19"/>
                <w:szCs w:val="19"/>
              </w:rPr>
              <w:t>–2</w:t>
            </w:r>
            <w:r>
              <w:rPr>
                <w:sz w:val="19"/>
                <w:szCs w:val="19"/>
              </w:rPr>
              <w:t>0</w:t>
            </w:r>
            <w:r w:rsidRPr="00851F95">
              <w:rPr>
                <w:sz w:val="19"/>
                <w:szCs w:val="19"/>
              </w:rPr>
              <w:t xml:space="preserve"> October</w:t>
            </w:r>
          </w:p>
        </w:tc>
        <w:tc>
          <w:tcPr>
            <w:tcW w:w="1134" w:type="dxa"/>
          </w:tcPr>
          <w:p w14:paraId="0C07A247" w14:textId="77777777" w:rsidR="00F87105" w:rsidRPr="00B16E16" w:rsidRDefault="00F87105" w:rsidP="006A4AFE">
            <w:pPr>
              <w:contextualSpacing/>
              <w:rPr>
                <w:sz w:val="19"/>
                <w:szCs w:val="19"/>
              </w:rPr>
            </w:pPr>
            <w:r>
              <w:rPr>
                <w:sz w:val="19"/>
                <w:szCs w:val="19"/>
              </w:rPr>
              <w:t>3</w:t>
            </w:r>
          </w:p>
        </w:tc>
      </w:tr>
      <w:tr w:rsidR="00F87105" w:rsidRPr="00B16E16" w14:paraId="62A41E3C" w14:textId="77777777" w:rsidTr="006A4AFE">
        <w:trPr>
          <w:trHeight w:val="340"/>
          <w:jc w:val="center"/>
        </w:trPr>
        <w:tc>
          <w:tcPr>
            <w:tcW w:w="1984" w:type="dxa"/>
            <w:tcBorders>
              <w:bottom w:val="single" w:sz="4" w:space="0" w:color="auto"/>
            </w:tcBorders>
          </w:tcPr>
          <w:p w14:paraId="5B985B4C" w14:textId="77777777" w:rsidR="00F87105" w:rsidRPr="00B16E16" w:rsidRDefault="00F87105" w:rsidP="006A4AFE">
            <w:pPr>
              <w:contextualSpacing/>
              <w:rPr>
                <w:sz w:val="19"/>
                <w:szCs w:val="19"/>
              </w:rPr>
            </w:pPr>
            <w:r w:rsidRPr="00B16E16">
              <w:rPr>
                <w:sz w:val="19"/>
                <w:szCs w:val="19"/>
              </w:rPr>
              <w:t>2023-24</w:t>
            </w:r>
          </w:p>
        </w:tc>
        <w:tc>
          <w:tcPr>
            <w:tcW w:w="3119" w:type="dxa"/>
            <w:tcBorders>
              <w:bottom w:val="single" w:sz="4" w:space="0" w:color="auto"/>
            </w:tcBorders>
          </w:tcPr>
          <w:p w14:paraId="7EF363BF" w14:textId="77777777" w:rsidR="00F87105" w:rsidRPr="00B16E16" w:rsidRDefault="00F87105" w:rsidP="006A4AFE">
            <w:pPr>
              <w:contextualSpacing/>
              <w:rPr>
                <w:sz w:val="19"/>
                <w:szCs w:val="19"/>
              </w:rPr>
            </w:pPr>
            <w:r>
              <w:rPr>
                <w:sz w:val="19"/>
                <w:szCs w:val="19"/>
              </w:rPr>
              <w:t>4 October–2 November</w:t>
            </w:r>
          </w:p>
        </w:tc>
        <w:tc>
          <w:tcPr>
            <w:tcW w:w="1134" w:type="dxa"/>
            <w:tcBorders>
              <w:bottom w:val="single" w:sz="4" w:space="0" w:color="auto"/>
            </w:tcBorders>
          </w:tcPr>
          <w:p w14:paraId="5A46A13A" w14:textId="77777777" w:rsidR="00F87105" w:rsidRPr="00B16E16" w:rsidRDefault="00F87105" w:rsidP="006A4AFE">
            <w:pPr>
              <w:contextualSpacing/>
              <w:rPr>
                <w:sz w:val="19"/>
                <w:szCs w:val="19"/>
              </w:rPr>
            </w:pPr>
            <w:r>
              <w:rPr>
                <w:sz w:val="19"/>
                <w:szCs w:val="19"/>
              </w:rPr>
              <w:t>12</w:t>
            </w:r>
          </w:p>
        </w:tc>
      </w:tr>
    </w:tbl>
    <w:p w14:paraId="4D28E0C7" w14:textId="77777777" w:rsidR="00F87105" w:rsidRPr="00F869A0" w:rsidRDefault="00F87105" w:rsidP="00F87105">
      <w:pPr>
        <w:rPr>
          <w:sz w:val="18"/>
          <w:szCs w:val="16"/>
        </w:rPr>
      </w:pPr>
      <w:r w:rsidRPr="00F869A0">
        <w:rPr>
          <w:sz w:val="18"/>
          <w:szCs w:val="16"/>
        </w:rPr>
        <w:t xml:space="preserve">*Two individuals with </w:t>
      </w:r>
      <w:r>
        <w:rPr>
          <w:sz w:val="18"/>
          <w:szCs w:val="16"/>
        </w:rPr>
        <w:t>hatch</w:t>
      </w:r>
      <w:r w:rsidRPr="00F869A0">
        <w:rPr>
          <w:sz w:val="18"/>
          <w:szCs w:val="16"/>
        </w:rPr>
        <w:t xml:space="preserve"> dates (</w:t>
      </w:r>
      <w:r>
        <w:rPr>
          <w:sz w:val="18"/>
          <w:szCs w:val="16"/>
        </w:rPr>
        <w:t>4 and 9</w:t>
      </w:r>
      <w:r w:rsidRPr="00F869A0">
        <w:rPr>
          <w:sz w:val="18"/>
          <w:szCs w:val="16"/>
        </w:rPr>
        <w:t xml:space="preserve"> December 20</w:t>
      </w:r>
      <w:r>
        <w:rPr>
          <w:sz w:val="18"/>
          <w:szCs w:val="16"/>
        </w:rPr>
        <w:t>19</w:t>
      </w:r>
      <w:r w:rsidRPr="00F869A0">
        <w:rPr>
          <w:sz w:val="18"/>
          <w:szCs w:val="16"/>
        </w:rPr>
        <w:t xml:space="preserve">) corresponding to those of known stocked fish in the LMR from February 2020 are </w:t>
      </w:r>
      <w:r>
        <w:rPr>
          <w:sz w:val="18"/>
          <w:szCs w:val="16"/>
        </w:rPr>
        <w:t xml:space="preserve">assumed to be stocked fish and </w:t>
      </w:r>
      <w:r w:rsidRPr="00F869A0">
        <w:rPr>
          <w:sz w:val="18"/>
          <w:szCs w:val="16"/>
        </w:rPr>
        <w:t>not presented in the table above.</w:t>
      </w:r>
    </w:p>
    <w:p w14:paraId="34440B3C" w14:textId="77777777" w:rsidR="00F87105" w:rsidRPr="000D5CFE" w:rsidRDefault="00F87105" w:rsidP="00F87105">
      <w:pPr>
        <w:pStyle w:val="Heading4"/>
      </w:pPr>
      <w:r w:rsidRPr="000D5CFE">
        <w:t>Morphometrics and seasonal growth</w:t>
      </w:r>
    </w:p>
    <w:p w14:paraId="316FC794" w14:textId="54E1D7AE" w:rsidR="00F87105" w:rsidRPr="003E1248" w:rsidRDefault="00F87105" w:rsidP="00F87105">
      <w:r w:rsidRPr="000D5CFE">
        <w:t>Using the model selection procedure, a cubic polynomial of TL was applied to model length–weight relationships for larval/juvenile (0+ year old) Murray cod for all years (reference data, 2004–2024), and for 2019-20, 2020-21, 2021-22, 2022-23 and 2023-24 (</w:t>
      </w:r>
      <w:r w:rsidRPr="000D5CFE">
        <w:fldChar w:fldCharType="begin"/>
      </w:r>
      <w:r w:rsidRPr="000D5CFE">
        <w:instrText xml:space="preserve"> REF _Ref57899397 \h  \* MERGEFORMAT </w:instrText>
      </w:r>
      <w:r w:rsidRPr="000D5CFE">
        <w:fldChar w:fldCharType="separate"/>
      </w:r>
      <w:r w:rsidR="00102828" w:rsidRPr="008D5114">
        <w:t xml:space="preserve">Figure </w:t>
      </w:r>
      <w:r w:rsidR="00102828">
        <w:rPr>
          <w:noProof/>
        </w:rPr>
        <w:t>64</w:t>
      </w:r>
      <w:r w:rsidRPr="000D5CFE">
        <w:fldChar w:fldCharType="end"/>
      </w:r>
      <w:r w:rsidRPr="000D5CFE">
        <w:t xml:space="preserve">). Comparison of the length–weight relationships from each year to the reference curve indicates that the condition of Murray cod during 2022-23 was similar to, or slightly above, the ‘average’ condition, while other years (2019–2022 and 2023-24) were similar to, or slightly below, the ‘average’ </w:t>
      </w:r>
      <w:r w:rsidRPr="00B065A7">
        <w:t>condition. To further investigate this, differences in the relative condition index (K</w:t>
      </w:r>
      <w:r w:rsidRPr="00B065A7">
        <w:rPr>
          <w:i/>
        </w:rPr>
        <w:t>rel</w:t>
      </w:r>
      <w:r w:rsidRPr="00B065A7">
        <w:t>) of YOY (sampled autumn/winter) Murray cod among sampling years (2015 to 2024) (</w:t>
      </w:r>
      <w:r w:rsidRPr="00B065A7">
        <w:fldChar w:fldCharType="begin"/>
      </w:r>
      <w:r w:rsidRPr="00B065A7">
        <w:instrText xml:space="preserve"> REF _Ref57899409 \h  \* MERGEFORMAT </w:instrText>
      </w:r>
      <w:r w:rsidRPr="00B065A7">
        <w:fldChar w:fldCharType="separate"/>
      </w:r>
      <w:r w:rsidR="00102828" w:rsidRPr="00FB5341">
        <w:t xml:space="preserve">Figure </w:t>
      </w:r>
      <w:r w:rsidR="00102828">
        <w:rPr>
          <w:noProof/>
        </w:rPr>
        <w:t>65</w:t>
      </w:r>
      <w:r w:rsidRPr="00B065A7">
        <w:fldChar w:fldCharType="end"/>
      </w:r>
      <w:r w:rsidRPr="00B065A7">
        <w:t xml:space="preserve">) were </w:t>
      </w:r>
      <w:r w:rsidRPr="00043C99">
        <w:t>assessed using PERMANOVA. There was a significant effect of sampling year on K</w:t>
      </w:r>
      <w:r w:rsidRPr="00043C99">
        <w:rPr>
          <w:i/>
          <w:iCs/>
        </w:rPr>
        <w:t xml:space="preserve">rel </w:t>
      </w:r>
      <w:r w:rsidRPr="00043C99">
        <w:rPr>
          <w:noProof/>
          <w:lang w:eastAsia="en-AU"/>
        </w:rPr>
        <w:t xml:space="preserve">(PERMANOVA, </w:t>
      </w:r>
      <w:r w:rsidRPr="00043C99">
        <w:rPr>
          <w:i/>
          <w:noProof/>
          <w:lang w:eastAsia="en-AU"/>
        </w:rPr>
        <w:t>Pseudo-F</w:t>
      </w:r>
      <w:r w:rsidRPr="00043C99">
        <w:rPr>
          <w:i/>
          <w:noProof/>
          <w:vertAlign w:val="subscript"/>
          <w:lang w:eastAsia="en-AU"/>
        </w:rPr>
        <w:t>8,143</w:t>
      </w:r>
      <w:r w:rsidRPr="00043C99">
        <w:rPr>
          <w:i/>
          <w:noProof/>
          <w:lang w:eastAsia="en-AU"/>
        </w:rPr>
        <w:t xml:space="preserve"> </w:t>
      </w:r>
      <w:r w:rsidRPr="00043C99">
        <w:rPr>
          <w:noProof/>
          <w:lang w:eastAsia="en-AU"/>
        </w:rPr>
        <w:t xml:space="preserve">= 6.6697, </w:t>
      </w:r>
      <w:r w:rsidRPr="00043C99">
        <w:rPr>
          <w:i/>
          <w:noProof/>
          <w:lang w:eastAsia="en-AU"/>
        </w:rPr>
        <w:t>p</w:t>
      </w:r>
      <w:r w:rsidRPr="00043C99">
        <w:rPr>
          <w:noProof/>
          <w:lang w:eastAsia="en-AU"/>
        </w:rPr>
        <w:t xml:space="preserve"> &lt; 0.001)</w:t>
      </w:r>
      <w:r w:rsidRPr="00043C99">
        <w:t>, with pairwise comparisons suggesting the K</w:t>
      </w:r>
      <w:r w:rsidRPr="00043C99">
        <w:rPr>
          <w:i/>
        </w:rPr>
        <w:t>rel</w:t>
      </w:r>
      <w:r w:rsidRPr="00043C99">
        <w:t xml:space="preserve"> of YOY was significantly greater in 2023 (mean = 1.02) than in 2016, 2018, 2019, 2020 and 2021,</w:t>
      </w:r>
      <w:r>
        <w:t xml:space="preserve"> significantly higher in 2017 (mean = 0.99) compared to 2016 and 2020,</w:t>
      </w:r>
      <w:r w:rsidRPr="00043C99">
        <w:t xml:space="preserve"> and significantly lower in 2020 (mean = 0.82) than in 2015, 2019 and 202</w:t>
      </w:r>
      <w:r>
        <w:t>1</w:t>
      </w:r>
      <w:r w:rsidRPr="00043C99">
        <w:t xml:space="preserve"> (</w:t>
      </w:r>
      <w:r w:rsidRPr="00043C99">
        <w:fldChar w:fldCharType="begin"/>
      </w:r>
      <w:r w:rsidRPr="00043C99">
        <w:instrText xml:space="preserve"> REF _Ref57899409 \h  \* MERGEFORMAT </w:instrText>
      </w:r>
      <w:r w:rsidRPr="00043C99">
        <w:fldChar w:fldCharType="separate"/>
      </w:r>
      <w:r w:rsidR="00102828" w:rsidRPr="00FB5341">
        <w:t xml:space="preserve">Figure </w:t>
      </w:r>
      <w:r w:rsidR="00102828">
        <w:rPr>
          <w:noProof/>
        </w:rPr>
        <w:t>65</w:t>
      </w:r>
      <w:r w:rsidRPr="00043C99">
        <w:fldChar w:fldCharType="end"/>
      </w:r>
      <w:r w:rsidRPr="00043C99">
        <w:t>).</w:t>
      </w:r>
    </w:p>
    <w:p w14:paraId="284836E2" w14:textId="77777777" w:rsidR="00F87105" w:rsidRPr="00186099" w:rsidRDefault="00F87105" w:rsidP="00F87105">
      <w:pPr>
        <w:jc w:val="center"/>
        <w:rPr>
          <w:noProof/>
          <w:highlight w:val="yellow"/>
          <w:lang w:eastAsia="en-AU"/>
        </w:rPr>
      </w:pPr>
      <w:r w:rsidRPr="001A7A30">
        <w:rPr>
          <w:noProof/>
          <w:lang w:eastAsia="en-AU"/>
        </w:rPr>
        <w:lastRenderedPageBreak/>
        <w:t xml:space="preserve"> </w:t>
      </w:r>
      <w:r>
        <w:rPr>
          <w:noProof/>
          <w:lang w:eastAsia="en-AU"/>
        </w:rPr>
        <w:drawing>
          <wp:inline distT="0" distB="0" distL="0" distR="0" wp14:anchorId="2C267A09" wp14:editId="27CC2B53">
            <wp:extent cx="5476883" cy="3572540"/>
            <wp:effectExtent l="0" t="0" r="0" b="8890"/>
            <wp:docPr id="1937935732" name="Picture 2" descr="Graph showing the relationship between weight and total length of YOY Murray cod in the Lower Murray River predicted by a cubic linear regression mod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35732" name="Picture 2" descr="Graph showing the relationship between weight and total length of YOY Murray cod in the Lower Murray River predicted by a cubic linear regression model. "/>
                    <pic:cNvPicPr/>
                  </pic:nvPicPr>
                  <pic:blipFill rotWithShape="1">
                    <a:blip r:embed="rId133" cstate="print">
                      <a:extLst>
                        <a:ext uri="{28A0092B-C50C-407E-A947-70E740481C1C}">
                          <a14:useLocalDpi xmlns:a14="http://schemas.microsoft.com/office/drawing/2010/main" val="0"/>
                        </a:ext>
                      </a:extLst>
                    </a:blip>
                    <a:srcRect t="3855" r="2188"/>
                    <a:stretch/>
                  </pic:blipFill>
                  <pic:spPr bwMode="auto">
                    <a:xfrm>
                      <a:off x="0" y="0"/>
                      <a:ext cx="5486799" cy="3579008"/>
                    </a:xfrm>
                    <a:prstGeom prst="rect">
                      <a:avLst/>
                    </a:prstGeom>
                    <a:ln>
                      <a:noFill/>
                    </a:ln>
                    <a:extLst>
                      <a:ext uri="{53640926-AAD7-44D8-BBD7-CCE9431645EC}">
                        <a14:shadowObscured xmlns:a14="http://schemas.microsoft.com/office/drawing/2010/main"/>
                      </a:ext>
                    </a:extLst>
                  </pic:spPr>
                </pic:pic>
              </a:graphicData>
            </a:graphic>
          </wp:inline>
        </w:drawing>
      </w:r>
    </w:p>
    <w:p w14:paraId="756E45D4" w14:textId="2AD39035" w:rsidR="00F87105" w:rsidRPr="00BE682E" w:rsidRDefault="00F87105" w:rsidP="00605FB2">
      <w:pPr>
        <w:pStyle w:val="Captions"/>
      </w:pPr>
      <w:bookmarkStart w:id="495" w:name="_Ref57899397"/>
      <w:bookmarkStart w:id="496" w:name="_Toc103170108"/>
      <w:bookmarkStart w:id="497" w:name="_Toc166771787"/>
      <w:bookmarkStart w:id="498" w:name="_Toc200464515"/>
      <w:r w:rsidRPr="008D5114">
        <w:t xml:space="preserve">Figure </w:t>
      </w:r>
      <w:r w:rsidR="00967BB2">
        <w:fldChar w:fldCharType="begin"/>
      </w:r>
      <w:r w:rsidR="00967BB2">
        <w:instrText xml:space="preserve"> SEQ Figure \* ARABIC </w:instrText>
      </w:r>
      <w:r w:rsidR="00967BB2">
        <w:fldChar w:fldCharType="separate"/>
      </w:r>
      <w:r w:rsidR="00102828">
        <w:rPr>
          <w:noProof/>
        </w:rPr>
        <w:t>64</w:t>
      </w:r>
      <w:r w:rsidR="00967BB2">
        <w:rPr>
          <w:noProof/>
        </w:rPr>
        <w:fldChar w:fldCharType="end"/>
      </w:r>
      <w:bookmarkEnd w:id="495"/>
      <w:r w:rsidRPr="008D5114">
        <w:t>. The relationship between weight and total length (TL) of YOY Murray cod in the Lower Murray River predicted by a cubic linear regression model (</w:t>
      </w:r>
      <w:r w:rsidRPr="009E5DE6">
        <w:t>y=-0.4615+0.515x–0.0009x</w:t>
      </w:r>
      <w:r w:rsidRPr="00F869A0">
        <w:rPr>
          <w:vertAlign w:val="superscript"/>
        </w:rPr>
        <w:t>2</w:t>
      </w:r>
      <w:r w:rsidRPr="009E5DE6">
        <w:t>+0.000014805x</w:t>
      </w:r>
      <w:r w:rsidRPr="00F869A0">
        <w:rPr>
          <w:vertAlign w:val="superscript"/>
        </w:rPr>
        <w:t>3</w:t>
      </w:r>
      <w:r w:rsidRPr="008D5114">
        <w:t xml:space="preserve">) for 2023-24 (solid black line, </w:t>
      </w:r>
      <w:r w:rsidRPr="008D5114">
        <w:rPr>
          <w:i/>
          <w:iCs/>
        </w:rPr>
        <w:t>n</w:t>
      </w:r>
      <w:r w:rsidRPr="008D5114">
        <w:t xml:space="preserve"> = 12), 2022-23 (dotted black line, Ye </w:t>
      </w:r>
      <w:r w:rsidRPr="00F869A0">
        <w:rPr>
          <w:i/>
          <w:iCs/>
        </w:rPr>
        <w:t>et al.</w:t>
      </w:r>
      <w:r w:rsidRPr="008D5114">
        <w:t xml:space="preserve"> 2024), 2021-22 (green line, Ye </w:t>
      </w:r>
      <w:r w:rsidRPr="008D5114">
        <w:rPr>
          <w:i/>
          <w:iCs/>
        </w:rPr>
        <w:t>et al.</w:t>
      </w:r>
      <w:r w:rsidRPr="008D5114">
        <w:t xml:space="preserve"> 2023), 2020-21 (grey line, Ye </w:t>
      </w:r>
      <w:r w:rsidRPr="008D5114">
        <w:rPr>
          <w:i/>
          <w:iCs/>
        </w:rPr>
        <w:t>et al.</w:t>
      </w:r>
      <w:r w:rsidRPr="008D5114">
        <w:t xml:space="preserve"> 2022), 2019-20 (blue line, Ye </w:t>
      </w:r>
      <w:r w:rsidRPr="008D5114">
        <w:rPr>
          <w:i/>
          <w:iCs/>
        </w:rPr>
        <w:t>et al.</w:t>
      </w:r>
      <w:r w:rsidRPr="008D5114">
        <w:t xml:space="preserve"> 2021) and all years (2004–2024, ‘stocked’ fish removed, red line). See Table C</w:t>
      </w:r>
      <w:r w:rsidR="00FB33C3">
        <w:t>20</w:t>
      </w:r>
      <w:r w:rsidRPr="008D5114">
        <w:t xml:space="preserve"> in Appendix C for statistics.</w:t>
      </w:r>
      <w:bookmarkEnd w:id="496"/>
      <w:bookmarkEnd w:id="497"/>
      <w:bookmarkEnd w:id="498"/>
    </w:p>
    <w:p w14:paraId="2279CC08" w14:textId="77777777" w:rsidR="00F87105" w:rsidRPr="00FB5341" w:rsidRDefault="00F87105" w:rsidP="00F87105">
      <w:pPr>
        <w:jc w:val="center"/>
        <w:rPr>
          <w:b/>
          <w:sz w:val="20"/>
        </w:rPr>
      </w:pPr>
      <w:r w:rsidRPr="00852BAB">
        <w:rPr>
          <w:b/>
          <w:sz w:val="20"/>
        </w:rPr>
        <w:t xml:space="preserve"> </w:t>
      </w:r>
      <w:r w:rsidRPr="004A551F">
        <w:rPr>
          <w:b/>
          <w:sz w:val="20"/>
        </w:rPr>
        <w:t xml:space="preserve"> </w:t>
      </w:r>
      <w:r>
        <w:rPr>
          <w:b/>
          <w:noProof/>
          <w:sz w:val="20"/>
        </w:rPr>
        <w:drawing>
          <wp:inline distT="0" distB="0" distL="0" distR="0" wp14:anchorId="21334A71" wp14:editId="7EC700EE">
            <wp:extent cx="4541807" cy="3170712"/>
            <wp:effectExtent l="0" t="0" r="0" b="0"/>
            <wp:docPr id="760582020" name="Picture 2" descr="Graph showing mean relative condition index of YOY Murray cod in the Lower Murray River from 2015-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582020" name="Picture 2" descr="Graph showing mean relative condition index of YOY Murray cod in the Lower Murray River from 2015- 2024."/>
                    <pic:cNvPicPr/>
                  </pic:nvPicPr>
                  <pic:blipFill rotWithShape="1">
                    <a:blip r:embed="rId134" cstate="print">
                      <a:extLst>
                        <a:ext uri="{28A0092B-C50C-407E-A947-70E740481C1C}">
                          <a14:useLocalDpi xmlns:a14="http://schemas.microsoft.com/office/drawing/2010/main" val="0"/>
                        </a:ext>
                      </a:extLst>
                    </a:blip>
                    <a:srcRect t="4689" r="3295"/>
                    <a:stretch/>
                  </pic:blipFill>
                  <pic:spPr bwMode="auto">
                    <a:xfrm>
                      <a:off x="0" y="0"/>
                      <a:ext cx="4559161" cy="3182827"/>
                    </a:xfrm>
                    <a:prstGeom prst="rect">
                      <a:avLst/>
                    </a:prstGeom>
                    <a:ln>
                      <a:noFill/>
                    </a:ln>
                    <a:extLst>
                      <a:ext uri="{53640926-AAD7-44D8-BBD7-CCE9431645EC}">
                        <a14:shadowObscured xmlns:a14="http://schemas.microsoft.com/office/drawing/2010/main"/>
                      </a:ext>
                    </a:extLst>
                  </pic:spPr>
                </pic:pic>
              </a:graphicData>
            </a:graphic>
          </wp:inline>
        </w:drawing>
      </w:r>
    </w:p>
    <w:p w14:paraId="359505AE" w14:textId="3DB446AC" w:rsidR="00F87105" w:rsidRPr="00FB5341" w:rsidRDefault="00F87105" w:rsidP="00605FB2">
      <w:pPr>
        <w:pStyle w:val="Captions"/>
      </w:pPr>
      <w:bookmarkStart w:id="499" w:name="_Ref57899409"/>
      <w:bookmarkStart w:id="500" w:name="_Toc103170109"/>
      <w:bookmarkStart w:id="501" w:name="_Toc166771788"/>
      <w:bookmarkStart w:id="502" w:name="_Toc200464516"/>
      <w:r w:rsidRPr="00FB5341">
        <w:t xml:space="preserve">Figure </w:t>
      </w:r>
      <w:r w:rsidR="00967BB2">
        <w:fldChar w:fldCharType="begin"/>
      </w:r>
      <w:r w:rsidR="00967BB2">
        <w:instrText xml:space="preserve"> SEQ Figure \* ARABIC </w:instrText>
      </w:r>
      <w:r w:rsidR="00967BB2">
        <w:fldChar w:fldCharType="separate"/>
      </w:r>
      <w:r w:rsidR="00102828">
        <w:rPr>
          <w:noProof/>
        </w:rPr>
        <w:t>65</w:t>
      </w:r>
      <w:r w:rsidR="00967BB2">
        <w:rPr>
          <w:noProof/>
        </w:rPr>
        <w:fldChar w:fldCharType="end"/>
      </w:r>
      <w:bookmarkEnd w:id="499"/>
      <w:r w:rsidRPr="00FB5341">
        <w:t>. Mean relative condition index (K</w:t>
      </w:r>
      <w:r w:rsidRPr="00FB5341">
        <w:rPr>
          <w:i/>
        </w:rPr>
        <w:t>rel</w:t>
      </w:r>
      <w:r w:rsidRPr="00FB5341">
        <w:t>) ± S.E. of YOY Murray cod in the Lower Murray River</w:t>
      </w:r>
      <w:r>
        <w:t xml:space="preserve"> (excludes Chowilla anabranch)</w:t>
      </w:r>
      <w:r w:rsidRPr="00FB5341">
        <w:t xml:space="preserve"> during autumn/winter 2015 (</w:t>
      </w:r>
      <w:r w:rsidRPr="00FB5341">
        <w:rPr>
          <w:i/>
        </w:rPr>
        <w:t>n</w:t>
      </w:r>
      <w:r w:rsidRPr="00FB5341">
        <w:t xml:space="preserve"> = 11), 2016 (</w:t>
      </w:r>
      <w:r w:rsidRPr="00FB5341">
        <w:rPr>
          <w:i/>
        </w:rPr>
        <w:t>n</w:t>
      </w:r>
      <w:r w:rsidRPr="00FB5341">
        <w:t xml:space="preserve"> = 14), 2017 (</w:t>
      </w:r>
      <w:r w:rsidRPr="00FB5341">
        <w:rPr>
          <w:i/>
        </w:rPr>
        <w:t>n</w:t>
      </w:r>
      <w:r w:rsidRPr="00FB5341">
        <w:t xml:space="preserve"> = 6), </w:t>
      </w:r>
      <w:r w:rsidRPr="00852BAB">
        <w:t>2018 (</w:t>
      </w:r>
      <w:r w:rsidRPr="00852BAB">
        <w:rPr>
          <w:i/>
        </w:rPr>
        <w:t>n</w:t>
      </w:r>
      <w:r w:rsidRPr="00852BAB">
        <w:t xml:space="preserve"> = 11), 2019 (</w:t>
      </w:r>
      <w:r w:rsidRPr="00852BAB">
        <w:rPr>
          <w:i/>
        </w:rPr>
        <w:t>n</w:t>
      </w:r>
      <w:r w:rsidRPr="00852BAB">
        <w:t xml:space="preserve"> = 25), 2020 (</w:t>
      </w:r>
      <w:r w:rsidRPr="00852BAB">
        <w:rPr>
          <w:i/>
        </w:rPr>
        <w:t>n</w:t>
      </w:r>
      <w:r w:rsidRPr="00852BAB">
        <w:t xml:space="preserve"> = 51)</w:t>
      </w:r>
      <w:r>
        <w:t>,</w:t>
      </w:r>
      <w:r w:rsidRPr="00852BAB">
        <w:t xml:space="preserve"> 2021 (</w:t>
      </w:r>
      <w:r w:rsidRPr="00852BAB">
        <w:rPr>
          <w:i/>
          <w:iCs/>
        </w:rPr>
        <w:t>n</w:t>
      </w:r>
      <w:r w:rsidRPr="00852BAB">
        <w:t xml:space="preserve"> = 9)</w:t>
      </w:r>
      <w:r>
        <w:t>, 2022 (</w:t>
      </w:r>
      <w:r w:rsidRPr="00852BAB">
        <w:rPr>
          <w:i/>
          <w:iCs/>
        </w:rPr>
        <w:t>n</w:t>
      </w:r>
      <w:r w:rsidRPr="00852BAB">
        <w:t xml:space="preserve"> = </w:t>
      </w:r>
      <w:r>
        <w:t>2), 2023 (</w:t>
      </w:r>
      <w:r w:rsidRPr="0065546A">
        <w:rPr>
          <w:i/>
          <w:iCs/>
        </w:rPr>
        <w:t>n</w:t>
      </w:r>
      <w:r>
        <w:t xml:space="preserve"> = 12) and 2024 (</w:t>
      </w:r>
      <w:r w:rsidRPr="00FB5341">
        <w:rPr>
          <w:i/>
        </w:rPr>
        <w:t>n</w:t>
      </w:r>
      <w:r w:rsidRPr="00FB5341">
        <w:t xml:space="preserve"> = </w:t>
      </w:r>
      <w:r>
        <w:t>5)</w:t>
      </w:r>
      <w:r w:rsidRPr="00852BAB">
        <w:t xml:space="preserve">. </w:t>
      </w:r>
      <w:r>
        <w:t>S.E n</w:t>
      </w:r>
      <w:r w:rsidRPr="00043C99">
        <w:t>ot presented for 2022 due to low sample size. See Table C</w:t>
      </w:r>
      <w:r w:rsidR="00891AA7">
        <w:t>2</w:t>
      </w:r>
      <w:r w:rsidR="00FB33C3">
        <w:t>1</w:t>
      </w:r>
      <w:r w:rsidRPr="00043C99">
        <w:t xml:space="preserve"> in Appendix C for statistics.</w:t>
      </w:r>
      <w:bookmarkEnd w:id="500"/>
      <w:bookmarkEnd w:id="501"/>
      <w:bookmarkEnd w:id="502"/>
    </w:p>
    <w:p w14:paraId="3107B596" w14:textId="2249F5BF" w:rsidR="00F87105" w:rsidRPr="00302E3C" w:rsidRDefault="00F87105" w:rsidP="00F87105">
      <w:pPr>
        <w:rPr>
          <w:noProof/>
          <w:lang w:eastAsia="en-AU"/>
        </w:rPr>
      </w:pPr>
      <w:r w:rsidRPr="00905027">
        <w:lastRenderedPageBreak/>
        <w:t>Model selection indicated that the Gompertz model was the best fit for the 2017–2024 Murray cod age–length data (</w:t>
      </w:r>
      <w:r w:rsidRPr="00905027">
        <w:fldChar w:fldCharType="begin"/>
      </w:r>
      <w:r w:rsidRPr="00905027">
        <w:instrText xml:space="preserve"> REF _Ref57899419 \h  \* MERGEFORMAT </w:instrText>
      </w:r>
      <w:r w:rsidRPr="00905027">
        <w:fldChar w:fldCharType="separate"/>
      </w:r>
      <w:r w:rsidR="00102828" w:rsidRPr="003A6321">
        <w:t xml:space="preserve">Figure </w:t>
      </w:r>
      <w:r w:rsidR="00102828">
        <w:rPr>
          <w:noProof/>
        </w:rPr>
        <w:t>66</w:t>
      </w:r>
      <w:r w:rsidRPr="00905027">
        <w:fldChar w:fldCharType="end"/>
      </w:r>
      <w:r w:rsidRPr="00905027">
        <w:t xml:space="preserve">). </w:t>
      </w:r>
      <w:r w:rsidRPr="00905027">
        <w:rPr>
          <w:noProof/>
          <w:lang w:eastAsia="en-AU"/>
        </w:rPr>
        <w:t xml:space="preserve">Mean seasonal growth rate in 2022-23 (mean = 0.814 mm/d, </w:t>
      </w:r>
      <w:r w:rsidRPr="00905027">
        <w:rPr>
          <w:i/>
          <w:iCs/>
          <w:noProof/>
          <w:lang w:eastAsia="en-AU"/>
        </w:rPr>
        <w:t>n</w:t>
      </w:r>
      <w:r w:rsidRPr="00905027">
        <w:rPr>
          <w:noProof/>
          <w:lang w:eastAsia="en-AU"/>
        </w:rPr>
        <w:t xml:space="preserve"> = 2) was higher than 2019-20 (mean + S.E. = 0.694 ± 0.017 mm/d, </w:t>
      </w:r>
      <w:r w:rsidRPr="00905027">
        <w:rPr>
          <w:i/>
          <w:iCs/>
          <w:noProof/>
          <w:lang w:eastAsia="en-AU"/>
        </w:rPr>
        <w:t>n</w:t>
      </w:r>
      <w:r w:rsidRPr="00905027">
        <w:rPr>
          <w:noProof/>
          <w:lang w:eastAsia="en-AU"/>
        </w:rPr>
        <w:t xml:space="preserve"> = 39), 2020-21 (0.769 ± 0.029 mm/d, </w:t>
      </w:r>
      <w:r w:rsidRPr="00905027">
        <w:rPr>
          <w:i/>
          <w:iCs/>
          <w:noProof/>
          <w:lang w:eastAsia="en-AU"/>
        </w:rPr>
        <w:t>n</w:t>
      </w:r>
      <w:r w:rsidRPr="00905027">
        <w:rPr>
          <w:noProof/>
          <w:lang w:eastAsia="en-AU"/>
        </w:rPr>
        <w:t xml:space="preserve"> = 6), 2021-22 (0.672 mm/d, </w:t>
      </w:r>
      <w:r w:rsidRPr="00905027">
        <w:rPr>
          <w:i/>
          <w:iCs/>
          <w:noProof/>
          <w:lang w:eastAsia="en-AU"/>
        </w:rPr>
        <w:t>n</w:t>
      </w:r>
      <w:r w:rsidRPr="00905027">
        <w:rPr>
          <w:noProof/>
          <w:lang w:eastAsia="en-AU"/>
        </w:rPr>
        <w:t xml:space="preserve"> = 2) and 2023-24 (0.6604 mm/d, </w:t>
      </w:r>
      <w:r w:rsidRPr="00905027">
        <w:rPr>
          <w:i/>
          <w:iCs/>
          <w:noProof/>
          <w:lang w:eastAsia="en-AU"/>
        </w:rPr>
        <w:t>n</w:t>
      </w:r>
      <w:r w:rsidRPr="00905027">
        <w:rPr>
          <w:noProof/>
          <w:lang w:eastAsia="en-AU"/>
        </w:rPr>
        <w:t xml:space="preserve"> = 1).</w:t>
      </w:r>
    </w:p>
    <w:p w14:paraId="0FCDF903" w14:textId="77777777" w:rsidR="00F87105" w:rsidRPr="00186099" w:rsidRDefault="00F87105" w:rsidP="00F87105">
      <w:pPr>
        <w:jc w:val="center"/>
        <w:rPr>
          <w:highlight w:val="yellow"/>
        </w:rPr>
      </w:pPr>
      <w:r w:rsidRPr="00302E3C">
        <w:t xml:space="preserve">  </w:t>
      </w:r>
      <w:r>
        <w:rPr>
          <w:noProof/>
        </w:rPr>
        <w:drawing>
          <wp:inline distT="0" distB="0" distL="0" distR="0" wp14:anchorId="052D634A" wp14:editId="663D6DDE">
            <wp:extent cx="5048250" cy="3001282"/>
            <wp:effectExtent l="0" t="0" r="0" b="8890"/>
            <wp:docPr id="356681387" name="Picture 6" descr="Graph of the relationship between total length and estimated age of YOY Murray cod in the Lower Murray River from 2017–2024, predicted by the Gompertz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81387" name="Picture 6" descr="Graph of the relationship between total length and estimated age of YOY Murray cod in the Lower Murray River from 2017–2024, predicted by the Gompertz model."/>
                    <pic:cNvPicPr/>
                  </pic:nvPicPr>
                  <pic:blipFill rotWithShape="1">
                    <a:blip r:embed="rId135" cstate="print">
                      <a:extLst>
                        <a:ext uri="{28A0092B-C50C-407E-A947-70E740481C1C}">
                          <a14:useLocalDpi xmlns:a14="http://schemas.microsoft.com/office/drawing/2010/main" val="0"/>
                        </a:ext>
                      </a:extLst>
                    </a:blip>
                    <a:srcRect t="5112" r="2216"/>
                    <a:stretch/>
                  </pic:blipFill>
                  <pic:spPr bwMode="auto">
                    <a:xfrm>
                      <a:off x="0" y="0"/>
                      <a:ext cx="5061147" cy="3008950"/>
                    </a:xfrm>
                    <a:prstGeom prst="rect">
                      <a:avLst/>
                    </a:prstGeom>
                    <a:ln>
                      <a:noFill/>
                    </a:ln>
                    <a:extLst>
                      <a:ext uri="{53640926-AAD7-44D8-BBD7-CCE9431645EC}">
                        <a14:shadowObscured xmlns:a14="http://schemas.microsoft.com/office/drawing/2010/main"/>
                      </a:ext>
                    </a:extLst>
                  </pic:spPr>
                </pic:pic>
              </a:graphicData>
            </a:graphic>
          </wp:inline>
        </w:drawing>
      </w:r>
    </w:p>
    <w:p w14:paraId="6BD6A06F" w14:textId="0C990F24" w:rsidR="00F87105" w:rsidRPr="00302E3C" w:rsidRDefault="00F87105" w:rsidP="00605FB2">
      <w:pPr>
        <w:pStyle w:val="Captions"/>
      </w:pPr>
      <w:bookmarkStart w:id="503" w:name="_Ref57899419"/>
      <w:bookmarkStart w:id="504" w:name="_Toc103170110"/>
      <w:bookmarkStart w:id="505" w:name="_Toc166771789"/>
      <w:bookmarkStart w:id="506" w:name="_Toc200464517"/>
      <w:r w:rsidRPr="003A6321">
        <w:t xml:space="preserve">Figure </w:t>
      </w:r>
      <w:r w:rsidR="00967BB2">
        <w:fldChar w:fldCharType="begin"/>
      </w:r>
      <w:r w:rsidR="00967BB2">
        <w:instrText xml:space="preserve"> SEQ Figure \* ARABIC </w:instrText>
      </w:r>
      <w:r w:rsidR="00967BB2">
        <w:fldChar w:fldCharType="separate"/>
      </w:r>
      <w:r w:rsidR="00102828">
        <w:rPr>
          <w:noProof/>
        </w:rPr>
        <w:t>66</w:t>
      </w:r>
      <w:r w:rsidR="00967BB2">
        <w:rPr>
          <w:noProof/>
        </w:rPr>
        <w:fldChar w:fldCharType="end"/>
      </w:r>
      <w:bookmarkEnd w:id="503"/>
      <w:r w:rsidRPr="003A6321">
        <w:t>. The relationship between total length (TL) and estimated age of YOY Murray cod in the Lower Murray River from 2017–2024, predicted by the Gompertz model. See Table C</w:t>
      </w:r>
      <w:r w:rsidR="00891AA7">
        <w:t>2</w:t>
      </w:r>
      <w:r w:rsidR="00FB33C3">
        <w:t>2</w:t>
      </w:r>
      <w:r w:rsidRPr="003A6321">
        <w:t xml:space="preserve"> in Appendix C for statistics.</w:t>
      </w:r>
      <w:bookmarkEnd w:id="504"/>
      <w:bookmarkEnd w:id="505"/>
      <w:bookmarkEnd w:id="506"/>
    </w:p>
    <w:p w14:paraId="23D5B2F2" w14:textId="77777777" w:rsidR="00F87105" w:rsidRPr="00885C7E" w:rsidRDefault="00F87105" w:rsidP="00F87105">
      <w:pPr>
        <w:pStyle w:val="Heading4"/>
      </w:pPr>
      <w:r w:rsidRPr="00885C7E">
        <w:t>Recruitment and population structure</w:t>
      </w:r>
    </w:p>
    <w:p w14:paraId="583EA1B0" w14:textId="4E49FAFD" w:rsidR="00F87105" w:rsidRPr="00B065A7" w:rsidRDefault="00F87105" w:rsidP="00F87105">
      <w:pPr>
        <w:rPr>
          <w:highlight w:val="yellow"/>
        </w:rPr>
      </w:pPr>
      <w:r w:rsidRPr="00885C7E">
        <w:t xml:space="preserve">Mean relative abundances (non-targeted CPUE) of Murray cod in the weir pools below Locks 2 and 3 varied among years. Abundance remained relatively consistent from 2015 to 2019 (&lt;0.05 fish/min). In 2020, there was a four-fold increase in mean abundance below Lock 3, driven by an increase in the abundance of YOY </w:t>
      </w:r>
      <w:r w:rsidRPr="003D61DC">
        <w:t>fish (</w:t>
      </w:r>
      <w:r w:rsidRPr="003D61DC">
        <w:fldChar w:fldCharType="begin"/>
      </w:r>
      <w:r w:rsidRPr="003D61DC">
        <w:instrText xml:space="preserve"> REF _Ref57899436 \h  \* MERGEFORMAT </w:instrText>
      </w:r>
      <w:r w:rsidRPr="003D61DC">
        <w:fldChar w:fldCharType="separate"/>
      </w:r>
      <w:r w:rsidR="00102828" w:rsidRPr="001E0DDC">
        <w:t xml:space="preserve">Figure </w:t>
      </w:r>
      <w:r w:rsidR="00102828">
        <w:rPr>
          <w:noProof/>
        </w:rPr>
        <w:t>67</w:t>
      </w:r>
      <w:r w:rsidRPr="003D61DC">
        <w:fldChar w:fldCharType="end"/>
      </w:r>
      <w:r w:rsidRPr="003D61DC">
        <w:t xml:space="preserve"> and </w:t>
      </w:r>
      <w:r w:rsidRPr="003D61DC">
        <w:fldChar w:fldCharType="begin"/>
      </w:r>
      <w:r w:rsidRPr="003D61DC">
        <w:instrText xml:space="preserve"> REF _Ref57899437 \h  \* MERGEFORMAT </w:instrText>
      </w:r>
      <w:r w:rsidRPr="003D61DC">
        <w:fldChar w:fldCharType="separate"/>
      </w:r>
      <w:r w:rsidR="00102828" w:rsidRPr="00657AB3">
        <w:t xml:space="preserve">Figure </w:t>
      </w:r>
      <w:r w:rsidR="00102828">
        <w:rPr>
          <w:noProof/>
        </w:rPr>
        <w:t>68</w:t>
      </w:r>
      <w:r w:rsidRPr="003D61DC">
        <w:fldChar w:fldCharType="end"/>
      </w:r>
      <w:r w:rsidRPr="003D61DC">
        <w:t xml:space="preserve">). From 2020 to 2024, mean abundance below Locks 2 and 3 generally declined. The proportional abundance of YOY from these sites was relatively high (mean 77%) from 2015–2020, but lower </w:t>
      </w:r>
      <w:r w:rsidRPr="00A9302C">
        <w:t>from 2021–2024  (mean 24%) (</w:t>
      </w:r>
      <w:r w:rsidRPr="00A9302C">
        <w:fldChar w:fldCharType="begin"/>
      </w:r>
      <w:r w:rsidRPr="00A9302C">
        <w:instrText xml:space="preserve"> REF _Ref57899436 \h  \* MERGEFORMAT </w:instrText>
      </w:r>
      <w:r w:rsidRPr="00A9302C">
        <w:fldChar w:fldCharType="separate"/>
      </w:r>
      <w:r w:rsidR="00102828" w:rsidRPr="001E0DDC">
        <w:t xml:space="preserve">Figure </w:t>
      </w:r>
      <w:r w:rsidR="00102828">
        <w:rPr>
          <w:noProof/>
        </w:rPr>
        <w:t>67</w:t>
      </w:r>
      <w:r w:rsidRPr="00A9302C">
        <w:fldChar w:fldCharType="end"/>
      </w:r>
      <w:r w:rsidRPr="00A9302C">
        <w:t xml:space="preserve"> and </w:t>
      </w:r>
      <w:r w:rsidRPr="00A9302C">
        <w:fldChar w:fldCharType="begin"/>
      </w:r>
      <w:r w:rsidRPr="00A9302C">
        <w:instrText xml:space="preserve"> REF _Ref57899437 \h  \* MERGEFORMAT </w:instrText>
      </w:r>
      <w:r w:rsidRPr="00A9302C">
        <w:fldChar w:fldCharType="separate"/>
      </w:r>
      <w:r w:rsidR="00102828" w:rsidRPr="00657AB3">
        <w:t xml:space="preserve">Figure </w:t>
      </w:r>
      <w:r w:rsidR="00102828">
        <w:rPr>
          <w:noProof/>
        </w:rPr>
        <w:t>68</w:t>
      </w:r>
      <w:r w:rsidRPr="00A9302C">
        <w:fldChar w:fldCharType="end"/>
      </w:r>
      <w:r w:rsidRPr="00A9302C">
        <w:t xml:space="preserve">). Relative abundances of YOY between Locks 1 </w:t>
      </w:r>
      <w:r w:rsidRPr="00067907">
        <w:t xml:space="preserve">and 3 varied among years (PERMANOVA, </w:t>
      </w:r>
      <w:r w:rsidRPr="00067907">
        <w:rPr>
          <w:i/>
          <w:noProof/>
          <w:lang w:eastAsia="en-AU"/>
        </w:rPr>
        <w:t>Pseudo-F</w:t>
      </w:r>
      <w:r w:rsidRPr="00067907">
        <w:rPr>
          <w:i/>
          <w:noProof/>
          <w:vertAlign w:val="subscript"/>
          <w:lang w:eastAsia="en-AU"/>
        </w:rPr>
        <w:t>9, 99</w:t>
      </w:r>
      <w:r w:rsidRPr="00067907">
        <w:rPr>
          <w:i/>
          <w:noProof/>
          <w:lang w:eastAsia="en-AU"/>
        </w:rPr>
        <w:t xml:space="preserve"> </w:t>
      </w:r>
      <w:r w:rsidRPr="00067907">
        <w:rPr>
          <w:noProof/>
          <w:lang w:eastAsia="en-AU"/>
        </w:rPr>
        <w:t xml:space="preserve">= 3.5221, </w:t>
      </w:r>
      <w:r w:rsidRPr="00067907">
        <w:rPr>
          <w:i/>
          <w:noProof/>
          <w:lang w:eastAsia="en-AU"/>
        </w:rPr>
        <w:t>p</w:t>
      </w:r>
      <w:r w:rsidRPr="00067907">
        <w:rPr>
          <w:noProof/>
          <w:lang w:eastAsia="en-AU"/>
        </w:rPr>
        <w:t xml:space="preserve"> = 0.011</w:t>
      </w:r>
      <w:r w:rsidRPr="00067907">
        <w:t>). PERMANOVA pair-wise comparisons revealed significantly higher recruitment (YOY abundance) in 2015, 2019 and 2020 compared to 2017, 2023 (except 2015) and 2024, and significantly lower recruitment in 2022 compared to 2015, 2016, 2018, 2019 and 2020, but no difference for any other comparisons between years (</w:t>
      </w:r>
      <w:r w:rsidRPr="00067907">
        <w:fldChar w:fldCharType="begin"/>
      </w:r>
      <w:r w:rsidRPr="00067907">
        <w:instrText xml:space="preserve"> REF _Ref57899436 \h  \* MERGEFORMAT </w:instrText>
      </w:r>
      <w:r w:rsidRPr="00067907">
        <w:fldChar w:fldCharType="separate"/>
      </w:r>
      <w:r w:rsidR="00102828" w:rsidRPr="001E0DDC">
        <w:t xml:space="preserve">Figure </w:t>
      </w:r>
      <w:r w:rsidR="00102828">
        <w:rPr>
          <w:noProof/>
        </w:rPr>
        <w:t>67</w:t>
      </w:r>
      <w:r w:rsidRPr="00067907">
        <w:fldChar w:fldCharType="end"/>
      </w:r>
      <w:r w:rsidRPr="00067907">
        <w:t>; Table C</w:t>
      </w:r>
      <w:r w:rsidR="00891AA7">
        <w:t>2</w:t>
      </w:r>
      <w:r w:rsidR="00FB33C3">
        <w:t>3</w:t>
      </w:r>
      <w:r w:rsidRPr="00067907">
        <w:t>, Appendix C).</w:t>
      </w:r>
    </w:p>
    <w:p w14:paraId="75CDCA7B" w14:textId="5A9350B5" w:rsidR="00F87105" w:rsidRPr="00B065A7" w:rsidRDefault="00F87105" w:rsidP="00F87105">
      <w:pPr>
        <w:rPr>
          <w:highlight w:val="yellow"/>
        </w:rPr>
      </w:pPr>
      <w:r w:rsidRPr="003D61DC">
        <w:t>Relative abundances (targeted CPUE) of Murray cod in the tailwaters of Locks 4 and 5 varied among years and showed a general increasing trend in abundance from 2013 to 2016, before a decline in abundance in 2017. This was followed by an increase in relative abundances in 2020, which persisted through to 2022. In 2023 and 2024, mean abundances at sites were &lt;0.4 fish/min. Consistent with the non-targeted CPUE data from below Lock 3, the increase in relative abundance below Lock 4 in 2020 was driven by an increas</w:t>
      </w:r>
      <w:r w:rsidRPr="00402291">
        <w:t>e in abundance of YOY (</w:t>
      </w:r>
      <w:r w:rsidRPr="00402291">
        <w:fldChar w:fldCharType="begin"/>
      </w:r>
      <w:r w:rsidRPr="00402291">
        <w:instrText xml:space="preserve"> REF _Ref57899436 \h  \* MERGEFORMAT </w:instrText>
      </w:r>
      <w:r w:rsidRPr="00402291">
        <w:fldChar w:fldCharType="separate"/>
      </w:r>
      <w:r w:rsidR="00102828" w:rsidRPr="001E0DDC">
        <w:t xml:space="preserve">Figure </w:t>
      </w:r>
      <w:r w:rsidR="00102828">
        <w:rPr>
          <w:noProof/>
        </w:rPr>
        <w:t>67</w:t>
      </w:r>
      <w:r w:rsidRPr="00402291">
        <w:fldChar w:fldCharType="end"/>
      </w:r>
      <w:r w:rsidRPr="00402291">
        <w:t xml:space="preserve"> and </w:t>
      </w:r>
      <w:r w:rsidRPr="00402291">
        <w:fldChar w:fldCharType="begin"/>
      </w:r>
      <w:r w:rsidRPr="00402291">
        <w:instrText xml:space="preserve"> REF _Ref57899437 \h  \* MERGEFORMAT </w:instrText>
      </w:r>
      <w:r w:rsidRPr="00402291">
        <w:fldChar w:fldCharType="separate"/>
      </w:r>
      <w:r w:rsidR="00102828" w:rsidRPr="00657AB3">
        <w:t xml:space="preserve">Figure </w:t>
      </w:r>
      <w:r w:rsidR="00102828">
        <w:rPr>
          <w:noProof/>
        </w:rPr>
        <w:t>68</w:t>
      </w:r>
      <w:r w:rsidRPr="00402291">
        <w:fldChar w:fldCharType="end"/>
      </w:r>
      <w:r w:rsidRPr="00402291">
        <w:t xml:space="preserve">). Relative abundances of YOY </w:t>
      </w:r>
      <w:r w:rsidRPr="00402291">
        <w:lastRenderedPageBreak/>
        <w:t xml:space="preserve">downstream of Lock 4 varied among years (PERMANOVA, </w:t>
      </w:r>
      <w:r w:rsidRPr="00402291">
        <w:rPr>
          <w:i/>
          <w:noProof/>
          <w:lang w:eastAsia="en-AU"/>
        </w:rPr>
        <w:t>Pseudo-F</w:t>
      </w:r>
      <w:r w:rsidRPr="00402291">
        <w:rPr>
          <w:i/>
          <w:noProof/>
          <w:vertAlign w:val="subscript"/>
          <w:lang w:eastAsia="en-AU"/>
        </w:rPr>
        <w:t>9, 39</w:t>
      </w:r>
      <w:r w:rsidRPr="00402291">
        <w:rPr>
          <w:i/>
          <w:noProof/>
          <w:lang w:eastAsia="en-AU"/>
        </w:rPr>
        <w:t xml:space="preserve"> </w:t>
      </w:r>
      <w:r w:rsidRPr="00402291">
        <w:rPr>
          <w:noProof/>
          <w:lang w:eastAsia="en-AU"/>
        </w:rPr>
        <w:t xml:space="preserve">= 6.4281, </w:t>
      </w:r>
      <w:r w:rsidRPr="00402291">
        <w:rPr>
          <w:i/>
          <w:noProof/>
          <w:lang w:eastAsia="en-AU"/>
        </w:rPr>
        <w:t>p</w:t>
      </w:r>
      <w:r w:rsidRPr="00402291">
        <w:rPr>
          <w:noProof/>
          <w:lang w:eastAsia="en-AU"/>
        </w:rPr>
        <w:t xml:space="preserve"> &lt; 0.001</w:t>
      </w:r>
      <w:r w:rsidRPr="00402291">
        <w:t>). PERMANOVA pair-wise comparisons revealed significantly higher recruitment (YOY abundance) in 2020 compared to years 2013–2015, 2017 and 2021–2022, but no difference for any other comparisons between years (</w:t>
      </w:r>
      <w:r w:rsidRPr="00402291">
        <w:fldChar w:fldCharType="begin"/>
      </w:r>
      <w:r w:rsidRPr="00402291">
        <w:instrText xml:space="preserve"> REF _Ref57899436 \h  \* MERGEFORMAT </w:instrText>
      </w:r>
      <w:r w:rsidRPr="00402291">
        <w:fldChar w:fldCharType="separate"/>
      </w:r>
      <w:r w:rsidR="00102828" w:rsidRPr="001E0DDC">
        <w:t xml:space="preserve">Figure </w:t>
      </w:r>
      <w:r w:rsidR="00102828">
        <w:rPr>
          <w:noProof/>
        </w:rPr>
        <w:t>67</w:t>
      </w:r>
      <w:r w:rsidRPr="00402291">
        <w:fldChar w:fldCharType="end"/>
      </w:r>
      <w:r w:rsidRPr="00402291">
        <w:t>; Table C</w:t>
      </w:r>
      <w:r w:rsidR="00891AA7">
        <w:t>2</w:t>
      </w:r>
      <w:r w:rsidR="00FB33C3">
        <w:t>4</w:t>
      </w:r>
      <w:r w:rsidRPr="00402291">
        <w:t xml:space="preserve">, Appendix C). </w:t>
      </w:r>
    </w:p>
    <w:p w14:paraId="72DDBFF3" w14:textId="1A885C68" w:rsidR="00F87105" w:rsidRPr="00B065A7" w:rsidRDefault="00F87105" w:rsidP="00F87105">
      <w:pPr>
        <w:rPr>
          <w:b/>
          <w:highlight w:val="yellow"/>
        </w:rPr>
      </w:pPr>
      <w:r w:rsidRPr="00010EA5">
        <w:t>Excluding years with low sample sizes (</w:t>
      </w:r>
      <w:r w:rsidRPr="00010EA5">
        <w:rPr>
          <w:i/>
          <w:iCs/>
        </w:rPr>
        <w:t>n</w:t>
      </w:r>
      <w:r w:rsidRPr="00010EA5">
        <w:t>&lt;10; 2013 and 2014), Murray cod generally exhibited broad length frequency distributions, comprised of juveniles (including YOY), sub-adults (300–600 mm) and adults (&gt;600 mm) (</w:t>
      </w:r>
      <w:r w:rsidRPr="00010EA5">
        <w:fldChar w:fldCharType="begin"/>
      </w:r>
      <w:r w:rsidRPr="00010EA5">
        <w:instrText xml:space="preserve"> REF _Ref57899437 \h  \* MERGEFORMAT </w:instrText>
      </w:r>
      <w:r w:rsidRPr="00010EA5">
        <w:fldChar w:fldCharType="separate"/>
      </w:r>
      <w:r w:rsidR="00102828" w:rsidRPr="00657AB3">
        <w:t xml:space="preserve">Figure </w:t>
      </w:r>
      <w:r w:rsidR="00102828">
        <w:rPr>
          <w:noProof/>
        </w:rPr>
        <w:t>68</w:t>
      </w:r>
      <w:r w:rsidRPr="00010EA5">
        <w:fldChar w:fldCharType="end"/>
      </w:r>
      <w:r w:rsidRPr="00010EA5">
        <w:t xml:space="preserve">). YOY fish (i.e. &lt;160 mm, except for 2023 = &lt;180 mm) dominated the sampled </w:t>
      </w:r>
      <w:r w:rsidRPr="003001D6">
        <w:t>population in 2019 (69%) and 2020 (67%). In 2024, YOY fish repres</w:t>
      </w:r>
      <w:r w:rsidRPr="0030575C">
        <w:t>ented 13% of the sampled population, and individuals 230–310 mm TL (presumably age 1+) made up 37% of the population. From 2015 to 2024, new (YOY) cohorts can be seen to persist and progress through the population each year through to adult size (&gt;600 mm).</w:t>
      </w:r>
    </w:p>
    <w:p w14:paraId="4019C371" w14:textId="77777777" w:rsidR="00F87105" w:rsidRPr="00B065A7" w:rsidRDefault="00F87105" w:rsidP="00F87105">
      <w:pPr>
        <w:jc w:val="center"/>
        <w:rPr>
          <w:highlight w:val="yellow"/>
        </w:rPr>
      </w:pPr>
      <w:bookmarkStart w:id="507" w:name="_Hlk81489474"/>
      <w:r>
        <w:rPr>
          <w:noProof/>
        </w:rPr>
        <w:drawing>
          <wp:inline distT="0" distB="0" distL="0" distR="0" wp14:anchorId="6A3E1A8C" wp14:editId="7DF87993">
            <wp:extent cx="5181501" cy="5495925"/>
            <wp:effectExtent l="0" t="0" r="635" b="0"/>
            <wp:docPr id="123973124" name="Picture 9" descr="Graph of mean non-targeted and targeted electrofishing catch-per-unit-effort of Murray cod in the weir pools downstream of Locks 2, 3, 4 and 5 of the Lower Murray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3124" name="Picture 9" descr="Graph of mean non-targeted and targeted electrofishing catch-per-unit-effort of Murray cod in the weir pools downstream of Locks 2, 3, 4 and 5 of the Lower Murray River."/>
                    <pic:cNvPicPr/>
                  </pic:nvPicPr>
                  <pic:blipFill rotWithShape="1">
                    <a:blip r:embed="rId136" cstate="print">
                      <a:extLst>
                        <a:ext uri="{28A0092B-C50C-407E-A947-70E740481C1C}">
                          <a14:useLocalDpi xmlns:a14="http://schemas.microsoft.com/office/drawing/2010/main" val="0"/>
                        </a:ext>
                      </a:extLst>
                    </a:blip>
                    <a:srcRect t="2308" r="20396"/>
                    <a:stretch/>
                  </pic:blipFill>
                  <pic:spPr bwMode="auto">
                    <a:xfrm>
                      <a:off x="0" y="0"/>
                      <a:ext cx="5186755" cy="5501497"/>
                    </a:xfrm>
                    <a:prstGeom prst="rect">
                      <a:avLst/>
                    </a:prstGeom>
                    <a:ln>
                      <a:noFill/>
                    </a:ln>
                    <a:extLst>
                      <a:ext uri="{53640926-AAD7-44D8-BBD7-CCE9431645EC}">
                        <a14:shadowObscured xmlns:a14="http://schemas.microsoft.com/office/drawing/2010/main"/>
                      </a:ext>
                    </a:extLst>
                  </pic:spPr>
                </pic:pic>
              </a:graphicData>
            </a:graphic>
          </wp:inline>
        </w:drawing>
      </w:r>
    </w:p>
    <w:p w14:paraId="376B8AC3" w14:textId="37C1CE5E" w:rsidR="00F87105" w:rsidRPr="00657AB3" w:rsidRDefault="00F87105" w:rsidP="00605FB2">
      <w:pPr>
        <w:pStyle w:val="Captions"/>
      </w:pPr>
      <w:bookmarkStart w:id="508" w:name="_Ref57899436"/>
      <w:bookmarkStart w:id="509" w:name="_Toc103170111"/>
      <w:bookmarkStart w:id="510" w:name="_Toc166771790"/>
      <w:bookmarkStart w:id="511" w:name="_Toc200464518"/>
      <w:r w:rsidRPr="001E0DDC">
        <w:t xml:space="preserve">Figure </w:t>
      </w:r>
      <w:r w:rsidR="00967BB2">
        <w:fldChar w:fldCharType="begin"/>
      </w:r>
      <w:r w:rsidR="00967BB2">
        <w:instrText xml:space="preserve"> SEQ Figure \* ARABIC </w:instrText>
      </w:r>
      <w:r w:rsidR="00967BB2">
        <w:fldChar w:fldCharType="separate"/>
      </w:r>
      <w:r w:rsidR="00102828">
        <w:rPr>
          <w:noProof/>
        </w:rPr>
        <w:t>67</w:t>
      </w:r>
      <w:r w:rsidR="00967BB2">
        <w:rPr>
          <w:noProof/>
        </w:rPr>
        <w:fldChar w:fldCharType="end"/>
      </w:r>
      <w:bookmarkEnd w:id="508"/>
      <w:r w:rsidRPr="001E0DDC">
        <w:t>. Mean (a) non-targeted and (b) targeted electrofishing catch-per-unit-effort (CPUE) ± S.E. of Murray cod in the weir pools downstream of Locks 2, 3, 4 and 5 of the Lower Murray River. Dashed bars represent the proportion of YOY to the total CPUE. Note the different scales on the CPUE-axis for the different methods of electrofishing. See Table</w:t>
      </w:r>
      <w:r w:rsidR="00891AA7">
        <w:t>s C2</w:t>
      </w:r>
      <w:r w:rsidR="00373ECE">
        <w:t>3</w:t>
      </w:r>
      <w:r w:rsidR="00891AA7">
        <w:t xml:space="preserve"> and</w:t>
      </w:r>
      <w:r w:rsidRPr="001E0DDC">
        <w:t xml:space="preserve"> C</w:t>
      </w:r>
      <w:r w:rsidR="00891AA7">
        <w:t>2</w:t>
      </w:r>
      <w:r w:rsidR="00373ECE">
        <w:t>4</w:t>
      </w:r>
      <w:r w:rsidRPr="001E0DDC">
        <w:t xml:space="preserve"> in Appendix C for statistics.</w:t>
      </w:r>
      <w:bookmarkEnd w:id="509"/>
      <w:bookmarkEnd w:id="510"/>
      <w:bookmarkEnd w:id="511"/>
    </w:p>
    <w:bookmarkEnd w:id="507"/>
    <w:p w14:paraId="33B723F9" w14:textId="77777777" w:rsidR="00F87105" w:rsidRPr="00657AB3" w:rsidRDefault="00F87105" w:rsidP="00F87105">
      <w:pPr>
        <w:jc w:val="center"/>
      </w:pPr>
      <w:r w:rsidRPr="00E83FE2">
        <w:lastRenderedPageBreak/>
        <w:t xml:space="preserve"> </w:t>
      </w:r>
      <w:r>
        <w:rPr>
          <w:noProof/>
        </w:rPr>
        <w:drawing>
          <wp:inline distT="0" distB="0" distL="0" distR="0" wp14:anchorId="2BC8EE8C" wp14:editId="061C6473">
            <wp:extent cx="5762612" cy="7481455"/>
            <wp:effectExtent l="0" t="0" r="0" b="5715"/>
            <wp:docPr id="1527244826" name="Picture 1" descr="Multiple graphs showing total length frequencies of Murray cod in the main channel of the Lower Murray River across years during autumn/winter from 2013–2024, based on CEWH LTIM and Flow-MER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244826" name="Picture 1" descr="Multiple graphs showing total length frequencies of Murray cod in the main channel of the Lower Murray River across years during autumn/winter from 2013–2024, based on CEWH LTIM and Flow-MER data."/>
                    <pic:cNvPicPr/>
                  </pic:nvPicPr>
                  <pic:blipFill rotWithShape="1">
                    <a:blip r:embed="rId137" cstate="print">
                      <a:extLst>
                        <a:ext uri="{28A0092B-C50C-407E-A947-70E740481C1C}">
                          <a14:useLocalDpi xmlns:a14="http://schemas.microsoft.com/office/drawing/2010/main" val="0"/>
                        </a:ext>
                      </a:extLst>
                    </a:blip>
                    <a:srcRect t="1555" r="9042"/>
                    <a:stretch/>
                  </pic:blipFill>
                  <pic:spPr bwMode="auto">
                    <a:xfrm>
                      <a:off x="0" y="0"/>
                      <a:ext cx="5767055" cy="7487224"/>
                    </a:xfrm>
                    <a:prstGeom prst="rect">
                      <a:avLst/>
                    </a:prstGeom>
                    <a:ln>
                      <a:noFill/>
                    </a:ln>
                    <a:extLst>
                      <a:ext uri="{53640926-AAD7-44D8-BBD7-CCE9431645EC}">
                        <a14:shadowObscured xmlns:a14="http://schemas.microsoft.com/office/drawing/2010/main"/>
                      </a:ext>
                    </a:extLst>
                  </pic:spPr>
                </pic:pic>
              </a:graphicData>
            </a:graphic>
          </wp:inline>
        </w:drawing>
      </w:r>
    </w:p>
    <w:p w14:paraId="13EBC5BA" w14:textId="37094F33" w:rsidR="00F87105" w:rsidRPr="00E56EF1" w:rsidRDefault="00F87105" w:rsidP="00605FB2">
      <w:pPr>
        <w:pStyle w:val="Captions"/>
        <w:rPr>
          <w:highlight w:val="yellow"/>
        </w:rPr>
      </w:pPr>
      <w:bookmarkStart w:id="512" w:name="_Ref81230116"/>
      <w:bookmarkStart w:id="513" w:name="_Ref57899437"/>
      <w:bookmarkStart w:id="514" w:name="_Toc103170112"/>
      <w:bookmarkStart w:id="515" w:name="_Toc166771791"/>
      <w:bookmarkStart w:id="516" w:name="_Toc200464519"/>
      <w:r w:rsidRPr="00657AB3">
        <w:t xml:space="preserve">Figure </w:t>
      </w:r>
      <w:r w:rsidR="00967BB2">
        <w:fldChar w:fldCharType="begin"/>
      </w:r>
      <w:r w:rsidR="00967BB2">
        <w:instrText xml:space="preserve"> SEQ Figure \* ARABIC </w:instrText>
      </w:r>
      <w:r w:rsidR="00967BB2">
        <w:fldChar w:fldCharType="separate"/>
      </w:r>
      <w:r w:rsidR="00102828">
        <w:rPr>
          <w:noProof/>
        </w:rPr>
        <w:t>68</w:t>
      </w:r>
      <w:r w:rsidR="00967BB2">
        <w:rPr>
          <w:noProof/>
        </w:rPr>
        <w:fldChar w:fldCharType="end"/>
      </w:r>
      <w:bookmarkEnd w:id="512"/>
      <w:bookmarkEnd w:id="513"/>
      <w:r w:rsidRPr="00657AB3">
        <w:t>. Total length frequencies of Murray cod in the main channel of the Lower Murray River during autumn/winter from 2013</w:t>
      </w:r>
      <w:r>
        <w:t>–202</w:t>
      </w:r>
      <w:bookmarkEnd w:id="514"/>
      <w:r>
        <w:t>4</w:t>
      </w:r>
      <w:r w:rsidRPr="00657AB3">
        <w:t xml:space="preserve">, based on CEWH LTIM and </w:t>
      </w:r>
      <w:r w:rsidR="00636414">
        <w:t>Flow-</w:t>
      </w:r>
      <w:r w:rsidRPr="00657AB3">
        <w:t>MER data.</w:t>
      </w:r>
      <w:bookmarkEnd w:id="489"/>
      <w:bookmarkEnd w:id="515"/>
      <w:bookmarkEnd w:id="516"/>
    </w:p>
    <w:p w14:paraId="570D21DF" w14:textId="77777777" w:rsidR="00F87105" w:rsidRPr="00E56EF1" w:rsidRDefault="00F87105" w:rsidP="00F87105">
      <w:pPr>
        <w:spacing w:before="0" w:after="160" w:line="259" w:lineRule="auto"/>
        <w:jc w:val="center"/>
        <w:rPr>
          <w:highlight w:val="yellow"/>
        </w:rPr>
      </w:pPr>
    </w:p>
    <w:p w14:paraId="2DD955C8" w14:textId="77777777" w:rsidR="00F87105" w:rsidRDefault="00F87105" w:rsidP="00F87105">
      <w:pPr>
        <w:pStyle w:val="Caption"/>
        <w:rPr>
          <w:rFonts w:eastAsiaTheme="majorEastAsia" w:cstheme="majorBidi"/>
          <w:b w:val="0"/>
          <w:i/>
          <w:color w:val="44546A" w:themeColor="text2"/>
          <w:sz w:val="24"/>
          <w:szCs w:val="24"/>
        </w:rPr>
      </w:pPr>
      <w:r>
        <w:br w:type="page"/>
      </w:r>
    </w:p>
    <w:p w14:paraId="05BCB778" w14:textId="77777777" w:rsidR="00F87105" w:rsidRDefault="00F87105" w:rsidP="00F87105">
      <w:pPr>
        <w:pStyle w:val="Heading3"/>
      </w:pPr>
      <w:r w:rsidRPr="00B40F24">
        <w:lastRenderedPageBreak/>
        <w:t>Evaluation</w:t>
      </w:r>
    </w:p>
    <w:p w14:paraId="33D739F5" w14:textId="719E1B14" w:rsidR="00F87105" w:rsidRPr="00B2591F" w:rsidRDefault="00F87105" w:rsidP="00F87105">
      <w:r w:rsidRPr="00B2591F">
        <w:t xml:space="preserve">The evaluation approach, including assessment criteria, is described in the evaluation section for Hydraulic Regime (Section </w:t>
      </w:r>
      <w:r w:rsidRPr="00B2591F">
        <w:fldChar w:fldCharType="begin"/>
      </w:r>
      <w:r w:rsidRPr="00B2591F">
        <w:instrText xml:space="preserve"> REF _Ref35872226 \r \h  \* MERGEFORMAT </w:instrText>
      </w:r>
      <w:r w:rsidRPr="00B2591F">
        <w:fldChar w:fldCharType="separate"/>
      </w:r>
      <w:r w:rsidR="00102828">
        <w:t>2.1</w:t>
      </w:r>
      <w:r w:rsidRPr="00B2591F">
        <w:fldChar w:fldCharType="end"/>
      </w:r>
      <w:r w:rsidRPr="00B2591F">
        <w:t xml:space="preserve">). The assessment for </w:t>
      </w:r>
      <w:r w:rsidRPr="00B2591F">
        <w:rPr>
          <w:i/>
          <w:iCs/>
        </w:rPr>
        <w:t xml:space="preserve">Murray Cod Recruitment </w:t>
      </w:r>
      <w:r w:rsidRPr="00B2591F">
        <w:t xml:space="preserve">in this report took a different approach to previous years due to difficulty in assessing </w:t>
      </w:r>
      <w:r w:rsidR="00483B42">
        <w:t xml:space="preserve">Commonwealth environmental water </w:t>
      </w:r>
      <w:r w:rsidRPr="00B2591F">
        <w:t xml:space="preserve">contribution, because the main drivers of Murray cod recruitment in the LMR are not fully understood. The assessment for recruitment and resilience takes a similar approach to </w:t>
      </w:r>
      <w:r w:rsidRPr="00B2591F">
        <w:rPr>
          <w:i/>
          <w:iCs/>
        </w:rPr>
        <w:t>Flow-cued Spawning Fish Reproduction</w:t>
      </w:r>
      <w:r w:rsidRPr="00B2591F">
        <w:t xml:space="preserve"> (</w:t>
      </w:r>
      <w:r w:rsidRPr="00B2591F">
        <w:fldChar w:fldCharType="begin"/>
      </w:r>
      <w:r w:rsidRPr="00B2591F">
        <w:instrText xml:space="preserve"> REF _Ref127969575 \h  \* MERGEFORMAT </w:instrText>
      </w:r>
      <w:r w:rsidRPr="00B2591F">
        <w:fldChar w:fldCharType="separate"/>
      </w:r>
      <w:r w:rsidR="00102828">
        <w:t xml:space="preserve">Table </w:t>
      </w:r>
      <w:r w:rsidR="00102828">
        <w:rPr>
          <w:noProof/>
        </w:rPr>
        <w:t>20</w:t>
      </w:r>
      <w:r w:rsidRPr="00B2591F">
        <w:fldChar w:fldCharType="end"/>
      </w:r>
      <w:r w:rsidRPr="00B2591F">
        <w:t xml:space="preserve">) and evaluates what the flow regime (including environmental water) contributed to Murray cod outcomes. </w:t>
      </w:r>
    </w:p>
    <w:p w14:paraId="62D72ACB" w14:textId="05C846A4" w:rsidR="00F87105" w:rsidRPr="00B2591F" w:rsidRDefault="00F87105" w:rsidP="00F87105">
      <w:pPr>
        <w:pStyle w:val="Caption"/>
        <w:rPr>
          <w:lang w:val="en-US"/>
        </w:rPr>
      </w:pPr>
      <w:bookmarkStart w:id="517" w:name="_Toc101963881"/>
      <w:bookmarkStart w:id="518" w:name="_Toc166771819"/>
      <w:bookmarkStart w:id="519" w:name="_Toc200464547"/>
      <w:r w:rsidRPr="00B2591F">
        <w:t xml:space="preserve">Table </w:t>
      </w:r>
      <w:r>
        <w:fldChar w:fldCharType="begin"/>
      </w:r>
      <w:r>
        <w:instrText>SEQ Table \* ARABIC</w:instrText>
      </w:r>
      <w:r>
        <w:fldChar w:fldCharType="separate"/>
      </w:r>
      <w:r w:rsidR="00102828">
        <w:rPr>
          <w:noProof/>
        </w:rPr>
        <w:t>23</w:t>
      </w:r>
      <w:r>
        <w:fldChar w:fldCharType="end"/>
      </w:r>
      <w:r w:rsidRPr="00B2591F">
        <w:rPr>
          <w:noProof/>
        </w:rPr>
        <w:t>.</w:t>
      </w:r>
      <w:r w:rsidRPr="00B2591F">
        <w:t xml:space="preserve"> Murray Cod Recruitment evaluation questions and answers. CEW = Commonwealth environmental water</w:t>
      </w:r>
      <w:r w:rsidR="00483B42">
        <w:t>.</w:t>
      </w:r>
      <w:bookmarkEnd w:id="517"/>
      <w:bookmarkEnd w:id="518"/>
      <w:bookmarkEnd w:id="5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Murray Cod Recruitment evaluation questions and answers. "/>
      </w:tblPr>
      <w:tblGrid>
        <w:gridCol w:w="2122"/>
        <w:gridCol w:w="1277"/>
        <w:gridCol w:w="1277"/>
        <w:gridCol w:w="1417"/>
        <w:gridCol w:w="1417"/>
        <w:gridCol w:w="1506"/>
      </w:tblGrid>
      <w:tr w:rsidR="00F87105" w:rsidRPr="00145D74" w14:paraId="7D5D3F9E" w14:textId="77777777" w:rsidTr="006A4AFE">
        <w:trPr>
          <w:cantSplit/>
          <w:trHeight w:val="415"/>
          <w:tblHeader/>
        </w:trPr>
        <w:tc>
          <w:tcPr>
            <w:tcW w:w="1177" w:type="pct"/>
            <w:vMerge w:val="restart"/>
            <w:tcBorders>
              <w:top w:val="single" w:sz="4" w:space="0" w:color="auto"/>
              <w:left w:val="single" w:sz="4" w:space="0" w:color="auto"/>
              <w:right w:val="single" w:sz="4" w:space="0" w:color="auto"/>
            </w:tcBorders>
          </w:tcPr>
          <w:p w14:paraId="73918FD3" w14:textId="77777777" w:rsidR="00F87105" w:rsidRPr="00B2591F" w:rsidRDefault="00F87105" w:rsidP="006A4AFE">
            <w:pPr>
              <w:pStyle w:val="TableHeading"/>
              <w:spacing w:before="40" w:after="40"/>
              <w:jc w:val="center"/>
              <w:rPr>
                <w:sz w:val="18"/>
                <w:szCs w:val="18"/>
              </w:rPr>
            </w:pPr>
            <w:bookmarkStart w:id="520" w:name="_Hlk58920469"/>
            <w:r w:rsidRPr="00B2591F">
              <w:rPr>
                <w:sz w:val="18"/>
                <w:szCs w:val="18"/>
              </w:rPr>
              <w:t xml:space="preserve">CEWH evaluation questions </w:t>
            </w:r>
          </w:p>
        </w:tc>
        <w:tc>
          <w:tcPr>
            <w:tcW w:w="3823" w:type="pct"/>
            <w:gridSpan w:val="5"/>
            <w:tcBorders>
              <w:top w:val="single" w:sz="4" w:space="0" w:color="auto"/>
              <w:left w:val="single" w:sz="4" w:space="0" w:color="auto"/>
              <w:right w:val="single" w:sz="4" w:space="0" w:color="auto"/>
            </w:tcBorders>
          </w:tcPr>
          <w:p w14:paraId="324788F0" w14:textId="77777777" w:rsidR="00F87105" w:rsidRPr="00B2591F" w:rsidRDefault="00F87105" w:rsidP="006A4AFE">
            <w:pPr>
              <w:pStyle w:val="TableHeading"/>
              <w:spacing w:before="40" w:after="40"/>
              <w:jc w:val="center"/>
              <w:rPr>
                <w:sz w:val="18"/>
                <w:szCs w:val="18"/>
              </w:rPr>
            </w:pPr>
            <w:r w:rsidRPr="00B2591F">
              <w:rPr>
                <w:sz w:val="18"/>
                <w:szCs w:val="18"/>
              </w:rPr>
              <w:t>Outcomes of CEW delivery</w:t>
            </w:r>
          </w:p>
        </w:tc>
      </w:tr>
      <w:tr w:rsidR="00F87105" w:rsidRPr="00145D74" w14:paraId="6E82B243" w14:textId="77777777" w:rsidTr="006A4AFE">
        <w:trPr>
          <w:cantSplit/>
          <w:trHeight w:val="415"/>
          <w:tblHeader/>
        </w:trPr>
        <w:tc>
          <w:tcPr>
            <w:tcW w:w="1177" w:type="pct"/>
            <w:vMerge/>
            <w:tcBorders>
              <w:left w:val="single" w:sz="4" w:space="0" w:color="auto"/>
              <w:right w:val="single" w:sz="4" w:space="0" w:color="auto"/>
            </w:tcBorders>
          </w:tcPr>
          <w:p w14:paraId="7D5E87D5" w14:textId="77777777" w:rsidR="00F87105" w:rsidRPr="00B2591F" w:rsidRDefault="00F87105" w:rsidP="006A4AFE">
            <w:pPr>
              <w:pStyle w:val="TableHeading"/>
              <w:spacing w:before="40" w:after="40"/>
              <w:jc w:val="center"/>
              <w:rPr>
                <w:sz w:val="18"/>
                <w:szCs w:val="18"/>
              </w:rPr>
            </w:pPr>
          </w:p>
        </w:tc>
        <w:tc>
          <w:tcPr>
            <w:tcW w:w="708" w:type="pct"/>
            <w:tcBorders>
              <w:top w:val="single" w:sz="4" w:space="0" w:color="auto"/>
              <w:left w:val="single" w:sz="4" w:space="0" w:color="auto"/>
              <w:right w:val="single" w:sz="4" w:space="0" w:color="auto"/>
            </w:tcBorders>
          </w:tcPr>
          <w:p w14:paraId="2E8DE4E6" w14:textId="77777777" w:rsidR="00F87105" w:rsidRPr="00B2591F" w:rsidRDefault="00F87105" w:rsidP="006A4AFE">
            <w:pPr>
              <w:pStyle w:val="TableHeading"/>
              <w:spacing w:before="40" w:after="40"/>
              <w:jc w:val="center"/>
              <w:rPr>
                <w:sz w:val="18"/>
                <w:szCs w:val="18"/>
              </w:rPr>
            </w:pPr>
            <w:r w:rsidRPr="00B2591F">
              <w:rPr>
                <w:sz w:val="18"/>
                <w:szCs w:val="18"/>
              </w:rPr>
              <w:t>2019-20</w:t>
            </w:r>
          </w:p>
        </w:tc>
        <w:tc>
          <w:tcPr>
            <w:tcW w:w="708" w:type="pct"/>
            <w:tcBorders>
              <w:top w:val="single" w:sz="4" w:space="0" w:color="auto"/>
              <w:left w:val="single" w:sz="4" w:space="0" w:color="auto"/>
              <w:right w:val="single" w:sz="4" w:space="0" w:color="auto"/>
            </w:tcBorders>
          </w:tcPr>
          <w:p w14:paraId="14932266" w14:textId="77777777" w:rsidR="00F87105" w:rsidRPr="00B2591F" w:rsidRDefault="00F87105" w:rsidP="006A4AFE">
            <w:pPr>
              <w:pStyle w:val="TableHeading"/>
              <w:spacing w:before="40" w:after="40"/>
              <w:jc w:val="center"/>
              <w:rPr>
                <w:sz w:val="18"/>
                <w:szCs w:val="18"/>
              </w:rPr>
            </w:pPr>
            <w:r w:rsidRPr="00B2591F">
              <w:rPr>
                <w:sz w:val="18"/>
                <w:szCs w:val="18"/>
              </w:rPr>
              <w:t>2020-21</w:t>
            </w:r>
          </w:p>
        </w:tc>
        <w:tc>
          <w:tcPr>
            <w:tcW w:w="786" w:type="pct"/>
            <w:tcBorders>
              <w:top w:val="single" w:sz="4" w:space="0" w:color="auto"/>
              <w:left w:val="single" w:sz="4" w:space="0" w:color="auto"/>
              <w:right w:val="single" w:sz="4" w:space="0" w:color="auto"/>
            </w:tcBorders>
          </w:tcPr>
          <w:p w14:paraId="6B9B6A89" w14:textId="77777777" w:rsidR="00F87105" w:rsidRPr="00B2591F" w:rsidRDefault="00F87105" w:rsidP="006A4AFE">
            <w:pPr>
              <w:pStyle w:val="TableHeading"/>
              <w:spacing w:before="40" w:after="40"/>
              <w:jc w:val="center"/>
              <w:rPr>
                <w:sz w:val="18"/>
                <w:szCs w:val="18"/>
              </w:rPr>
            </w:pPr>
            <w:r w:rsidRPr="00B2591F">
              <w:rPr>
                <w:sz w:val="18"/>
                <w:szCs w:val="18"/>
              </w:rPr>
              <w:t>2021-22</w:t>
            </w:r>
          </w:p>
        </w:tc>
        <w:tc>
          <w:tcPr>
            <w:tcW w:w="786" w:type="pct"/>
            <w:tcBorders>
              <w:top w:val="single" w:sz="4" w:space="0" w:color="auto"/>
              <w:left w:val="single" w:sz="4" w:space="0" w:color="auto"/>
              <w:right w:val="single" w:sz="4" w:space="0" w:color="auto"/>
            </w:tcBorders>
          </w:tcPr>
          <w:p w14:paraId="4452EE8C" w14:textId="77777777" w:rsidR="00F87105" w:rsidRPr="00B2591F" w:rsidRDefault="00F87105" w:rsidP="006A4AFE">
            <w:pPr>
              <w:pStyle w:val="TableHeading"/>
              <w:spacing w:before="40" w:after="40"/>
              <w:jc w:val="center"/>
              <w:rPr>
                <w:sz w:val="18"/>
                <w:szCs w:val="18"/>
              </w:rPr>
            </w:pPr>
            <w:r w:rsidRPr="00B2591F">
              <w:rPr>
                <w:sz w:val="18"/>
                <w:szCs w:val="18"/>
              </w:rPr>
              <w:t>2022-23</w:t>
            </w:r>
          </w:p>
        </w:tc>
        <w:tc>
          <w:tcPr>
            <w:tcW w:w="836" w:type="pct"/>
            <w:tcBorders>
              <w:top w:val="single" w:sz="4" w:space="0" w:color="auto"/>
              <w:left w:val="single" w:sz="4" w:space="0" w:color="auto"/>
              <w:right w:val="single" w:sz="4" w:space="0" w:color="auto"/>
            </w:tcBorders>
          </w:tcPr>
          <w:p w14:paraId="3C96568A" w14:textId="77777777" w:rsidR="00F87105" w:rsidRPr="00B2591F" w:rsidRDefault="00F87105" w:rsidP="006A4AFE">
            <w:pPr>
              <w:pStyle w:val="TableHeading"/>
              <w:spacing w:before="40" w:after="40"/>
              <w:jc w:val="center"/>
              <w:rPr>
                <w:sz w:val="18"/>
                <w:szCs w:val="18"/>
              </w:rPr>
            </w:pPr>
            <w:r w:rsidRPr="00B2591F">
              <w:rPr>
                <w:sz w:val="18"/>
                <w:szCs w:val="18"/>
              </w:rPr>
              <w:t>2023-24</w:t>
            </w:r>
          </w:p>
        </w:tc>
      </w:tr>
      <w:tr w:rsidR="00F87105" w:rsidRPr="00145D74" w14:paraId="55267E5E" w14:textId="77777777" w:rsidTr="006A4AFE">
        <w:trPr>
          <w:cantSplit/>
          <w:trHeight w:val="451"/>
        </w:trPr>
        <w:tc>
          <w:tcPr>
            <w:tcW w:w="1177" w:type="pct"/>
            <w:vMerge w:val="restart"/>
            <w:tcBorders>
              <w:top w:val="single" w:sz="4" w:space="0" w:color="auto"/>
              <w:left w:val="single" w:sz="4" w:space="0" w:color="auto"/>
              <w:right w:val="single" w:sz="4" w:space="0" w:color="auto"/>
            </w:tcBorders>
          </w:tcPr>
          <w:p w14:paraId="26FDB525" w14:textId="77777777" w:rsidR="00F87105" w:rsidRPr="00B2591F" w:rsidRDefault="00F87105" w:rsidP="006A4AFE">
            <w:pPr>
              <w:pStyle w:val="TableHeading"/>
              <w:spacing w:before="40" w:after="40"/>
              <w:jc w:val="left"/>
              <w:rPr>
                <w:b w:val="0"/>
                <w:sz w:val="18"/>
                <w:szCs w:val="18"/>
              </w:rPr>
            </w:pPr>
            <w:r w:rsidRPr="00B2591F">
              <w:rPr>
                <w:b w:val="0"/>
                <w:sz w:val="18"/>
                <w:szCs w:val="18"/>
              </w:rPr>
              <w:t>What did CEW contribute to the growth and morphometric condition of Murray cod?</w:t>
            </w:r>
          </w:p>
        </w:tc>
        <w:tc>
          <w:tcPr>
            <w:tcW w:w="70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1B0935" w14:textId="77777777" w:rsidR="00F87105" w:rsidRPr="00B2591F" w:rsidRDefault="00F87105" w:rsidP="006A4AFE">
            <w:pPr>
              <w:pStyle w:val="TableHeading"/>
              <w:spacing w:before="40" w:after="40"/>
              <w:jc w:val="left"/>
              <w:rPr>
                <w:b w:val="0"/>
                <w:sz w:val="18"/>
                <w:szCs w:val="18"/>
              </w:rPr>
            </w:pPr>
            <w:r w:rsidRPr="00B2591F">
              <w:rPr>
                <w:b w:val="0"/>
                <w:sz w:val="18"/>
                <w:szCs w:val="18"/>
              </w:rPr>
              <w:t>Unknown</w:t>
            </w:r>
          </w:p>
        </w:tc>
        <w:tc>
          <w:tcPr>
            <w:tcW w:w="70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3D1C02" w14:textId="77777777" w:rsidR="00F87105" w:rsidRPr="00B2591F" w:rsidRDefault="00F87105" w:rsidP="006A4AFE">
            <w:pPr>
              <w:pStyle w:val="TableHeading"/>
              <w:spacing w:before="40" w:after="40"/>
              <w:jc w:val="left"/>
              <w:rPr>
                <w:b w:val="0"/>
                <w:sz w:val="18"/>
                <w:szCs w:val="18"/>
              </w:rPr>
            </w:pPr>
            <w:r w:rsidRPr="00B2591F">
              <w:rPr>
                <w:b w:val="0"/>
                <w:sz w:val="18"/>
                <w:szCs w:val="18"/>
              </w:rPr>
              <w:t>Unknown</w:t>
            </w:r>
          </w:p>
        </w:tc>
        <w:tc>
          <w:tcPr>
            <w:tcW w:w="7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6845FB" w14:textId="77777777" w:rsidR="00F87105" w:rsidRPr="00B2591F" w:rsidRDefault="00F87105" w:rsidP="006A4AFE">
            <w:pPr>
              <w:pStyle w:val="TableHeading"/>
              <w:spacing w:before="40" w:after="40"/>
              <w:jc w:val="left"/>
              <w:rPr>
                <w:b w:val="0"/>
                <w:sz w:val="18"/>
                <w:szCs w:val="18"/>
              </w:rPr>
            </w:pPr>
            <w:r w:rsidRPr="00B2591F">
              <w:rPr>
                <w:b w:val="0"/>
                <w:sz w:val="18"/>
                <w:szCs w:val="18"/>
              </w:rPr>
              <w:t>Unknown</w:t>
            </w:r>
          </w:p>
        </w:tc>
        <w:tc>
          <w:tcPr>
            <w:tcW w:w="7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516C14" w14:textId="77777777" w:rsidR="00F87105" w:rsidRPr="00B2591F" w:rsidRDefault="00F87105" w:rsidP="006A4AFE">
            <w:pPr>
              <w:pStyle w:val="TableHeading"/>
              <w:spacing w:before="40" w:after="40"/>
              <w:jc w:val="left"/>
              <w:rPr>
                <w:b w:val="0"/>
                <w:sz w:val="18"/>
                <w:szCs w:val="18"/>
              </w:rPr>
            </w:pPr>
            <w:r w:rsidRPr="00B2591F">
              <w:rPr>
                <w:b w:val="0"/>
                <w:sz w:val="18"/>
                <w:szCs w:val="18"/>
              </w:rPr>
              <w:t>Unknown</w:t>
            </w:r>
          </w:p>
        </w:tc>
        <w:tc>
          <w:tcPr>
            <w:tcW w:w="8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ABF016" w14:textId="77777777" w:rsidR="00F87105" w:rsidRPr="00B2591F" w:rsidRDefault="00F87105" w:rsidP="006A4AFE">
            <w:pPr>
              <w:pStyle w:val="TableHeading"/>
              <w:spacing w:before="40" w:after="40"/>
              <w:jc w:val="left"/>
              <w:rPr>
                <w:b w:val="0"/>
                <w:sz w:val="18"/>
                <w:szCs w:val="18"/>
              </w:rPr>
            </w:pPr>
            <w:r w:rsidRPr="00B2591F">
              <w:rPr>
                <w:b w:val="0"/>
                <w:sz w:val="18"/>
                <w:szCs w:val="18"/>
              </w:rPr>
              <w:t>Unknown</w:t>
            </w:r>
          </w:p>
        </w:tc>
      </w:tr>
      <w:tr w:rsidR="00F87105" w:rsidRPr="00145D74" w14:paraId="30303738" w14:textId="77777777" w:rsidTr="008B4826">
        <w:trPr>
          <w:cantSplit/>
          <w:trHeight w:val="1159"/>
        </w:trPr>
        <w:tc>
          <w:tcPr>
            <w:tcW w:w="1177" w:type="pct"/>
            <w:vMerge/>
            <w:tcBorders>
              <w:left w:val="single" w:sz="4" w:space="0" w:color="auto"/>
              <w:bottom w:val="single" w:sz="4" w:space="0" w:color="auto"/>
              <w:right w:val="single" w:sz="4" w:space="0" w:color="auto"/>
            </w:tcBorders>
          </w:tcPr>
          <w:p w14:paraId="40CAB816" w14:textId="77777777" w:rsidR="00F87105" w:rsidRPr="00145D74" w:rsidRDefault="00F87105" w:rsidP="006A4AFE">
            <w:pPr>
              <w:pStyle w:val="TableHeading"/>
              <w:spacing w:before="40" w:after="40"/>
              <w:jc w:val="left"/>
              <w:rPr>
                <w:b w:val="0"/>
                <w:sz w:val="18"/>
                <w:szCs w:val="18"/>
                <w:highlight w:val="yellow"/>
              </w:rPr>
            </w:pPr>
          </w:p>
        </w:tc>
        <w:tc>
          <w:tcPr>
            <w:tcW w:w="3823" w:type="pct"/>
            <w:gridSpan w:val="5"/>
            <w:tcBorders>
              <w:top w:val="single" w:sz="4" w:space="0" w:color="auto"/>
              <w:left w:val="single" w:sz="4" w:space="0" w:color="auto"/>
              <w:bottom w:val="single" w:sz="4" w:space="0" w:color="auto"/>
              <w:right w:val="single" w:sz="4" w:space="0" w:color="auto"/>
            </w:tcBorders>
          </w:tcPr>
          <w:p w14:paraId="3C04F8F6" w14:textId="77777777" w:rsidR="00F87105" w:rsidRPr="00F71F14" w:rsidRDefault="00F87105" w:rsidP="006A4AFE">
            <w:pPr>
              <w:pStyle w:val="TableHeading"/>
              <w:spacing w:before="40"/>
              <w:jc w:val="left"/>
              <w:rPr>
                <w:b w:val="0"/>
                <w:sz w:val="18"/>
                <w:szCs w:val="18"/>
              </w:rPr>
            </w:pPr>
            <w:r w:rsidRPr="00F71F14">
              <w:rPr>
                <w:b w:val="0"/>
                <w:sz w:val="18"/>
                <w:szCs w:val="18"/>
              </w:rPr>
              <w:t>The influence of CEW on the growth and condition of Murray cod in 2023-24 is unknown.</w:t>
            </w:r>
          </w:p>
          <w:p w14:paraId="25CFCE75" w14:textId="77777777" w:rsidR="00F87105" w:rsidRPr="00145D74" w:rsidRDefault="00F87105" w:rsidP="006A4AFE">
            <w:pPr>
              <w:pStyle w:val="TableHeading"/>
              <w:spacing w:before="40"/>
              <w:jc w:val="left"/>
              <w:rPr>
                <w:b w:val="0"/>
                <w:sz w:val="18"/>
                <w:szCs w:val="18"/>
                <w:highlight w:val="yellow"/>
              </w:rPr>
            </w:pPr>
            <w:r w:rsidRPr="00F71F14">
              <w:rPr>
                <w:b w:val="0"/>
                <w:sz w:val="18"/>
                <w:szCs w:val="18"/>
              </w:rPr>
              <w:t>This is not a long-term evaluation question.</w:t>
            </w:r>
          </w:p>
        </w:tc>
      </w:tr>
      <w:tr w:rsidR="00F87105" w:rsidRPr="00145D74" w14:paraId="0D5FB2A7" w14:textId="77777777" w:rsidTr="006A4AFE">
        <w:trPr>
          <w:cantSplit/>
          <w:trHeight w:val="531"/>
        </w:trPr>
        <w:tc>
          <w:tcPr>
            <w:tcW w:w="1177" w:type="pct"/>
            <w:vMerge w:val="restart"/>
            <w:tcBorders>
              <w:top w:val="single" w:sz="4" w:space="0" w:color="auto"/>
              <w:left w:val="single" w:sz="4" w:space="0" w:color="auto"/>
              <w:right w:val="single" w:sz="4" w:space="0" w:color="auto"/>
            </w:tcBorders>
          </w:tcPr>
          <w:p w14:paraId="44C33B95" w14:textId="77777777" w:rsidR="00F87105" w:rsidRPr="00145D74" w:rsidRDefault="00F87105" w:rsidP="006A4AFE">
            <w:pPr>
              <w:pStyle w:val="TableHeading"/>
              <w:spacing w:before="40" w:after="40"/>
              <w:jc w:val="left"/>
              <w:rPr>
                <w:b w:val="0"/>
                <w:sz w:val="18"/>
                <w:szCs w:val="18"/>
                <w:highlight w:val="yellow"/>
              </w:rPr>
            </w:pPr>
            <w:r w:rsidRPr="00B2591F">
              <w:rPr>
                <w:b w:val="0"/>
                <w:sz w:val="18"/>
                <w:szCs w:val="18"/>
              </w:rPr>
              <w:t>What did the flow regime (including environmental water) contribute to recruitment of Murray cod?</w:t>
            </w:r>
          </w:p>
        </w:tc>
        <w:tc>
          <w:tcPr>
            <w:tcW w:w="708" w:type="pct"/>
            <w:tcBorders>
              <w:top w:val="single" w:sz="4" w:space="0" w:color="auto"/>
              <w:left w:val="single" w:sz="4" w:space="0" w:color="auto"/>
              <w:bottom w:val="single" w:sz="4" w:space="0" w:color="auto"/>
              <w:right w:val="single" w:sz="4" w:space="0" w:color="auto"/>
            </w:tcBorders>
            <w:shd w:val="clear" w:color="auto" w:fill="5B9BD5" w:themeFill="accent1"/>
          </w:tcPr>
          <w:p w14:paraId="10D18D9C" w14:textId="77777777" w:rsidR="00F87105" w:rsidRPr="00B2591F" w:rsidRDefault="00F87105" w:rsidP="006A4AFE">
            <w:pPr>
              <w:pStyle w:val="TableHeading"/>
              <w:spacing w:before="40" w:after="40"/>
              <w:jc w:val="center"/>
              <w:rPr>
                <w:b w:val="0"/>
                <w:sz w:val="18"/>
                <w:szCs w:val="18"/>
              </w:rPr>
            </w:pPr>
            <w:r w:rsidRPr="00B2591F">
              <w:rPr>
                <w:b w:val="0"/>
                <w:sz w:val="18"/>
                <w:szCs w:val="18"/>
              </w:rPr>
              <w:t>Recruitment</w:t>
            </w:r>
          </w:p>
        </w:tc>
        <w:tc>
          <w:tcPr>
            <w:tcW w:w="7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2326247" w14:textId="77777777" w:rsidR="00F87105" w:rsidRPr="00B2591F" w:rsidRDefault="00F87105" w:rsidP="006A4AFE">
            <w:pPr>
              <w:pStyle w:val="TableHeading"/>
              <w:spacing w:before="40" w:after="40"/>
              <w:jc w:val="left"/>
              <w:rPr>
                <w:b w:val="0"/>
                <w:sz w:val="18"/>
                <w:szCs w:val="18"/>
              </w:rPr>
            </w:pPr>
            <w:r w:rsidRPr="00B2591F">
              <w:rPr>
                <w:b w:val="0"/>
                <w:sz w:val="18"/>
                <w:szCs w:val="18"/>
              </w:rPr>
              <w:t>Negligible recruitment</w:t>
            </w:r>
          </w:p>
        </w:tc>
        <w:tc>
          <w:tcPr>
            <w:tcW w:w="786"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1F11801" w14:textId="77777777" w:rsidR="00F87105" w:rsidRPr="00B2591F" w:rsidRDefault="00F87105" w:rsidP="006A4AFE">
            <w:pPr>
              <w:pStyle w:val="TableHeading"/>
              <w:spacing w:before="40" w:after="40"/>
              <w:jc w:val="left"/>
              <w:rPr>
                <w:b w:val="0"/>
                <w:sz w:val="18"/>
                <w:szCs w:val="18"/>
              </w:rPr>
            </w:pPr>
            <w:r w:rsidRPr="00B2591F">
              <w:rPr>
                <w:b w:val="0"/>
                <w:sz w:val="18"/>
                <w:szCs w:val="18"/>
              </w:rPr>
              <w:t>Negligible recruitment</w:t>
            </w:r>
          </w:p>
        </w:tc>
        <w:tc>
          <w:tcPr>
            <w:tcW w:w="786" w:type="pct"/>
            <w:tcBorders>
              <w:top w:val="single" w:sz="4" w:space="0" w:color="auto"/>
              <w:left w:val="single" w:sz="4" w:space="0" w:color="auto"/>
              <w:bottom w:val="single" w:sz="4" w:space="0" w:color="auto"/>
              <w:right w:val="single" w:sz="4" w:space="0" w:color="auto"/>
            </w:tcBorders>
            <w:shd w:val="clear" w:color="auto" w:fill="70AD47" w:themeFill="accent6"/>
          </w:tcPr>
          <w:p w14:paraId="4932D2E0" w14:textId="77777777" w:rsidR="00F87105" w:rsidRPr="00B2591F" w:rsidRDefault="00F87105" w:rsidP="006A4AFE">
            <w:pPr>
              <w:pStyle w:val="TableHeading"/>
              <w:spacing w:before="40" w:after="40"/>
              <w:jc w:val="left"/>
              <w:rPr>
                <w:b w:val="0"/>
                <w:sz w:val="18"/>
                <w:szCs w:val="18"/>
              </w:rPr>
            </w:pPr>
            <w:r w:rsidRPr="00B2591F">
              <w:rPr>
                <w:b w:val="0"/>
                <w:sz w:val="18"/>
                <w:szCs w:val="18"/>
              </w:rPr>
              <w:t>Recruitment</w:t>
            </w:r>
          </w:p>
        </w:tc>
        <w:tc>
          <w:tcPr>
            <w:tcW w:w="836"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DD0C699" w14:textId="77777777" w:rsidR="00F87105" w:rsidRPr="00B2591F" w:rsidRDefault="00F87105" w:rsidP="006A4AFE">
            <w:pPr>
              <w:pStyle w:val="TableHeading"/>
              <w:spacing w:before="40" w:after="40"/>
              <w:jc w:val="left"/>
              <w:rPr>
                <w:b w:val="0"/>
                <w:sz w:val="18"/>
                <w:szCs w:val="18"/>
              </w:rPr>
            </w:pPr>
            <w:r w:rsidRPr="00B2591F">
              <w:rPr>
                <w:b w:val="0"/>
                <w:sz w:val="18"/>
                <w:szCs w:val="18"/>
              </w:rPr>
              <w:t>Recruitment</w:t>
            </w:r>
          </w:p>
        </w:tc>
      </w:tr>
      <w:tr w:rsidR="00F87105" w:rsidRPr="00145D74" w14:paraId="1BB6BF38" w14:textId="77777777" w:rsidTr="008B4826">
        <w:trPr>
          <w:cantSplit/>
          <w:trHeight w:val="1193"/>
        </w:trPr>
        <w:tc>
          <w:tcPr>
            <w:tcW w:w="1177" w:type="pct"/>
            <w:vMerge/>
            <w:tcBorders>
              <w:left w:val="single" w:sz="4" w:space="0" w:color="auto"/>
              <w:bottom w:val="single" w:sz="4" w:space="0" w:color="auto"/>
              <w:right w:val="single" w:sz="4" w:space="0" w:color="auto"/>
            </w:tcBorders>
          </w:tcPr>
          <w:p w14:paraId="2B5566B1" w14:textId="77777777" w:rsidR="00F87105" w:rsidRPr="00145D74" w:rsidRDefault="00F87105" w:rsidP="006A4AFE">
            <w:pPr>
              <w:pStyle w:val="TableHeading"/>
              <w:spacing w:before="40" w:after="40"/>
              <w:jc w:val="left"/>
              <w:rPr>
                <w:b w:val="0"/>
                <w:sz w:val="18"/>
                <w:szCs w:val="18"/>
                <w:highlight w:val="yellow"/>
              </w:rPr>
            </w:pPr>
          </w:p>
        </w:tc>
        <w:tc>
          <w:tcPr>
            <w:tcW w:w="3823" w:type="pct"/>
            <w:gridSpan w:val="5"/>
            <w:tcBorders>
              <w:top w:val="single" w:sz="4" w:space="0" w:color="auto"/>
              <w:left w:val="single" w:sz="4" w:space="0" w:color="auto"/>
              <w:bottom w:val="single" w:sz="4" w:space="0" w:color="auto"/>
              <w:right w:val="single" w:sz="4" w:space="0" w:color="auto"/>
            </w:tcBorders>
          </w:tcPr>
          <w:p w14:paraId="06516CB8" w14:textId="77777777" w:rsidR="00F87105" w:rsidRPr="00145D74" w:rsidRDefault="00F87105" w:rsidP="006A4AFE">
            <w:pPr>
              <w:pStyle w:val="TableHeading"/>
              <w:spacing w:before="40" w:after="40"/>
              <w:jc w:val="left"/>
              <w:rPr>
                <w:b w:val="0"/>
                <w:sz w:val="18"/>
                <w:szCs w:val="18"/>
                <w:highlight w:val="yellow"/>
              </w:rPr>
            </w:pPr>
            <w:r w:rsidRPr="009B1557">
              <w:rPr>
                <w:b w:val="0"/>
                <w:sz w:val="18"/>
                <w:szCs w:val="18"/>
              </w:rPr>
              <w:t xml:space="preserve">In 2023-24, minor recruitment of Murray cod (YOY representing 13% of sampled population) was </w:t>
            </w:r>
            <w:r w:rsidRPr="00D80298">
              <w:rPr>
                <w:b w:val="0"/>
                <w:sz w:val="18"/>
                <w:szCs w:val="18"/>
              </w:rPr>
              <w:t xml:space="preserve">associated with high in-channel (20,000–30,000 ML/d) flow and lotic conditions. Environmental water contributed to 42% of total flow (CEW 31% of total) during the spawning and early life history period from October to mid-December 2023. </w:t>
            </w:r>
            <w:r>
              <w:rPr>
                <w:b w:val="0"/>
                <w:sz w:val="18"/>
                <w:szCs w:val="18"/>
              </w:rPr>
              <w:t xml:space="preserve">However, due to unregulated flows, CEW had </w:t>
            </w:r>
            <w:r w:rsidRPr="00D80298">
              <w:rPr>
                <w:b w:val="0"/>
                <w:sz w:val="18"/>
                <w:szCs w:val="18"/>
              </w:rPr>
              <w:t>negligible influence on the maximum length of river characterised as lotic (mean water velocity &gt;0.3 m/s) (i.e.</w:t>
            </w:r>
            <w:r>
              <w:rPr>
                <w:b w:val="0"/>
                <w:sz w:val="18"/>
                <w:szCs w:val="18"/>
              </w:rPr>
              <w:t xml:space="preserve"> increase of</w:t>
            </w:r>
            <w:r w:rsidRPr="00D80298">
              <w:rPr>
                <w:b w:val="0"/>
                <w:sz w:val="18"/>
                <w:szCs w:val="18"/>
              </w:rPr>
              <w:t xml:space="preserve"> &lt;1 km and &lt;1% for at least 30 days).</w:t>
            </w:r>
          </w:p>
          <w:p w14:paraId="7CC48F34" w14:textId="77777777" w:rsidR="00F87105" w:rsidRPr="00145D74" w:rsidRDefault="00F87105" w:rsidP="006A4AFE">
            <w:pPr>
              <w:pStyle w:val="TableHeading"/>
              <w:spacing w:before="40" w:after="40"/>
              <w:jc w:val="left"/>
              <w:rPr>
                <w:b w:val="0"/>
                <w:sz w:val="18"/>
                <w:szCs w:val="18"/>
                <w:highlight w:val="yellow"/>
              </w:rPr>
            </w:pPr>
            <w:r w:rsidRPr="009B1557">
              <w:rPr>
                <w:b w:val="0"/>
                <w:sz w:val="18"/>
                <w:szCs w:val="18"/>
              </w:rPr>
              <w:t>This is not a long-term evaluation question.</w:t>
            </w:r>
          </w:p>
        </w:tc>
      </w:tr>
      <w:tr w:rsidR="00F87105" w:rsidRPr="00145D74" w14:paraId="4006673B" w14:textId="77777777" w:rsidTr="006A4AFE">
        <w:trPr>
          <w:cantSplit/>
          <w:trHeight w:val="1425"/>
        </w:trPr>
        <w:tc>
          <w:tcPr>
            <w:tcW w:w="1177" w:type="pct"/>
            <w:tcBorders>
              <w:top w:val="single" w:sz="4" w:space="0" w:color="auto"/>
              <w:left w:val="single" w:sz="4" w:space="0" w:color="auto"/>
              <w:right w:val="single" w:sz="4" w:space="0" w:color="auto"/>
            </w:tcBorders>
          </w:tcPr>
          <w:p w14:paraId="4CD28E9A" w14:textId="77777777" w:rsidR="00F87105" w:rsidRPr="00145D74" w:rsidRDefault="00F87105" w:rsidP="006A4AFE">
            <w:pPr>
              <w:pStyle w:val="TableHeading"/>
              <w:spacing w:before="40" w:after="40"/>
              <w:jc w:val="left"/>
              <w:rPr>
                <w:b w:val="0"/>
                <w:sz w:val="18"/>
                <w:szCs w:val="18"/>
                <w:highlight w:val="yellow"/>
              </w:rPr>
            </w:pPr>
            <w:r w:rsidRPr="009B1557">
              <w:rPr>
                <w:b w:val="0"/>
                <w:sz w:val="18"/>
                <w:szCs w:val="18"/>
              </w:rPr>
              <w:t>What did the flow regime (including environmental water) contribute to the resilience of Murray cod populations?</w:t>
            </w:r>
          </w:p>
        </w:tc>
        <w:tc>
          <w:tcPr>
            <w:tcW w:w="3823" w:type="pct"/>
            <w:gridSpan w:val="5"/>
            <w:tcBorders>
              <w:top w:val="single" w:sz="4" w:space="0" w:color="auto"/>
              <w:left w:val="single" w:sz="4" w:space="0" w:color="auto"/>
              <w:right w:val="single" w:sz="4" w:space="0" w:color="auto"/>
            </w:tcBorders>
            <w:shd w:val="clear" w:color="auto" w:fill="70AD47" w:themeFill="accent6"/>
          </w:tcPr>
          <w:p w14:paraId="44B579D2" w14:textId="77777777" w:rsidR="00F87105" w:rsidRPr="009B1557" w:rsidRDefault="00F87105" w:rsidP="006A4AFE">
            <w:pPr>
              <w:pStyle w:val="TableHeading"/>
              <w:spacing w:before="80" w:after="80"/>
              <w:rPr>
                <w:b w:val="0"/>
                <w:sz w:val="18"/>
                <w:szCs w:val="18"/>
              </w:rPr>
            </w:pPr>
            <w:r w:rsidRPr="009B1557">
              <w:rPr>
                <w:b w:val="0"/>
                <w:sz w:val="18"/>
                <w:szCs w:val="18"/>
              </w:rPr>
              <w:t>Long-term (201</w:t>
            </w:r>
            <w:r>
              <w:rPr>
                <w:b w:val="0"/>
                <w:sz w:val="18"/>
                <w:szCs w:val="18"/>
              </w:rPr>
              <w:t>9</w:t>
            </w:r>
            <w:r w:rsidRPr="009B1557">
              <w:rPr>
                <w:b w:val="0"/>
                <w:sz w:val="18"/>
                <w:szCs w:val="18"/>
              </w:rPr>
              <w:t>–2024) outcome = moderate.</w:t>
            </w:r>
          </w:p>
          <w:p w14:paraId="010F38E5" w14:textId="52D1CAA0" w:rsidR="00F87105" w:rsidRPr="00145D74" w:rsidRDefault="00F87105" w:rsidP="006A4AFE">
            <w:pPr>
              <w:pStyle w:val="TableHeading"/>
              <w:spacing w:before="80" w:after="80"/>
              <w:rPr>
                <w:b w:val="0"/>
                <w:sz w:val="18"/>
                <w:szCs w:val="18"/>
                <w:highlight w:val="yellow"/>
              </w:rPr>
            </w:pPr>
            <w:r w:rsidRPr="00BD516D">
              <w:rPr>
                <w:b w:val="0"/>
                <w:sz w:val="18"/>
                <w:szCs w:val="18"/>
              </w:rPr>
              <w:t>In 2024, recent recruits and sub</w:t>
            </w:r>
            <w:r w:rsidR="002C6E2F">
              <w:rPr>
                <w:b w:val="0"/>
                <w:sz w:val="18"/>
                <w:szCs w:val="18"/>
              </w:rPr>
              <w:t>-</w:t>
            </w:r>
            <w:r w:rsidRPr="00BD516D">
              <w:rPr>
                <w:b w:val="0"/>
                <w:sz w:val="18"/>
                <w:szCs w:val="18"/>
              </w:rPr>
              <w:t xml:space="preserve">adults (&lt;600 mm) from 2019-20 to 2023-24 represented 60% of the sampled population. Recruitment during these years </w:t>
            </w:r>
            <w:r>
              <w:rPr>
                <w:b w:val="0"/>
                <w:sz w:val="18"/>
                <w:szCs w:val="18"/>
              </w:rPr>
              <w:t xml:space="preserve">(except 2022-23) </w:t>
            </w:r>
            <w:r w:rsidRPr="00BD516D">
              <w:rPr>
                <w:b w:val="0"/>
                <w:sz w:val="18"/>
                <w:szCs w:val="18"/>
              </w:rPr>
              <w:t>was associated with in-channel spring flow pulses, supported by environmental water. The presence of these cohorts has contributed to the population resilience of Murray cod in the LMR.</w:t>
            </w:r>
          </w:p>
        </w:tc>
      </w:tr>
      <w:bookmarkEnd w:id="520"/>
    </w:tbl>
    <w:p w14:paraId="50B32B8F" w14:textId="77777777" w:rsidR="00F87105" w:rsidRPr="00145D74" w:rsidRDefault="00F87105" w:rsidP="00F87105">
      <w:pPr>
        <w:pStyle w:val="NoSpacing"/>
        <w:rPr>
          <w:rFonts w:ascii="Century Gothic" w:hAnsi="Century Gothic"/>
          <w:sz w:val="4"/>
          <w:szCs w:val="4"/>
          <w:highlight w:val="yellow"/>
        </w:rPr>
      </w:pPr>
    </w:p>
    <w:p w14:paraId="049AEC30" w14:textId="77777777" w:rsidR="00F87105" w:rsidRPr="009B1557" w:rsidRDefault="00F87105" w:rsidP="00F87105">
      <w:pPr>
        <w:spacing w:before="0" w:after="0" w:line="240" w:lineRule="auto"/>
        <w:jc w:val="left"/>
        <w:rPr>
          <w:color w:val="auto"/>
          <w:kern w:val="0"/>
          <w:sz w:val="18"/>
          <w:szCs w:val="18"/>
          <w:lang w:val="en-US" w:bidi="en-US"/>
        </w:rPr>
      </w:pPr>
      <w:r w:rsidRPr="009B1557">
        <w:rPr>
          <w:color w:val="auto"/>
          <w:kern w:val="0"/>
          <w:sz w:val="18"/>
          <w:szCs w:val="18"/>
          <w:lang w:val="en-US" w:bidi="en-US"/>
        </w:rPr>
        <w:t>Assignment of contribution (to what extent the flow regime [including environmental water] contributed towards the outcome, with the significance of the outcome considered) is semi-quantitative.</w:t>
      </w:r>
    </w:p>
    <w:tbl>
      <w:tblPr>
        <w:tblW w:w="6961" w:type="dxa"/>
        <w:tblLook w:val="04A0" w:firstRow="1" w:lastRow="0" w:firstColumn="1" w:lastColumn="0" w:noHBand="0" w:noVBand="1"/>
      </w:tblPr>
      <w:tblGrid>
        <w:gridCol w:w="222"/>
        <w:gridCol w:w="1066"/>
        <w:gridCol w:w="222"/>
        <w:gridCol w:w="1704"/>
        <w:gridCol w:w="222"/>
        <w:gridCol w:w="727"/>
        <w:gridCol w:w="222"/>
        <w:gridCol w:w="1144"/>
        <w:gridCol w:w="222"/>
        <w:gridCol w:w="1210"/>
      </w:tblGrid>
      <w:tr w:rsidR="00F87105" w:rsidRPr="00145D74" w14:paraId="0D576B78" w14:textId="77777777" w:rsidTr="006A4AFE">
        <w:tc>
          <w:tcPr>
            <w:tcW w:w="222" w:type="dxa"/>
            <w:shd w:val="clear" w:color="auto" w:fill="D9D9D9" w:themeFill="background1" w:themeFillShade="D9"/>
          </w:tcPr>
          <w:p w14:paraId="46639BBE" w14:textId="77777777" w:rsidR="00F87105" w:rsidRPr="009B1557" w:rsidRDefault="00F87105" w:rsidP="006A4AFE">
            <w:pPr>
              <w:contextualSpacing/>
              <w:rPr>
                <w:sz w:val="18"/>
                <w:szCs w:val="18"/>
              </w:rPr>
            </w:pPr>
          </w:p>
        </w:tc>
        <w:tc>
          <w:tcPr>
            <w:tcW w:w="1066" w:type="dxa"/>
            <w:vAlign w:val="center"/>
          </w:tcPr>
          <w:p w14:paraId="765AAB9A" w14:textId="77777777" w:rsidR="00F87105" w:rsidRPr="009B1557" w:rsidRDefault="00F87105" w:rsidP="006A4AFE">
            <w:pPr>
              <w:contextualSpacing/>
              <w:rPr>
                <w:sz w:val="18"/>
                <w:szCs w:val="18"/>
              </w:rPr>
            </w:pPr>
            <w:r w:rsidRPr="009B1557">
              <w:rPr>
                <w:sz w:val="18"/>
                <w:szCs w:val="18"/>
              </w:rPr>
              <w:t>Unknown</w:t>
            </w:r>
          </w:p>
        </w:tc>
        <w:tc>
          <w:tcPr>
            <w:tcW w:w="222" w:type="dxa"/>
            <w:shd w:val="clear" w:color="auto" w:fill="E2EFD9" w:themeFill="accent6" w:themeFillTint="33"/>
            <w:vAlign w:val="center"/>
          </w:tcPr>
          <w:p w14:paraId="0F761C26" w14:textId="77777777" w:rsidR="00F87105" w:rsidRPr="009B1557" w:rsidRDefault="00F87105" w:rsidP="006A4AFE">
            <w:pPr>
              <w:contextualSpacing/>
              <w:rPr>
                <w:sz w:val="18"/>
                <w:szCs w:val="18"/>
              </w:rPr>
            </w:pPr>
          </w:p>
        </w:tc>
        <w:tc>
          <w:tcPr>
            <w:tcW w:w="1704" w:type="dxa"/>
            <w:vAlign w:val="center"/>
          </w:tcPr>
          <w:p w14:paraId="4122922E" w14:textId="77777777" w:rsidR="00F87105" w:rsidRPr="009B1557" w:rsidRDefault="00F87105" w:rsidP="006A4AFE">
            <w:pPr>
              <w:contextualSpacing/>
              <w:rPr>
                <w:sz w:val="18"/>
                <w:szCs w:val="18"/>
              </w:rPr>
            </w:pPr>
            <w:r w:rsidRPr="009B1557">
              <w:rPr>
                <w:sz w:val="18"/>
                <w:szCs w:val="18"/>
              </w:rPr>
              <w:t>None/negligible</w:t>
            </w:r>
          </w:p>
        </w:tc>
        <w:tc>
          <w:tcPr>
            <w:tcW w:w="222" w:type="dxa"/>
            <w:shd w:val="clear" w:color="auto" w:fill="A8D08D" w:themeFill="accent6" w:themeFillTint="99"/>
            <w:vAlign w:val="center"/>
          </w:tcPr>
          <w:p w14:paraId="664EC746" w14:textId="77777777" w:rsidR="00F87105" w:rsidRPr="009B1557" w:rsidRDefault="00F87105" w:rsidP="006A4AFE">
            <w:pPr>
              <w:contextualSpacing/>
              <w:rPr>
                <w:sz w:val="18"/>
                <w:szCs w:val="18"/>
              </w:rPr>
            </w:pPr>
          </w:p>
        </w:tc>
        <w:tc>
          <w:tcPr>
            <w:tcW w:w="727" w:type="dxa"/>
            <w:vAlign w:val="center"/>
          </w:tcPr>
          <w:p w14:paraId="773FBD17" w14:textId="77777777" w:rsidR="00F87105" w:rsidRPr="009B1557" w:rsidRDefault="00F87105" w:rsidP="006A4AFE">
            <w:pPr>
              <w:contextualSpacing/>
              <w:rPr>
                <w:sz w:val="18"/>
                <w:szCs w:val="18"/>
              </w:rPr>
            </w:pPr>
            <w:r w:rsidRPr="009B1557">
              <w:rPr>
                <w:sz w:val="18"/>
                <w:szCs w:val="18"/>
              </w:rPr>
              <w:t>Minor</w:t>
            </w:r>
          </w:p>
        </w:tc>
        <w:tc>
          <w:tcPr>
            <w:tcW w:w="222" w:type="dxa"/>
            <w:shd w:val="clear" w:color="auto" w:fill="70AD47" w:themeFill="accent6"/>
            <w:vAlign w:val="center"/>
          </w:tcPr>
          <w:p w14:paraId="63461470" w14:textId="77777777" w:rsidR="00F87105" w:rsidRPr="009B1557" w:rsidRDefault="00F87105" w:rsidP="006A4AFE">
            <w:pPr>
              <w:contextualSpacing/>
              <w:rPr>
                <w:sz w:val="18"/>
                <w:szCs w:val="18"/>
              </w:rPr>
            </w:pPr>
          </w:p>
        </w:tc>
        <w:tc>
          <w:tcPr>
            <w:tcW w:w="1144" w:type="dxa"/>
            <w:vAlign w:val="center"/>
          </w:tcPr>
          <w:p w14:paraId="128AFAE9" w14:textId="77777777" w:rsidR="00F87105" w:rsidRPr="009B1557" w:rsidRDefault="00F87105" w:rsidP="006A4AFE">
            <w:pPr>
              <w:contextualSpacing/>
              <w:rPr>
                <w:sz w:val="18"/>
                <w:szCs w:val="18"/>
              </w:rPr>
            </w:pPr>
            <w:r w:rsidRPr="009B1557">
              <w:rPr>
                <w:sz w:val="18"/>
                <w:szCs w:val="18"/>
              </w:rPr>
              <w:t>Moderate</w:t>
            </w:r>
          </w:p>
        </w:tc>
        <w:tc>
          <w:tcPr>
            <w:tcW w:w="222" w:type="dxa"/>
            <w:shd w:val="clear" w:color="auto" w:fill="5B9BD5" w:themeFill="accent1"/>
          </w:tcPr>
          <w:p w14:paraId="78C87789" w14:textId="77777777" w:rsidR="00F87105" w:rsidRPr="009B1557" w:rsidRDefault="00F87105" w:rsidP="006A4AFE">
            <w:pPr>
              <w:contextualSpacing/>
              <w:rPr>
                <w:sz w:val="18"/>
                <w:szCs w:val="18"/>
              </w:rPr>
            </w:pPr>
          </w:p>
        </w:tc>
        <w:tc>
          <w:tcPr>
            <w:tcW w:w="1210" w:type="dxa"/>
            <w:vAlign w:val="center"/>
          </w:tcPr>
          <w:p w14:paraId="3D9EBA21" w14:textId="77777777" w:rsidR="00F87105" w:rsidRPr="009B1557" w:rsidRDefault="00F87105" w:rsidP="006A4AFE">
            <w:pPr>
              <w:contextualSpacing/>
              <w:jc w:val="left"/>
              <w:rPr>
                <w:sz w:val="18"/>
                <w:szCs w:val="18"/>
              </w:rPr>
            </w:pPr>
            <w:r w:rsidRPr="009B1557">
              <w:rPr>
                <w:sz w:val="18"/>
                <w:szCs w:val="18"/>
              </w:rPr>
              <w:t>Substantial</w:t>
            </w:r>
          </w:p>
        </w:tc>
      </w:tr>
    </w:tbl>
    <w:p w14:paraId="6DC28826" w14:textId="1F25AC18" w:rsidR="0040128C" w:rsidRDefault="0040128C" w:rsidP="00F87105">
      <w:pPr>
        <w:rPr>
          <w:highlight w:val="yellow"/>
        </w:rPr>
      </w:pPr>
    </w:p>
    <w:p w14:paraId="0347C580" w14:textId="77777777" w:rsidR="0040128C" w:rsidRDefault="0040128C">
      <w:pPr>
        <w:spacing w:before="0" w:after="160" w:line="259" w:lineRule="auto"/>
        <w:jc w:val="left"/>
        <w:rPr>
          <w:highlight w:val="yellow"/>
        </w:rPr>
      </w:pPr>
      <w:r>
        <w:rPr>
          <w:highlight w:val="yellow"/>
        </w:rPr>
        <w:br w:type="page"/>
      </w:r>
    </w:p>
    <w:p w14:paraId="5AEE046D" w14:textId="77777777" w:rsidR="00F87105" w:rsidRPr="00E9262F" w:rsidRDefault="00F87105" w:rsidP="00F87105">
      <w:pPr>
        <w:pStyle w:val="Heading3"/>
      </w:pPr>
      <w:r w:rsidRPr="00E9262F">
        <w:lastRenderedPageBreak/>
        <w:t>Discussion</w:t>
      </w:r>
    </w:p>
    <w:p w14:paraId="782CB5B7" w14:textId="1257C5E8" w:rsidR="00F87105" w:rsidRPr="00E9262F" w:rsidRDefault="00F87105" w:rsidP="00F87105">
      <w:r w:rsidRPr="00E9262F">
        <w:rPr>
          <w:bCs/>
        </w:rPr>
        <w:t xml:space="preserve">Over the course of the </w:t>
      </w:r>
      <w:r w:rsidR="00636414">
        <w:rPr>
          <w:bCs/>
        </w:rPr>
        <w:t>Flow-</w:t>
      </w:r>
      <w:r w:rsidRPr="00E9262F">
        <w:rPr>
          <w:bCs/>
        </w:rPr>
        <w:t>MER Project (2019-20 to 2023-24), we aim</w:t>
      </w:r>
      <w:r>
        <w:rPr>
          <w:bCs/>
        </w:rPr>
        <w:t>ed</w:t>
      </w:r>
      <w:r w:rsidRPr="00E9262F">
        <w:rPr>
          <w:bCs/>
        </w:rPr>
        <w:t xml:space="preserve"> to identify associations between hydrology and hydraulics, and the recruitment of Murray cod in the LMR, and ultimately evaluate the contribution of environmental water delivery. </w:t>
      </w:r>
      <w:r w:rsidRPr="00E9262F">
        <w:t xml:space="preserve">Flow may influence the spawning and early life history of Murray cod in the MDB via several mechanisms, and responses to flow likely differ among river systems (Tonkin </w:t>
      </w:r>
      <w:r w:rsidRPr="00E9262F">
        <w:rPr>
          <w:i/>
          <w:iCs/>
        </w:rPr>
        <w:t>et al.</w:t>
      </w:r>
      <w:r w:rsidRPr="00E9262F">
        <w:t xml:space="preserve"> 2018). For the LMR, w</w:t>
      </w:r>
      <w:r w:rsidRPr="00E9262F">
        <w:rPr>
          <w:bCs/>
        </w:rPr>
        <w:t>e hypothesise that e</w:t>
      </w:r>
      <w:r w:rsidRPr="00E9262F">
        <w:t>levated spring–summer flow, either in-channel or overbank, and an accompanying increase in lotic habitat, may: (1) enhance the area of suitable spawning habitat; (2) be associated with enhanced growth rates and morphometric condition of Murray cod; and (3) enhance recruitment (to YOY). Further, we hypothesise that multiple years of enhanced spring–summer flow will contribute to broad size/age distributions of Murray cod and increased population resilience in the LMR.</w:t>
      </w:r>
    </w:p>
    <w:p w14:paraId="664431CD" w14:textId="77777777" w:rsidR="00F87105" w:rsidRPr="00145D74" w:rsidRDefault="00F87105" w:rsidP="00F87105">
      <w:pPr>
        <w:rPr>
          <w:highlight w:val="yellow"/>
        </w:rPr>
      </w:pPr>
      <w:r w:rsidRPr="00E9262F">
        <w:t xml:space="preserve">Across the Basin, Murray cod spawn annually over a well-defined period from October–December, irrespective of flow (Davis 1977; Rowland 1998) and in the LMR the key period, based on this study, appears to be from </w:t>
      </w:r>
      <w:r>
        <w:t xml:space="preserve">early </w:t>
      </w:r>
      <w:r w:rsidRPr="00E9262F">
        <w:t xml:space="preserve">October to mid-November. Past broad-scale recruitment in the LMR, has been qualitatively associated with spring–summer flow and lotic habitats (Zampatti </w:t>
      </w:r>
      <w:r w:rsidRPr="00E9262F">
        <w:rPr>
          <w:i/>
          <w:iCs/>
        </w:rPr>
        <w:t>et al.</w:t>
      </w:r>
      <w:r w:rsidRPr="00E9262F">
        <w:t xml:space="preserve"> 2014). In the Upper Murray River, specifically spring flows and antecedent maximum (e.g. bankfull) flow conditions (i.e. flows preceding and during the spawning period) have been quantitatively shown to be positively associated with recruitment strength (Tonkin </w:t>
      </w:r>
      <w:r w:rsidRPr="00E9262F">
        <w:rPr>
          <w:i/>
          <w:iCs/>
        </w:rPr>
        <w:t>et al.</w:t>
      </w:r>
      <w:r w:rsidRPr="00E9262F">
        <w:t xml:space="preserve"> 2018). Potential mechanisms driving this pattern could be increased extent and quality </w:t>
      </w:r>
      <w:r w:rsidRPr="00CF1D45">
        <w:t xml:space="preserve">of spawning and nursery habitat (e.g. Koehn 2009; Baumgartner </w:t>
      </w:r>
      <w:r w:rsidRPr="00CF1D45">
        <w:rPr>
          <w:i/>
          <w:iCs/>
        </w:rPr>
        <w:t>et al.</w:t>
      </w:r>
      <w:r w:rsidRPr="00CF1D45">
        <w:t xml:space="preserve"> 2014; Stuart </w:t>
      </w:r>
      <w:r w:rsidRPr="00CF1D45">
        <w:rPr>
          <w:i/>
          <w:iCs/>
        </w:rPr>
        <w:t>et al.</w:t>
      </w:r>
      <w:r w:rsidRPr="00CF1D45">
        <w:t xml:space="preserve"> 2019) or provision of favoured food resources for larvae. A similar mechanism appears likely for the LMR, although sample sizes</w:t>
      </w:r>
      <w:r>
        <w:t xml:space="preserve"> thus far</w:t>
      </w:r>
      <w:r w:rsidRPr="00CF1D45">
        <w:t xml:space="preserve"> limit our ability to </w:t>
      </w:r>
      <w:r>
        <w:t xml:space="preserve">quantitatively </w:t>
      </w:r>
      <w:r w:rsidRPr="00CF1D45">
        <w:t xml:space="preserve">test some of these hypotheses. </w:t>
      </w:r>
    </w:p>
    <w:p w14:paraId="61377D48" w14:textId="3C81F497" w:rsidR="00F87105" w:rsidRPr="00E152A5" w:rsidRDefault="00F87105" w:rsidP="00F87105">
      <w:pPr>
        <w:rPr>
          <w:color w:val="auto"/>
        </w:rPr>
      </w:pPr>
      <w:r w:rsidRPr="00E152A5">
        <w:t xml:space="preserve">From 2014–2024, the LMR experienced variable hydrology including two spring-summer overbank floods (2016-17 and 2022-23), two years of high (20,000–40,000 ML/d) in-channel spring-summer flow (2021-22 and 2023-24) and several years of low in-channel flows, peaking at 10,000–18,000 ML/d during spring–summer (2014–2016, 2017–2021). Across these different flow regimes, recruitment of Murray cod occurred annually. However, recruitment strength, as indicated by the abundance of YOY, was variable and did not show any consistent pattern in association with hydrology. The strongest recruitment in the LMR occurred in 2019-20, which was also observed throughout the MDB (e.g. Goulburn, Lachlan and Edward-Wakool rivers, Hladyz </w:t>
      </w:r>
      <w:r w:rsidRPr="00E152A5">
        <w:rPr>
          <w:i/>
          <w:iCs/>
        </w:rPr>
        <w:t>et al.</w:t>
      </w:r>
      <w:r w:rsidRPr="00E152A5">
        <w:t xml:space="preserve"> 2021). In the LMR, recruitment during this year was associated with an in-channel flow pulse that peaked at 15,600 ML/d in mid-October 2019, coinciding with the period immediately preceding and during the key spawning period. </w:t>
      </w:r>
      <w:r w:rsidRPr="00E152A5">
        <w:rPr>
          <w:color w:val="auto"/>
        </w:rPr>
        <w:t xml:space="preserve">In contrast, poorest recruitment was observed in 2021-22, associated with </w:t>
      </w:r>
      <w:r w:rsidRPr="00E152A5">
        <w:t>elevated in-channel discharge (~25,000–38,000 ML/d)</w:t>
      </w:r>
      <w:r w:rsidR="00E25B94">
        <w:t xml:space="preserve"> throughout </w:t>
      </w:r>
      <w:r w:rsidR="00AA6D7B">
        <w:t>spring–summer</w:t>
      </w:r>
      <w:r w:rsidRPr="00E152A5">
        <w:rPr>
          <w:color w:val="auto"/>
        </w:rPr>
        <w:t xml:space="preserve">. </w:t>
      </w:r>
      <w:r>
        <w:rPr>
          <w:color w:val="auto"/>
        </w:rPr>
        <w:t>In turn, in</w:t>
      </w:r>
      <w:r w:rsidRPr="00E152A5">
        <w:rPr>
          <w:color w:val="auto"/>
        </w:rPr>
        <w:t xml:space="preserve"> 2023-24</w:t>
      </w:r>
      <w:r>
        <w:rPr>
          <w:color w:val="auto"/>
        </w:rPr>
        <w:t>, a year of</w:t>
      </w:r>
      <w:r w:rsidRPr="00E152A5">
        <w:rPr>
          <w:color w:val="auto"/>
        </w:rPr>
        <w:t xml:space="preserve"> similar flow magnitude </w:t>
      </w:r>
      <w:r w:rsidRPr="00E152A5">
        <w:t>(~25,000–30,000 ML/d)</w:t>
      </w:r>
      <w:r>
        <w:t xml:space="preserve"> to 2021-22</w:t>
      </w:r>
      <w:r w:rsidRPr="00E152A5">
        <w:rPr>
          <w:color w:val="auto"/>
        </w:rPr>
        <w:t xml:space="preserve">, </w:t>
      </w:r>
      <w:r>
        <w:rPr>
          <w:color w:val="auto"/>
        </w:rPr>
        <w:t xml:space="preserve">recruitment was observed. Results for 2021-22 </w:t>
      </w:r>
      <w:bookmarkStart w:id="521" w:name="_Hlk121226184"/>
      <w:r w:rsidRPr="00E152A5">
        <w:t xml:space="preserve">were </w:t>
      </w:r>
      <w:r>
        <w:t xml:space="preserve">thus, </w:t>
      </w:r>
      <w:r w:rsidRPr="00E152A5">
        <w:t xml:space="preserve">somewhat unexpected and contradict our hypothesis that </w:t>
      </w:r>
      <w:r w:rsidRPr="00E152A5">
        <w:rPr>
          <w:i/>
          <w:iCs/>
        </w:rPr>
        <w:t>elevated spring–summer flow, either in-channel or overbank, and associated increase in lotic habitat, will enhance recruitment (to YOY) of Murray cod</w:t>
      </w:r>
      <w:r w:rsidRPr="00E152A5">
        <w:t xml:space="preserve">. Excepting this result, </w:t>
      </w:r>
      <w:r w:rsidRPr="00E152A5">
        <w:rPr>
          <w:color w:val="auto"/>
        </w:rPr>
        <w:t xml:space="preserve">our data generally suggest that, for years with low, in-channel flows &lt;20,000 ML/d, </w:t>
      </w:r>
      <w:r>
        <w:rPr>
          <w:color w:val="auto"/>
        </w:rPr>
        <w:t>small increases in flow (e.g. from 10,000</w:t>
      </w:r>
      <w:r w:rsidRPr="00E152A5">
        <w:t>–</w:t>
      </w:r>
      <w:r>
        <w:t xml:space="preserve">20,000 </w:t>
      </w:r>
      <w:r w:rsidRPr="00E152A5">
        <w:rPr>
          <w:color w:val="auto"/>
        </w:rPr>
        <w:t>ML/d</w:t>
      </w:r>
      <w:r>
        <w:rPr>
          <w:color w:val="auto"/>
        </w:rPr>
        <w:t xml:space="preserve">) and associated </w:t>
      </w:r>
      <w:r w:rsidRPr="00E152A5">
        <w:rPr>
          <w:color w:val="auto"/>
        </w:rPr>
        <w:t>increas</w:t>
      </w:r>
      <w:r>
        <w:rPr>
          <w:color w:val="auto"/>
        </w:rPr>
        <w:t>es in</w:t>
      </w:r>
      <w:r w:rsidRPr="00E152A5">
        <w:rPr>
          <w:color w:val="auto"/>
        </w:rPr>
        <w:t xml:space="preserve"> lotic habitat in early spring, immediately prior to and during spawning, </w:t>
      </w:r>
      <w:r w:rsidR="00E25B94">
        <w:rPr>
          <w:color w:val="auto"/>
        </w:rPr>
        <w:t xml:space="preserve">are </w:t>
      </w:r>
      <w:r w:rsidRPr="00E152A5">
        <w:rPr>
          <w:color w:val="auto"/>
        </w:rPr>
        <w:t xml:space="preserve">positively associated with recruitment of Murray cod in the LMR. </w:t>
      </w:r>
      <w:r>
        <w:rPr>
          <w:color w:val="auto"/>
        </w:rPr>
        <w:t>Water</w:t>
      </w:r>
      <w:r w:rsidRPr="00E152A5">
        <w:rPr>
          <w:color w:val="auto"/>
        </w:rPr>
        <w:t xml:space="preserve"> </w:t>
      </w:r>
      <w:r w:rsidRPr="00E152A5">
        <w:rPr>
          <w:color w:val="auto"/>
        </w:rPr>
        <w:lastRenderedPageBreak/>
        <w:t xml:space="preserve">delivered mostly after the spawning season with </w:t>
      </w:r>
      <w:r>
        <w:rPr>
          <w:color w:val="auto"/>
        </w:rPr>
        <w:t>similar</w:t>
      </w:r>
      <w:r w:rsidRPr="00E152A5">
        <w:rPr>
          <w:color w:val="auto"/>
        </w:rPr>
        <w:t xml:space="preserve"> flow volumes may not elicit the same response. </w:t>
      </w:r>
      <w:bookmarkEnd w:id="521"/>
      <w:r w:rsidRPr="00E152A5">
        <w:t xml:space="preserve">As further years of recruitment data are compiled, sophisticated modelling is planned to identify the drivers of recruitment, and better evaluate the influence of environmental water on Murray cod recruitment.  </w:t>
      </w:r>
    </w:p>
    <w:p w14:paraId="28CE1E01" w14:textId="77777777" w:rsidR="00F87105" w:rsidRPr="00E152A5" w:rsidRDefault="00F87105" w:rsidP="00F87105">
      <w:pPr>
        <w:rPr>
          <w:color w:val="auto"/>
        </w:rPr>
      </w:pPr>
      <w:r w:rsidRPr="00E152A5">
        <w:t xml:space="preserve">Analysis of morphometric condition and growth from 2015–2024 demonstrates the positive influence of </w:t>
      </w:r>
      <w:r w:rsidRPr="00E152A5">
        <w:rPr>
          <w:color w:val="auto"/>
        </w:rPr>
        <w:t>large-scale overbank flow events (2016-17 and 2022-23). Potential mechanisms driving th</w:t>
      </w:r>
      <w:r>
        <w:rPr>
          <w:color w:val="auto"/>
        </w:rPr>
        <w:t>ese patterns</w:t>
      </w:r>
      <w:r w:rsidRPr="00E152A5">
        <w:rPr>
          <w:color w:val="auto"/>
        </w:rPr>
        <w:t xml:space="preserve"> may be related to increases in productivity/food resources (allochthonous sources) and/or hydraulic changes that improve habitat quality and increased feeding efficiency. Low samples sizes</w:t>
      </w:r>
      <w:r w:rsidRPr="00E152A5">
        <w:t xml:space="preserve"> of Murray cod larvae and YOY in specific years (2020-21</w:t>
      </w:r>
      <w:r>
        <w:t>,</w:t>
      </w:r>
      <w:r w:rsidRPr="00E152A5">
        <w:t xml:space="preserve"> 2021-22</w:t>
      </w:r>
      <w:r>
        <w:t xml:space="preserve"> and 2023-24</w:t>
      </w:r>
      <w:r w:rsidRPr="00E152A5">
        <w:t>), however, limits assessment of the influence of Commonwealth environmental water on these parameters.</w:t>
      </w:r>
      <w:r w:rsidRPr="00E152A5">
        <w:rPr>
          <w:color w:val="auto"/>
        </w:rPr>
        <w:t xml:space="preserve"> </w:t>
      </w:r>
    </w:p>
    <w:p w14:paraId="0661E6F5" w14:textId="796635DD" w:rsidR="00F87105" w:rsidRPr="006C1A35" w:rsidRDefault="00F87105" w:rsidP="00F87105">
      <w:r w:rsidRPr="006C1A35">
        <w:t xml:space="preserve">Through 2013–2024, abundance (CPUE) of Murray cod in the LMR was variable. During 2017, a decline in abundance, notably adults (&gt;600 mm TL), was associated with a hypoxic blackwater event in the LMR (Ye </w:t>
      </w:r>
      <w:r w:rsidRPr="006C1A35">
        <w:rPr>
          <w:i/>
          <w:iCs/>
        </w:rPr>
        <w:t>et al.</w:t>
      </w:r>
      <w:r w:rsidRPr="006C1A35">
        <w:t xml:space="preserve"> 2018). Following this widespread blackwater event, declines in the abundance of adult Murray cod were also observed throughout the Murray River and some of its tributaries</w:t>
      </w:r>
      <w:r>
        <w:t xml:space="preserve"> and attributed to fish kills</w:t>
      </w:r>
      <w:r w:rsidRPr="006C1A35">
        <w:t xml:space="preserve"> (e.g. Lachlan River, Murrumbidgee River, Edward–Wakool River system) (Dyer </w:t>
      </w:r>
      <w:r w:rsidRPr="006C1A35">
        <w:rPr>
          <w:i/>
          <w:iCs/>
        </w:rPr>
        <w:t>et al.</w:t>
      </w:r>
      <w:r w:rsidRPr="006C1A35">
        <w:t xml:space="preserve"> 2017; Wassens </w:t>
      </w:r>
      <w:r w:rsidRPr="006C1A35">
        <w:rPr>
          <w:i/>
          <w:iCs/>
        </w:rPr>
        <w:t>et al.</w:t>
      </w:r>
      <w:r w:rsidRPr="006C1A35">
        <w:t xml:space="preserve"> 2017; Watts </w:t>
      </w:r>
      <w:r w:rsidRPr="006C1A35">
        <w:rPr>
          <w:i/>
          <w:iCs/>
        </w:rPr>
        <w:t>et al.</w:t>
      </w:r>
      <w:r w:rsidRPr="006C1A35">
        <w:t xml:space="preserve"> 2017; Stoffels </w:t>
      </w:r>
      <w:r w:rsidRPr="006C1A35">
        <w:rPr>
          <w:i/>
          <w:iCs/>
        </w:rPr>
        <w:t>et al.</w:t>
      </w:r>
      <w:r w:rsidRPr="006C1A35">
        <w:t xml:space="preserve"> 2018). After 2017, abundance of Murray cod in the LMR increased </w:t>
      </w:r>
      <w:r>
        <w:t>over</w:t>
      </w:r>
      <w:r w:rsidRPr="006C1A35">
        <w:t xml:space="preserve"> the subsequent two years and remained high through to 2022. </w:t>
      </w:r>
      <w:r>
        <w:t>I</w:t>
      </w:r>
      <w:r w:rsidRPr="006C1A35">
        <w:t xml:space="preserve">ncreased abundance was associated with strong recruitment in 2019-20 and the persistence of this cohort as age 1+ in 2021 and age 2+ in 2022. There was an apparent decline in abundance in 2023 and 2024 to levels </w:t>
      </w:r>
      <w:r>
        <w:t>similar to</w:t>
      </w:r>
      <w:r w:rsidRPr="006C1A35">
        <w:t xml:space="preserve"> 2015–2019. Reasons for this are unclear but may be associated with: reduced sampling efficiency </w:t>
      </w:r>
      <w:r w:rsidR="006B770A">
        <w:t xml:space="preserve">due to </w:t>
      </w:r>
      <w:r w:rsidRPr="006C1A35">
        <w:t xml:space="preserve">high flows (&gt;20,000 ML/d) in 2023 </w:t>
      </w:r>
      <w:r>
        <w:t>and</w:t>
      </w:r>
      <w:r w:rsidRPr="006C1A35">
        <w:t xml:space="preserve"> delayed sampling in 2024, compared to preceding years; broader </w:t>
      </w:r>
      <w:r>
        <w:t>emigration/</w:t>
      </w:r>
      <w:r w:rsidRPr="006C1A35">
        <w:t>dispersal of sub-adults to alternate habitats with lower densities to reduce intra-specific competition; and/or mortality of sub-adults.</w:t>
      </w:r>
    </w:p>
    <w:p w14:paraId="74E5E944" w14:textId="62BF89EB" w:rsidR="00F87105" w:rsidRPr="00BC0040" w:rsidRDefault="00F87105" w:rsidP="00F87105">
      <w:r w:rsidRPr="00BC0040">
        <w:t xml:space="preserve">From 2015–2024, length frequency distributions showed a broad size distribution comprising juveniles (including YOY), sub-adults and adults. In 2024, YOY fish represented 13% of the sampled population, and juveniles (230–310 mm, presumably age 1+) and sub-adults 500–600 mm TL (presumably age 3+) </w:t>
      </w:r>
      <w:r>
        <w:t xml:space="preserve">collectively comprised </w:t>
      </w:r>
      <w:r w:rsidRPr="00BC0040">
        <w:t>48% of the population. These sub-adults represent individuals spawned in spring 2</w:t>
      </w:r>
      <w:r w:rsidR="00AA6D7B">
        <w:t>019</w:t>
      </w:r>
      <w:r w:rsidRPr="00BC0040">
        <w:t xml:space="preserve">, and have exhibited high levels of survival and annual growth through the population. The length-frequency derived from 2024 contrasts with the Millennium Drought when length frequency distributions in the main channel of the LMR were dominated by </w:t>
      </w:r>
      <w:r w:rsidR="002C6E2F">
        <w:t xml:space="preserve">larger </w:t>
      </w:r>
      <w:r w:rsidRPr="00BC0040">
        <w:t xml:space="preserve">adults </w:t>
      </w:r>
      <w:r w:rsidR="00693607">
        <w:t>(</w:t>
      </w:r>
      <w:r w:rsidRPr="00BC0040">
        <w:t>&gt;800 mm TL</w:t>
      </w:r>
      <w:r w:rsidR="00693607">
        <w:t>)</w:t>
      </w:r>
      <w:r w:rsidRPr="00BC0040">
        <w:t xml:space="preserve">, indicating a lack of recruitment from 2003–2010 (Zampatti </w:t>
      </w:r>
      <w:r w:rsidRPr="00BC0040">
        <w:rPr>
          <w:i/>
          <w:iCs/>
        </w:rPr>
        <w:t>et al.</w:t>
      </w:r>
      <w:r w:rsidRPr="00BC0040">
        <w:t xml:space="preserve"> 2014). Contemporary length frequency distributions in the LMR main channel likely infer population resilience to future environmental perturbations such as hypoxic blackwater events.</w:t>
      </w:r>
      <w:r w:rsidRPr="00BC0040">
        <w:rPr>
          <w:color w:val="auto"/>
        </w:rPr>
        <w:t xml:space="preserve">  </w:t>
      </w:r>
    </w:p>
    <w:p w14:paraId="3332D29C" w14:textId="77777777" w:rsidR="00F87105" w:rsidRPr="00122700" w:rsidRDefault="00F87105" w:rsidP="00F87105">
      <w:pPr>
        <w:pStyle w:val="Heading3"/>
      </w:pPr>
      <w:r w:rsidRPr="00122700">
        <w:t>Management implications</w:t>
      </w:r>
    </w:p>
    <w:p w14:paraId="3FC67CB8" w14:textId="77777777" w:rsidR="00F87105" w:rsidRPr="00145D74" w:rsidRDefault="00F87105" w:rsidP="00F87105">
      <w:pPr>
        <w:rPr>
          <w:highlight w:val="yellow"/>
        </w:rPr>
      </w:pPr>
      <w:bookmarkStart w:id="522" w:name="_Hlk132810094"/>
      <w:r w:rsidRPr="00122700">
        <w:t xml:space="preserve">Murray cod show a preference for lotic habitats. In the LMR, the extent of lotic habitat available immediately prior to and during spawning (August–November), during low, in-channel flows (&lt;20,000 ML/d), is </w:t>
      </w:r>
      <w:r w:rsidRPr="00673BB7">
        <w:t xml:space="preserve">positively associated with recruitment. Flows delivered mostly after the spawning season (e.g. 2020-21) may not elicit the same response. For flows &gt;20,000 ML/d, the relationship between increased extent of lotic habitat and recruitment is not clear. Ultimately, a greater time-series of data across a full range of hydrological variability and further modelling with biotic (e.g. spawning adult abundance, food </w:t>
      </w:r>
      <w:r w:rsidRPr="00673BB7">
        <w:lastRenderedPageBreak/>
        <w:t>resources) and other abiotic factors are required to identify the main drivers of recruitment, and to better evaluate the influence of environmental water on Murray cod recruitment.</w:t>
      </w:r>
    </w:p>
    <w:p w14:paraId="3CAB74B6" w14:textId="3587238D" w:rsidR="00F87105" w:rsidRPr="00673BB7" w:rsidRDefault="00F87105" w:rsidP="00F87105">
      <w:bookmarkStart w:id="523" w:name="_Hlk59546817"/>
      <w:bookmarkEnd w:id="522"/>
      <w:r w:rsidRPr="006F0AFF">
        <w:t>Murray cod morphometric condition appeared to be most influenced by large</w:t>
      </w:r>
      <w:r>
        <w:t xml:space="preserve"> magnitude</w:t>
      </w:r>
      <w:r w:rsidRPr="006F0AFF">
        <w:t xml:space="preserve"> flows (</w:t>
      </w:r>
      <w:r>
        <w:t>i.e.</w:t>
      </w:r>
      <w:r w:rsidRPr="006F0AFF">
        <w:t xml:space="preserve"> floods), while smaller</w:t>
      </w:r>
      <w:r>
        <w:t xml:space="preserve"> magnitude flows</w:t>
      </w:r>
      <w:r w:rsidRPr="006F0AFF">
        <w:t xml:space="preserve"> events (e.g. small freshes) appear</w:t>
      </w:r>
      <w:r>
        <w:t>ed</w:t>
      </w:r>
      <w:r w:rsidRPr="006F0AFF">
        <w:t xml:space="preserve"> to elicit commensurate minor improvements in condition, likely due to limited increases in productivity. As such, </w:t>
      </w:r>
      <w:r w:rsidR="002C6E2F">
        <w:t xml:space="preserve">delivering </w:t>
      </w:r>
      <w:r w:rsidRPr="006F0AFF">
        <w:t xml:space="preserve">flow pulses may support enhanced recruitment of Murray cod more so through expansion of lotic habitat favoured for spawning and by increasing the survival of early </w:t>
      </w:r>
      <w:r w:rsidRPr="00673BB7">
        <w:t xml:space="preserve">life stages rather than substantial productivity benefits. Nonetheless, further analysis and comparison of otolith daily growth increments </w:t>
      </w:r>
      <w:r>
        <w:t>could</w:t>
      </w:r>
      <w:r w:rsidRPr="00673BB7">
        <w:t xml:space="preserve"> inform on the finer temporal-scale influence of flow on growth.  </w:t>
      </w:r>
    </w:p>
    <w:bookmarkEnd w:id="523"/>
    <w:p w14:paraId="18A94A1A" w14:textId="77777777" w:rsidR="00F87105" w:rsidRPr="00673BB7" w:rsidRDefault="00F87105" w:rsidP="00F87105">
      <w:r w:rsidRPr="00673BB7">
        <w:t xml:space="preserve">In addition to the delivery of environmental water, other actions that support the maintenance/enhancement of lotic (e.g. weir pool lowering) and physical habitats (e.g. re-snagging) in the LMR may further benefit Murray cod recruitment and population resilience. </w:t>
      </w:r>
    </w:p>
    <w:p w14:paraId="318C9512" w14:textId="77777777" w:rsidR="00F87105" w:rsidRPr="001C0ABB" w:rsidRDefault="00F87105" w:rsidP="00F87105">
      <w:pPr>
        <w:pStyle w:val="Heading3"/>
      </w:pPr>
      <w:r w:rsidRPr="001C0ABB">
        <w:t>Conclusion</w:t>
      </w:r>
    </w:p>
    <w:p w14:paraId="793FB445" w14:textId="457C5D17" w:rsidR="00F87105" w:rsidRPr="0035493A" w:rsidRDefault="00F87105" w:rsidP="00F87105">
      <w:r w:rsidRPr="001C0ABB">
        <w:t>From 2019–2024, evaluation of the contribution of Commonwealth environmental water towards</w:t>
      </w:r>
      <w:r w:rsidR="00BA7B3A">
        <w:t xml:space="preserve"> Murray cod</w:t>
      </w:r>
      <w:r w:rsidRPr="001C0ABB">
        <w:t xml:space="preserve"> growth and condition was conservatively designated as unknown. </w:t>
      </w:r>
      <w:r>
        <w:t xml:space="preserve">Since 2014-15, Murray cod recruitment has occurred in most years. </w:t>
      </w:r>
      <w:r w:rsidRPr="001C0ABB">
        <w:t>The contribution of the flow regime (including environmental water) to recruitment from 2019–2024 ranged from negligible in 2020–2022 to substantial in 2019-20. The 2019-20 cohort comprised a large proportion (</w:t>
      </w:r>
      <w:r w:rsidR="00551A34">
        <w:t>67</w:t>
      </w:r>
      <w:r w:rsidRPr="001C0ABB">
        <w:t>%) of the sampled population in 202</w:t>
      </w:r>
      <w:r w:rsidR="00551A34">
        <w:t>0</w:t>
      </w:r>
      <w:r w:rsidR="00551A34" w:rsidRPr="001C0ABB">
        <w:t xml:space="preserve"> and</w:t>
      </w:r>
      <w:r w:rsidRPr="001C0ABB">
        <w:t xml:space="preserve"> </w:t>
      </w:r>
      <w:r w:rsidR="00560DA5">
        <w:t xml:space="preserve">continued to contribute </w:t>
      </w:r>
      <w:r w:rsidR="00693607">
        <w:t>~10</w:t>
      </w:r>
      <w:r w:rsidR="00560DA5">
        <w:t xml:space="preserve">% in 2024. </w:t>
      </w:r>
      <w:r w:rsidR="003405AB">
        <w:t xml:space="preserve">Over the last decade, more regular recruitment of Murray cod </w:t>
      </w:r>
      <w:r w:rsidRPr="001C0ABB">
        <w:t xml:space="preserve">has contributed to the resilience of the population. </w:t>
      </w:r>
      <w:r w:rsidR="003405AB">
        <w:t>However, t</w:t>
      </w:r>
      <w:r w:rsidRPr="001C0ABB">
        <w:t>he main drivers of Murray cod recruitment in the LMR are not fully understood. In future years, a more robust evaluation will be informed by multiple years of data and improved understanding.</w:t>
      </w:r>
      <w:r>
        <w:br w:type="page"/>
      </w:r>
    </w:p>
    <w:p w14:paraId="1BF3A804" w14:textId="77777777" w:rsidR="00F87105" w:rsidRPr="00774F56" w:rsidRDefault="00F87105" w:rsidP="00F87105">
      <w:pPr>
        <w:pStyle w:val="Heading2"/>
      </w:pPr>
      <w:bookmarkStart w:id="524" w:name="_Ref56693925"/>
      <w:bookmarkStart w:id="525" w:name="_Ref56693948"/>
      <w:bookmarkStart w:id="526" w:name="_Ref56694021"/>
      <w:bookmarkStart w:id="527" w:name="_Toc166771631"/>
      <w:bookmarkStart w:id="528" w:name="_Toc200467867"/>
      <w:r w:rsidRPr="00774F56">
        <w:lastRenderedPageBreak/>
        <w:t xml:space="preserve">Fish </w:t>
      </w:r>
      <w:bookmarkEnd w:id="419"/>
      <w:bookmarkEnd w:id="420"/>
      <w:r w:rsidRPr="00774F56">
        <w:t>Assemblage</w:t>
      </w:r>
      <w:bookmarkEnd w:id="421"/>
      <w:bookmarkEnd w:id="422"/>
      <w:bookmarkEnd w:id="423"/>
      <w:bookmarkEnd w:id="524"/>
      <w:bookmarkEnd w:id="525"/>
      <w:bookmarkEnd w:id="526"/>
      <w:bookmarkEnd w:id="527"/>
      <w:bookmarkEnd w:id="528"/>
    </w:p>
    <w:p w14:paraId="6D81591F" w14:textId="77777777" w:rsidR="00F87105" w:rsidRPr="0000477E" w:rsidRDefault="00F87105" w:rsidP="00F87105">
      <w:pPr>
        <w:pStyle w:val="Heading3"/>
      </w:pPr>
      <w:r w:rsidRPr="0000477E">
        <w:t>Background</w:t>
      </w:r>
    </w:p>
    <w:p w14:paraId="1644F8E5" w14:textId="2EFC148E" w:rsidR="00F87105" w:rsidRDefault="00F87105" w:rsidP="00F87105">
      <w:pPr>
        <w:rPr>
          <w:lang w:val="en-US"/>
        </w:rPr>
      </w:pPr>
      <w:r>
        <w:rPr>
          <w:lang w:val="en-US"/>
        </w:rPr>
        <w:t>From 2015–2024,</w:t>
      </w:r>
      <w:r w:rsidRPr="00CD1C9C">
        <w:rPr>
          <w:lang w:val="en-US"/>
        </w:rPr>
        <w:t xml:space="preserve"> we collected fish assemblage data</w:t>
      </w:r>
      <w:r>
        <w:rPr>
          <w:lang w:val="en-US"/>
        </w:rPr>
        <w:t xml:space="preserve"> in the main channel</w:t>
      </w:r>
      <w:r w:rsidRPr="00CD1C9C">
        <w:rPr>
          <w:lang w:val="en-US"/>
        </w:rPr>
        <w:t xml:space="preserve"> </w:t>
      </w:r>
      <w:r>
        <w:rPr>
          <w:lang w:val="en-US"/>
        </w:rPr>
        <w:t xml:space="preserve">of the LMR </w:t>
      </w:r>
      <w:r w:rsidRPr="00CD1C9C">
        <w:rPr>
          <w:lang w:val="en-US"/>
        </w:rPr>
        <w:t>to inform Basin-scale evaluation of fish community responses to Commonwealth environmental water</w:t>
      </w:r>
      <w:r>
        <w:rPr>
          <w:lang w:val="en-US"/>
        </w:rPr>
        <w:t xml:space="preserve">. The evaluation under the LTIM Project (2015–2019) was </w:t>
      </w:r>
      <w:r w:rsidRPr="00774F56">
        <w:rPr>
          <w:lang w:val="en-US"/>
        </w:rPr>
        <w:t>undertaken by the Centre for Freshwater Ecosystems at La Trobe University</w:t>
      </w:r>
      <w:r>
        <w:rPr>
          <w:lang w:val="en-US"/>
        </w:rPr>
        <w:t xml:space="preserve">, while the evaluation under the </w:t>
      </w:r>
      <w:r w:rsidR="00636414">
        <w:rPr>
          <w:lang w:val="en-US"/>
        </w:rPr>
        <w:t>Flow-</w:t>
      </w:r>
      <w:r>
        <w:rPr>
          <w:lang w:val="en-US"/>
        </w:rPr>
        <w:t xml:space="preserve">MER Project (2020–2024) is being undertaken </w:t>
      </w:r>
      <w:r w:rsidRPr="0066617A">
        <w:rPr>
          <w:lang w:val="en-US"/>
        </w:rPr>
        <w:t>by</w:t>
      </w:r>
      <w:r>
        <w:rPr>
          <w:lang w:val="en-US"/>
        </w:rPr>
        <w:t xml:space="preserve"> a team of fish ecologists and biometricians, led by the </w:t>
      </w:r>
      <w:r w:rsidRPr="00A914D6">
        <w:rPr>
          <w:lang w:val="en-US"/>
        </w:rPr>
        <w:t>Arthur Rylah Institute for Environmental Research</w:t>
      </w:r>
      <w:r>
        <w:rPr>
          <w:lang w:val="en-US"/>
        </w:rPr>
        <w:t xml:space="preserve"> (ARI) (Hladyz </w:t>
      </w:r>
      <w:r w:rsidRPr="00365C16">
        <w:rPr>
          <w:i/>
          <w:iCs/>
          <w:lang w:val="en-US"/>
        </w:rPr>
        <w:t>et al.</w:t>
      </w:r>
      <w:r>
        <w:rPr>
          <w:lang w:val="en-US"/>
        </w:rPr>
        <w:t xml:space="preserve"> 2024)</w:t>
      </w:r>
      <w:r w:rsidRPr="0066617A">
        <w:rPr>
          <w:lang w:val="en-US"/>
        </w:rPr>
        <w:t>.</w:t>
      </w:r>
    </w:p>
    <w:p w14:paraId="6F0D1BC4" w14:textId="77777777" w:rsidR="00F87105" w:rsidRPr="00474420" w:rsidRDefault="00F87105" w:rsidP="00F87105">
      <w:pPr>
        <w:rPr>
          <w:i/>
          <w:u w:val="single"/>
          <w:lang w:val="en-US"/>
        </w:rPr>
      </w:pPr>
      <w:r w:rsidRPr="00474420">
        <w:rPr>
          <w:i/>
          <w:u w:val="single"/>
          <w:lang w:val="en-US"/>
        </w:rPr>
        <w:t>Objectives</w:t>
      </w:r>
    </w:p>
    <w:p w14:paraId="64EF1F58" w14:textId="77777777" w:rsidR="00F87105" w:rsidRDefault="00F87105" w:rsidP="00F87105">
      <w:r>
        <w:rPr>
          <w:lang w:val="en-US"/>
        </w:rPr>
        <w:t>In this section, o</w:t>
      </w:r>
      <w:r w:rsidRPr="00CD1C9C">
        <w:rPr>
          <w:lang w:val="en-US"/>
        </w:rPr>
        <w:t xml:space="preserve">ur objectives </w:t>
      </w:r>
      <w:r>
        <w:rPr>
          <w:lang w:val="en-US"/>
        </w:rPr>
        <w:t>are</w:t>
      </w:r>
      <w:r w:rsidRPr="00CD1C9C">
        <w:rPr>
          <w:lang w:val="en-US"/>
        </w:rPr>
        <w:t xml:space="preserve"> to: (1) </w:t>
      </w:r>
      <w:r>
        <w:rPr>
          <w:lang w:val="en-US"/>
        </w:rPr>
        <w:t>p</w:t>
      </w:r>
      <w:r w:rsidRPr="00CD1C9C">
        <w:rPr>
          <w:lang w:val="en-US"/>
        </w:rPr>
        <w:t xml:space="preserve">rovide summary statistics of the catch rates and population demographics for nominated species; (2) </w:t>
      </w:r>
      <w:r>
        <w:rPr>
          <w:lang w:val="en-US"/>
        </w:rPr>
        <w:t>d</w:t>
      </w:r>
      <w:r w:rsidRPr="00CD1C9C">
        <w:rPr>
          <w:lang w:val="en-US"/>
        </w:rPr>
        <w:t>escribe temporal variation in fish assemblage structure from 2015</w:t>
      </w:r>
      <w:r>
        <w:rPr>
          <w:lang w:val="en-US"/>
        </w:rPr>
        <w:t>–2024</w:t>
      </w:r>
      <w:r w:rsidRPr="00CD1C9C">
        <w:rPr>
          <w:lang w:val="en-US"/>
        </w:rPr>
        <w:t xml:space="preserve">; and (3) </w:t>
      </w:r>
      <w:r>
        <w:rPr>
          <w:lang w:val="en-US"/>
        </w:rPr>
        <w:t>d</w:t>
      </w:r>
      <w:r w:rsidRPr="00CD1C9C">
        <w:rPr>
          <w:lang w:val="en-US"/>
        </w:rPr>
        <w:t xml:space="preserve">iscuss key findings based on published research and </w:t>
      </w:r>
      <w:r>
        <w:rPr>
          <w:lang w:val="en-US"/>
        </w:rPr>
        <w:t>a contemporary</w:t>
      </w:r>
      <w:r w:rsidRPr="00CD1C9C">
        <w:rPr>
          <w:lang w:val="en-US"/>
        </w:rPr>
        <w:t xml:space="preserve"> understanding of fish life histories and population dynamics in the LMR.</w:t>
      </w:r>
      <w:r>
        <w:rPr>
          <w:lang w:val="en-US"/>
        </w:rPr>
        <w:t xml:space="preserve"> </w:t>
      </w:r>
      <w:r w:rsidRPr="004039D1">
        <w:rPr>
          <w:lang w:val="en-US"/>
        </w:rPr>
        <w:t>Our interpretations of the data for this indicator do not infer association with environmental water delivery.</w:t>
      </w:r>
    </w:p>
    <w:p w14:paraId="44925799" w14:textId="77777777" w:rsidR="00F87105" w:rsidRPr="0000477E" w:rsidRDefault="00F87105" w:rsidP="00F87105">
      <w:pPr>
        <w:pStyle w:val="Heading3"/>
      </w:pPr>
      <w:r w:rsidRPr="0000477E">
        <w:t>Methods</w:t>
      </w:r>
    </w:p>
    <w:p w14:paraId="3D376040" w14:textId="77777777" w:rsidR="00F87105" w:rsidRDefault="00F87105" w:rsidP="00F87105">
      <w:pPr>
        <w:pStyle w:val="Heading4"/>
        <w:rPr>
          <w:lang w:val="en-US"/>
        </w:rPr>
      </w:pPr>
      <w:r>
        <w:rPr>
          <w:lang w:val="en-US"/>
        </w:rPr>
        <w:t>Sampling</w:t>
      </w:r>
    </w:p>
    <w:p w14:paraId="10743EA9" w14:textId="21BDD227" w:rsidR="00F87105" w:rsidRDefault="00F87105" w:rsidP="00F87105">
      <w:pPr>
        <w:rPr>
          <w:lang w:val="en-US"/>
        </w:rPr>
      </w:pPr>
      <w:r w:rsidRPr="00CD1C9C">
        <w:rPr>
          <w:lang w:val="en-US"/>
        </w:rPr>
        <w:t xml:space="preserve">During </w:t>
      </w:r>
      <w:r>
        <w:rPr>
          <w:lang w:val="en-US"/>
        </w:rPr>
        <w:t>autumn 2015–2024</w:t>
      </w:r>
      <w:r w:rsidRPr="00CD1C9C">
        <w:rPr>
          <w:lang w:val="en-US"/>
        </w:rPr>
        <w:t xml:space="preserve">, small- and large-bodied fish assemblages were sampled from the gorge geomorphic zone of the </w:t>
      </w:r>
      <w:r>
        <w:rPr>
          <w:lang w:val="en-US"/>
        </w:rPr>
        <w:t>LMR (</w:t>
      </w:r>
      <w:r>
        <w:rPr>
          <w:lang w:val="en-US"/>
        </w:rPr>
        <w:fldChar w:fldCharType="begin"/>
      </w:r>
      <w:r>
        <w:rPr>
          <w:lang w:val="en-US"/>
        </w:rPr>
        <w:instrText xml:space="preserve"> REF _Ref469926522 \h </w:instrText>
      </w:r>
      <w:r>
        <w:rPr>
          <w:lang w:val="en-US"/>
        </w:rPr>
      </w:r>
      <w:r>
        <w:rPr>
          <w:lang w:val="en-US"/>
        </w:rPr>
        <w:fldChar w:fldCharType="separate"/>
      </w:r>
      <w:r w:rsidR="00102828">
        <w:t xml:space="preserve">Figure </w:t>
      </w:r>
      <w:r w:rsidR="00102828">
        <w:rPr>
          <w:noProof/>
        </w:rPr>
        <w:t>1</w:t>
      </w:r>
      <w:r>
        <w:rPr>
          <w:lang w:val="en-US"/>
        </w:rPr>
        <w:fldChar w:fldCharType="end"/>
      </w:r>
      <w:r>
        <w:rPr>
          <w:lang w:val="en-US"/>
        </w:rPr>
        <w:t>)</w:t>
      </w:r>
      <w:r w:rsidRPr="00CD1C9C">
        <w:rPr>
          <w:lang w:val="en-US"/>
        </w:rPr>
        <w:t xml:space="preserve"> using fyke nets and electrofishing, respectively. Prescribed methods </w:t>
      </w:r>
      <w:r>
        <w:rPr>
          <w:color w:val="auto"/>
          <w:lang w:val="en-US"/>
        </w:rPr>
        <w:t>(</w:t>
      </w:r>
      <w:r w:rsidRPr="00CD1C9C">
        <w:rPr>
          <w:color w:val="auto"/>
          <w:lang w:val="en-US"/>
        </w:rPr>
        <w:t xml:space="preserve">Hale </w:t>
      </w:r>
      <w:r w:rsidRPr="00CD1C9C">
        <w:rPr>
          <w:i/>
          <w:color w:val="auto"/>
          <w:lang w:val="en-US"/>
        </w:rPr>
        <w:t>et al.</w:t>
      </w:r>
      <w:r w:rsidRPr="00CD1C9C">
        <w:rPr>
          <w:color w:val="auto"/>
          <w:lang w:val="en-US"/>
        </w:rPr>
        <w:t xml:space="preserve"> 2014) were used </w:t>
      </w:r>
      <w:r>
        <w:rPr>
          <w:color w:val="auto"/>
          <w:lang w:val="en-US"/>
        </w:rPr>
        <w:t>to obtain</w:t>
      </w:r>
      <w:r w:rsidRPr="00CD1C9C">
        <w:rPr>
          <w:color w:val="auto"/>
          <w:lang w:val="en-US"/>
        </w:rPr>
        <w:t xml:space="preserve"> </w:t>
      </w:r>
      <w:r w:rsidRPr="00CD1C9C">
        <w:rPr>
          <w:lang w:val="en-US"/>
        </w:rPr>
        <w:t>population structure data for seven target species (</w:t>
      </w:r>
      <w:r>
        <w:rPr>
          <w:lang w:val="en-US"/>
        </w:rPr>
        <w:fldChar w:fldCharType="begin"/>
      </w:r>
      <w:r>
        <w:rPr>
          <w:lang w:val="en-US"/>
        </w:rPr>
        <w:instrText xml:space="preserve"> REF _Ref876789 \h </w:instrText>
      </w:r>
      <w:r>
        <w:rPr>
          <w:lang w:val="en-US"/>
        </w:rPr>
      </w:r>
      <w:r>
        <w:rPr>
          <w:lang w:val="en-US"/>
        </w:rPr>
        <w:fldChar w:fldCharType="separate"/>
      </w:r>
      <w:r w:rsidR="00102828">
        <w:t xml:space="preserve">Figure </w:t>
      </w:r>
      <w:r w:rsidR="00102828">
        <w:rPr>
          <w:noProof/>
        </w:rPr>
        <w:t>69</w:t>
      </w:r>
      <w:r>
        <w:rPr>
          <w:lang w:val="en-US"/>
        </w:rPr>
        <w:fldChar w:fldCharType="end"/>
      </w:r>
      <w:r w:rsidRPr="00CD1C9C">
        <w:rPr>
          <w:lang w:val="en-US"/>
        </w:rPr>
        <w:t xml:space="preserve">). Refer to </w:t>
      </w:r>
      <w:r w:rsidRPr="00B41819">
        <w:t xml:space="preserve">SARDI </w:t>
      </w:r>
      <w:r w:rsidRPr="00AC182A">
        <w:rPr>
          <w:i/>
        </w:rPr>
        <w:t>et al.</w:t>
      </w:r>
      <w:r w:rsidRPr="00B41819">
        <w:t xml:space="preserve"> (20</w:t>
      </w:r>
      <w:r>
        <w:t>24</w:t>
      </w:r>
      <w:r w:rsidRPr="00B41819">
        <w:t xml:space="preserve">) </w:t>
      </w:r>
      <w:r w:rsidRPr="00CD1C9C">
        <w:rPr>
          <w:lang w:val="en-US"/>
        </w:rPr>
        <w:t>for detailed sampling design and methodology.</w:t>
      </w:r>
      <w:r>
        <w:rPr>
          <w:lang w:val="en-US"/>
        </w:rPr>
        <w:t xml:space="preserve"> </w:t>
      </w:r>
      <w:r w:rsidRPr="00A600A8">
        <w:rPr>
          <w:lang w:val="en-US"/>
        </w:rPr>
        <w:t xml:space="preserve">In 2017, electrofishing at half of the sites (sites 1, 3, 4, 6, 7) was delayed to </w:t>
      </w:r>
      <w:r>
        <w:rPr>
          <w:lang w:val="en-US"/>
        </w:rPr>
        <w:t>late July/early August</w:t>
      </w:r>
      <w:r w:rsidRPr="00A600A8">
        <w:rPr>
          <w:lang w:val="en-US"/>
        </w:rPr>
        <w:t>.</w:t>
      </w:r>
      <w:r>
        <w:rPr>
          <w:lang w:val="en-US"/>
        </w:rPr>
        <w:t xml:space="preserve"> Similarly, in 2024, electrofishing at nine sites (except site 1) was delayed to mid-May to mid-June. Both delays were due to electrofishing generator issues.</w:t>
      </w:r>
    </w:p>
    <w:p w14:paraId="569490D7" w14:textId="77777777" w:rsidR="00F87105" w:rsidRDefault="00F87105" w:rsidP="00F87105">
      <w:pPr>
        <w:rPr>
          <w:noProof/>
          <w:lang w:eastAsia="en-AU"/>
        </w:rPr>
      </w:pPr>
      <w:r w:rsidRPr="003C4AE8">
        <w:rPr>
          <w:noProof/>
          <w:lang w:eastAsia="en-AU"/>
        </w:rPr>
        <w:drawing>
          <wp:inline distT="0" distB="0" distL="0" distR="0" wp14:anchorId="42D06FD3" wp14:editId="4415FB0A">
            <wp:extent cx="5727700" cy="2253615"/>
            <wp:effectExtent l="0" t="0" r="6350" b="0"/>
            <wp:docPr id="13" name="Picture 13" descr="Images of target species of fish for the lower Murray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mages of target species of fish for the lower Murray River."/>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727700" cy="2253615"/>
                    </a:xfrm>
                    <a:prstGeom prst="rect">
                      <a:avLst/>
                    </a:prstGeom>
                    <a:noFill/>
                    <a:ln>
                      <a:noFill/>
                    </a:ln>
                  </pic:spPr>
                </pic:pic>
              </a:graphicData>
            </a:graphic>
          </wp:inline>
        </w:drawing>
      </w:r>
    </w:p>
    <w:p w14:paraId="1C8571D5" w14:textId="611225A4" w:rsidR="00F87105" w:rsidRPr="005A47ED" w:rsidRDefault="00F87105" w:rsidP="00F87105">
      <w:pPr>
        <w:pStyle w:val="Caption"/>
      </w:pPr>
      <w:bookmarkStart w:id="529" w:name="_Ref876789"/>
      <w:bookmarkStart w:id="530" w:name="_Toc3558383"/>
      <w:bookmarkStart w:id="531" w:name="_Toc103170114"/>
      <w:bookmarkStart w:id="532" w:name="_Toc166771792"/>
      <w:bookmarkStart w:id="533" w:name="_Toc200464520"/>
      <w:r>
        <w:t xml:space="preserve">Figure </w:t>
      </w:r>
      <w:r>
        <w:fldChar w:fldCharType="begin"/>
      </w:r>
      <w:r>
        <w:instrText>SEQ Figure \* ARABIC</w:instrText>
      </w:r>
      <w:r>
        <w:fldChar w:fldCharType="separate"/>
      </w:r>
      <w:r w:rsidR="00102828">
        <w:rPr>
          <w:noProof/>
        </w:rPr>
        <w:t>69</w:t>
      </w:r>
      <w:r>
        <w:fldChar w:fldCharType="end"/>
      </w:r>
      <w:bookmarkEnd w:id="529"/>
      <w:r w:rsidRPr="005A47ED">
        <w:t xml:space="preserve">. Target species for the </w:t>
      </w:r>
      <w:r w:rsidRPr="00607412">
        <w:t>L</w:t>
      </w:r>
      <w:r>
        <w:t xml:space="preserve">ower </w:t>
      </w:r>
      <w:r w:rsidRPr="00607412">
        <w:t>M</w:t>
      </w:r>
      <w:r>
        <w:t xml:space="preserve">urray </w:t>
      </w:r>
      <w:r w:rsidRPr="00607412">
        <w:t>R</w:t>
      </w:r>
      <w:r>
        <w:t>iver</w:t>
      </w:r>
      <w:r w:rsidRPr="005A47ED">
        <w:t>: (a) Murray cod and (b) freshwater catfish (equilibrium life history); (c) golden perch and (d) silver perch (periodic life hi</w:t>
      </w:r>
      <w:r>
        <w:t>story); and (e) carp gudgeon,</w:t>
      </w:r>
      <w:r w:rsidRPr="005A47ED">
        <w:t xml:space="preserve"> (f) Murray rainbowfish</w:t>
      </w:r>
      <w:r>
        <w:t xml:space="preserve"> and (g) bony herring</w:t>
      </w:r>
      <w:r w:rsidRPr="005A47ED">
        <w:t xml:space="preserve"> (opportunistic life history).</w:t>
      </w:r>
      <w:bookmarkEnd w:id="530"/>
      <w:bookmarkEnd w:id="531"/>
      <w:bookmarkEnd w:id="532"/>
      <w:bookmarkEnd w:id="533"/>
    </w:p>
    <w:p w14:paraId="466CB72B" w14:textId="77777777" w:rsidR="00F87105" w:rsidRDefault="00F87105" w:rsidP="00F87105">
      <w:pPr>
        <w:pStyle w:val="Heading4"/>
        <w:rPr>
          <w:lang w:val="en-US"/>
        </w:rPr>
      </w:pPr>
      <w:r>
        <w:rPr>
          <w:lang w:val="en-US"/>
        </w:rPr>
        <w:lastRenderedPageBreak/>
        <w:t>Ageing</w:t>
      </w:r>
    </w:p>
    <w:p w14:paraId="53BBCEB4" w14:textId="58715E37" w:rsidR="00F87105" w:rsidRPr="00474C5E" w:rsidRDefault="00F87105" w:rsidP="00F87105">
      <w:pPr>
        <w:rPr>
          <w:color w:val="auto"/>
        </w:rPr>
      </w:pPr>
      <w:r w:rsidRPr="00474C5E">
        <w:t xml:space="preserve">In addition to golden perch, silver perch (Section </w:t>
      </w:r>
      <w:r w:rsidRPr="00474C5E">
        <w:fldChar w:fldCharType="begin"/>
      </w:r>
      <w:r w:rsidRPr="00474C5E">
        <w:instrText xml:space="preserve"> REF _Ref53046930 \r \h </w:instrText>
      </w:r>
      <w:r>
        <w:instrText xml:space="preserve"> \* MERGEFORMAT </w:instrText>
      </w:r>
      <w:r w:rsidRPr="00474C5E">
        <w:fldChar w:fldCharType="separate"/>
      </w:r>
      <w:r w:rsidR="00102828">
        <w:t>2.6</w:t>
      </w:r>
      <w:r w:rsidRPr="00474C5E">
        <w:fldChar w:fldCharType="end"/>
      </w:r>
      <w:r w:rsidRPr="00474C5E">
        <w:t xml:space="preserve">) and Murray cod (Section </w:t>
      </w:r>
      <w:r w:rsidRPr="00474C5E">
        <w:fldChar w:fldCharType="begin"/>
      </w:r>
      <w:r w:rsidRPr="00474C5E">
        <w:instrText xml:space="preserve"> REF _Ref50027079 \r \h </w:instrText>
      </w:r>
      <w:r>
        <w:instrText xml:space="preserve"> \* MERGEFORMAT </w:instrText>
      </w:r>
      <w:r w:rsidRPr="00474C5E">
        <w:fldChar w:fldCharType="separate"/>
      </w:r>
      <w:r w:rsidR="00102828">
        <w:t>2.7</w:t>
      </w:r>
      <w:r w:rsidRPr="00474C5E">
        <w:fldChar w:fldCharType="end"/>
      </w:r>
      <w:r w:rsidRPr="00474C5E">
        <w:t xml:space="preserve">), an annual age structure was </w:t>
      </w:r>
      <w:r>
        <w:t>determined</w:t>
      </w:r>
      <w:r w:rsidRPr="00474C5E">
        <w:t xml:space="preserve"> for large-bodied target species bony herring</w:t>
      </w:r>
      <w:r>
        <w:t xml:space="preserve"> </w:t>
      </w:r>
      <w:r w:rsidRPr="007571E8">
        <w:rPr>
          <w:lang w:val="en-US"/>
        </w:rPr>
        <w:t>(</w:t>
      </w:r>
      <w:r w:rsidRPr="007571E8">
        <w:rPr>
          <w:i/>
          <w:lang w:val="en-US"/>
        </w:rPr>
        <w:t>Nematalosa erebi</w:t>
      </w:r>
      <w:r w:rsidRPr="007571E8">
        <w:rPr>
          <w:lang w:val="en-US"/>
        </w:rPr>
        <w:t xml:space="preserve">) </w:t>
      </w:r>
      <w:r w:rsidRPr="00474C5E">
        <w:t xml:space="preserve"> (2016–2024) and freshwater catfish</w:t>
      </w:r>
      <w:r>
        <w:t xml:space="preserve"> (</w:t>
      </w:r>
      <w:r w:rsidRPr="00315D03">
        <w:rPr>
          <w:i/>
          <w:iCs/>
        </w:rPr>
        <w:t>Tandanus tandanus</w:t>
      </w:r>
      <w:r>
        <w:t>)</w:t>
      </w:r>
      <w:r w:rsidRPr="00474C5E">
        <w:t xml:space="preserve"> (2015–2024). </w:t>
      </w:r>
      <w:r w:rsidRPr="00474C5E">
        <w:rPr>
          <w:color w:val="auto"/>
        </w:rPr>
        <w:t xml:space="preserve">Individuals retained for ageing were euthanised and sagittal otoliths were removed. Methods for otolith preparation and ageing followed that described in </w:t>
      </w:r>
      <w:r w:rsidRPr="00474C5E">
        <w:t xml:space="preserve">Section </w:t>
      </w:r>
      <w:r w:rsidRPr="00474C5E">
        <w:fldChar w:fldCharType="begin"/>
      </w:r>
      <w:r w:rsidRPr="00474C5E">
        <w:instrText xml:space="preserve"> REF _Ref53046930 \r \h </w:instrText>
      </w:r>
      <w:r>
        <w:instrText xml:space="preserve"> \* MERGEFORMAT </w:instrText>
      </w:r>
      <w:r w:rsidRPr="00474C5E">
        <w:fldChar w:fldCharType="separate"/>
      </w:r>
      <w:r w:rsidR="00102828">
        <w:t>2.6</w:t>
      </w:r>
      <w:r w:rsidRPr="00474C5E">
        <w:fldChar w:fldCharType="end"/>
      </w:r>
      <w:r w:rsidRPr="00474C5E">
        <w:t>.</w:t>
      </w:r>
      <w:r w:rsidRPr="00474C5E">
        <w:rPr>
          <w:lang w:val="en-US"/>
        </w:rPr>
        <w:t xml:space="preserve"> </w:t>
      </w:r>
    </w:p>
    <w:p w14:paraId="66F5A050" w14:textId="77777777" w:rsidR="00F87105" w:rsidRDefault="00F87105" w:rsidP="00F87105">
      <w:pPr>
        <w:pStyle w:val="Heading4"/>
        <w:rPr>
          <w:lang w:val="en-US"/>
        </w:rPr>
      </w:pPr>
      <w:r>
        <w:rPr>
          <w:lang w:val="en-US"/>
        </w:rPr>
        <w:t>Data analyses</w:t>
      </w:r>
    </w:p>
    <w:p w14:paraId="7813FD7E" w14:textId="77777777" w:rsidR="00F87105" w:rsidRDefault="00F87105" w:rsidP="00F87105">
      <w:pPr>
        <w:rPr>
          <w:lang w:val="en-US"/>
        </w:rPr>
      </w:pPr>
      <w:r>
        <w:rPr>
          <w:lang w:val="en-US"/>
        </w:rPr>
        <w:t>Temporal variation in fish assemblage structure (species composition and abundance), between sampling years (i.e. 2015–2024), was investigated using n</w:t>
      </w:r>
      <w:r w:rsidRPr="00E55399">
        <w:rPr>
          <w:lang w:val="en-US"/>
        </w:rPr>
        <w:t>on-metric Multi-Dimensional Scaling (MDS)</w:t>
      </w:r>
      <w:r>
        <w:rPr>
          <w:lang w:val="en-US"/>
        </w:rPr>
        <w:t xml:space="preserve">, permutational multivariate analysis of variance (PERMANOVA) and Similarity Percentages (SIMPER) analysis in the software package PRIMER v. </w:t>
      </w:r>
      <w:r w:rsidRPr="00531040">
        <w:rPr>
          <w:lang w:val="en-US"/>
        </w:rPr>
        <w:t>6.1.12</w:t>
      </w:r>
      <w:r>
        <w:rPr>
          <w:lang w:val="en-US"/>
        </w:rPr>
        <w:t xml:space="preserve"> (Clarke and Gorley 2015) and PERMANOVA + v.1.02 (Anderson </w:t>
      </w:r>
      <w:r w:rsidRPr="00C673C6">
        <w:rPr>
          <w:i/>
          <w:lang w:val="en-US"/>
        </w:rPr>
        <w:t>et al.</w:t>
      </w:r>
      <w:r>
        <w:rPr>
          <w:lang w:val="en-US"/>
        </w:rPr>
        <w:t xml:space="preserve"> 2008).</w:t>
      </w:r>
      <w:r w:rsidRPr="00C673C6">
        <w:rPr>
          <w:lang w:val="en-US"/>
        </w:rPr>
        <w:t xml:space="preserve"> </w:t>
      </w:r>
      <w:r>
        <w:rPr>
          <w:lang w:val="en-US"/>
        </w:rPr>
        <w:t>Catch-per-unit-effort (CPUE) data for small-bodied (individuals/fyke net/</w:t>
      </w:r>
      <w:r w:rsidRPr="005E2A47">
        <w:rPr>
          <w:lang w:val="en-US"/>
        </w:rPr>
        <w:t>hour)</w:t>
      </w:r>
      <w:r>
        <w:rPr>
          <w:lang w:val="en-US"/>
        </w:rPr>
        <w:t xml:space="preserve"> and large-bodied species </w:t>
      </w:r>
      <w:r w:rsidRPr="005E2A47">
        <w:rPr>
          <w:lang w:val="en-US"/>
        </w:rPr>
        <w:t>(</w:t>
      </w:r>
      <w:r>
        <w:rPr>
          <w:lang w:val="en-US"/>
        </w:rPr>
        <w:t>individuals/</w:t>
      </w:r>
      <w:r w:rsidRPr="005E2A47">
        <w:rPr>
          <w:lang w:val="en-US"/>
        </w:rPr>
        <w:t xml:space="preserve">90 second electrofishing shot) </w:t>
      </w:r>
      <w:r>
        <w:rPr>
          <w:lang w:val="en-US"/>
        </w:rPr>
        <w:t xml:space="preserve">were analysed separately and square-root transformed prior to statistical analyses. </w:t>
      </w:r>
      <w:r w:rsidRPr="005E2A47">
        <w:rPr>
          <w:lang w:val="en-US"/>
        </w:rPr>
        <w:t xml:space="preserve">Analyses of large-bodied assemblage data were restricted to </w:t>
      </w:r>
      <w:r>
        <w:rPr>
          <w:lang w:val="en-US"/>
        </w:rPr>
        <w:t>sampling that occurred in March/April</w:t>
      </w:r>
      <w:r w:rsidRPr="005E2A47">
        <w:rPr>
          <w:lang w:val="en-US"/>
        </w:rPr>
        <w:t xml:space="preserve"> </w:t>
      </w:r>
      <w:r>
        <w:rPr>
          <w:lang w:val="en-US"/>
        </w:rPr>
        <w:t>because</w:t>
      </w:r>
      <w:r w:rsidRPr="005E2A47">
        <w:rPr>
          <w:lang w:val="en-US"/>
        </w:rPr>
        <w:t xml:space="preserve"> data were significantly different among seasons for 2017 (i.e. winter vs. autumn). </w:t>
      </w:r>
      <w:r>
        <w:rPr>
          <w:lang w:val="en-US"/>
        </w:rPr>
        <w:t>Furthermore, data from 2024 were not analysed due to 90% of sites being sampled from late May 2024. To determine temporal variation in recruitment and population structure, length frequency histograms were qualitatively compared among sampling years.</w:t>
      </w:r>
    </w:p>
    <w:p w14:paraId="31F0C236" w14:textId="77777777" w:rsidR="00F87105" w:rsidRPr="00C775F8" w:rsidRDefault="00F87105" w:rsidP="00F87105">
      <w:pPr>
        <w:rPr>
          <w:color w:val="auto"/>
        </w:rPr>
      </w:pPr>
      <w:r w:rsidRPr="00C775F8">
        <w:rPr>
          <w:color w:val="auto"/>
        </w:rPr>
        <w:t xml:space="preserve">To investigate recruitment of large-bodied species, we calculated the CPUE of age 0+ individuals using </w:t>
      </w:r>
      <w:r>
        <w:rPr>
          <w:color w:val="auto"/>
        </w:rPr>
        <w:t>length structure data</w:t>
      </w:r>
      <w:r w:rsidRPr="00C775F8">
        <w:rPr>
          <w:color w:val="auto"/>
        </w:rPr>
        <w:t xml:space="preserve">. </w:t>
      </w:r>
      <w:r>
        <w:rPr>
          <w:color w:val="auto"/>
        </w:rPr>
        <w:t>Recruitment length t</w:t>
      </w:r>
      <w:r w:rsidRPr="00C775F8">
        <w:rPr>
          <w:color w:val="auto"/>
        </w:rPr>
        <w:t>hresholds</w:t>
      </w:r>
      <w:r>
        <w:rPr>
          <w:color w:val="auto"/>
        </w:rPr>
        <w:t>,</w:t>
      </w:r>
      <w:r w:rsidRPr="00C775F8">
        <w:rPr>
          <w:color w:val="auto"/>
        </w:rPr>
        <w:t xml:space="preserve"> </w:t>
      </w:r>
      <w:r>
        <w:rPr>
          <w:color w:val="auto"/>
        </w:rPr>
        <w:t>representing</w:t>
      </w:r>
      <w:r w:rsidRPr="00C775F8">
        <w:rPr>
          <w:color w:val="auto"/>
        </w:rPr>
        <w:t xml:space="preserve"> the minimum size of age 1+</w:t>
      </w:r>
      <w:r>
        <w:rPr>
          <w:color w:val="auto"/>
        </w:rPr>
        <w:t xml:space="preserve">, were </w:t>
      </w:r>
      <w:r w:rsidRPr="00C775F8">
        <w:rPr>
          <w:color w:val="auto"/>
        </w:rPr>
        <w:t xml:space="preserve">assigned to each species </w:t>
      </w:r>
      <w:r>
        <w:rPr>
          <w:color w:val="auto"/>
        </w:rPr>
        <w:t>(golden perch = 85 mm TL (total length), silver perch = 100 m FL (fork length), freshwater catfish = 90 mm TL, Murray cod = 155 m TL, bony herring = 120 mm FL, common carp and goldfish = 155 m FL, redfin perch = 150 mm FL) based on data from</w:t>
      </w:r>
      <w:r w:rsidRPr="00C775F8">
        <w:rPr>
          <w:color w:val="auto"/>
        </w:rPr>
        <w:t xml:space="preserve"> Hladyz </w:t>
      </w:r>
      <w:r w:rsidRPr="00C775F8">
        <w:rPr>
          <w:i/>
          <w:iCs/>
          <w:color w:val="auto"/>
        </w:rPr>
        <w:t>et al.</w:t>
      </w:r>
      <w:r w:rsidRPr="00C775F8">
        <w:rPr>
          <w:color w:val="auto"/>
        </w:rPr>
        <w:t xml:space="preserve"> (2024) and SARDI unpublished data. </w:t>
      </w:r>
      <w:r>
        <w:rPr>
          <w:color w:val="auto"/>
        </w:rPr>
        <w:t xml:space="preserve">Due to increased growth rates during the 2022-23 flood year, length thresholds were adjusted for some species in 2023 (i.e. golden perch = 135 mm TL, Murray cod = 170 mm TL, bony herring = 150 mm FL, and redfin perch = 205 mm FL). </w:t>
      </w:r>
      <w:r w:rsidRPr="00C775F8">
        <w:rPr>
          <w:color w:val="auto"/>
        </w:rPr>
        <w:t xml:space="preserve">Data were represented graphically as </w:t>
      </w:r>
      <w:r>
        <w:rPr>
          <w:color w:val="auto"/>
        </w:rPr>
        <w:t>histograms</w:t>
      </w:r>
      <w:r w:rsidRPr="00C775F8">
        <w:rPr>
          <w:color w:val="auto"/>
        </w:rPr>
        <w:t>.</w:t>
      </w:r>
    </w:p>
    <w:p w14:paraId="7C5759C5" w14:textId="77777777" w:rsidR="00F87105" w:rsidRPr="0000477E" w:rsidRDefault="00F87105" w:rsidP="00F87105">
      <w:pPr>
        <w:pStyle w:val="Heading3"/>
      </w:pPr>
      <w:r w:rsidRPr="0000477E">
        <w:t>Results</w:t>
      </w:r>
    </w:p>
    <w:p w14:paraId="3E1BD7B2" w14:textId="77777777" w:rsidR="00F87105" w:rsidRPr="00DC60AE" w:rsidRDefault="00F87105" w:rsidP="00F87105">
      <w:pPr>
        <w:rPr>
          <w:i/>
          <w:u w:val="single"/>
        </w:rPr>
      </w:pPr>
      <w:r>
        <w:rPr>
          <w:i/>
          <w:u w:val="single"/>
        </w:rPr>
        <w:t>Catch summary</w:t>
      </w:r>
    </w:p>
    <w:p w14:paraId="4D2EAEB1" w14:textId="285E2B4A" w:rsidR="00F87105" w:rsidRPr="00AD5B88" w:rsidRDefault="00F87105" w:rsidP="00F87105">
      <w:pPr>
        <w:rPr>
          <w:lang w:val="en-US"/>
        </w:rPr>
      </w:pPr>
      <w:r>
        <w:rPr>
          <w:lang w:val="en-US"/>
        </w:rPr>
        <w:t>From 2015–2024, a</w:t>
      </w:r>
      <w:r w:rsidRPr="00641F42">
        <w:rPr>
          <w:lang w:val="en-US"/>
        </w:rPr>
        <w:t xml:space="preserve"> </w:t>
      </w:r>
      <w:r w:rsidRPr="00D21FDE">
        <w:rPr>
          <w:lang w:val="en-US"/>
        </w:rPr>
        <w:t xml:space="preserve">total of </w:t>
      </w:r>
      <w:r>
        <w:rPr>
          <w:lang w:val="en-US"/>
        </w:rPr>
        <w:t>112,727</w:t>
      </w:r>
      <w:r w:rsidRPr="00D21FDE">
        <w:rPr>
          <w:lang w:val="en-US"/>
        </w:rPr>
        <w:t xml:space="preserve"> individuals (ind.) from </w:t>
      </w:r>
      <w:r>
        <w:rPr>
          <w:lang w:val="en-US"/>
        </w:rPr>
        <w:t>eight</w:t>
      </w:r>
      <w:r w:rsidRPr="00D21FDE">
        <w:rPr>
          <w:lang w:val="en-US"/>
        </w:rPr>
        <w:t xml:space="preserve"> large-bodied fish species were collected by electrofishing</w:t>
      </w:r>
      <w:r w:rsidRPr="002955BC">
        <w:rPr>
          <w:lang w:val="en-US"/>
        </w:rPr>
        <w:t>. Across all years, bony herring was consistently the most abundant species (59–97% of the catch/annum), followed by common carp (</w:t>
      </w:r>
      <w:r w:rsidRPr="002955BC">
        <w:rPr>
          <w:i/>
          <w:lang w:val="en-US"/>
        </w:rPr>
        <w:t>Cyprinus carpio</w:t>
      </w:r>
      <w:r w:rsidRPr="002955BC">
        <w:rPr>
          <w:lang w:val="en-US"/>
        </w:rPr>
        <w:t xml:space="preserve">), </w:t>
      </w:r>
      <w:r>
        <w:rPr>
          <w:lang w:val="en-US"/>
        </w:rPr>
        <w:t>but</w:t>
      </w:r>
      <w:r w:rsidRPr="002955BC">
        <w:rPr>
          <w:lang w:val="en-US"/>
        </w:rPr>
        <w:t xml:space="preserve"> </w:t>
      </w:r>
      <w:r>
        <w:rPr>
          <w:lang w:val="en-US"/>
        </w:rPr>
        <w:t xml:space="preserve">for this species, </w:t>
      </w:r>
      <w:r w:rsidRPr="00D1515E">
        <w:rPr>
          <w:lang w:val="en-US"/>
        </w:rPr>
        <w:t xml:space="preserve">proportion of the total catch varied </w:t>
      </w:r>
      <w:r>
        <w:rPr>
          <w:lang w:val="en-US"/>
        </w:rPr>
        <w:t xml:space="preserve">greatly </w:t>
      </w:r>
      <w:r w:rsidRPr="00D1515E">
        <w:rPr>
          <w:lang w:val="en-US"/>
        </w:rPr>
        <w:t>across sampling years (1% in 2015 to 39% in 2022) (</w:t>
      </w:r>
      <w:r w:rsidRPr="00D1515E">
        <w:rPr>
          <w:lang w:val="en-US"/>
        </w:rPr>
        <w:fldChar w:fldCharType="begin"/>
      </w:r>
      <w:r w:rsidRPr="00D1515E">
        <w:rPr>
          <w:lang w:val="en-US"/>
        </w:rPr>
        <w:instrText xml:space="preserve"> REF _Ref876802 \h  \* MERGEFORMAT </w:instrText>
      </w:r>
      <w:r w:rsidRPr="00D1515E">
        <w:rPr>
          <w:lang w:val="en-US"/>
        </w:rPr>
      </w:r>
      <w:r w:rsidRPr="00D1515E">
        <w:rPr>
          <w:lang w:val="en-US"/>
        </w:rPr>
        <w:fldChar w:fldCharType="separate"/>
      </w:r>
      <w:r w:rsidR="00102828" w:rsidRPr="00EB5F30">
        <w:t xml:space="preserve">Figure </w:t>
      </w:r>
      <w:r w:rsidR="00102828">
        <w:rPr>
          <w:noProof/>
        </w:rPr>
        <w:t>70</w:t>
      </w:r>
      <w:r w:rsidRPr="00D1515E">
        <w:rPr>
          <w:lang w:val="en-US"/>
        </w:rPr>
        <w:fldChar w:fldCharType="end"/>
      </w:r>
      <w:r w:rsidRPr="00D1515E">
        <w:rPr>
          <w:lang w:val="en-US"/>
        </w:rPr>
        <w:t>).</w:t>
      </w:r>
    </w:p>
    <w:p w14:paraId="12F08CC7" w14:textId="75722DBE" w:rsidR="00F87105" w:rsidRDefault="00F87105" w:rsidP="00F87105">
      <w:pPr>
        <w:rPr>
          <w:i/>
          <w:u w:val="single"/>
        </w:rPr>
      </w:pPr>
      <w:r w:rsidRPr="00AD5B88">
        <w:rPr>
          <w:lang w:val="en-US"/>
        </w:rPr>
        <w:t xml:space="preserve">A total of </w:t>
      </w:r>
      <w:r>
        <w:rPr>
          <w:lang w:val="en-US"/>
        </w:rPr>
        <w:t>152,216</w:t>
      </w:r>
      <w:r w:rsidRPr="00AD5B88">
        <w:rPr>
          <w:lang w:val="en-US"/>
        </w:rPr>
        <w:t xml:space="preserve"> individuals from s</w:t>
      </w:r>
      <w:r>
        <w:rPr>
          <w:lang w:val="en-US"/>
        </w:rPr>
        <w:t>even</w:t>
      </w:r>
      <w:r w:rsidRPr="00AD5B88">
        <w:rPr>
          <w:lang w:val="en-US"/>
        </w:rPr>
        <w:t xml:space="preserve"> small-bodied species were collected </w:t>
      </w:r>
      <w:r>
        <w:rPr>
          <w:lang w:val="en-US"/>
        </w:rPr>
        <w:t>using</w:t>
      </w:r>
      <w:r w:rsidRPr="00AD5B88">
        <w:rPr>
          <w:lang w:val="en-US"/>
        </w:rPr>
        <w:t xml:space="preserve"> fyke </w:t>
      </w:r>
      <w:r w:rsidRPr="002955BC">
        <w:rPr>
          <w:lang w:val="en-US"/>
        </w:rPr>
        <w:t>nets. The total abundance of small-bodied species varied considerably across sampling years (598 ind. in 2023 to 37,678 ind. in 2018), but the proportional abundance of individual species remained similar. Carp gudgeon (</w:t>
      </w:r>
      <w:r w:rsidRPr="002955BC">
        <w:rPr>
          <w:i/>
          <w:lang w:val="en-US"/>
        </w:rPr>
        <w:t>Hypseleotris</w:t>
      </w:r>
      <w:r w:rsidRPr="002955BC">
        <w:rPr>
          <w:lang w:val="en-US"/>
        </w:rPr>
        <w:t xml:space="preserve"> spp.) was the most abundant species (42–94% of catch/annum), followed by </w:t>
      </w:r>
      <w:r>
        <w:rPr>
          <w:lang w:val="en-US"/>
        </w:rPr>
        <w:t>eastern g</w:t>
      </w:r>
      <w:r w:rsidRPr="002955BC">
        <w:rPr>
          <w:lang w:val="en-US"/>
        </w:rPr>
        <w:t>ambusia (</w:t>
      </w:r>
      <w:r w:rsidRPr="002955BC">
        <w:rPr>
          <w:i/>
          <w:lang w:val="en-US"/>
        </w:rPr>
        <w:t>Gambusia holbrooki</w:t>
      </w:r>
      <w:r w:rsidRPr="002955BC">
        <w:rPr>
          <w:lang w:val="en-US"/>
        </w:rPr>
        <w:t>) (1–36%/annum) (</w:t>
      </w:r>
      <w:r w:rsidR="00D714D9">
        <w:rPr>
          <w:lang w:val="en-US"/>
        </w:rPr>
        <w:fldChar w:fldCharType="begin"/>
      </w:r>
      <w:r w:rsidR="00D714D9">
        <w:rPr>
          <w:lang w:val="en-US"/>
        </w:rPr>
        <w:instrText xml:space="preserve"> REF _Ref196906417 \h </w:instrText>
      </w:r>
      <w:r w:rsidR="00D714D9">
        <w:rPr>
          <w:lang w:val="en-US"/>
        </w:rPr>
      </w:r>
      <w:r w:rsidR="00D714D9">
        <w:rPr>
          <w:lang w:val="en-US"/>
        </w:rPr>
        <w:fldChar w:fldCharType="separate"/>
      </w:r>
      <w:r w:rsidR="00102828">
        <w:t xml:space="preserve">Figure </w:t>
      </w:r>
      <w:r w:rsidR="00102828">
        <w:rPr>
          <w:noProof/>
        </w:rPr>
        <w:t>71</w:t>
      </w:r>
      <w:r w:rsidR="00D714D9">
        <w:rPr>
          <w:lang w:val="en-US"/>
        </w:rPr>
        <w:fldChar w:fldCharType="end"/>
      </w:r>
      <w:r w:rsidRPr="002955BC">
        <w:rPr>
          <w:lang w:val="en-US"/>
        </w:rPr>
        <w:t>).</w:t>
      </w:r>
      <w:r w:rsidRPr="00AD5B88">
        <w:rPr>
          <w:lang w:val="en-US"/>
        </w:rPr>
        <w:t xml:space="preserve"> </w:t>
      </w:r>
    </w:p>
    <w:p w14:paraId="315564EB" w14:textId="77777777" w:rsidR="00F87105" w:rsidRPr="00BD23B9" w:rsidRDefault="00F87105" w:rsidP="00F87105">
      <w:pPr>
        <w:spacing w:before="0" w:after="160" w:line="259" w:lineRule="auto"/>
        <w:jc w:val="left"/>
        <w:rPr>
          <w:i/>
          <w:u w:val="single"/>
        </w:rPr>
      </w:pPr>
      <w:r w:rsidRPr="00BD23B9">
        <w:rPr>
          <w:i/>
          <w:u w:val="single"/>
        </w:rPr>
        <w:lastRenderedPageBreak/>
        <w:t>Temporal variability in fish assemblage structure</w:t>
      </w:r>
    </w:p>
    <w:p w14:paraId="340D4ECF" w14:textId="4A1F4F61" w:rsidR="00F87105" w:rsidRPr="00BD23B9" w:rsidRDefault="00F87105" w:rsidP="00F87105">
      <w:pPr>
        <w:rPr>
          <w:lang w:val="en-US"/>
        </w:rPr>
      </w:pPr>
      <w:r w:rsidRPr="00BD23B9">
        <w:rPr>
          <w:lang w:val="en-US"/>
        </w:rPr>
        <w:t>MDS ordination of large-bodied fish assemblage data demonstrated separation of 2017, 2022 and 2023 from all other years (</w:t>
      </w:r>
      <w:r w:rsidRPr="00BD23B9">
        <w:rPr>
          <w:lang w:val="en-US"/>
        </w:rPr>
        <w:fldChar w:fldCharType="begin"/>
      </w:r>
      <w:r w:rsidRPr="00BD23B9">
        <w:rPr>
          <w:lang w:val="en-US"/>
        </w:rPr>
        <w:instrText xml:space="preserve"> REF _Ref876821 \h  \* MERGEFORMAT </w:instrText>
      </w:r>
      <w:r w:rsidRPr="00BD23B9">
        <w:rPr>
          <w:lang w:val="en-US"/>
        </w:rPr>
      </w:r>
      <w:r w:rsidRPr="00BD23B9">
        <w:rPr>
          <w:lang w:val="en-US"/>
        </w:rPr>
        <w:fldChar w:fldCharType="separate"/>
      </w:r>
      <w:r w:rsidR="00102828" w:rsidRPr="00FD0614">
        <w:t xml:space="preserve">Figure </w:t>
      </w:r>
      <w:r w:rsidR="00102828">
        <w:rPr>
          <w:noProof/>
        </w:rPr>
        <w:t>72</w:t>
      </w:r>
      <w:r w:rsidRPr="00BD23B9">
        <w:rPr>
          <w:lang w:val="en-US"/>
        </w:rPr>
        <w:fldChar w:fldCharType="end"/>
      </w:r>
      <w:r w:rsidRPr="00BD23B9">
        <w:rPr>
          <w:lang w:val="en-US"/>
        </w:rPr>
        <w:t>a). PERMANOVA indicated that large-bodied fish assemblages were significantly different among years (</w:t>
      </w:r>
      <w:r w:rsidRPr="00BD23B9">
        <w:rPr>
          <w:i/>
          <w:lang w:val="en-US"/>
        </w:rPr>
        <w:t>Pseudo</w:t>
      </w:r>
      <w:r w:rsidRPr="00BD23B9">
        <w:rPr>
          <w:i/>
          <w:lang w:val="en-US"/>
        </w:rPr>
        <w:noBreakHyphen/>
        <w:t>F</w:t>
      </w:r>
      <w:r w:rsidRPr="00BD23B9">
        <w:rPr>
          <w:i/>
          <w:vertAlign w:val="subscript"/>
          <w:lang w:val="en-US"/>
        </w:rPr>
        <w:t>8</w:t>
      </w:r>
      <w:r w:rsidRPr="00BD23B9">
        <w:rPr>
          <w:vertAlign w:val="subscript"/>
          <w:lang w:val="en-US"/>
        </w:rPr>
        <w:t>,85</w:t>
      </w:r>
      <w:r w:rsidRPr="00BD23B9">
        <w:rPr>
          <w:lang w:val="en-US"/>
        </w:rPr>
        <w:t xml:space="preserve"> = 20.052, </w:t>
      </w:r>
      <w:r w:rsidRPr="00BD23B9">
        <w:rPr>
          <w:i/>
          <w:lang w:val="en-US"/>
        </w:rPr>
        <w:t>P</w:t>
      </w:r>
      <w:r w:rsidRPr="00BD23B9">
        <w:rPr>
          <w:lang w:val="en-US"/>
        </w:rPr>
        <w:t xml:space="preserve"> </w:t>
      </w:r>
      <w:r w:rsidRPr="00BD23B9">
        <w:t>≤ 0.001</w:t>
      </w:r>
      <w:r w:rsidRPr="00BD23B9">
        <w:rPr>
          <w:lang w:val="en-US"/>
        </w:rPr>
        <w:t>). Pairwise comparisons revealed significant differences between 2023 and all other years, between 2022 and all other years except 2017, and between 2017 and most other years. There were also significant differences between 2015 and 2021, and 2020 and 2021, but not for any other pairs of years (</w:t>
      </w:r>
      <w:r w:rsidRPr="00BD23B9">
        <w:rPr>
          <w:lang w:val="en-US"/>
        </w:rPr>
        <w:fldChar w:fldCharType="begin"/>
      </w:r>
      <w:r w:rsidRPr="00BD23B9">
        <w:rPr>
          <w:lang w:val="en-US"/>
        </w:rPr>
        <w:instrText xml:space="preserve"> REF _Ref876821 \h  \* MERGEFORMAT </w:instrText>
      </w:r>
      <w:r w:rsidRPr="00BD23B9">
        <w:rPr>
          <w:lang w:val="en-US"/>
        </w:rPr>
      </w:r>
      <w:r w:rsidRPr="00BD23B9">
        <w:rPr>
          <w:lang w:val="en-US"/>
        </w:rPr>
        <w:fldChar w:fldCharType="separate"/>
      </w:r>
      <w:r w:rsidR="00102828" w:rsidRPr="00FD0614">
        <w:t xml:space="preserve">Figure </w:t>
      </w:r>
      <w:r w:rsidR="00102828">
        <w:rPr>
          <w:noProof/>
        </w:rPr>
        <w:t>72</w:t>
      </w:r>
      <w:r w:rsidRPr="00BD23B9">
        <w:rPr>
          <w:lang w:val="en-US"/>
        </w:rPr>
        <w:fldChar w:fldCharType="end"/>
      </w:r>
      <w:r w:rsidRPr="00BD23B9">
        <w:rPr>
          <w:lang w:val="en-US"/>
        </w:rPr>
        <w:t xml:space="preserve">a). </w:t>
      </w:r>
    </w:p>
    <w:p w14:paraId="7D9520F4" w14:textId="12570434" w:rsidR="00F87105" w:rsidRDefault="00F87105" w:rsidP="00F87105">
      <w:pPr>
        <w:rPr>
          <w:lang w:val="en-US"/>
        </w:rPr>
      </w:pPr>
      <w:r w:rsidRPr="00BD23B9">
        <w:rPr>
          <w:lang w:val="en-US"/>
        </w:rPr>
        <w:t>For small-bodied fish assemblages, there were also significant differences among years (</w:t>
      </w:r>
      <w:r w:rsidRPr="00BD23B9">
        <w:rPr>
          <w:i/>
          <w:lang w:val="en-US"/>
        </w:rPr>
        <w:t>Pseudo</w:t>
      </w:r>
      <w:r w:rsidRPr="00BD23B9">
        <w:rPr>
          <w:i/>
          <w:lang w:val="en-US"/>
        </w:rPr>
        <w:noBreakHyphen/>
        <w:t>F</w:t>
      </w:r>
      <w:r>
        <w:rPr>
          <w:i/>
          <w:vertAlign w:val="subscript"/>
          <w:lang w:val="en-US"/>
        </w:rPr>
        <w:t>9</w:t>
      </w:r>
      <w:r w:rsidRPr="00BD23B9">
        <w:rPr>
          <w:vertAlign w:val="subscript"/>
          <w:lang w:val="en-US"/>
        </w:rPr>
        <w:t>,</w:t>
      </w:r>
      <w:r>
        <w:rPr>
          <w:vertAlign w:val="subscript"/>
          <w:lang w:val="en-US"/>
        </w:rPr>
        <w:t>9</w:t>
      </w:r>
      <w:r w:rsidRPr="00BD23B9">
        <w:rPr>
          <w:vertAlign w:val="subscript"/>
          <w:lang w:val="en-US"/>
        </w:rPr>
        <w:t>9</w:t>
      </w:r>
      <w:r w:rsidRPr="00BD23B9">
        <w:rPr>
          <w:lang w:val="en-US"/>
        </w:rPr>
        <w:t xml:space="preserve"> = 14.4</w:t>
      </w:r>
      <w:r>
        <w:rPr>
          <w:lang w:val="en-US"/>
        </w:rPr>
        <w:t>5</w:t>
      </w:r>
      <w:r w:rsidRPr="00BD23B9">
        <w:rPr>
          <w:lang w:val="en-US"/>
        </w:rPr>
        <w:t xml:space="preserve">7, </w:t>
      </w:r>
      <w:r w:rsidRPr="00BD23B9">
        <w:rPr>
          <w:i/>
          <w:lang w:val="en-US"/>
        </w:rPr>
        <w:t xml:space="preserve">P </w:t>
      </w:r>
      <w:r w:rsidRPr="00BD23B9">
        <w:t>≤ 0.</w:t>
      </w:r>
      <w:r w:rsidRPr="00F14B84">
        <w:t>001</w:t>
      </w:r>
      <w:r w:rsidRPr="00F14B84">
        <w:rPr>
          <w:lang w:val="en-US"/>
        </w:rPr>
        <w:t>). PERMANOVA pairwise comparisons revealed significant differences in assemblages between 2024 and all other years except 2017, 2023, between 2022 and all other years, and between 2017 and 2016, 2018, 2020 and 2021, but not for any other pairs of years (</w:t>
      </w:r>
      <w:r w:rsidRPr="00F14B84">
        <w:rPr>
          <w:lang w:val="en-US"/>
        </w:rPr>
        <w:fldChar w:fldCharType="begin"/>
      </w:r>
      <w:r w:rsidRPr="00F14B84">
        <w:rPr>
          <w:lang w:val="en-US"/>
        </w:rPr>
        <w:instrText xml:space="preserve"> REF _Ref876821 \h  \* MERGEFORMAT </w:instrText>
      </w:r>
      <w:r w:rsidRPr="00F14B84">
        <w:rPr>
          <w:lang w:val="en-US"/>
        </w:rPr>
      </w:r>
      <w:r w:rsidRPr="00F14B84">
        <w:rPr>
          <w:lang w:val="en-US"/>
        </w:rPr>
        <w:fldChar w:fldCharType="separate"/>
      </w:r>
      <w:r w:rsidR="00102828" w:rsidRPr="00FD0614">
        <w:t xml:space="preserve">Figure </w:t>
      </w:r>
      <w:r w:rsidR="00102828">
        <w:rPr>
          <w:noProof/>
        </w:rPr>
        <w:t>72</w:t>
      </w:r>
      <w:r w:rsidRPr="00F14B84">
        <w:rPr>
          <w:lang w:val="en-US"/>
        </w:rPr>
        <w:fldChar w:fldCharType="end"/>
      </w:r>
      <w:r w:rsidRPr="00F14B84">
        <w:rPr>
          <w:lang w:val="en-US"/>
        </w:rPr>
        <w:t>b).</w:t>
      </w:r>
    </w:p>
    <w:p w14:paraId="5D1E34F6" w14:textId="77777777" w:rsidR="00F87105" w:rsidRPr="00321CDE" w:rsidRDefault="00F87105" w:rsidP="00F87105">
      <w:pPr>
        <w:jc w:val="center"/>
        <w:rPr>
          <w:highlight w:val="yellow"/>
          <w:lang w:val="en-US"/>
        </w:rPr>
      </w:pPr>
      <w:r w:rsidRPr="00A80AE8">
        <w:rPr>
          <w:lang w:val="en-US"/>
        </w:rPr>
        <w:lastRenderedPageBreak/>
        <w:t xml:space="preserve">  </w:t>
      </w:r>
      <w:r>
        <w:rPr>
          <w:noProof/>
          <w:lang w:val="en-US"/>
        </w:rPr>
        <w:drawing>
          <wp:inline distT="0" distB="0" distL="0" distR="0" wp14:anchorId="3D8BE89E" wp14:editId="7D08E694">
            <wp:extent cx="5475529" cy="6997818"/>
            <wp:effectExtent l="0" t="0" r="0" b="0"/>
            <wp:docPr id="182926210" name="Picture 1" descr="Graphs of mean catch-per-unit-effort of large-bodied fish species captured using electrofishing in the gorge geomorphic zone of the Lower Murray River from 2015–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26210" name="Picture 1" descr="Graphs of mean catch-per-unit-effort of large-bodied fish species captured using electrofishing in the gorge geomorphic zone of the Lower Murray River from 2015–2024."/>
                    <pic:cNvPicPr/>
                  </pic:nvPicPr>
                  <pic:blipFill rotWithShape="1">
                    <a:blip r:embed="rId139" cstate="print">
                      <a:extLst>
                        <a:ext uri="{28A0092B-C50C-407E-A947-70E740481C1C}">
                          <a14:useLocalDpi xmlns:a14="http://schemas.microsoft.com/office/drawing/2010/main" val="0"/>
                        </a:ext>
                      </a:extLst>
                    </a:blip>
                    <a:srcRect l="10017" r="15585"/>
                    <a:stretch/>
                  </pic:blipFill>
                  <pic:spPr bwMode="auto">
                    <a:xfrm>
                      <a:off x="0" y="0"/>
                      <a:ext cx="5486231" cy="7011496"/>
                    </a:xfrm>
                    <a:prstGeom prst="rect">
                      <a:avLst/>
                    </a:prstGeom>
                    <a:ln>
                      <a:noFill/>
                    </a:ln>
                    <a:extLst>
                      <a:ext uri="{53640926-AAD7-44D8-BBD7-CCE9431645EC}">
                        <a14:shadowObscured xmlns:a14="http://schemas.microsoft.com/office/drawing/2010/main"/>
                      </a:ext>
                    </a:extLst>
                  </pic:spPr>
                </pic:pic>
              </a:graphicData>
            </a:graphic>
          </wp:inline>
        </w:drawing>
      </w:r>
    </w:p>
    <w:p w14:paraId="6AE2B92D" w14:textId="6A15E871" w:rsidR="00F87105" w:rsidRPr="00EB5F30" w:rsidRDefault="00F87105" w:rsidP="00F87105">
      <w:pPr>
        <w:pStyle w:val="Caption"/>
      </w:pPr>
      <w:bookmarkStart w:id="534" w:name="_Ref876802"/>
      <w:bookmarkStart w:id="535" w:name="_Toc442173730"/>
      <w:bookmarkStart w:id="536" w:name="_Toc3558384"/>
      <w:bookmarkStart w:id="537" w:name="_Toc103170115"/>
      <w:bookmarkStart w:id="538" w:name="_Toc166771793"/>
      <w:bookmarkStart w:id="539" w:name="_Toc200464521"/>
      <w:r w:rsidRPr="00EB5F30">
        <w:t xml:space="preserve">Figure </w:t>
      </w:r>
      <w:r>
        <w:fldChar w:fldCharType="begin"/>
      </w:r>
      <w:r>
        <w:instrText>SEQ Figure \* ARABIC</w:instrText>
      </w:r>
      <w:r>
        <w:fldChar w:fldCharType="separate"/>
      </w:r>
      <w:r w:rsidR="00102828">
        <w:rPr>
          <w:noProof/>
        </w:rPr>
        <w:t>70</w:t>
      </w:r>
      <w:r>
        <w:fldChar w:fldCharType="end"/>
      </w:r>
      <w:bookmarkEnd w:id="534"/>
      <w:r w:rsidRPr="00EB5F30">
        <w:t xml:space="preserve">. </w:t>
      </w:r>
      <w:bookmarkEnd w:id="535"/>
      <w:r w:rsidRPr="00EB5F30">
        <w:t xml:space="preserve">Mean catch-per-unit-effort (CPUE) </w:t>
      </w:r>
      <w:r w:rsidRPr="00EB5F30">
        <w:rPr>
          <w:rFonts w:cstheme="minorHAnsi"/>
        </w:rPr>
        <w:t>±</w:t>
      </w:r>
      <w:r w:rsidRPr="00EB5F30">
        <w:t xml:space="preserve"> standard error of large-bodied fish species captured using electrofishing (individuals per 90 second shot)</w:t>
      </w:r>
      <w:bookmarkEnd w:id="536"/>
      <w:bookmarkEnd w:id="537"/>
      <w:r w:rsidRPr="00EB5F30">
        <w:t xml:space="preserve"> in the gorge geomorphic zone (10 sites) of the Lower Murray River from 2015–2024. </w:t>
      </w:r>
      <w:r>
        <w:t xml:space="preserve">The proportion of the catch that is estimated to be age 0+ years is presented as hashed bars. * The proportion of age 0+ are not presented for bony herring in 2015 or goldfish from 2015–2019. </w:t>
      </w:r>
      <w:r w:rsidRPr="00EB5F30">
        <w:t>For 2017, CPUE data from five out of ten sites are presented as other sites were sampled during winter 2017. CPUE data from 2024 are presented but should be treated with caution because 90% of sites were sampled from late May. See Table C</w:t>
      </w:r>
      <w:r w:rsidR="00891AA7">
        <w:t>2</w:t>
      </w:r>
      <w:r w:rsidR="00FB33C3">
        <w:t>5</w:t>
      </w:r>
      <w:r w:rsidRPr="00EB5F30">
        <w:t xml:space="preserve"> in Appendix C for statistics.</w:t>
      </w:r>
      <w:bookmarkEnd w:id="538"/>
      <w:bookmarkEnd w:id="539"/>
    </w:p>
    <w:p w14:paraId="16E6DE33" w14:textId="356E676E" w:rsidR="00F87105" w:rsidRDefault="003F6612" w:rsidP="00F87105">
      <w:pPr>
        <w:pStyle w:val="Caption"/>
        <w:jc w:val="center"/>
      </w:pPr>
      <w:bookmarkStart w:id="540" w:name="_Ref187312760"/>
      <w:r>
        <w:rPr>
          <w:noProof/>
        </w:rPr>
        <w:lastRenderedPageBreak/>
        <w:drawing>
          <wp:inline distT="0" distB="0" distL="0" distR="0" wp14:anchorId="21A10C50" wp14:editId="4225F2A8">
            <wp:extent cx="5474970" cy="6932112"/>
            <wp:effectExtent l="0" t="0" r="0" b="2540"/>
            <wp:docPr id="1506112003" name="Picture 2" descr="Graphs of mean catch-per-unit-effort of small-bodied fish species captured using electrofishing in the gorge geomorphic zone of the Lower Murray River from 2015–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112003" name="Picture 2" descr="Graphs of mean catch-per-unit-effort of small-bodied fish species captured using electrofishing in the gorge geomorphic zone of the Lower Murray River from 2015–2024."/>
                    <pic:cNvPicPr/>
                  </pic:nvPicPr>
                  <pic:blipFill rotWithShape="1">
                    <a:blip r:embed="rId140" cstate="print">
                      <a:extLst>
                        <a:ext uri="{28A0092B-C50C-407E-A947-70E740481C1C}">
                          <a14:useLocalDpi xmlns:a14="http://schemas.microsoft.com/office/drawing/2010/main" val="0"/>
                        </a:ext>
                      </a:extLst>
                    </a:blip>
                    <a:srcRect l="9971" t="1622" r="24717"/>
                    <a:stretch/>
                  </pic:blipFill>
                  <pic:spPr bwMode="auto">
                    <a:xfrm>
                      <a:off x="0" y="0"/>
                      <a:ext cx="5475600" cy="6932910"/>
                    </a:xfrm>
                    <a:prstGeom prst="rect">
                      <a:avLst/>
                    </a:prstGeom>
                    <a:ln>
                      <a:noFill/>
                    </a:ln>
                    <a:extLst>
                      <a:ext uri="{53640926-AAD7-44D8-BBD7-CCE9431645EC}">
                        <a14:shadowObscured xmlns:a14="http://schemas.microsoft.com/office/drawing/2010/main"/>
                      </a:ext>
                    </a:extLst>
                  </pic:spPr>
                </pic:pic>
              </a:graphicData>
            </a:graphic>
          </wp:inline>
        </w:drawing>
      </w:r>
    </w:p>
    <w:p w14:paraId="31E6FEE7" w14:textId="26A3B018" w:rsidR="00F87105" w:rsidRPr="00EB5F30" w:rsidRDefault="00F87105" w:rsidP="00F87105">
      <w:pPr>
        <w:pStyle w:val="Caption"/>
      </w:pPr>
      <w:bookmarkStart w:id="541" w:name="_Ref196906417"/>
      <w:bookmarkStart w:id="542" w:name="_Toc200464522"/>
      <w:r>
        <w:t xml:space="preserve">Figure </w:t>
      </w:r>
      <w:r>
        <w:fldChar w:fldCharType="begin"/>
      </w:r>
      <w:r>
        <w:instrText>SEQ Figure \* ARABIC</w:instrText>
      </w:r>
      <w:r>
        <w:fldChar w:fldCharType="separate"/>
      </w:r>
      <w:r w:rsidR="00102828">
        <w:rPr>
          <w:noProof/>
        </w:rPr>
        <w:t>71</w:t>
      </w:r>
      <w:r>
        <w:fldChar w:fldCharType="end"/>
      </w:r>
      <w:bookmarkEnd w:id="540"/>
      <w:bookmarkEnd w:id="541"/>
      <w:r>
        <w:t xml:space="preserve">. </w:t>
      </w:r>
      <w:r w:rsidRPr="00EB5F30">
        <w:t xml:space="preserve">Mean catch-per-unit-effort (CPUE) </w:t>
      </w:r>
      <w:r w:rsidRPr="00EB5F30">
        <w:rPr>
          <w:rFonts w:cstheme="minorHAnsi"/>
        </w:rPr>
        <w:t>±</w:t>
      </w:r>
      <w:r w:rsidRPr="00EB5F30">
        <w:t xml:space="preserve"> standard error of small-bodied fish species captured using fine-mesh fyke nets (individuals per net per hour) in the gorge geomorphic zone (10 sites) of the Lower Murray River in autumn from 2015–202</w:t>
      </w:r>
      <w:r>
        <w:t>4</w:t>
      </w:r>
      <w:r w:rsidRPr="00EB5F30">
        <w:t>. See Table C</w:t>
      </w:r>
      <w:r w:rsidR="00891AA7">
        <w:t>2</w:t>
      </w:r>
      <w:r w:rsidR="00FB33C3">
        <w:t>5</w:t>
      </w:r>
      <w:r w:rsidRPr="00EB5F30">
        <w:t xml:space="preserve"> in Appendix C for statistics.</w:t>
      </w:r>
      <w:bookmarkEnd w:id="542"/>
    </w:p>
    <w:p w14:paraId="05CDBC7D" w14:textId="77777777" w:rsidR="00F87105" w:rsidRPr="00254957" w:rsidRDefault="00F87105" w:rsidP="00F87105">
      <w:pPr>
        <w:jc w:val="center"/>
      </w:pPr>
      <w:r>
        <w:rPr>
          <w:noProof/>
        </w:rPr>
        <w:lastRenderedPageBreak/>
        <w:drawing>
          <wp:inline distT="0" distB="0" distL="0" distR="0" wp14:anchorId="1B8EBD8C" wp14:editId="698EEB2A">
            <wp:extent cx="4816800" cy="5637566"/>
            <wp:effectExtent l="0" t="0" r="3175" b="1270"/>
            <wp:docPr id="635688376" name="Picture 2" descr="Non-metric multi-dimensional scaling  plot of large-bodied fish assemblages sampled by electrofishing and small-bodied fish assemblages sampled by fyke netting in the gorge geomorphic zone of the Lower Murray River from 2015–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88376" name="Picture 2" descr="Non-metric multi-dimensional scaling  plot of large-bodied fish assemblages sampled by electrofishing and small-bodied fish assemblages sampled by fyke netting in the gorge geomorphic zone of the Lower Murray River from 2015–2024."/>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4816800" cy="5637566"/>
                    </a:xfrm>
                    <a:prstGeom prst="rect">
                      <a:avLst/>
                    </a:prstGeom>
                  </pic:spPr>
                </pic:pic>
              </a:graphicData>
            </a:graphic>
          </wp:inline>
        </w:drawing>
      </w:r>
    </w:p>
    <w:p w14:paraId="40C4AF59" w14:textId="28B83A76" w:rsidR="00F87105" w:rsidRPr="00FD0614" w:rsidRDefault="00F87105" w:rsidP="00F87105">
      <w:pPr>
        <w:pStyle w:val="Caption"/>
      </w:pPr>
      <w:bookmarkStart w:id="543" w:name="_Ref876821"/>
      <w:bookmarkStart w:id="544" w:name="_Toc3558385"/>
      <w:bookmarkStart w:id="545" w:name="_Toc103170116"/>
      <w:bookmarkStart w:id="546" w:name="_Toc166771794"/>
      <w:bookmarkStart w:id="547" w:name="_Toc200464523"/>
      <w:r w:rsidRPr="00FD0614">
        <w:t xml:space="preserve">Figure </w:t>
      </w:r>
      <w:r>
        <w:fldChar w:fldCharType="begin"/>
      </w:r>
      <w:r>
        <w:instrText>SEQ Figure \* ARABIC</w:instrText>
      </w:r>
      <w:r>
        <w:fldChar w:fldCharType="separate"/>
      </w:r>
      <w:r w:rsidR="00102828">
        <w:rPr>
          <w:noProof/>
        </w:rPr>
        <w:t>72</w:t>
      </w:r>
      <w:r>
        <w:fldChar w:fldCharType="end"/>
      </w:r>
      <w:bookmarkEnd w:id="543"/>
      <w:r w:rsidRPr="00FD0614">
        <w:t>. Non-metric multi-dimensional scaling (MDS) plot of (a) large-bodied fish assemblages sampled by electrofishing and (b) small-bodied fish assemblages sampled by fyke netting in the gorge geomorphic zone of the Lower Murray River from 2015–202</w:t>
      </w:r>
      <w:r>
        <w:t>4</w:t>
      </w:r>
      <w:r w:rsidRPr="00FD0614">
        <w:t xml:space="preserve">. </w:t>
      </w:r>
      <w:bookmarkEnd w:id="544"/>
      <w:bookmarkEnd w:id="545"/>
      <w:r w:rsidRPr="00FD0614">
        <w:t xml:space="preserve">For (a), sites sampled in winter 2017 </w:t>
      </w:r>
      <w:r>
        <w:t>(</w:t>
      </w:r>
      <w:r w:rsidRPr="00465002">
        <w:rPr>
          <w:i/>
          <w:iCs/>
        </w:rPr>
        <w:t>n</w:t>
      </w:r>
      <w:r>
        <w:t xml:space="preserve"> = 5) and late autumn/winter 2024 (</w:t>
      </w:r>
      <w:r w:rsidRPr="00465002">
        <w:rPr>
          <w:i/>
          <w:iCs/>
        </w:rPr>
        <w:t>n</w:t>
      </w:r>
      <w:r>
        <w:t xml:space="preserve"> = 9) </w:t>
      </w:r>
      <w:r w:rsidRPr="00FD0614">
        <w:t>were removed from the ordination.</w:t>
      </w:r>
      <w:bookmarkEnd w:id="546"/>
      <w:bookmarkEnd w:id="547"/>
    </w:p>
    <w:p w14:paraId="5487BC0D" w14:textId="61B3B471" w:rsidR="00F87105" w:rsidRDefault="00F87105" w:rsidP="00F87105">
      <w:pPr>
        <w:rPr>
          <w:i/>
          <w:u w:val="single"/>
        </w:rPr>
      </w:pPr>
      <w:r w:rsidRPr="00FD0614">
        <w:rPr>
          <w:lang w:val="en-US"/>
        </w:rPr>
        <w:t>SIMPER indicated that differences between years for large-bodied fish assemblages were primarily driven by higher abundances of common carp and goldfish in 2017, 2022 and 2023, lower abundance of bony herring in 2021, and higher abundance of redfin perch and bony herring in 2023 (</w:t>
      </w:r>
      <w:r w:rsidRPr="00FD0614">
        <w:rPr>
          <w:lang w:val="en-US"/>
        </w:rPr>
        <w:fldChar w:fldCharType="begin"/>
      </w:r>
      <w:r w:rsidRPr="00FD0614">
        <w:rPr>
          <w:lang w:val="en-US"/>
        </w:rPr>
        <w:instrText xml:space="preserve"> REF _Ref876802 \h  \* MERGEFORMAT </w:instrText>
      </w:r>
      <w:r w:rsidRPr="00FD0614">
        <w:rPr>
          <w:lang w:val="en-US"/>
        </w:rPr>
      </w:r>
      <w:r w:rsidRPr="00FD0614">
        <w:rPr>
          <w:lang w:val="en-US"/>
        </w:rPr>
        <w:fldChar w:fldCharType="separate"/>
      </w:r>
      <w:r w:rsidR="00102828" w:rsidRPr="00EB5F30">
        <w:t xml:space="preserve">Figure </w:t>
      </w:r>
      <w:r w:rsidR="00102828">
        <w:rPr>
          <w:noProof/>
        </w:rPr>
        <w:t>70</w:t>
      </w:r>
      <w:r w:rsidRPr="00FD0614">
        <w:rPr>
          <w:lang w:val="en-US"/>
        </w:rPr>
        <w:fldChar w:fldCharType="end"/>
      </w:r>
      <w:r w:rsidRPr="00FD0614">
        <w:rPr>
          <w:lang w:val="en-US"/>
        </w:rPr>
        <w:t xml:space="preserve">). </w:t>
      </w:r>
      <w:r w:rsidRPr="00A020DF">
        <w:rPr>
          <w:lang w:val="en-US"/>
        </w:rPr>
        <w:t>SIMPER indicated that differences between years for small-bodied fish assemblages were mostly driven by lower relative abundances of carp gudgeon in 2023 and 2022, and to a lesser extent, in 2024 and 2017 (</w:t>
      </w:r>
      <w:r w:rsidRPr="00A020DF">
        <w:rPr>
          <w:lang w:val="en-US"/>
        </w:rPr>
        <w:fldChar w:fldCharType="begin"/>
      </w:r>
      <w:r w:rsidRPr="00A020DF">
        <w:rPr>
          <w:lang w:val="en-US"/>
        </w:rPr>
        <w:instrText xml:space="preserve"> REF _Ref876802 \h  \* MERGEFORMAT </w:instrText>
      </w:r>
      <w:r w:rsidRPr="00A020DF">
        <w:rPr>
          <w:lang w:val="en-US"/>
        </w:rPr>
      </w:r>
      <w:r w:rsidRPr="00A020DF">
        <w:rPr>
          <w:lang w:val="en-US"/>
        </w:rPr>
        <w:fldChar w:fldCharType="separate"/>
      </w:r>
      <w:r w:rsidR="00102828" w:rsidRPr="00EB5F30">
        <w:t xml:space="preserve">Figure </w:t>
      </w:r>
      <w:r w:rsidR="00102828">
        <w:rPr>
          <w:noProof/>
        </w:rPr>
        <w:t>70</w:t>
      </w:r>
      <w:r w:rsidRPr="00A020DF">
        <w:rPr>
          <w:lang w:val="en-US"/>
        </w:rPr>
        <w:fldChar w:fldCharType="end"/>
      </w:r>
      <w:r w:rsidRPr="00A020DF">
        <w:rPr>
          <w:lang w:val="en-US"/>
        </w:rPr>
        <w:t>).</w:t>
      </w:r>
    </w:p>
    <w:p w14:paraId="76462CF0" w14:textId="77777777" w:rsidR="00F87105" w:rsidRDefault="00F87105" w:rsidP="00F87105">
      <w:pPr>
        <w:spacing w:before="0" w:after="160" w:line="259" w:lineRule="auto"/>
        <w:jc w:val="left"/>
        <w:rPr>
          <w:i/>
          <w:u w:val="single"/>
        </w:rPr>
      </w:pPr>
      <w:r>
        <w:rPr>
          <w:i/>
          <w:u w:val="single"/>
        </w:rPr>
        <w:br w:type="page"/>
      </w:r>
    </w:p>
    <w:p w14:paraId="7D36FACE" w14:textId="77777777" w:rsidR="00F87105" w:rsidRPr="00155923" w:rsidRDefault="00F87105" w:rsidP="00F87105">
      <w:pPr>
        <w:rPr>
          <w:i/>
          <w:u w:val="single"/>
          <w:lang w:val="en-US"/>
        </w:rPr>
      </w:pPr>
      <w:r w:rsidRPr="00155923">
        <w:rPr>
          <w:i/>
          <w:u w:val="single"/>
        </w:rPr>
        <w:lastRenderedPageBreak/>
        <w:t>Temporal variation in length/age structure of large-bodied species</w:t>
      </w:r>
    </w:p>
    <w:p w14:paraId="4140A859" w14:textId="3073C769" w:rsidR="00F87105" w:rsidRPr="00155923" w:rsidRDefault="00F87105" w:rsidP="00F87105">
      <w:pPr>
        <w:rPr>
          <w:lang w:val="en-US"/>
        </w:rPr>
      </w:pPr>
      <w:r w:rsidRPr="00155923">
        <w:rPr>
          <w:lang w:val="en-US"/>
        </w:rPr>
        <w:t xml:space="preserve">Changes in the demographics of golden perch, silver perch and Murray cod populations in the LMR from 2015–2024 are discussed in Sections </w:t>
      </w:r>
      <w:r w:rsidRPr="00155923">
        <w:rPr>
          <w:lang w:val="en-US"/>
        </w:rPr>
        <w:fldChar w:fldCharType="begin"/>
      </w:r>
      <w:r w:rsidRPr="00155923">
        <w:rPr>
          <w:lang w:val="en-US"/>
        </w:rPr>
        <w:instrText xml:space="preserve"> REF _Ref53046930 \r \h </w:instrText>
      </w:r>
      <w:r>
        <w:rPr>
          <w:lang w:val="en-US"/>
        </w:rPr>
        <w:instrText xml:space="preserve"> \* MERGEFORMAT </w:instrText>
      </w:r>
      <w:r w:rsidRPr="00155923">
        <w:rPr>
          <w:lang w:val="en-US"/>
        </w:rPr>
      </w:r>
      <w:r w:rsidRPr="00155923">
        <w:rPr>
          <w:lang w:val="en-US"/>
        </w:rPr>
        <w:fldChar w:fldCharType="separate"/>
      </w:r>
      <w:r w:rsidR="00102828">
        <w:rPr>
          <w:lang w:val="en-US"/>
        </w:rPr>
        <w:t>2.6</w:t>
      </w:r>
      <w:r w:rsidRPr="00155923">
        <w:rPr>
          <w:lang w:val="en-US"/>
        </w:rPr>
        <w:fldChar w:fldCharType="end"/>
      </w:r>
      <w:r w:rsidRPr="00155923">
        <w:rPr>
          <w:lang w:val="en-US"/>
        </w:rPr>
        <w:t xml:space="preserve"> and </w:t>
      </w:r>
      <w:r w:rsidRPr="00155923">
        <w:rPr>
          <w:lang w:val="en-US"/>
        </w:rPr>
        <w:fldChar w:fldCharType="begin"/>
      </w:r>
      <w:r w:rsidRPr="00155923">
        <w:rPr>
          <w:lang w:val="en-US"/>
        </w:rPr>
        <w:instrText xml:space="preserve"> REF _Ref50027079 \r \h </w:instrText>
      </w:r>
      <w:r>
        <w:rPr>
          <w:lang w:val="en-US"/>
        </w:rPr>
        <w:instrText xml:space="preserve"> \* MERGEFORMAT </w:instrText>
      </w:r>
      <w:r w:rsidRPr="00155923">
        <w:rPr>
          <w:lang w:val="en-US"/>
        </w:rPr>
      </w:r>
      <w:r w:rsidRPr="00155923">
        <w:rPr>
          <w:lang w:val="en-US"/>
        </w:rPr>
        <w:fldChar w:fldCharType="separate"/>
      </w:r>
      <w:r w:rsidR="00102828">
        <w:rPr>
          <w:lang w:val="en-US"/>
        </w:rPr>
        <w:t>2.7</w:t>
      </w:r>
      <w:r w:rsidRPr="00155923">
        <w:rPr>
          <w:lang w:val="en-US"/>
        </w:rPr>
        <w:fldChar w:fldCharType="end"/>
      </w:r>
      <w:r w:rsidRPr="00155923">
        <w:rPr>
          <w:lang w:val="en-US"/>
        </w:rPr>
        <w:t xml:space="preserve">. </w:t>
      </w:r>
      <w:r>
        <w:rPr>
          <w:lang w:val="en-US"/>
        </w:rPr>
        <w:t>From 2015–2024, in the LMR, freshwater catfish were sampled in low abundance and age 0+ were not detected. In 2024, when the largest sample of</w:t>
      </w:r>
      <w:r w:rsidR="005A3FEF">
        <w:rPr>
          <w:lang w:val="en-US"/>
        </w:rPr>
        <w:t xml:space="preserve"> freshwater</w:t>
      </w:r>
      <w:r>
        <w:rPr>
          <w:lang w:val="en-US"/>
        </w:rPr>
        <w:t xml:space="preserve"> </w:t>
      </w:r>
      <w:r w:rsidR="005A3FEF">
        <w:rPr>
          <w:lang w:val="en-US"/>
        </w:rPr>
        <w:t>cat</w:t>
      </w:r>
      <w:r>
        <w:rPr>
          <w:lang w:val="en-US"/>
        </w:rPr>
        <w:t>fish was aged, the population ranged in age from 3+ to 15+ years.</w:t>
      </w:r>
    </w:p>
    <w:p w14:paraId="68872D61" w14:textId="7CD3E4EC" w:rsidR="00F87105" w:rsidRPr="00883F49" w:rsidRDefault="00F87105" w:rsidP="00F87105">
      <w:pPr>
        <w:rPr>
          <w:lang w:val="en-US"/>
        </w:rPr>
      </w:pPr>
      <w:r w:rsidRPr="00155923">
        <w:rPr>
          <w:lang w:val="en-US"/>
        </w:rPr>
        <w:t>From 2016</w:t>
      </w:r>
      <w:r>
        <w:rPr>
          <w:lang w:val="en-US"/>
        </w:rPr>
        <w:t>–</w:t>
      </w:r>
      <w:r w:rsidRPr="00155923">
        <w:rPr>
          <w:lang w:val="en-US"/>
        </w:rPr>
        <w:t>2024, the sampled bony herring population ranged in age from 0+ to 11+ years.</w:t>
      </w:r>
      <w:r w:rsidRPr="00883F49">
        <w:rPr>
          <w:lang w:val="en-US"/>
        </w:rPr>
        <w:t xml:space="preserve"> Age 0+ fish dominated the population (83–99%) in most years except for 2022 (59%</w:t>
      </w:r>
      <w:r>
        <w:rPr>
          <w:lang w:val="en-US"/>
        </w:rPr>
        <w:t>)</w:t>
      </w:r>
      <w:r w:rsidRPr="00883F49">
        <w:rPr>
          <w:lang w:val="en-US"/>
        </w:rPr>
        <w:t xml:space="preserve"> and 2024 (47%), when age 1+ to 3+ fish represented 37 and 47% of the populations, respectively (Figure C</w:t>
      </w:r>
      <w:r w:rsidR="00236D91">
        <w:rPr>
          <w:lang w:val="en-US"/>
        </w:rPr>
        <w:t>10</w:t>
      </w:r>
      <w:r w:rsidR="000A1074">
        <w:rPr>
          <w:lang w:val="en-US"/>
        </w:rPr>
        <w:t>, Appendix C</w:t>
      </w:r>
      <w:r w:rsidRPr="00883F49">
        <w:rPr>
          <w:lang w:val="en-US"/>
        </w:rPr>
        <w:t>).</w:t>
      </w:r>
    </w:p>
    <w:p w14:paraId="24E4D448" w14:textId="68022B57" w:rsidR="00F87105" w:rsidRPr="00ED4B68" w:rsidRDefault="00F87105" w:rsidP="00F87105">
      <w:pPr>
        <w:rPr>
          <w:lang w:val="en-US"/>
        </w:rPr>
      </w:pPr>
      <w:r>
        <w:rPr>
          <w:lang w:val="en-US"/>
        </w:rPr>
        <w:t>Annually f</w:t>
      </w:r>
      <w:r w:rsidRPr="00155923">
        <w:rPr>
          <w:lang w:val="en-US"/>
        </w:rPr>
        <w:t>rom 2015</w:t>
      </w:r>
      <w:r>
        <w:rPr>
          <w:lang w:val="en-US"/>
        </w:rPr>
        <w:t>–</w:t>
      </w:r>
      <w:r w:rsidRPr="00155923">
        <w:rPr>
          <w:lang w:val="en-US"/>
        </w:rPr>
        <w:t xml:space="preserve">2024, common carp typically </w:t>
      </w:r>
      <w:r>
        <w:rPr>
          <w:lang w:val="en-US"/>
        </w:rPr>
        <w:t>ranged</w:t>
      </w:r>
      <w:r w:rsidRPr="00155923">
        <w:rPr>
          <w:lang w:val="en-US"/>
        </w:rPr>
        <w:t xml:space="preserve"> from 100–700 mm</w:t>
      </w:r>
      <w:r>
        <w:rPr>
          <w:lang w:val="en-US"/>
        </w:rPr>
        <w:t xml:space="preserve"> FL</w:t>
      </w:r>
      <w:r w:rsidRPr="00155923">
        <w:rPr>
          <w:lang w:val="en-US"/>
        </w:rPr>
        <w:t xml:space="preserve">. Episodic recruitment events in 2016-17, 2021-22 and 2022-23, as indicated by the dominance of carp &lt;155 mm </w:t>
      </w:r>
      <w:r>
        <w:rPr>
          <w:lang w:val="en-US"/>
        </w:rPr>
        <w:t xml:space="preserve">FL </w:t>
      </w:r>
      <w:r w:rsidRPr="00155923">
        <w:rPr>
          <w:lang w:val="en-US"/>
        </w:rPr>
        <w:t>in the following autumn/winter (Figure C1</w:t>
      </w:r>
      <w:r w:rsidR="00FD5A3A">
        <w:rPr>
          <w:lang w:val="en-US"/>
        </w:rPr>
        <w:t>1</w:t>
      </w:r>
      <w:r w:rsidRPr="00155923">
        <w:rPr>
          <w:lang w:val="en-US"/>
        </w:rPr>
        <w:t xml:space="preserve">), </w:t>
      </w:r>
      <w:r>
        <w:rPr>
          <w:lang w:val="en-US"/>
        </w:rPr>
        <w:t>were</w:t>
      </w:r>
      <w:r w:rsidRPr="00155923">
        <w:rPr>
          <w:lang w:val="en-US"/>
        </w:rPr>
        <w:t xml:space="preserve"> associated with increased abundance of the species </w:t>
      </w:r>
      <w:r>
        <w:rPr>
          <w:lang w:val="en-US"/>
        </w:rPr>
        <w:t xml:space="preserve">from sampling </w:t>
      </w:r>
      <w:r w:rsidRPr="00155923">
        <w:rPr>
          <w:lang w:val="en-US"/>
        </w:rPr>
        <w:t>in 2017, 2022 and 2023, respectively.</w:t>
      </w:r>
    </w:p>
    <w:p w14:paraId="79B09329" w14:textId="77777777" w:rsidR="00F87105" w:rsidRPr="00465002" w:rsidRDefault="00F87105" w:rsidP="00F87105">
      <w:pPr>
        <w:pStyle w:val="Heading3"/>
      </w:pPr>
      <w:r w:rsidRPr="00465002">
        <w:rPr>
          <w:lang w:val="en-US"/>
        </w:rPr>
        <w:t>Evaluation</w:t>
      </w:r>
    </w:p>
    <w:p w14:paraId="060A9744" w14:textId="4BB20BCD" w:rsidR="00F87105" w:rsidRPr="00465002" w:rsidRDefault="00F87105" w:rsidP="00F87105">
      <w:r w:rsidRPr="00465002">
        <w:t xml:space="preserve">There are no CEWH evaluation questions for this indicator for the Lower Murray Selected Area. Data and samples collected from this indicator, however, are incorporated into the evaluation for the ‘Flow-cued Spawning Fish Reproduction’ (Section </w:t>
      </w:r>
      <w:r w:rsidRPr="00465002">
        <w:fldChar w:fldCharType="begin"/>
      </w:r>
      <w:r w:rsidRPr="00465002">
        <w:instrText xml:space="preserve"> REF _Ref127537765 \r \h  \* MERGEFORMAT </w:instrText>
      </w:r>
      <w:r w:rsidRPr="00465002">
        <w:fldChar w:fldCharType="separate"/>
      </w:r>
      <w:r w:rsidR="00102828">
        <w:t>2.6</w:t>
      </w:r>
      <w:r w:rsidRPr="00465002">
        <w:fldChar w:fldCharType="end"/>
      </w:r>
      <w:r w:rsidRPr="00465002">
        <w:t xml:space="preserve">) and ‘Murray Cod Recruitment’ (Section </w:t>
      </w:r>
      <w:r w:rsidRPr="00465002">
        <w:fldChar w:fldCharType="begin"/>
      </w:r>
      <w:r w:rsidRPr="00465002">
        <w:instrText xml:space="preserve"> REF _Ref127537757 \r \h  \* MERGEFORMAT </w:instrText>
      </w:r>
      <w:r w:rsidRPr="00465002">
        <w:fldChar w:fldCharType="separate"/>
      </w:r>
      <w:r w:rsidR="00102828">
        <w:t>2.7</w:t>
      </w:r>
      <w:r w:rsidRPr="00465002">
        <w:fldChar w:fldCharType="end"/>
      </w:r>
      <w:r w:rsidRPr="00465002">
        <w:t>) indicators. Additionally, for this report, fish monitoring data from this standardised sampling, and other fish indicators were consolidated to evaluate a number of fish targets of the Long-Term Environmental Watering Plan (LTWP) for the South Australian Murray River (DEW 2020a) and the Basin Plan Matter 8 Report (DEW 2020b) in Appendix D.</w:t>
      </w:r>
    </w:p>
    <w:p w14:paraId="5F59B97C" w14:textId="77777777" w:rsidR="00F87105" w:rsidRPr="008E1D91" w:rsidRDefault="00F87105" w:rsidP="00F87105">
      <w:pPr>
        <w:pStyle w:val="Heading3"/>
      </w:pPr>
      <w:r w:rsidRPr="008E1D91">
        <w:t xml:space="preserve">Discussion </w:t>
      </w:r>
    </w:p>
    <w:p w14:paraId="102DA337" w14:textId="77777777" w:rsidR="00F87105" w:rsidRPr="008E1D91" w:rsidRDefault="00F87105" w:rsidP="00F87105">
      <w:r w:rsidRPr="008E1D91">
        <w:t xml:space="preserve">From 2015–2024, the main channel fish assemblage of the LMR exhibited considerable variability. During relatively low (&lt;20,000 ML/d) in-channel flow years of 2014-15, 2015-16 and 2017-18–2020-21, small-bodied fish abundances were generally high. During these </w:t>
      </w:r>
      <w:r>
        <w:t xml:space="preserve">years of </w:t>
      </w:r>
      <w:r w:rsidRPr="008E1D91">
        <w:t>predominantly low in-channel flows, relatively stable water levels and low water velocities promote submerged vegetation in the main channel of the LMR, and these conditions are conducive to small-bodied fish recruitment. Abundances of small-bodied species declined in 2017, following flooding in spring–summer 2016 (peak flow ~94,600 ML/d), and were low in: 2022, following a prolonged period of elevated in-channel</w:t>
      </w:r>
      <w:r>
        <w:t xml:space="preserve"> flow</w:t>
      </w:r>
      <w:r w:rsidRPr="008E1D91">
        <w:t xml:space="preserve"> (~30,000–40,000 ML/d); 2023, following an extended period (September–February) of overbank flows (peak 187,600 ML/d); and 2024, following overbank flows in late winter/early spring (peak 54,500 ML/d). A reduction in submerged vegetation in the main channel of the LMR during these higher flow years, due to a combination of increased water depth/decreased light penetration and physical scour, likely resulted in a decrease in habitat availability and abundance of small-bodied fishes (Bice </w:t>
      </w:r>
      <w:r w:rsidRPr="008E1D91">
        <w:rPr>
          <w:i/>
          <w:iCs/>
        </w:rPr>
        <w:t>et al.</w:t>
      </w:r>
      <w:r w:rsidRPr="008E1D91">
        <w:t xml:space="preserve"> 2014).</w:t>
      </w:r>
    </w:p>
    <w:p w14:paraId="41DB2E4D" w14:textId="16AA0A01" w:rsidR="00F87105" w:rsidRPr="008E1D91" w:rsidRDefault="00F87105" w:rsidP="00F87105">
      <w:r w:rsidRPr="008E1D91">
        <w:t xml:space="preserve">Trends in abundance of large-bodied species from 2015–2023 differed among species. Increased abundances of invasive common carp and goldfish in 2017, 2022 and 2023 were driven by recruitment events likely associated with floodplain inundation from unregulated flooding in 2016-17 and 2022-23, and high in-channel flows during 2021-22. Unlike patterns observed for large-bodied native species, the abundances of common </w:t>
      </w:r>
      <w:r w:rsidRPr="008E1D91">
        <w:lastRenderedPageBreak/>
        <w:t>carp and goldfish</w:t>
      </w:r>
      <w:r w:rsidR="00C476B4">
        <w:t>,</w:t>
      </w:r>
      <w:r w:rsidRPr="008E1D91">
        <w:t xml:space="preserve"> in years following recruitment events (i.e. 2017)</w:t>
      </w:r>
      <w:r w:rsidR="00C476B4">
        <w:t>,</w:t>
      </w:r>
      <w:r w:rsidRPr="008E1D91">
        <w:t xml:space="preserve"> </w:t>
      </w:r>
      <w:r>
        <w:t xml:space="preserve">typically </w:t>
      </w:r>
      <w:r w:rsidRPr="008E1D91">
        <w:t xml:space="preserve">have declined to levels </w:t>
      </w:r>
      <w:r w:rsidR="00C476B4">
        <w:t xml:space="preserve">similar to </w:t>
      </w:r>
      <w:r w:rsidRPr="008E1D91">
        <w:t xml:space="preserve">prior </w:t>
      </w:r>
      <w:r w:rsidR="0080636F">
        <w:t xml:space="preserve">to </w:t>
      </w:r>
      <w:r>
        <w:t xml:space="preserve">the </w:t>
      </w:r>
      <w:r w:rsidRPr="008E1D91">
        <w:t>recruitment</w:t>
      </w:r>
      <w:r>
        <w:t xml:space="preserve"> event</w:t>
      </w:r>
      <w:r w:rsidRPr="008E1D91">
        <w:t>. This may suggest poor survival of fish in the main channel and/or movement of fish to alternate habitats (e.g. off-channel). Redfin perch also exhibited a strong recruitment and abundance response in association with flooding in 2022-23. This invasive species is not typically considered ‘flow-responsive’, but results from monitoring in 2023 suggest the opposite and warrant further investigation into life history in the LMR given potential for impact on native species (Wedderburn and Barnes 2016).</w:t>
      </w:r>
      <w:r>
        <w:t xml:space="preserve"> Due to delayed sampling in 2024, abundances of large-bodied fish, in particular bony herring and common carp, are likely to be underestimated due to changes in fish behaviour in association with lower water temperatures. Therefore, interpretations of large-bodied fish community and abundance trends in this report section are limited to 2015–2023. </w:t>
      </w:r>
    </w:p>
    <w:p w14:paraId="108C1817" w14:textId="023464C1" w:rsidR="00F87105" w:rsidRPr="00BF3C9D" w:rsidRDefault="00F87105" w:rsidP="00F87105">
      <w:bookmarkStart w:id="548" w:name="_Hlk97120144"/>
      <w:r w:rsidRPr="00BF3C9D">
        <w:t xml:space="preserve">In 2016-17, recruitment of native, large-bodied flow-cued spawners, as determined by the presence of YOY, was negligible despite a flow regime putatively conducive to spawning of these species (Mallen-Cooper and Stuart 2003; Zampatti and Leigh 2013a). It is likely that recruitment in 2016-17 was compromised by hypoxia associated with blackwater during the spring–early summer spawning season (Ye </w:t>
      </w:r>
      <w:r w:rsidRPr="00BF3C9D">
        <w:rPr>
          <w:i/>
          <w:iCs/>
        </w:rPr>
        <w:t>et al.</w:t>
      </w:r>
      <w:r w:rsidRPr="00BF3C9D">
        <w:t xml:space="preserve"> 2018), impacting the survival of eggs and larvae. As a consequence of a lack of observed recruitment of golden perch, abundance generally declined from 2015–2020. Nevertheless, in 2022, recruitment of golden perch and silver perch, in association with high in-channel flows, led to an increase in abundance of both species during this year. In 2023 and 2024, recruitment of golden perch and silver perch, respectively, occurred in conjunction with overbank flows and elevated in-channel flows, although </w:t>
      </w:r>
      <w:r w:rsidR="000C46E4">
        <w:t xml:space="preserve">overall </w:t>
      </w:r>
      <w:r w:rsidRPr="00BF3C9D">
        <w:t>abundance of both species declined. Reasons for this are unclear but may be associated with upstream emigration/movement of adults (</w:t>
      </w:r>
      <w:r w:rsidRPr="00BF3C9D">
        <w:rPr>
          <w:bCs/>
        </w:rPr>
        <w:t xml:space="preserve">Zampatti </w:t>
      </w:r>
      <w:r w:rsidRPr="00BF3C9D">
        <w:rPr>
          <w:bCs/>
          <w:i/>
          <w:iCs/>
        </w:rPr>
        <w:t>et al.</w:t>
      </w:r>
      <w:r w:rsidRPr="00BF3C9D">
        <w:rPr>
          <w:bCs/>
        </w:rPr>
        <w:t xml:space="preserve"> 2018a; Bice </w:t>
      </w:r>
      <w:r w:rsidRPr="00BF3C9D">
        <w:rPr>
          <w:bCs/>
          <w:i/>
          <w:iCs/>
        </w:rPr>
        <w:t>et al.</w:t>
      </w:r>
      <w:r w:rsidRPr="00BF3C9D">
        <w:rPr>
          <w:bCs/>
        </w:rPr>
        <w:t xml:space="preserve"> 2021</w:t>
      </w:r>
      <w:r w:rsidRPr="00BF3C9D">
        <w:t xml:space="preserve">) </w:t>
      </w:r>
      <w:r w:rsidRPr="00BF3C9D">
        <w:rPr>
          <w:bCs/>
        </w:rPr>
        <w:t xml:space="preserve">or reduced sampling efficiency associated with high flows (&gt;20,000 ML/d) </w:t>
      </w:r>
      <w:r>
        <w:rPr>
          <w:bCs/>
        </w:rPr>
        <w:t xml:space="preserve">in 2023 </w:t>
      </w:r>
      <w:r w:rsidRPr="00BF3C9D">
        <w:rPr>
          <w:bCs/>
        </w:rPr>
        <w:t>compared to preceding years</w:t>
      </w:r>
      <w:r>
        <w:rPr>
          <w:bCs/>
        </w:rPr>
        <w:t xml:space="preserve"> or delayed sampling in 2024</w:t>
      </w:r>
      <w:r w:rsidRPr="00BF3C9D">
        <w:t>.</w:t>
      </w:r>
    </w:p>
    <w:p w14:paraId="6984F535" w14:textId="61E10F2A" w:rsidR="00F87105" w:rsidRPr="00CD6C3E" w:rsidRDefault="00F87105" w:rsidP="00F87105">
      <w:r w:rsidRPr="00CD6C3E">
        <w:t xml:space="preserve">Based on electrofishing length frequency data, no recruitment (to YOY) was observed for freshwater catfish in the LMR from 2015–2024. </w:t>
      </w:r>
      <w:r>
        <w:t xml:space="preserve">Nevertheless, the presence of age 3+ to 9+ year olds in 2024 suggests some recruitment in the LMR occurred </w:t>
      </w:r>
      <w:r w:rsidR="00D81692">
        <w:t xml:space="preserve">at least </w:t>
      </w:r>
      <w:r>
        <w:t>between 2015–202</w:t>
      </w:r>
      <w:r w:rsidR="00D81692">
        <w:t>1</w:t>
      </w:r>
      <w:r>
        <w:t xml:space="preserve"> or there was movement of juveniles/adults from other reaches. </w:t>
      </w:r>
      <w:r w:rsidRPr="00CD6C3E">
        <w:t xml:space="preserve">In the LMR, the spawning biomass of freshwater catfish is low (Ye </w:t>
      </w:r>
      <w:r w:rsidRPr="00CD6C3E">
        <w:rPr>
          <w:i/>
        </w:rPr>
        <w:t>et al.</w:t>
      </w:r>
      <w:r w:rsidRPr="00CD6C3E">
        <w:t xml:space="preserve"> 2015</w:t>
      </w:r>
      <w:r w:rsidR="004E6686">
        <w:t>c</w:t>
      </w:r>
      <w:r w:rsidRPr="00CD6C3E">
        <w:t xml:space="preserve">) and their recruitment dynamics are poorly </w:t>
      </w:r>
      <w:r w:rsidRPr="00EE7600">
        <w:t xml:space="preserve">understood. Furthermore, electrofishing may </w:t>
      </w:r>
      <w:r>
        <w:t>be an inefficient</w:t>
      </w:r>
      <w:r w:rsidRPr="00EE7600">
        <w:t xml:space="preserve"> method for sampling this species, </w:t>
      </w:r>
      <w:r w:rsidR="00A42DE2">
        <w:t xml:space="preserve">particularly for YOY, </w:t>
      </w:r>
      <w:r w:rsidRPr="00EE7600">
        <w:t>as evidenced by the sampling of new cohorts as older individuals. This highlights the importance of assessing recruitment over longer periods for some species.</w:t>
      </w:r>
    </w:p>
    <w:p w14:paraId="2CBFDDB4" w14:textId="0A625AA1" w:rsidR="00F87105" w:rsidRPr="00BF3C9D" w:rsidRDefault="00F87105" w:rsidP="00F87105">
      <w:r w:rsidRPr="00CD6C3E">
        <w:t xml:space="preserve">From 2015–2024, recruitment of Murray cod has occurred in the LMR during most years. Most notable was strong recruitment to YOY in 2020, which was associated with an in-channel flow pulse that peaked at 15,600 ML/d in mid-October 2019. </w:t>
      </w:r>
      <w:r>
        <w:t xml:space="preserve">This cohort contributed to the high abundances observed from 2020–2023. </w:t>
      </w:r>
      <w:r w:rsidRPr="00CD6C3E">
        <w:t xml:space="preserve">Based on length frequencies, there </w:t>
      </w:r>
      <w:r>
        <w:t>wa</w:t>
      </w:r>
      <w:r w:rsidRPr="00CD6C3E">
        <w:t>s evidence of cohorts recruit</w:t>
      </w:r>
      <w:r>
        <w:t xml:space="preserve">ed in most sampling years </w:t>
      </w:r>
      <w:r w:rsidRPr="00CD6C3E">
        <w:t xml:space="preserve">persisting in the </w:t>
      </w:r>
      <w:r w:rsidRPr="00BF3C9D">
        <w:t xml:space="preserve">population in subsequent years (Section </w:t>
      </w:r>
      <w:r w:rsidRPr="00BF3C9D">
        <w:fldChar w:fldCharType="begin"/>
      </w:r>
      <w:r w:rsidRPr="00BF3C9D">
        <w:instrText xml:space="preserve"> REF _Ref50027079 \r \h  \* MERGEFORMAT </w:instrText>
      </w:r>
      <w:r w:rsidRPr="00BF3C9D">
        <w:fldChar w:fldCharType="separate"/>
      </w:r>
      <w:r w:rsidR="00102828">
        <w:t>2.7</w:t>
      </w:r>
      <w:r w:rsidRPr="00BF3C9D">
        <w:fldChar w:fldCharType="end"/>
      </w:r>
      <w:r w:rsidRPr="00BF3C9D">
        <w:t xml:space="preserve">). </w:t>
      </w:r>
    </w:p>
    <w:bookmarkEnd w:id="548"/>
    <w:p w14:paraId="57A907FF" w14:textId="77777777" w:rsidR="00F87105" w:rsidRPr="00BF3C9D" w:rsidRDefault="00F87105" w:rsidP="00F87105">
      <w:pPr>
        <w:pStyle w:val="Heading3"/>
      </w:pPr>
      <w:r w:rsidRPr="00BF3C9D">
        <w:t xml:space="preserve">Management implications </w:t>
      </w:r>
    </w:p>
    <w:p w14:paraId="0AA4B807" w14:textId="77777777" w:rsidR="00F87105" w:rsidRPr="00BF3C9D" w:rsidRDefault="00F87105" w:rsidP="00F87105">
      <w:r w:rsidRPr="00BF3C9D">
        <w:t xml:space="preserve">Prolonged low, in-channel flows (&lt;20,000 ML/d) in the LMR promote hydraulic (e.g. lentic) and structural (submerged plant) habitat conditions suitable for low flow generalist fishes </w:t>
      </w:r>
      <w:r w:rsidRPr="00BF3C9D">
        <w:lastRenderedPageBreak/>
        <w:t xml:space="preserve">such as small-bodied carp gudgeon and </w:t>
      </w:r>
      <w:r w:rsidRPr="00BF3C9D">
        <w:rPr>
          <w:lang w:val="en-US"/>
        </w:rPr>
        <w:t>unspecked hardyhead</w:t>
      </w:r>
      <w:r w:rsidRPr="00BF3C9D">
        <w:t>. Conversely, in-channel flows &gt;20,000 ML/d facilitate a shift towards more natural riverine hydraulic characteristics that benefit flow-dependant species such as golden perch and Murray cod. Increased variability in the annual flow regime that includes large, overbank (&gt;45,000 ML/d) flows will lead to increased recruitment of a range of species with different life histories (e.g. flow-dependant), promoting diverse fish assemblages and resilience in populations.</w:t>
      </w:r>
    </w:p>
    <w:p w14:paraId="6C3497B7" w14:textId="77777777" w:rsidR="00F87105" w:rsidRPr="00BF3C9D" w:rsidRDefault="00F87105" w:rsidP="00F87105">
      <w:pPr>
        <w:pStyle w:val="Heading3"/>
      </w:pPr>
      <w:r w:rsidRPr="00BF3C9D">
        <w:t>Conclusion</w:t>
      </w:r>
    </w:p>
    <w:p w14:paraId="7E8EA4E7" w14:textId="38AD4A02" w:rsidR="005353EE" w:rsidRPr="006D30C2" w:rsidRDefault="00F87105" w:rsidP="00F87105">
      <w:r w:rsidRPr="006D30C2">
        <w:t>High flows</w:t>
      </w:r>
      <w:r>
        <w:t xml:space="preserve"> </w:t>
      </w:r>
      <w:r w:rsidRPr="00BF3C9D">
        <w:t>(</w:t>
      </w:r>
      <w:r>
        <w:t>&gt;</w:t>
      </w:r>
      <w:r w:rsidRPr="00BF3C9D">
        <w:t>20,000 ML/d)</w:t>
      </w:r>
      <w:r w:rsidRPr="006D30C2">
        <w:t xml:space="preserve"> in 2021-22 and 2022-23, and to a lesser extent in 2016-17 and 2023-24, changed the fish assemblage towards one characteristic of floodplain inundation and a flowing riverine environment. This included low abundances of small-bodied species, high abundances of invasive species (common carp</w:t>
      </w:r>
      <w:r>
        <w:t xml:space="preserve"> and</w:t>
      </w:r>
      <w:r w:rsidRPr="006D30C2">
        <w:t xml:space="preserve"> goldfish) and bony herring, following enhanced recruitment. Recruitment of golden perch and silver perch occurred in conjunction with high in-channel and overbank flows in some of these years, while recruitment of Murray cod occurred on an almost-annual basis.</w:t>
      </w:r>
      <w:r>
        <w:t xml:space="preserve"> Freshwater catfish were sampled in low abundance across the ten-year period and recruitment was limited but evident.</w:t>
      </w:r>
    </w:p>
    <w:p w14:paraId="181BD08A" w14:textId="77777777" w:rsidR="00CB491D" w:rsidRDefault="00CB491D" w:rsidP="00CB491D">
      <w:pPr>
        <w:rPr>
          <w:rFonts w:eastAsiaTheme="majorEastAsia"/>
        </w:rPr>
      </w:pPr>
      <w:r w:rsidRPr="003C0EBB">
        <w:rPr>
          <w:rFonts w:eastAsiaTheme="majorEastAsia"/>
        </w:rPr>
        <w:t xml:space="preserve"> </w:t>
      </w:r>
      <w:r>
        <w:br w:type="page"/>
      </w:r>
    </w:p>
    <w:p w14:paraId="7E1BEBD6" w14:textId="77777777" w:rsidR="00CB491D" w:rsidRPr="00C162EB" w:rsidRDefault="00CB491D" w:rsidP="00CB491D">
      <w:pPr>
        <w:pStyle w:val="Heading1"/>
      </w:pPr>
      <w:bookmarkStart w:id="549" w:name="_Toc64646552"/>
      <w:bookmarkStart w:id="550" w:name="_Ref95923306"/>
      <w:bookmarkStart w:id="551" w:name="_Toc200467868"/>
      <w:bookmarkEnd w:id="418"/>
      <w:r w:rsidRPr="00C162EB">
        <w:lastRenderedPageBreak/>
        <w:t>Synthesis and Evaluation</w:t>
      </w:r>
      <w:bookmarkEnd w:id="549"/>
      <w:bookmarkEnd w:id="550"/>
      <w:bookmarkEnd w:id="551"/>
    </w:p>
    <w:p w14:paraId="1436B159" w14:textId="79DCEC80" w:rsidR="00D06348" w:rsidRPr="00B235B8" w:rsidRDefault="00D06348" w:rsidP="00D06348">
      <w:pPr>
        <w:rPr>
          <w:color w:val="auto"/>
        </w:rPr>
      </w:pPr>
      <w:bookmarkStart w:id="552" w:name="_Ref506912378"/>
      <w:bookmarkStart w:id="553" w:name="_Toc3558399"/>
      <w:bookmarkStart w:id="554" w:name="_Toc101963882"/>
      <w:r w:rsidRPr="00B235B8">
        <w:rPr>
          <w:color w:val="auto"/>
          <w:szCs w:val="21"/>
        </w:rPr>
        <w:t>To assess ecological responses to Commonwealth environmental water in the Lower Murray from 2019–2024</w:t>
      </w:r>
      <w:r>
        <w:rPr>
          <w:color w:val="auto"/>
          <w:szCs w:val="21"/>
        </w:rPr>
        <w:t xml:space="preserve"> (Flow-MER, this report) and from 2014–2019 (LTIM, Ye </w:t>
      </w:r>
      <w:r w:rsidRPr="005C23AE">
        <w:rPr>
          <w:i/>
          <w:iCs/>
          <w:color w:val="auto"/>
          <w:szCs w:val="21"/>
        </w:rPr>
        <w:t>et al.</w:t>
      </w:r>
      <w:r>
        <w:rPr>
          <w:color w:val="auto"/>
          <w:szCs w:val="21"/>
        </w:rPr>
        <w:t xml:space="preserve"> 2020a)</w:t>
      </w:r>
      <w:r w:rsidRPr="00B235B8">
        <w:rPr>
          <w:color w:val="auto"/>
          <w:szCs w:val="21"/>
        </w:rPr>
        <w:t>, a series of evaluation questions were investigated (</w:t>
      </w:r>
      <w:r w:rsidRPr="00B235B8">
        <w:rPr>
          <w:rFonts w:cs="Frutiger LT Std 45 Light"/>
          <w:color w:val="auto"/>
          <w:spacing w:val="5"/>
          <w:szCs w:val="21"/>
        </w:rPr>
        <w:t xml:space="preserve">SARDI </w:t>
      </w:r>
      <w:r w:rsidRPr="00B235B8">
        <w:rPr>
          <w:rFonts w:cs="Frutiger LT Std 45 Light"/>
          <w:i/>
          <w:color w:val="auto"/>
          <w:spacing w:val="5"/>
          <w:szCs w:val="21"/>
        </w:rPr>
        <w:t>et al.</w:t>
      </w:r>
      <w:r w:rsidRPr="00B235B8">
        <w:rPr>
          <w:rFonts w:cs="Frutiger LT Std 45 Light"/>
          <w:color w:val="auto"/>
          <w:spacing w:val="5"/>
          <w:szCs w:val="21"/>
        </w:rPr>
        <w:t xml:space="preserve"> 2024</w:t>
      </w:r>
      <w:r w:rsidRPr="00B235B8">
        <w:rPr>
          <w:color w:val="auto"/>
          <w:szCs w:val="21"/>
        </w:rPr>
        <w:t>) (</w:t>
      </w:r>
      <w:r w:rsidRPr="00B235B8">
        <w:rPr>
          <w:color w:val="auto"/>
          <w:szCs w:val="21"/>
        </w:rPr>
        <w:fldChar w:fldCharType="begin"/>
      </w:r>
      <w:r w:rsidRPr="00B235B8">
        <w:rPr>
          <w:color w:val="auto"/>
          <w:szCs w:val="21"/>
        </w:rPr>
        <w:instrText xml:space="preserve"> REF _Ref127871042 \h  \* MERGEFORMAT </w:instrText>
      </w:r>
      <w:r w:rsidRPr="00B235B8">
        <w:rPr>
          <w:color w:val="auto"/>
          <w:szCs w:val="21"/>
        </w:rPr>
      </w:r>
      <w:r w:rsidRPr="00B235B8">
        <w:rPr>
          <w:color w:val="auto"/>
          <w:szCs w:val="21"/>
        </w:rPr>
        <w:fldChar w:fldCharType="separate"/>
      </w:r>
      <w:r w:rsidR="00102828" w:rsidRPr="00102828">
        <w:rPr>
          <w:color w:val="auto"/>
        </w:rPr>
        <w:t>Table 24</w:t>
      </w:r>
      <w:r w:rsidRPr="00B235B8">
        <w:rPr>
          <w:color w:val="auto"/>
          <w:szCs w:val="21"/>
        </w:rPr>
        <w:fldChar w:fldCharType="end"/>
      </w:r>
      <w:r w:rsidRPr="00B235B8">
        <w:rPr>
          <w:color w:val="auto"/>
          <w:szCs w:val="21"/>
        </w:rPr>
        <w:t xml:space="preserve">). The contribution of environmental water to </w:t>
      </w:r>
      <w:r w:rsidRPr="00B235B8">
        <w:rPr>
          <w:i/>
          <w:iCs/>
          <w:color w:val="auto"/>
          <w:szCs w:val="21"/>
        </w:rPr>
        <w:t>Hydraulic Regime</w:t>
      </w:r>
      <w:r w:rsidRPr="00B235B8">
        <w:rPr>
          <w:color w:val="auto"/>
          <w:szCs w:val="21"/>
        </w:rPr>
        <w:t xml:space="preserve">, </w:t>
      </w:r>
      <w:r w:rsidRPr="00B235B8">
        <w:rPr>
          <w:i/>
          <w:iCs/>
          <w:color w:val="auto"/>
          <w:szCs w:val="21"/>
        </w:rPr>
        <w:t>Matter Transport and Coorong Habitat</w:t>
      </w:r>
      <w:r w:rsidRPr="00B235B8">
        <w:rPr>
          <w:color w:val="auto"/>
          <w:szCs w:val="21"/>
        </w:rPr>
        <w:t xml:space="preserve"> was assessed throughout the year using a modelling approach, whereas indicators of specific ecological responses (</w:t>
      </w:r>
      <w:r w:rsidRPr="00B235B8">
        <w:rPr>
          <w:i/>
          <w:iCs/>
          <w:color w:val="auto"/>
          <w:szCs w:val="21"/>
        </w:rPr>
        <w:t>Stream Metabolism and Water Quality</w:t>
      </w:r>
      <w:r w:rsidRPr="00B235B8">
        <w:rPr>
          <w:color w:val="auto"/>
          <w:szCs w:val="21"/>
        </w:rPr>
        <w:t xml:space="preserve">, </w:t>
      </w:r>
      <w:r w:rsidRPr="00B235B8">
        <w:rPr>
          <w:i/>
          <w:iCs/>
          <w:color w:val="auto"/>
          <w:szCs w:val="21"/>
        </w:rPr>
        <w:t>Littoral Vegetation Diversity and Productivity</w:t>
      </w:r>
      <w:r w:rsidRPr="00B235B8">
        <w:rPr>
          <w:color w:val="auto"/>
          <w:szCs w:val="21"/>
        </w:rPr>
        <w:t xml:space="preserve">, </w:t>
      </w:r>
      <w:r w:rsidRPr="00B235B8">
        <w:rPr>
          <w:i/>
          <w:iCs/>
          <w:color w:val="auto"/>
          <w:szCs w:val="21"/>
        </w:rPr>
        <w:t>Microinvertebrate Assemblage</w:t>
      </w:r>
      <w:r w:rsidRPr="00B235B8">
        <w:rPr>
          <w:color w:val="auto"/>
          <w:szCs w:val="21"/>
        </w:rPr>
        <w:t xml:space="preserve">, </w:t>
      </w:r>
      <w:r w:rsidRPr="00B235B8">
        <w:rPr>
          <w:i/>
          <w:iCs/>
          <w:color w:val="auto"/>
          <w:szCs w:val="21"/>
        </w:rPr>
        <w:t>Flow-cued Spawning Fish Reproduction</w:t>
      </w:r>
      <w:r w:rsidRPr="00B235B8">
        <w:rPr>
          <w:color w:val="auto"/>
          <w:szCs w:val="21"/>
        </w:rPr>
        <w:t xml:space="preserve"> and </w:t>
      </w:r>
      <w:r w:rsidRPr="00B235B8">
        <w:rPr>
          <w:i/>
          <w:iCs/>
          <w:color w:val="auto"/>
          <w:szCs w:val="21"/>
        </w:rPr>
        <w:t>Murray Cod Recruitment</w:t>
      </w:r>
      <w:r w:rsidRPr="00B235B8">
        <w:rPr>
          <w:color w:val="auto"/>
          <w:szCs w:val="21"/>
        </w:rPr>
        <w:t xml:space="preserve">) were assessed through empirical monitoring during targeted seasons. </w:t>
      </w:r>
    </w:p>
    <w:p w14:paraId="113E5204" w14:textId="63312546" w:rsidR="00D06348" w:rsidRDefault="00D06348" w:rsidP="00D06348">
      <w:r>
        <w:rPr>
          <w:color w:val="auto"/>
        </w:rPr>
        <w:t xml:space="preserve">Since 2014-15, the LMR has experienced </w:t>
      </w:r>
      <w:r w:rsidRPr="00DD52AD">
        <w:rPr>
          <w:color w:val="auto"/>
        </w:rPr>
        <w:t xml:space="preserve">variable hydrological conditions, </w:t>
      </w:r>
      <w:r>
        <w:rPr>
          <w:color w:val="auto"/>
        </w:rPr>
        <w:t xml:space="preserve">from </w:t>
      </w:r>
      <w:r w:rsidR="00B63DCB">
        <w:rPr>
          <w:color w:val="auto"/>
        </w:rPr>
        <w:t>low</w:t>
      </w:r>
      <w:r w:rsidR="005E6FCD">
        <w:rPr>
          <w:color w:val="auto"/>
        </w:rPr>
        <w:t xml:space="preserve"> </w:t>
      </w:r>
      <w:r w:rsidR="00B63DCB">
        <w:rPr>
          <w:color w:val="auto"/>
        </w:rPr>
        <w:t>in</w:t>
      </w:r>
      <w:r w:rsidR="005E6FCD">
        <w:rPr>
          <w:color w:val="auto"/>
        </w:rPr>
        <w:t>-</w:t>
      </w:r>
      <w:r w:rsidR="00B63DCB">
        <w:rPr>
          <w:color w:val="auto"/>
        </w:rPr>
        <w:t>channel</w:t>
      </w:r>
      <w:r>
        <w:rPr>
          <w:color w:val="auto"/>
        </w:rPr>
        <w:t xml:space="preserve"> to extensive overbank flows (Ye </w:t>
      </w:r>
      <w:r w:rsidRPr="005C23AE">
        <w:rPr>
          <w:i/>
          <w:iCs/>
          <w:color w:val="auto"/>
        </w:rPr>
        <w:t>et al.</w:t>
      </w:r>
      <w:r>
        <w:rPr>
          <w:color w:val="auto"/>
        </w:rPr>
        <w:t xml:space="preserve"> 2020a). </w:t>
      </w:r>
      <w:r w:rsidRPr="00B235B8">
        <w:rPr>
          <w:color w:val="auto"/>
        </w:rPr>
        <w:t>The last five-year period (2019-20–2023-24) comprised two hydrologically dry years (i.e. flow &lt;18,000 ML</w:t>
      </w:r>
      <w:r w:rsidRPr="00353CF1">
        <w:t>/d at the South Australian border)</w:t>
      </w:r>
      <w:r>
        <w:t xml:space="preserve">, followed by three wet years with unregulated flows including an </w:t>
      </w:r>
      <w:r w:rsidRPr="00353CF1">
        <w:t>in-channel flow</w:t>
      </w:r>
      <w:r>
        <w:t xml:space="preserve"> year</w:t>
      </w:r>
      <w:r w:rsidRPr="00353CF1">
        <w:t xml:space="preserve"> </w:t>
      </w:r>
      <w:r>
        <w:t>(</w:t>
      </w:r>
      <w:r w:rsidRPr="00353CF1">
        <w:t>2021-22</w:t>
      </w:r>
      <w:r>
        <w:t xml:space="preserve">, spring–summer flow peak </w:t>
      </w:r>
      <w:r w:rsidRPr="00353CF1">
        <w:t>37,500 ML/d) and</w:t>
      </w:r>
      <w:r>
        <w:t xml:space="preserve"> two</w:t>
      </w:r>
      <w:r w:rsidRPr="00353CF1">
        <w:t xml:space="preserve"> overbank flow</w:t>
      </w:r>
      <w:r>
        <w:t xml:space="preserve"> years (</w:t>
      </w:r>
      <w:r w:rsidRPr="00353CF1">
        <w:t>2022-23</w:t>
      </w:r>
      <w:r>
        <w:t xml:space="preserve">, </w:t>
      </w:r>
      <w:r w:rsidRPr="00353CF1">
        <w:t>187,600 ML/d</w:t>
      </w:r>
      <w:r>
        <w:t xml:space="preserve">; </w:t>
      </w:r>
      <w:r w:rsidRPr="00353CF1">
        <w:t>2023-24</w:t>
      </w:r>
      <w:r>
        <w:t xml:space="preserve">, </w:t>
      </w:r>
      <w:r w:rsidRPr="00353CF1">
        <w:t>52,800</w:t>
      </w:r>
      <w:r>
        <w:t> </w:t>
      </w:r>
      <w:r w:rsidRPr="00353CF1">
        <w:t>ML/d).</w:t>
      </w:r>
      <w:r>
        <w:t xml:space="preserve"> </w:t>
      </w:r>
      <w:r w:rsidRPr="00CF1564">
        <w:t>Commonwealth environmental water</w:t>
      </w:r>
      <w:r>
        <w:t xml:space="preserve"> primarily</w:t>
      </w:r>
      <w:r w:rsidRPr="00CF1564">
        <w:t xml:space="preserve"> contributed to baseflows and freshes in the LMR, particularly as spring–early summer flow pulses (</w:t>
      </w:r>
      <w:r>
        <w:fldChar w:fldCharType="begin"/>
      </w:r>
      <w:r>
        <w:instrText xml:space="preserve"> REF _Ref81474313 \h </w:instrText>
      </w:r>
      <w:r>
        <w:fldChar w:fldCharType="separate"/>
      </w:r>
      <w:r w:rsidR="00102828" w:rsidRPr="00F23935">
        <w:t xml:space="preserve">Figure </w:t>
      </w:r>
      <w:r w:rsidR="00102828">
        <w:rPr>
          <w:noProof/>
        </w:rPr>
        <w:t>5</w:t>
      </w:r>
      <w:r>
        <w:fldChar w:fldCharType="end"/>
      </w:r>
      <w:r w:rsidRPr="00CF1564">
        <w:t xml:space="preserve">), </w:t>
      </w:r>
      <w:r>
        <w:t xml:space="preserve">mostly </w:t>
      </w:r>
      <w:r w:rsidRPr="00CF1564">
        <w:t xml:space="preserve">via return flows from upstream watering events. </w:t>
      </w:r>
    </w:p>
    <w:p w14:paraId="1EDD1D26" w14:textId="660E4D1E" w:rsidR="00D06348" w:rsidRPr="00F6403E" w:rsidRDefault="00D06348" w:rsidP="00D06348">
      <w:r w:rsidRPr="00CF1564">
        <w:t xml:space="preserve">Environmental water helped to promote flow pulses </w:t>
      </w:r>
      <w:r>
        <w:t xml:space="preserve">up to </w:t>
      </w:r>
      <w:r w:rsidRPr="00CF1564">
        <w:t xml:space="preserve">15,600 and 17,900 ML/d during spring–summer during October 2019 and November 2020, respectively, </w:t>
      </w:r>
      <w:r>
        <w:t xml:space="preserve">where flow would have otherwise been </w:t>
      </w:r>
      <w:r w:rsidR="00BD3851">
        <w:t>low</w:t>
      </w:r>
      <w:r>
        <w:t xml:space="preserve"> </w:t>
      </w:r>
      <w:r w:rsidRPr="00CF1564">
        <w:t>(~</w:t>
      </w:r>
      <w:r>
        <w:t>3</w:t>
      </w:r>
      <w:r w:rsidRPr="00CF1564">
        <w:t>,000–</w:t>
      </w:r>
      <w:r>
        <w:t>9</w:t>
      </w:r>
      <w:r w:rsidRPr="00CF1564">
        <w:t>,000 ML/d)</w:t>
      </w:r>
      <w:r>
        <w:t>. Environmental water also</w:t>
      </w:r>
      <w:r w:rsidRPr="00CF1564">
        <w:t xml:space="preserve"> </w:t>
      </w:r>
      <w:r>
        <w:t xml:space="preserve">supplemented unregulated flows to </w:t>
      </w:r>
      <w:r w:rsidRPr="00CF1564">
        <w:t>maintain flow &gt;20,000</w:t>
      </w:r>
      <w:r>
        <w:t> </w:t>
      </w:r>
      <w:r w:rsidRPr="00CF1564">
        <w:t>ML/d during the entire spring–summer period in 2021-22 and from September–November 2023.</w:t>
      </w:r>
      <w:r>
        <w:t xml:space="preserve"> </w:t>
      </w:r>
      <w:r w:rsidRPr="00F6403E">
        <w:t xml:space="preserve">In 2022-23, during the </w:t>
      </w:r>
      <w:r w:rsidR="00986DC5">
        <w:t>third</w:t>
      </w:r>
      <w:r w:rsidRPr="00F6403E">
        <w:t xml:space="preserve"> highest overbank flow recorded in the LMR, environmental water </w:t>
      </w:r>
      <w:r w:rsidR="00BD3851">
        <w:t>supplemented</w:t>
      </w:r>
      <w:r w:rsidRPr="00F6403E">
        <w:t xml:space="preserve"> unregulated flows to support an overbank flow event (54,500 ML/d) in mid-August, and extend</w:t>
      </w:r>
      <w:r w:rsidR="00BD3851">
        <w:t xml:space="preserve">ed </w:t>
      </w:r>
      <w:r w:rsidRPr="00F6403E">
        <w:t>the flood recession</w:t>
      </w:r>
      <w:r w:rsidRPr="009E78EE">
        <w:t xml:space="preserve"> </w:t>
      </w:r>
      <w:r>
        <w:t>after</w:t>
      </w:r>
      <w:r w:rsidRPr="00F6403E">
        <w:t xml:space="preserve"> late December</w:t>
      </w:r>
      <w:r>
        <w:t>, maintaining flow &gt;20,000 ML/d for an additional 45 days</w:t>
      </w:r>
      <w:r w:rsidRPr="00F6403E">
        <w:t>.</w:t>
      </w:r>
    </w:p>
    <w:p w14:paraId="23B40F67" w14:textId="27737704" w:rsidR="00D06348" w:rsidRPr="000B0D07" w:rsidRDefault="00D06348" w:rsidP="00D06348">
      <w:pPr>
        <w:rPr>
          <w:highlight w:val="yellow"/>
        </w:rPr>
      </w:pPr>
      <w:r>
        <w:t xml:space="preserve">Over the last five years, </w:t>
      </w:r>
      <w:r w:rsidRPr="007F1880">
        <w:t>Commonwealth environmental water also facilitated weir pool manipulations at Lock</w:t>
      </w:r>
      <w:r>
        <w:t>s 1,</w:t>
      </w:r>
      <w:r w:rsidRPr="007F1880">
        <w:t xml:space="preserve"> 2, 4</w:t>
      </w:r>
      <w:r>
        <w:t>,</w:t>
      </w:r>
      <w:r w:rsidRPr="007F1880">
        <w:t xml:space="preserve"> 5</w:t>
      </w:r>
      <w:r>
        <w:t xml:space="preserve"> and 6</w:t>
      </w:r>
      <w:r w:rsidRPr="007F1880">
        <w:t xml:space="preserve">, and Katarapko and Pike regulator </w:t>
      </w:r>
      <w:r>
        <w:t>operation</w:t>
      </w:r>
      <w:r w:rsidR="00D15A90">
        <w:t>s</w:t>
      </w:r>
      <w:r w:rsidRPr="007F1880">
        <w:t xml:space="preserve"> (Appendix B</w:t>
      </w:r>
      <w:r w:rsidRPr="0072264E">
        <w:t xml:space="preserve">). Furthermore, Commonwealth environmental water supplemented freshwater flows to the Lower Lakes and Coorong </w:t>
      </w:r>
      <w:r w:rsidR="00D15A90">
        <w:t>throughout most</w:t>
      </w:r>
      <w:r w:rsidRPr="0072264E">
        <w:t xml:space="preserve"> year</w:t>
      </w:r>
      <w:r w:rsidR="00D15A90">
        <w:t>s</w:t>
      </w:r>
      <w:r w:rsidRPr="0072264E">
        <w:t>. Environmental</w:t>
      </w:r>
      <w:r w:rsidRPr="00323FF3">
        <w:t xml:space="preserve"> water delivery, in combination with infrastructure operation, contributed to a number of ecological outcomes in the </w:t>
      </w:r>
      <w:r>
        <w:t>Lower Murray</w:t>
      </w:r>
      <w:r w:rsidRPr="00323FF3">
        <w:t xml:space="preserve"> Selected Area. Key outcomes</w:t>
      </w:r>
      <w:r>
        <w:t xml:space="preserve"> from the ten years of monitoring and evaluation, including the LTIM period (2014–2019, Ye </w:t>
      </w:r>
      <w:r w:rsidRPr="00F437BB">
        <w:rPr>
          <w:i/>
          <w:iCs/>
        </w:rPr>
        <w:t>et al.</w:t>
      </w:r>
      <w:r>
        <w:t xml:space="preserve"> 2020a),</w:t>
      </w:r>
      <w:r w:rsidRPr="00323FF3">
        <w:t xml:space="preserve"> are summarised below, whilst a summary of the evaluated outcomes </w:t>
      </w:r>
      <w:r>
        <w:t xml:space="preserve">is </w:t>
      </w:r>
      <w:r w:rsidRPr="00323FF3">
        <w:t xml:space="preserve">presented in </w:t>
      </w:r>
      <w:r>
        <w:fldChar w:fldCharType="begin"/>
      </w:r>
      <w:r>
        <w:instrText xml:space="preserve"> REF _Ref127871042 \h </w:instrText>
      </w:r>
      <w:r>
        <w:fldChar w:fldCharType="separate"/>
      </w:r>
      <w:r w:rsidR="00102828" w:rsidRPr="00F55DF6">
        <w:t xml:space="preserve">Table </w:t>
      </w:r>
      <w:r w:rsidR="00102828">
        <w:rPr>
          <w:noProof/>
        </w:rPr>
        <w:t>24</w:t>
      </w:r>
      <w:r>
        <w:fldChar w:fldCharType="end"/>
      </w:r>
      <w:r w:rsidRPr="00323FF3">
        <w:t xml:space="preserve">. </w:t>
      </w:r>
      <w:r w:rsidR="000A7A05">
        <w:t>Additionally, a summary of the key monitoring and evaluation outcomes from the flow regime</w:t>
      </w:r>
      <w:r w:rsidR="00967BB2">
        <w:t xml:space="preserve"> during Flow-MER</w:t>
      </w:r>
      <w:r w:rsidR="000A7A05">
        <w:t xml:space="preserve">, including environmental water, is presented in </w:t>
      </w:r>
      <w:r w:rsidR="00986DC5">
        <w:rPr>
          <w:highlight w:val="yellow"/>
        </w:rPr>
        <w:fldChar w:fldCharType="begin"/>
      </w:r>
      <w:r w:rsidR="00986DC5">
        <w:instrText xml:space="preserve"> REF _Ref200458446 \h </w:instrText>
      </w:r>
      <w:r w:rsidR="00986DC5">
        <w:rPr>
          <w:highlight w:val="yellow"/>
        </w:rPr>
      </w:r>
      <w:r w:rsidR="00986DC5">
        <w:rPr>
          <w:highlight w:val="yellow"/>
        </w:rPr>
        <w:fldChar w:fldCharType="separate"/>
      </w:r>
      <w:r w:rsidR="00102828">
        <w:t xml:space="preserve">Figure </w:t>
      </w:r>
      <w:r w:rsidR="00102828">
        <w:rPr>
          <w:noProof/>
        </w:rPr>
        <w:t>73</w:t>
      </w:r>
      <w:r w:rsidR="00986DC5">
        <w:rPr>
          <w:highlight w:val="yellow"/>
        </w:rPr>
        <w:fldChar w:fldCharType="end"/>
      </w:r>
      <w:r w:rsidR="000A7A05">
        <w:t xml:space="preserve">. </w:t>
      </w:r>
      <w:r w:rsidRPr="00323FF3">
        <w:t>Refer to each indicator evaluation section (Section</w:t>
      </w:r>
      <w:r>
        <w:t xml:space="preserve"> </w:t>
      </w:r>
      <w:r>
        <w:fldChar w:fldCharType="begin"/>
      </w:r>
      <w:r>
        <w:instrText xml:space="preserve"> REF _Ref15904940 \r \h </w:instrText>
      </w:r>
      <w:r>
        <w:fldChar w:fldCharType="separate"/>
      </w:r>
      <w:r w:rsidR="00102828">
        <w:t>2</w:t>
      </w:r>
      <w:r>
        <w:fldChar w:fldCharType="end"/>
      </w:r>
      <w:r w:rsidRPr="00323FF3">
        <w:t>) for a more detailed interpretation and criteria for assessment.</w:t>
      </w:r>
    </w:p>
    <w:p w14:paraId="4DBF98AA" w14:textId="1B7F7E30" w:rsidR="00D06348" w:rsidRPr="00500E38" w:rsidRDefault="00D06348" w:rsidP="00D06348">
      <w:r w:rsidRPr="00500E38">
        <w:t xml:space="preserve">Environmental water delivery </w:t>
      </w:r>
      <w:r w:rsidR="00D15A90">
        <w:t>over</w:t>
      </w:r>
      <w:r w:rsidRPr="00500E38">
        <w:t xml:space="preserve"> the last </w:t>
      </w:r>
      <w:r>
        <w:t xml:space="preserve">decade contributed to </w:t>
      </w:r>
      <w:r w:rsidRPr="00500E38">
        <w:t xml:space="preserve">increased longitudinal connectivity. </w:t>
      </w:r>
      <w:r>
        <w:t>Greater contribution was observed</w:t>
      </w:r>
      <w:r w:rsidRPr="00500E38">
        <w:t xml:space="preserve"> </w:t>
      </w:r>
      <w:r>
        <w:t>during dry years (</w:t>
      </w:r>
      <w:r w:rsidRPr="00500E38">
        <w:t>2015-16</w:t>
      </w:r>
      <w:r>
        <w:t>,</w:t>
      </w:r>
      <w:r w:rsidRPr="00500E38">
        <w:t xml:space="preserve"> 2017-18</w:t>
      </w:r>
      <w:r>
        <w:t xml:space="preserve"> and 2019-20)</w:t>
      </w:r>
      <w:r w:rsidRPr="00500E38">
        <w:t xml:space="preserve">, </w:t>
      </w:r>
      <w:r>
        <w:t>when</w:t>
      </w:r>
      <w:r w:rsidRPr="00500E38">
        <w:t xml:space="preserve"> increases in </w:t>
      </w:r>
      <w:r>
        <w:t xml:space="preserve">annual </w:t>
      </w:r>
      <w:r w:rsidRPr="00500E38">
        <w:t>discharge to the LMR</w:t>
      </w:r>
      <w:r>
        <w:t>,</w:t>
      </w:r>
      <w:r w:rsidRPr="00500E38">
        <w:t xml:space="preserve"> due to </w:t>
      </w:r>
      <w:r>
        <w:t xml:space="preserve">Commonwealth </w:t>
      </w:r>
      <w:r w:rsidRPr="00500E38">
        <w:t xml:space="preserve">environmental water, </w:t>
      </w:r>
      <w:r>
        <w:t xml:space="preserve">achieved </w:t>
      </w:r>
      <w:r w:rsidRPr="00500E38">
        <w:t xml:space="preserve">the Basin-wide environmental watering strategy target of &gt;30% flow increase in the Murray River (here calculated at the </w:t>
      </w:r>
      <w:r w:rsidR="00861429">
        <w:t xml:space="preserve">South Australian </w:t>
      </w:r>
      <w:r w:rsidRPr="00500E38">
        <w:t xml:space="preserve">border). </w:t>
      </w:r>
      <w:r>
        <w:t xml:space="preserve">In </w:t>
      </w:r>
      <w:r>
        <w:lastRenderedPageBreak/>
        <w:t xml:space="preserve">each year except 2022-23, Commonwealth environmental water contributed minor to moderate increases in riverine hydrological connectivity (by 3%–148%, or 3,119–13,056 km d), indicated by river length over a number of days with velocity exceeding 0.2 m/s. </w:t>
      </w:r>
      <w:r w:rsidRPr="00500E38">
        <w:t xml:space="preserve">During these years, increased inundation of the littoral zone of the river </w:t>
      </w:r>
      <w:r w:rsidRPr="00245919">
        <w:t>channel</w:t>
      </w:r>
      <w:r>
        <w:t xml:space="preserve"> and low-level floodplains</w:t>
      </w:r>
      <w:r w:rsidRPr="00245919">
        <w:t>, via increased flows and/or weir pool raisings with support by Commonwealth e</w:t>
      </w:r>
      <w:r w:rsidRPr="00500E38">
        <w:t>nvironmental water</w:t>
      </w:r>
      <w:r>
        <w:t>, improved lateral connectivity</w:t>
      </w:r>
      <w:r w:rsidRPr="00500E38">
        <w:t>.</w:t>
      </w:r>
      <w:r w:rsidRPr="00F13635">
        <w:t xml:space="preserve"> </w:t>
      </w:r>
    </w:p>
    <w:p w14:paraId="4A509F14" w14:textId="47ABAA0D" w:rsidR="00D06348" w:rsidRPr="00500E38" w:rsidRDefault="00D06348" w:rsidP="00D06348">
      <w:r w:rsidRPr="00500E38">
        <w:t xml:space="preserve">Environmental water increased water velocities and introduced some hydraulic variability in the LMR that would not have otherwise occurred over the last </w:t>
      </w:r>
      <w:r>
        <w:t xml:space="preserve">decade, excluding high </w:t>
      </w:r>
      <w:r w:rsidRPr="00500E38">
        <w:t xml:space="preserve">unregulated flow </w:t>
      </w:r>
      <w:r>
        <w:t xml:space="preserve">periods (e.g. </w:t>
      </w:r>
      <w:r w:rsidRPr="00500E38">
        <w:t>in 2016-17</w:t>
      </w:r>
      <w:r>
        <w:t>, 2021–2024</w:t>
      </w:r>
      <w:r w:rsidRPr="00500E38">
        <w:t>). This was better demonstrated</w:t>
      </w:r>
      <w:r>
        <w:t xml:space="preserve"> during spring–early summer</w:t>
      </w:r>
      <w:r w:rsidRPr="00500E38">
        <w:t xml:space="preserve"> </w:t>
      </w:r>
      <w:r>
        <w:t>of</w:t>
      </w:r>
      <w:r w:rsidRPr="00500E38">
        <w:t xml:space="preserve"> </w:t>
      </w:r>
      <w:r>
        <w:t>some dry years</w:t>
      </w:r>
      <w:r w:rsidRPr="00500E38">
        <w:t>,</w:t>
      </w:r>
      <w:r>
        <w:t xml:space="preserve"> such as 2019-20 and 2020-21,</w:t>
      </w:r>
      <w:r w:rsidRPr="00500E38">
        <w:t xml:space="preserve"> when an extra </w:t>
      </w:r>
      <w:r>
        <w:t>73</w:t>
      </w:r>
      <w:r w:rsidRPr="00500E38">
        <w:t xml:space="preserve"> km (</w:t>
      </w:r>
      <w:r>
        <w:t>22</w:t>
      </w:r>
      <w:r w:rsidRPr="00500E38">
        <w:t>%)</w:t>
      </w:r>
      <w:r>
        <w:t xml:space="preserve"> and 84 km (25%)</w:t>
      </w:r>
      <w:r w:rsidRPr="00500E38">
        <w:t xml:space="preserve"> of river was transformed to lotic (flowing water, velocities &gt;0.3 m/s) conditions for at least 14 days, or 3</w:t>
      </w:r>
      <w:r>
        <w:t>3</w:t>
      </w:r>
      <w:r w:rsidRPr="00500E38">
        <w:t xml:space="preserve"> km (10%) </w:t>
      </w:r>
      <w:r>
        <w:t xml:space="preserve">and 31 km (9%) </w:t>
      </w:r>
      <w:r w:rsidRPr="00500E38">
        <w:t>of river for at least 30 days</w:t>
      </w:r>
      <w:r>
        <w:t>, respectively,</w:t>
      </w:r>
      <w:r w:rsidRPr="00500E38">
        <w:t xml:space="preserve"> due to the Commonwealth environmental water</w:t>
      </w:r>
      <w:r>
        <w:t xml:space="preserve"> delivery</w:t>
      </w:r>
      <w:r w:rsidRPr="00500E38">
        <w:t>. The timeframe of ~14 days may correspond with more rapid, flow-related ecological processes or biological responses such as mobilisation of carbon and nutrients, microinvertebrate reproduction and community turn over, or fish egg/larval drift and dispersal, whereas ~30 days, for example, generally coincides with the time period from spawning to the completion of larval development for golden perch</w:t>
      </w:r>
      <w:r>
        <w:t xml:space="preserve"> </w:t>
      </w:r>
      <w:r w:rsidRPr="006E3D75">
        <w:t>and Murray cod (Lake</w:t>
      </w:r>
      <w:r w:rsidRPr="00500E38">
        <w:t xml:space="preserve"> 1967; </w:t>
      </w:r>
      <w:r>
        <w:t xml:space="preserve">Humphries 2005; </w:t>
      </w:r>
      <w:r w:rsidRPr="00500E38">
        <w:t xml:space="preserve">Tonkin </w:t>
      </w:r>
      <w:r w:rsidRPr="00500E38">
        <w:rPr>
          <w:i/>
          <w:iCs/>
        </w:rPr>
        <w:t>et al.</w:t>
      </w:r>
      <w:r w:rsidRPr="00500E38">
        <w:t xml:space="preserve"> 2006). This implies potential benefits of environmental water to the LMR ecosystem, although the spatial/temporal scale of effect may be limited</w:t>
      </w:r>
      <w:r>
        <w:t xml:space="preserve"> in dry years</w:t>
      </w:r>
      <w:r w:rsidRPr="00500E38">
        <w:t>, even in 201</w:t>
      </w:r>
      <w:r>
        <w:t>9-20 and 2020-21</w:t>
      </w:r>
      <w:r w:rsidRPr="00500E38">
        <w:t>.</w:t>
      </w:r>
      <w:r>
        <w:t xml:space="preserve"> However, in wetter years with unregulated flows, e</w:t>
      </w:r>
      <w:r w:rsidRPr="001A3219">
        <w:t xml:space="preserve">nvironmental water </w:t>
      </w:r>
      <w:r>
        <w:t>delivery helped to</w:t>
      </w:r>
      <w:r w:rsidRPr="001A3219">
        <w:t xml:space="preserve"> maintain </w:t>
      </w:r>
      <w:r>
        <w:t xml:space="preserve">high in-channel </w:t>
      </w:r>
      <w:r w:rsidRPr="001A3219">
        <w:t>flow</w:t>
      </w:r>
      <w:r>
        <w:t>s</w:t>
      </w:r>
      <w:r w:rsidRPr="001A3219">
        <w:t xml:space="preserve"> </w:t>
      </w:r>
      <w:r>
        <w:t>(</w:t>
      </w:r>
      <w:r w:rsidRPr="001A3219">
        <w:t>&gt;20,000 ML/d</w:t>
      </w:r>
      <w:r>
        <w:t xml:space="preserve">), transforming &gt;60% of the LMR to lotic conditions such as </w:t>
      </w:r>
      <w:r w:rsidRPr="001A3219">
        <w:t xml:space="preserve">during </w:t>
      </w:r>
      <w:r>
        <w:t>t</w:t>
      </w:r>
      <w:r w:rsidRPr="001A3219">
        <w:t>he</w:t>
      </w:r>
      <w:r>
        <w:t xml:space="preserve"> entire</w:t>
      </w:r>
      <w:r w:rsidRPr="001A3219">
        <w:t xml:space="preserve"> spring–summer period in 2021-22 and </w:t>
      </w:r>
      <w:r>
        <w:t xml:space="preserve">in the spring of </w:t>
      </w:r>
      <w:r w:rsidRPr="001A3219">
        <w:t>202</w:t>
      </w:r>
      <w:r>
        <w:t>3-24.</w:t>
      </w:r>
      <w:r w:rsidRPr="00500E38">
        <w:t xml:space="preserve"> Improving riverine hydraulics is critical for ecological restoration in the LMR. Many native biota </w:t>
      </w:r>
      <w:r w:rsidR="00127FA1">
        <w:t xml:space="preserve">with </w:t>
      </w:r>
      <w:r w:rsidRPr="00500E38">
        <w:t>life history strategies adapted to a flowing river are currently extinct or have suffered major declines due to the largely weir pool environment in this region (Mallen-Cooper and Zampatti 2018). Pre-regulation, the LMR was characterised by lotic, riverine habitats, with water velocities ranging ~0.2–0.5 m/s, even at discharges &lt;10,000</w:t>
      </w:r>
      <w:r>
        <w:t> </w:t>
      </w:r>
      <w:r w:rsidRPr="00500E38">
        <w:t xml:space="preserve">ML/d (Bice </w:t>
      </w:r>
      <w:r w:rsidRPr="00500E38">
        <w:rPr>
          <w:i/>
          <w:iCs/>
        </w:rPr>
        <w:t>et al.</w:t>
      </w:r>
      <w:r w:rsidRPr="00500E38">
        <w:t xml:space="preserve"> 2017).</w:t>
      </w:r>
    </w:p>
    <w:p w14:paraId="11F39CA2" w14:textId="463FBCEF" w:rsidR="00D06348" w:rsidRPr="00500E38" w:rsidRDefault="00D06348" w:rsidP="00D06348">
      <w:r>
        <w:t>Commonwealth e</w:t>
      </w:r>
      <w:r w:rsidRPr="00500E38">
        <w:t xml:space="preserve">nvironmental </w:t>
      </w:r>
      <w:r>
        <w:t>water</w:t>
      </w:r>
      <w:r w:rsidRPr="00500E38">
        <w:t xml:space="preserve">, in combination with weir pool </w:t>
      </w:r>
      <w:r>
        <w:t>manipulations</w:t>
      </w:r>
      <w:r w:rsidRPr="00500E38">
        <w:t xml:space="preserve">, also </w:t>
      </w:r>
      <w:r>
        <w:t xml:space="preserve">had minor to moderate contribution to </w:t>
      </w:r>
      <w:r w:rsidRPr="00500E38">
        <w:t xml:space="preserve">increased water level variability in the LMR. </w:t>
      </w:r>
      <w:r w:rsidRPr="00933D42">
        <w:t xml:space="preserve">Periodic increases in water levels could increase biofilm diversity (Steinman and McIntire 1990), which is a key component of riverine food webs, and improve the condition of littoral vegetation (Gehrig </w:t>
      </w:r>
      <w:r w:rsidRPr="003A475A">
        <w:rPr>
          <w:i/>
          <w:iCs/>
        </w:rPr>
        <w:t>et al.</w:t>
      </w:r>
      <w:r w:rsidRPr="00933D42">
        <w:t xml:space="preserve"> 2016). Vegetation monitoring in 2019</w:t>
      </w:r>
      <w:r>
        <w:t>-20 and 2020-21</w:t>
      </w:r>
      <w:r w:rsidRPr="00933D42">
        <w:t xml:space="preserve"> demonstrated increased native plant species diversity at multiple spatial scales following the inundation of littoral zones by </w:t>
      </w:r>
      <w:r w:rsidRPr="00706288">
        <w:rPr>
          <w:szCs w:val="21"/>
          <w:lang w:eastAsia="en-AU"/>
        </w:rPr>
        <w:t>spring</w:t>
      </w:r>
      <w:r>
        <w:rPr>
          <w:rFonts w:ascii="Calibri" w:hAnsi="Calibri" w:cs="Calibri"/>
          <w:szCs w:val="21"/>
          <w:lang w:eastAsia="en-AU"/>
        </w:rPr>
        <w:t>–</w:t>
      </w:r>
      <w:r>
        <w:rPr>
          <w:szCs w:val="21"/>
          <w:lang w:eastAsia="en-AU"/>
        </w:rPr>
        <w:t>early summer</w:t>
      </w:r>
      <w:r w:rsidRPr="00706288">
        <w:rPr>
          <w:szCs w:val="21"/>
          <w:lang w:eastAsia="en-AU"/>
        </w:rPr>
        <w:t xml:space="preserve"> flows </w:t>
      </w:r>
      <w:r w:rsidRPr="00933D42">
        <w:t xml:space="preserve">in the LMR, supported by environmental water. </w:t>
      </w:r>
      <w:bookmarkStart w:id="555" w:name="_Hlk64632810"/>
      <w:r w:rsidRPr="003F7F6C">
        <w:t>The above-ground biomass of understory vegetation also increased</w:t>
      </w:r>
      <w:r>
        <w:t xml:space="preserve"> in 2020-21,</w:t>
      </w:r>
      <w:r w:rsidRPr="003F7F6C">
        <w:t xml:space="preserve"> due to increased soil moisture, indicating increased littoral vegetation productivity. Furthermore, environmental water delivery also provided hydrological conditions to support river red gum (</w:t>
      </w:r>
      <w:r w:rsidRPr="003F7F6C">
        <w:rPr>
          <w:i/>
          <w:iCs/>
        </w:rPr>
        <w:t>Eucalyptus camaldulensis</w:t>
      </w:r>
      <w:r w:rsidRPr="003F7F6C">
        <w:t xml:space="preserve">) </w:t>
      </w:r>
      <w:r>
        <w:t>ge</w:t>
      </w:r>
      <w:r w:rsidR="00C37392">
        <w:t>r</w:t>
      </w:r>
      <w:r>
        <w:t>mination in 2019-20</w:t>
      </w:r>
      <w:r w:rsidRPr="003F7F6C">
        <w:t>, with many seedlings</w:t>
      </w:r>
      <w:r>
        <w:t xml:space="preserve"> surviving and</w:t>
      </w:r>
      <w:r w:rsidRPr="003F7F6C">
        <w:t xml:space="preserve"> developing into saplings in 2020-21. </w:t>
      </w:r>
      <w:r>
        <w:t xml:space="preserve">In contrast, in 2023-24, </w:t>
      </w:r>
      <w:r w:rsidRPr="001951F4">
        <w:t>following a</w:t>
      </w:r>
      <w:r>
        <w:t>n extended</w:t>
      </w:r>
      <w:r w:rsidRPr="001951F4">
        <w:t xml:space="preserve"> period of high </w:t>
      </w:r>
      <w:r>
        <w:t xml:space="preserve">unregulated </w:t>
      </w:r>
      <w:r w:rsidRPr="001951F4">
        <w:t>flows</w:t>
      </w:r>
      <w:r>
        <w:t xml:space="preserve"> (2021–2024)</w:t>
      </w:r>
      <w:r w:rsidRPr="001951F4">
        <w:t xml:space="preserve">, </w:t>
      </w:r>
      <w:r>
        <w:t xml:space="preserve">the vegetation community changed, with species of high water requirements established due to antecedent flow conditions. While environmental water showed no effect on the littoral vegetation in the LMR in this year, its assistance with maintaining flow &gt;20,000 ML/d may </w:t>
      </w:r>
      <w:r>
        <w:lastRenderedPageBreak/>
        <w:t xml:space="preserve">have prevented a “false start” for germination, which may have depleted the seed bank and reduced resilience. </w:t>
      </w:r>
      <w:bookmarkEnd w:id="555"/>
    </w:p>
    <w:p w14:paraId="49CCA893" w14:textId="77777777" w:rsidR="00D06348" w:rsidRPr="00500E38" w:rsidRDefault="00D06348" w:rsidP="00D06348">
      <w:r w:rsidRPr="00500E38">
        <w:t xml:space="preserve">In most years, </w:t>
      </w:r>
      <w:r w:rsidRPr="007C1FD3">
        <w:t>particularly during spring–summer periods,</w:t>
      </w:r>
      <w:r>
        <w:t xml:space="preserve"> </w:t>
      </w:r>
      <w:r w:rsidRPr="00500E38">
        <w:t xml:space="preserve">environmental </w:t>
      </w:r>
      <w:r>
        <w:t>water</w:t>
      </w:r>
      <w:r w:rsidRPr="00500E38">
        <w:t xml:space="preserve"> made a significant contribution, to reducing the risk of low dissolved oxygen (DO) in the LMR, by increasing water mixing (velocities &gt;0.2 m/s) and oxygen exchange at the surface. The potential low oxygen period was reduced for </w:t>
      </w:r>
      <w:r>
        <w:t xml:space="preserve">1–3 </w:t>
      </w:r>
      <w:r w:rsidRPr="00500E38">
        <w:t xml:space="preserve">months </w:t>
      </w:r>
      <w:r>
        <w:t xml:space="preserve">in the reaches downstream of Locks 4 and 6 each year (except for 2021-22 and 2022-23). </w:t>
      </w:r>
      <w:r w:rsidRPr="00500E38">
        <w:t xml:space="preserve">This is critical </w:t>
      </w:r>
      <w:r>
        <w:t>because</w:t>
      </w:r>
      <w:r w:rsidRPr="00500E38">
        <w:t xml:space="preserve"> </w:t>
      </w:r>
      <w:r>
        <w:t xml:space="preserve">the </w:t>
      </w:r>
      <w:r w:rsidRPr="00500E38">
        <w:t xml:space="preserve">spring–summer period corresponds with high ecosystem respirations rates and is the primary reproductive season of many species that generally favour DO &gt;5 mg/L. The </w:t>
      </w:r>
      <w:r>
        <w:t xml:space="preserve">impacts </w:t>
      </w:r>
      <w:r w:rsidRPr="00500E38">
        <w:t xml:space="preserve">of low </w:t>
      </w:r>
      <w:r>
        <w:t xml:space="preserve">DO </w:t>
      </w:r>
      <w:r w:rsidRPr="00500E38">
        <w:t xml:space="preserve">on survival of aquatic biota are evident </w:t>
      </w:r>
      <w:r>
        <w:t xml:space="preserve">by extensive fish kills during </w:t>
      </w:r>
      <w:r w:rsidRPr="00500E38">
        <w:t>the 2016-17</w:t>
      </w:r>
      <w:r>
        <w:t xml:space="preserve"> hypoxic flood event in the Murray River (Stoffels </w:t>
      </w:r>
      <w:r w:rsidRPr="002954DD">
        <w:rPr>
          <w:i/>
          <w:iCs/>
        </w:rPr>
        <w:t>et al.</w:t>
      </w:r>
      <w:r>
        <w:t xml:space="preserve"> 2018), and more recent fish kills in the Darling River during 2018</w:t>
      </w:r>
      <w:r w:rsidRPr="0010167D">
        <w:t>–2020</w:t>
      </w:r>
      <w:r>
        <w:t xml:space="preserve"> (Stocks </w:t>
      </w:r>
      <w:r w:rsidRPr="002954DD">
        <w:rPr>
          <w:i/>
          <w:iCs/>
        </w:rPr>
        <w:t>et al.</w:t>
      </w:r>
      <w:r>
        <w:t xml:space="preserve"> 2022). </w:t>
      </w:r>
    </w:p>
    <w:p w14:paraId="4B6BF24F" w14:textId="77777777" w:rsidR="00D06348" w:rsidRDefault="00D06348" w:rsidP="00D06348">
      <w:r>
        <w:t>Commonwealth e</w:t>
      </w:r>
      <w:r w:rsidRPr="00500E38">
        <w:t xml:space="preserve">nvironmental </w:t>
      </w:r>
      <w:r>
        <w:t>water</w:t>
      </w:r>
      <w:r w:rsidRPr="00500E38">
        <w:t xml:space="preserve"> </w:t>
      </w:r>
      <w:r>
        <w:t>had negligible effect</w:t>
      </w:r>
      <w:r w:rsidRPr="00500E38">
        <w:t xml:space="preserve"> </w:t>
      </w:r>
      <w:r>
        <w:t>o</w:t>
      </w:r>
      <w:r w:rsidRPr="00500E38">
        <w:t xml:space="preserve">n </w:t>
      </w:r>
      <w:r>
        <w:t xml:space="preserve">aquatic primary production </w:t>
      </w:r>
      <w:r w:rsidRPr="00500E38">
        <w:t>in the</w:t>
      </w:r>
      <w:r>
        <w:t xml:space="preserve"> heavily regulated</w:t>
      </w:r>
      <w:r w:rsidRPr="00500E38">
        <w:t xml:space="preserve"> LMR</w:t>
      </w:r>
      <w:r>
        <w:t xml:space="preserve"> over the last decade</w:t>
      </w:r>
      <w:r w:rsidRPr="00500E38">
        <w:t>, as indicated by 1–</w:t>
      </w:r>
      <w:r>
        <w:t>3</w:t>
      </w:r>
      <w:r w:rsidRPr="00500E38">
        <w:t xml:space="preserve">% increases in cross-sectional GPP </w:t>
      </w:r>
      <w:r>
        <w:t>in the reaches downstream of Locks 1 and 6. This was</w:t>
      </w:r>
      <w:r w:rsidRPr="00500E38">
        <w:t xml:space="preserve"> </w:t>
      </w:r>
      <w:r>
        <w:t xml:space="preserve">likely </w:t>
      </w:r>
      <w:r w:rsidRPr="00500E38">
        <w:t>due to the</w:t>
      </w:r>
      <w:r>
        <w:t xml:space="preserve"> </w:t>
      </w:r>
      <w:r w:rsidRPr="00500E38">
        <w:t xml:space="preserve">largely </w:t>
      </w:r>
      <w:r>
        <w:t xml:space="preserve">stable </w:t>
      </w:r>
      <w:r w:rsidRPr="00500E38">
        <w:t xml:space="preserve">water levels </w:t>
      </w:r>
      <w:r>
        <w:t>that characterise weir pool environments during in-channel flows, and the much smaller proportion of overall discharge that environmental water comprised in the LMR during overbank flows</w:t>
      </w:r>
      <w:r w:rsidRPr="00500E38">
        <w:t>.</w:t>
      </w:r>
      <w:r w:rsidRPr="00560D61">
        <w:t xml:space="preserve"> In contrast, in ‘less regulated’ river reaches of the Murray River (e.g. adjacent to the Hattah Lakes), environmental water could lead to substantial increases in riverine production (e.g.</w:t>
      </w:r>
      <w:r>
        <w:t xml:space="preserve"> modelled</w:t>
      </w:r>
      <w:r w:rsidRPr="00560D61">
        <w:t xml:space="preserve"> </w:t>
      </w:r>
      <w:r>
        <w:t>+</w:t>
      </w:r>
      <w:r w:rsidRPr="00560D61">
        <w:t xml:space="preserve">31% in cross-sectional GPP, during 2017-18) (Ye </w:t>
      </w:r>
      <w:r w:rsidRPr="00156C8F">
        <w:rPr>
          <w:i/>
          <w:iCs/>
        </w:rPr>
        <w:t>et al.</w:t>
      </w:r>
      <w:r w:rsidRPr="00560D61">
        <w:t xml:space="preserve"> 2020a). Similarly, in the LMR</w:t>
      </w:r>
      <w:r>
        <w:t xml:space="preserve"> in most years, Commonwealth </w:t>
      </w:r>
      <w:r w:rsidRPr="00560D61">
        <w:t xml:space="preserve">environmental </w:t>
      </w:r>
      <w:r>
        <w:t>water</w:t>
      </w:r>
      <w:r w:rsidRPr="00560D61">
        <w:t xml:space="preserve"> </w:t>
      </w:r>
      <w:r>
        <w:t xml:space="preserve">contributed to </w:t>
      </w:r>
      <w:r w:rsidRPr="00560D61">
        <w:t xml:space="preserve">small increases </w:t>
      </w:r>
      <w:r>
        <w:t>(≤10</w:t>
      </w:r>
      <w:r w:rsidRPr="00560D61">
        <w:t xml:space="preserve">%) </w:t>
      </w:r>
      <w:r>
        <w:t>in</w:t>
      </w:r>
      <w:r w:rsidRPr="00560D61">
        <w:t xml:space="preserve"> seasonal decomposition rates, estimated as bacterial respiration, </w:t>
      </w:r>
      <w:r>
        <w:t>although the contribution was up to 11% in 2020-21 and 2023-24. Bacterial decomposition reflects the breakdown of organic carbon into simpler compounds for the food web, implying there were moderate</w:t>
      </w:r>
      <w:r w:rsidRPr="00526EC7">
        <w:t xml:space="preserve"> increase</w:t>
      </w:r>
      <w:r>
        <w:t>s in</w:t>
      </w:r>
      <w:r w:rsidRPr="00526EC7">
        <w:t xml:space="preserve"> basal food resources </w:t>
      </w:r>
      <w:r>
        <w:t>in</w:t>
      </w:r>
      <w:r w:rsidRPr="00526EC7">
        <w:t xml:space="preserve"> the river</w:t>
      </w:r>
      <w:r>
        <w:t xml:space="preserve"> due to Commonwealth environmental water in 2020-21 and 2023-24</w:t>
      </w:r>
      <w:r w:rsidRPr="00526EC7">
        <w:t>.</w:t>
      </w:r>
    </w:p>
    <w:p w14:paraId="073B918D" w14:textId="325E60A6" w:rsidR="00D06348" w:rsidRPr="00500E38" w:rsidRDefault="00D06348" w:rsidP="00D06348">
      <w:r w:rsidRPr="00500E38">
        <w:t>The microinvertebrate assemblage vari</w:t>
      </w:r>
      <w:r>
        <w:t>ed between years from 2014-15 to 2023-24 (2018-19 not monitored),</w:t>
      </w:r>
      <w:r w:rsidRPr="00500E38">
        <w:t xml:space="preserve"> associated with variability in flow (which included environmental water) to the LMR. </w:t>
      </w:r>
      <w:r>
        <w:t xml:space="preserve">The mean density and </w:t>
      </w:r>
      <w:r w:rsidRPr="00D470F5">
        <w:t>taxonomic richness</w:t>
      </w:r>
      <w:r>
        <w:t xml:space="preserve"> were generally low during low flow years, but increased during years of high unregulated flow, especially those with overbank flows (e.g. 2022-23 and 2023-24). </w:t>
      </w:r>
      <w:r w:rsidRPr="00F60DCD">
        <w:t>Microinvertebrates are important prey items for a range of higher trophic organisms and increases in their density and diversity are likely to have positive impacts on food webs (Cooper and Goldman 1980; Vinyard 1980).</w:t>
      </w:r>
      <w:r>
        <w:t xml:space="preserve"> Across the nine years monitored, environmental water effects </w:t>
      </w:r>
      <w:r w:rsidRPr="00D470F5">
        <w:t>on microinvertebrate</w:t>
      </w:r>
      <w:r>
        <w:t>s varied, with Commonwealth environmental water contributing to ‘negative to moderate’ (-19% to +25%) increases in</w:t>
      </w:r>
      <w:r w:rsidRPr="00D470F5">
        <w:t xml:space="preserve"> density</w:t>
      </w:r>
      <w:r>
        <w:t>, and ‘negligible to substantial’ (-7% to +43%) increases in taxa richness. For some taxa such as littoral rotifers, e</w:t>
      </w:r>
      <w:r w:rsidRPr="005007AC">
        <w:t>nvironmental water played a more significant role in</w:t>
      </w:r>
      <w:r>
        <w:t xml:space="preserve">fluencing </w:t>
      </w:r>
      <w:r w:rsidRPr="005007AC">
        <w:t>the dynamics, particularly</w:t>
      </w:r>
      <w:r>
        <w:t xml:space="preserve"> </w:t>
      </w:r>
      <w:r w:rsidRPr="00A53CCD">
        <w:t>through promoting reproduction and facilit</w:t>
      </w:r>
      <w:r>
        <w:t>at</w:t>
      </w:r>
      <w:r w:rsidRPr="00A53CCD">
        <w:t>ing transport and dispersion</w:t>
      </w:r>
      <w:r>
        <w:t xml:space="preserve"> in response to spring–early summer flow pulses</w:t>
      </w:r>
      <w:r w:rsidRPr="005007AC">
        <w:t>.</w:t>
      </w:r>
      <w:r>
        <w:t xml:space="preserve"> In recent years (2022–2024), t</w:t>
      </w:r>
      <w:r w:rsidRPr="00424B7B">
        <w:t xml:space="preserve">he general presence of </w:t>
      </w:r>
      <w:r>
        <w:t xml:space="preserve">littoral </w:t>
      </w:r>
      <w:r w:rsidRPr="00424B7B">
        <w:t>rotifers has increased</w:t>
      </w:r>
      <w:r>
        <w:t xml:space="preserve">, corresponding with </w:t>
      </w:r>
      <w:r w:rsidRPr="00424B7B">
        <w:t xml:space="preserve">high </w:t>
      </w:r>
      <w:r>
        <w:t>flows</w:t>
      </w:r>
      <w:r w:rsidRPr="00424B7B">
        <w:t>/floods</w:t>
      </w:r>
      <w:r>
        <w:t>,</w:t>
      </w:r>
      <w:r w:rsidRPr="00424B7B">
        <w:t xml:space="preserve"> increased </w:t>
      </w:r>
      <w:r>
        <w:t xml:space="preserve">hydrological connectivity and </w:t>
      </w:r>
      <w:r w:rsidRPr="00424B7B">
        <w:t xml:space="preserve">extent of lotic habitat </w:t>
      </w:r>
      <w:r>
        <w:t xml:space="preserve">(including environmental water contribution) </w:t>
      </w:r>
      <w:r w:rsidRPr="00424B7B">
        <w:t xml:space="preserve">in the LMR. </w:t>
      </w:r>
      <w:r>
        <w:t xml:space="preserve">In 2023-24, they were observed in high densities </w:t>
      </w:r>
      <w:r w:rsidRPr="00002C12">
        <w:t>throughout the sampling season in the highest proportions (</w:t>
      </w:r>
      <w:r>
        <w:t>~</w:t>
      </w:r>
      <w:r w:rsidRPr="00002C12">
        <w:t>50% of the total community)</w:t>
      </w:r>
      <w:r>
        <w:t xml:space="preserve"> among all years.</w:t>
      </w:r>
      <w:r w:rsidR="009E3290">
        <w:t xml:space="preserve"> </w:t>
      </w:r>
      <w:r w:rsidR="009E3290" w:rsidRPr="009E3290">
        <w:t xml:space="preserve">Some littoral rotifers (i.e.  </w:t>
      </w:r>
      <w:r w:rsidR="009E3290" w:rsidRPr="009E3290">
        <w:rPr>
          <w:i/>
          <w:iCs/>
        </w:rPr>
        <w:t xml:space="preserve">Trichocerca </w:t>
      </w:r>
      <w:r w:rsidR="009E3290" w:rsidRPr="00B6748C">
        <w:t>spp</w:t>
      </w:r>
      <w:r w:rsidR="009E3290" w:rsidRPr="00DE3FD9">
        <w:t>.)</w:t>
      </w:r>
      <w:r w:rsidR="009E3290" w:rsidRPr="009E3290">
        <w:t xml:space="preserve"> may serve as prey for Murray cod larvae in the LMR (Bice </w:t>
      </w:r>
      <w:r w:rsidR="009E3290" w:rsidRPr="0027355F">
        <w:rPr>
          <w:i/>
          <w:iCs/>
        </w:rPr>
        <w:t>et al.</w:t>
      </w:r>
      <w:r w:rsidR="009E3290" w:rsidRPr="009E3290">
        <w:t xml:space="preserve"> 2023). </w:t>
      </w:r>
      <w:r w:rsidR="009E3290">
        <w:t xml:space="preserve">However, </w:t>
      </w:r>
      <w:r w:rsidR="00205BAD" w:rsidRPr="009E3290">
        <w:rPr>
          <w:color w:val="auto"/>
        </w:rPr>
        <w:t xml:space="preserve">modelling </w:t>
      </w:r>
      <w:r w:rsidR="00205BAD" w:rsidRPr="009E3290">
        <w:rPr>
          <w:color w:val="auto"/>
        </w:rPr>
        <w:lastRenderedPageBreak/>
        <w:t xml:space="preserve">predicted decreased prey species (which are predominantly microcrustaceans, Bice </w:t>
      </w:r>
      <w:r w:rsidR="00205BAD" w:rsidRPr="009E3290">
        <w:rPr>
          <w:i/>
          <w:iCs/>
          <w:color w:val="auto"/>
        </w:rPr>
        <w:t>et al.</w:t>
      </w:r>
      <w:r w:rsidR="00205BAD" w:rsidRPr="009E3290">
        <w:rPr>
          <w:color w:val="auto"/>
        </w:rPr>
        <w:t xml:space="preserve"> 2023) </w:t>
      </w:r>
      <w:r w:rsidR="009E3290">
        <w:rPr>
          <w:color w:val="auto"/>
        </w:rPr>
        <w:t>associated with Commonwealth</w:t>
      </w:r>
      <w:r w:rsidR="00205BAD" w:rsidRPr="009E3290">
        <w:rPr>
          <w:color w:val="auto"/>
        </w:rPr>
        <w:t xml:space="preserve"> environmental water</w:t>
      </w:r>
      <w:r w:rsidR="009E3290" w:rsidRPr="009E3290">
        <w:rPr>
          <w:color w:val="auto"/>
        </w:rPr>
        <w:t xml:space="preserve"> </w:t>
      </w:r>
      <w:r w:rsidR="009E3290">
        <w:rPr>
          <w:color w:val="auto"/>
        </w:rPr>
        <w:t>d</w:t>
      </w:r>
      <w:r w:rsidR="009E3290" w:rsidRPr="009E3290">
        <w:rPr>
          <w:color w:val="auto"/>
        </w:rPr>
        <w:t>uring most years from 2019–2024</w:t>
      </w:r>
      <w:r w:rsidR="00205BAD" w:rsidRPr="009E3290">
        <w:rPr>
          <w:color w:val="auto"/>
        </w:rPr>
        <w:t xml:space="preserve">. In some cases (e.g. for 2020-21), this was almost solely due to the decline in a single species (e.g. </w:t>
      </w:r>
      <w:r w:rsidR="00205BAD" w:rsidRPr="009E3290">
        <w:rPr>
          <w:i/>
          <w:iCs/>
          <w:color w:val="auto"/>
        </w:rPr>
        <w:t>Bosmina meridionalis</w:t>
      </w:r>
      <w:r w:rsidR="00205BAD" w:rsidRPr="009E3290">
        <w:rPr>
          <w:color w:val="auto"/>
        </w:rPr>
        <w:t>). Nevertheless, strong recruitment of large-bodied species occurred during this period in the LMR (e.g. Murray cod in 2019-20 and golden perch in 2021-22), suggesting that there were sufficient food resources available to support recruitment. Microcrustaceans often require slow/still water to reproduce, and they may be mobilised along the channel by flow pulses. Further research to improve our understanding of what conditions promote or reduce certain taxa will shed light on which flow regime is likely to produce a more desirable outcome for higher trophic organisms.</w:t>
      </w:r>
      <w:r w:rsidRPr="009E3290">
        <w:rPr>
          <w:color w:val="auto"/>
          <w:highlight w:val="yellow"/>
        </w:rPr>
        <w:t xml:space="preserve"> </w:t>
      </w:r>
    </w:p>
    <w:p w14:paraId="134B8154" w14:textId="1E74A5E4" w:rsidR="00D06348" w:rsidRDefault="00D06348" w:rsidP="00D06348">
      <w:r w:rsidRPr="00977C1D">
        <w:t>From 2014–2024, spawning of golden perch</w:t>
      </w:r>
      <w:r>
        <w:t xml:space="preserve"> </w:t>
      </w:r>
      <w:r w:rsidRPr="00977C1D">
        <w:t>was associated with elevated in-channel (&gt;20,000 ML/d) and overbank (&gt;45,000 ML/d) flows</w:t>
      </w:r>
      <w:r>
        <w:t>,</w:t>
      </w:r>
      <w:r w:rsidRPr="00977C1D">
        <w:t xml:space="preserve"> in concert with water temperatures ≥20ºC during spring–summer</w:t>
      </w:r>
      <w:r>
        <w:t xml:space="preserve"> in the LMR</w:t>
      </w:r>
      <w:r w:rsidRPr="00977C1D">
        <w:t>.</w:t>
      </w:r>
      <w:r>
        <w:t xml:space="preserve"> </w:t>
      </w:r>
      <w:r w:rsidR="00D15A90">
        <w:t>R</w:t>
      </w:r>
      <w:r w:rsidRPr="007B4B01">
        <w:t>ecruitment</w:t>
      </w:r>
      <w:r>
        <w:t xml:space="preserve"> </w:t>
      </w:r>
      <w:r w:rsidR="00D15A90">
        <w:t>across the decade was episodic,</w:t>
      </w:r>
      <w:r>
        <w:t xml:space="preserve"> with s</w:t>
      </w:r>
      <w:r w:rsidRPr="007B4B01">
        <w:t>trong recruitment</w:t>
      </w:r>
      <w:r>
        <w:t xml:space="preserve"> </w:t>
      </w:r>
      <w:r w:rsidR="00D15A90">
        <w:t xml:space="preserve">observed </w:t>
      </w:r>
      <w:r w:rsidRPr="007B4B01">
        <w:t xml:space="preserve">in 2021-22, during </w:t>
      </w:r>
      <w:r>
        <w:t xml:space="preserve">sustained </w:t>
      </w:r>
      <w:r w:rsidRPr="007B4B01">
        <w:t>high, in-channel flows (peak 37,500 ML/d in late December)</w:t>
      </w:r>
      <w:r w:rsidR="00A43EBE">
        <w:t>.</w:t>
      </w:r>
      <w:r>
        <w:t xml:space="preserve"> </w:t>
      </w:r>
      <w:r w:rsidR="00A43EBE">
        <w:t>L</w:t>
      </w:r>
      <w:r w:rsidRPr="007B4B01">
        <w:t>ower level</w:t>
      </w:r>
      <w:r>
        <w:t>s of</w:t>
      </w:r>
      <w:r w:rsidRPr="007B4B01">
        <w:t xml:space="preserve"> recruitment </w:t>
      </w:r>
      <w:r w:rsidR="00A43EBE">
        <w:t>occurred during years characterised by overbank flooding (</w:t>
      </w:r>
      <w:r w:rsidRPr="007B4B01">
        <w:t>2016-17 and 2022-23</w:t>
      </w:r>
      <w:r w:rsidR="00A43EBE">
        <w:t>)</w:t>
      </w:r>
      <w:r w:rsidRPr="007B4B01">
        <w:t xml:space="preserve">, high (&gt;20,000 ML/d) in-channel flow year </w:t>
      </w:r>
      <w:r w:rsidR="00A43EBE">
        <w:t>(</w:t>
      </w:r>
      <w:r w:rsidRPr="007B4B01">
        <w:t>2023-24</w:t>
      </w:r>
      <w:r w:rsidR="00A43EBE">
        <w:t>)</w:t>
      </w:r>
      <w:r w:rsidRPr="007B4B01">
        <w:t xml:space="preserve"> and </w:t>
      </w:r>
      <w:r>
        <w:t xml:space="preserve">some </w:t>
      </w:r>
      <w:r w:rsidR="00A43EBE">
        <w:t xml:space="preserve">years characterised by moderate increases in </w:t>
      </w:r>
      <w:r w:rsidRPr="007B4B01">
        <w:t xml:space="preserve">in-channel </w:t>
      </w:r>
      <w:r w:rsidR="00A43EBE">
        <w:t xml:space="preserve">flow </w:t>
      </w:r>
      <w:r w:rsidRPr="007B4B01">
        <w:t>(&lt;20,000 ML/d</w:t>
      </w:r>
      <w:r w:rsidR="00A43EBE">
        <w:t xml:space="preserve">; </w:t>
      </w:r>
      <w:r>
        <w:t xml:space="preserve">i.e. </w:t>
      </w:r>
      <w:r w:rsidRPr="007B4B01">
        <w:t>2017–2019 and 2020-21</w:t>
      </w:r>
      <w:r>
        <w:t>)</w:t>
      </w:r>
      <w:r w:rsidRPr="007B4B01">
        <w:t xml:space="preserve">. During most of these years, environmental water </w:t>
      </w:r>
      <w:r w:rsidR="00A43EBE">
        <w:t>contributed to</w:t>
      </w:r>
      <w:r w:rsidRPr="007B4B01">
        <w:t xml:space="preserve"> spring</w:t>
      </w:r>
      <w:r>
        <w:t>–</w:t>
      </w:r>
      <w:r w:rsidRPr="007B4B01">
        <w:t xml:space="preserve">summer flow pulses and </w:t>
      </w:r>
      <w:r w:rsidR="00A43EBE">
        <w:t>coincident</w:t>
      </w:r>
      <w:r w:rsidRPr="007B4B01">
        <w:t xml:space="preserve"> spawning</w:t>
      </w:r>
      <w:r>
        <w:t xml:space="preserve">. </w:t>
      </w:r>
      <w:r w:rsidR="00A43EBE">
        <w:t>Year classes in the g</w:t>
      </w:r>
      <w:r>
        <w:t xml:space="preserve">olden perch </w:t>
      </w:r>
      <w:r w:rsidR="00A43EBE">
        <w:t>population of the LMR were derived from</w:t>
      </w:r>
      <w:r w:rsidRPr="00802EEC">
        <w:t xml:space="preserve"> local spawning </w:t>
      </w:r>
      <w:r>
        <w:t>as well as</w:t>
      </w:r>
      <w:r w:rsidRPr="00802EEC">
        <w:t xml:space="preserve"> the downstream transport and migration of larvae/YOY (age 0+) and juveniles (predominantly age 1+) from spatially distinct spawning areas</w:t>
      </w:r>
      <w:r>
        <w:t xml:space="preserve">. In particular, fish spawned in the Darling River during </w:t>
      </w:r>
      <w:r w:rsidRPr="00802EEC">
        <w:t>high flow</w:t>
      </w:r>
      <w:r>
        <w:t>s</w:t>
      </w:r>
      <w:r w:rsidRPr="00802EEC">
        <w:t xml:space="preserve"> (e.</w:t>
      </w:r>
      <w:r>
        <w:t>g.</w:t>
      </w:r>
      <w:r w:rsidRPr="00802EEC">
        <w:t xml:space="preserve"> 2009</w:t>
      </w:r>
      <w:r>
        <w:t xml:space="preserve">–2012 and </w:t>
      </w:r>
      <w:r w:rsidRPr="00802EEC">
        <w:t xml:space="preserve">2021-22) contributed substantially to </w:t>
      </w:r>
      <w:r>
        <w:t xml:space="preserve">the LMR population. For silver perch, recruitment </w:t>
      </w:r>
      <w:r w:rsidR="00AA66CC">
        <w:t>was more consistent</w:t>
      </w:r>
      <w:r>
        <w:t xml:space="preserve">, although population abundance remained low. </w:t>
      </w:r>
      <w:r w:rsidR="00AA66CC">
        <w:t>Year classes in t</w:t>
      </w:r>
      <w:r>
        <w:t xml:space="preserve">he </w:t>
      </w:r>
      <w:r w:rsidR="00AA66CC">
        <w:t>LMR</w:t>
      </w:r>
      <w:r>
        <w:t xml:space="preserve"> population </w:t>
      </w:r>
      <w:r w:rsidR="00AA66CC">
        <w:t xml:space="preserve">were derived from </w:t>
      </w:r>
      <w:r w:rsidRPr="004C643A">
        <w:t xml:space="preserve">local spawning and the downstream </w:t>
      </w:r>
      <w:r>
        <w:t>movement</w:t>
      </w:r>
      <w:r w:rsidRPr="004C643A">
        <w:t xml:space="preserve"> of larvae</w:t>
      </w:r>
      <w:r w:rsidR="00664996">
        <w:t>,</w:t>
      </w:r>
      <w:r w:rsidRPr="004C643A">
        <w:t xml:space="preserve"> predominantly from the mid-Murray River.</w:t>
      </w:r>
      <w:r>
        <w:t xml:space="preserve"> E</w:t>
      </w:r>
      <w:r w:rsidRPr="004C643A">
        <w:t xml:space="preserve">nvironmental water has </w:t>
      </w:r>
      <w:r>
        <w:t>supported</w:t>
      </w:r>
      <w:r w:rsidRPr="004C643A">
        <w:t xml:space="preserve"> in-channel spring–summer flows </w:t>
      </w:r>
      <w:r>
        <w:t xml:space="preserve">during the </w:t>
      </w:r>
      <w:r w:rsidRPr="004C643A">
        <w:t xml:space="preserve">spawning </w:t>
      </w:r>
      <w:r>
        <w:t xml:space="preserve">period </w:t>
      </w:r>
      <w:r w:rsidRPr="004C643A">
        <w:t>of silver perch</w:t>
      </w:r>
      <w:r>
        <w:t xml:space="preserve"> and promoted longitudinal connectivity to facilitate downstream transport and dispersion of larvae</w:t>
      </w:r>
      <w:r w:rsidRPr="004C643A">
        <w:t>.</w:t>
      </w:r>
    </w:p>
    <w:p w14:paraId="52AD2258" w14:textId="22C47C8E" w:rsidR="00D06348" w:rsidRDefault="00D06348" w:rsidP="00D06348">
      <w:r>
        <w:t xml:space="preserve">Since 2014-15, Murray cod recruitment has occurred in most years in the LMR, with variable </w:t>
      </w:r>
      <w:r w:rsidRPr="00644361">
        <w:t>recruitment strength</w:t>
      </w:r>
      <w:r>
        <w:t xml:space="preserve"> (to YOY)</w:t>
      </w:r>
      <w:r w:rsidRPr="00644361">
        <w:t>.</w:t>
      </w:r>
      <w:r>
        <w:t xml:space="preserve"> The evaluation from 2</w:t>
      </w:r>
      <w:r w:rsidRPr="001C0ABB">
        <w:t xml:space="preserve">019–2024 </w:t>
      </w:r>
      <w:r>
        <w:t xml:space="preserve">indicated variable </w:t>
      </w:r>
      <w:r w:rsidRPr="001C0ABB">
        <w:t>contribution</w:t>
      </w:r>
      <w:r>
        <w:t>s</w:t>
      </w:r>
      <w:r w:rsidRPr="001C0ABB">
        <w:t xml:space="preserve"> of the flow regime (including environmental water) to recruitment</w:t>
      </w:r>
      <w:r>
        <w:t>,</w:t>
      </w:r>
      <w:r w:rsidRPr="001C0ABB">
        <w:t xml:space="preserve"> rang</w:t>
      </w:r>
      <w:r>
        <w:t>ing</w:t>
      </w:r>
      <w:r w:rsidRPr="001C0ABB">
        <w:t xml:space="preserve"> from negligible in 2020–2022</w:t>
      </w:r>
      <w:r>
        <w:t>, minor in 2023-24, moderate in 2022-23,</w:t>
      </w:r>
      <w:r w:rsidRPr="001C0ABB">
        <w:t xml:space="preserve"> to substantial in 2019-20.</w:t>
      </w:r>
      <w:r>
        <w:t xml:space="preserve"> Increased </w:t>
      </w:r>
      <w:r w:rsidRPr="00033DEC">
        <w:t>extent of lotic habitat available immediately prior to and during spawning (August–November)</w:t>
      </w:r>
      <w:r>
        <w:t xml:space="preserve"> was generally correlated with Murray cod recruitment in the LMR</w:t>
      </w:r>
      <w:r w:rsidRPr="0046605E">
        <w:t xml:space="preserve"> </w:t>
      </w:r>
      <w:r>
        <w:t xml:space="preserve">during low, in-channel flows (&lt;20,000 ML/d). </w:t>
      </w:r>
      <w:r w:rsidRPr="00B438E0">
        <w:rPr>
          <w:color w:val="auto"/>
          <w:szCs w:val="21"/>
        </w:rPr>
        <w:t>This was eviden</w:t>
      </w:r>
      <w:r>
        <w:rPr>
          <w:color w:val="auto"/>
          <w:szCs w:val="21"/>
        </w:rPr>
        <w:t>t</w:t>
      </w:r>
      <w:r w:rsidRPr="00B438E0">
        <w:rPr>
          <w:color w:val="auto"/>
          <w:szCs w:val="21"/>
        </w:rPr>
        <w:t xml:space="preserve"> in 2019-20,</w:t>
      </w:r>
      <w:r>
        <w:rPr>
          <w:color w:val="auto"/>
          <w:szCs w:val="21"/>
        </w:rPr>
        <w:t xml:space="preserve"> when strong recruitment was</w:t>
      </w:r>
      <w:r w:rsidRPr="00B438E0">
        <w:rPr>
          <w:color w:val="auto"/>
          <w:szCs w:val="21"/>
        </w:rPr>
        <w:t xml:space="preserve"> </w:t>
      </w:r>
      <w:r>
        <w:rPr>
          <w:color w:val="auto"/>
          <w:szCs w:val="21"/>
        </w:rPr>
        <w:t xml:space="preserve">associated with </w:t>
      </w:r>
      <w:r w:rsidRPr="00B438E0">
        <w:rPr>
          <w:color w:val="auto"/>
          <w:szCs w:val="21"/>
        </w:rPr>
        <w:t xml:space="preserve">a spring flow pulse </w:t>
      </w:r>
      <w:r>
        <w:rPr>
          <w:color w:val="auto"/>
          <w:szCs w:val="21"/>
        </w:rPr>
        <w:t xml:space="preserve">(peaked in mid-October) </w:t>
      </w:r>
      <w:r w:rsidR="00AA66CC">
        <w:rPr>
          <w:color w:val="auto"/>
          <w:szCs w:val="21"/>
        </w:rPr>
        <w:t xml:space="preserve">supported </w:t>
      </w:r>
      <w:r>
        <w:rPr>
          <w:color w:val="auto"/>
          <w:szCs w:val="21"/>
        </w:rPr>
        <w:t>by environmental water delivery.</w:t>
      </w:r>
      <w:r w:rsidRPr="00B438E0">
        <w:rPr>
          <w:color w:val="auto"/>
          <w:szCs w:val="21"/>
        </w:rPr>
        <w:t xml:space="preserve"> </w:t>
      </w:r>
      <w:r w:rsidRPr="008B127E">
        <w:rPr>
          <w:color w:val="auto"/>
          <w:szCs w:val="21"/>
        </w:rPr>
        <w:t>For flows &gt;20,000 ML/d, the relationship between increased extent of lotic habitat and recruitment is not clear</w:t>
      </w:r>
      <w:r>
        <w:rPr>
          <w:color w:val="auto"/>
          <w:szCs w:val="21"/>
        </w:rPr>
        <w:t>, and the main drivers of Murray cod recruitment in the LMR warrant further study</w:t>
      </w:r>
      <w:r w:rsidRPr="008B127E">
        <w:rPr>
          <w:color w:val="auto"/>
          <w:szCs w:val="21"/>
        </w:rPr>
        <w:t>.</w:t>
      </w:r>
      <w:r>
        <w:rPr>
          <w:color w:val="auto"/>
          <w:szCs w:val="21"/>
        </w:rPr>
        <w:t xml:space="preserve"> </w:t>
      </w:r>
      <w:r w:rsidRPr="0046605E">
        <w:rPr>
          <w:color w:val="auto"/>
          <w:szCs w:val="21"/>
        </w:rPr>
        <w:t>Over</w:t>
      </w:r>
      <w:r>
        <w:rPr>
          <w:color w:val="auto"/>
          <w:szCs w:val="21"/>
        </w:rPr>
        <w:t xml:space="preserve"> the last decade, </w:t>
      </w:r>
      <w:r w:rsidRPr="0046605E">
        <w:rPr>
          <w:color w:val="auto"/>
          <w:szCs w:val="21"/>
        </w:rPr>
        <w:t>more regular recruitment of Murray cod has contributed to the</w:t>
      </w:r>
      <w:r>
        <w:rPr>
          <w:color w:val="auto"/>
          <w:szCs w:val="21"/>
        </w:rPr>
        <w:t xml:space="preserve"> population</w:t>
      </w:r>
      <w:r w:rsidRPr="0046605E">
        <w:rPr>
          <w:color w:val="auto"/>
          <w:szCs w:val="21"/>
        </w:rPr>
        <w:t xml:space="preserve"> resilience </w:t>
      </w:r>
      <w:r>
        <w:rPr>
          <w:color w:val="auto"/>
          <w:szCs w:val="21"/>
        </w:rPr>
        <w:t>in the LMR</w:t>
      </w:r>
      <w:r w:rsidRPr="0046605E">
        <w:rPr>
          <w:color w:val="auto"/>
          <w:szCs w:val="21"/>
        </w:rPr>
        <w:t>.</w:t>
      </w:r>
    </w:p>
    <w:p w14:paraId="570B77F6" w14:textId="3EF630B7" w:rsidR="00D06348" w:rsidRDefault="00D06348" w:rsidP="00D06348">
      <w:r>
        <w:t>Commonwealth environmental water has played a critical role in providing e</w:t>
      </w:r>
      <w:r w:rsidRPr="002F143F">
        <w:t>nd-of-system flow</w:t>
      </w:r>
      <w:r>
        <w:t>s, which</w:t>
      </w:r>
      <w:r w:rsidRPr="002F143F">
        <w:t xml:space="preserve"> </w:t>
      </w:r>
      <w:r>
        <w:t>promoted the</w:t>
      </w:r>
      <w:r w:rsidRPr="002F143F">
        <w:t xml:space="preserve"> connectivity between the river, estuary and marine environments, </w:t>
      </w:r>
      <w:r>
        <w:t xml:space="preserve">increased salt </w:t>
      </w:r>
      <w:r w:rsidRPr="002F143F">
        <w:t xml:space="preserve">export out of the Basin and </w:t>
      </w:r>
      <w:r>
        <w:t xml:space="preserve">maintained </w:t>
      </w:r>
      <w:r w:rsidRPr="002F143F">
        <w:t>estuarine habitat</w:t>
      </w:r>
      <w:r>
        <w:t>s</w:t>
      </w:r>
      <w:r w:rsidRPr="002F143F">
        <w:t xml:space="preserve">. </w:t>
      </w:r>
      <w:r>
        <w:t>The most significant impact was during low flow years. In 2017–2021, Commonwealth environmental water contributed</w:t>
      </w:r>
      <w:r w:rsidR="00613D47">
        <w:t xml:space="preserve"> annually</w:t>
      </w:r>
      <w:r>
        <w:t xml:space="preserve"> to the export of </w:t>
      </w:r>
      <w:r w:rsidR="00613D47">
        <w:t>~0.4</w:t>
      </w:r>
      <w:r>
        <w:t xml:space="preserve"> million tonnes of salt (6</w:t>
      </w:r>
      <w:r w:rsidR="00613D47">
        <w:t>4</w:t>
      </w:r>
      <w:r>
        <w:t>–</w:t>
      </w:r>
      <w:r>
        <w:lastRenderedPageBreak/>
        <w:t xml:space="preserve">100%) out of the Basin (via barrage flows), reduced </w:t>
      </w:r>
      <w:r w:rsidR="00613D47">
        <w:t xml:space="preserve">~4 </w:t>
      </w:r>
      <w:r>
        <w:t>million tonnes of salt import per year from the Southern Ocean into the Coorong, and substantially reduced salt accumulation in the North and South lagoons. In wetter years (2021–2024), the effect of environmental flows generally reduced due to their smaller proportion to the total barrage discharge (</w:t>
      </w:r>
      <w:r w:rsidR="00613D47">
        <w:t>e.g. 5% in 2022-23</w:t>
      </w:r>
      <w:r>
        <w:t xml:space="preserve">). </w:t>
      </w:r>
      <w:r w:rsidR="004E5264">
        <w:t xml:space="preserve">However, </w:t>
      </w:r>
      <w:r>
        <w:t>2022-23</w:t>
      </w:r>
      <w:r w:rsidR="004E5264">
        <w:t xml:space="preserve"> was the only year when </w:t>
      </w:r>
      <w:r w:rsidRPr="001974C3">
        <w:t>the Basin Plan target of salt export (</w:t>
      </w:r>
      <w:r w:rsidR="00613D47">
        <w:t>&gt;</w:t>
      </w:r>
      <w:r w:rsidRPr="001974C3">
        <w:t>2 million tonnes per year) was achieved, with the estimated export being 3.1 million tonnes out of the Basin</w:t>
      </w:r>
      <w:r w:rsidR="004E5264">
        <w:t>, largely by unregulated flows</w:t>
      </w:r>
      <w:r w:rsidRPr="001974C3">
        <w:t>.</w:t>
      </w:r>
      <w:r w:rsidR="0005105B" w:rsidRPr="0005105B">
        <w:t xml:space="preserve"> In 2023-24, Commonwealth environmental </w:t>
      </w:r>
      <w:r w:rsidR="0005105B" w:rsidRPr="00385274">
        <w:t>water increased the export</w:t>
      </w:r>
      <w:r w:rsidR="0005105B" w:rsidRPr="0005105B">
        <w:t xml:space="preserve"> of 2.9 million tonnes of salt through the Murray Mouth into the Coorong.</w:t>
      </w:r>
    </w:p>
    <w:p w14:paraId="6E060B14" w14:textId="56A7A525" w:rsidR="00D06348" w:rsidRDefault="00D06348" w:rsidP="00D06348">
      <w:r>
        <w:t xml:space="preserve">Environmental water has reduced salinity levels in the Coorong, expanding suitable habitat for fish and aquatic plants. In particular, the </w:t>
      </w:r>
      <w:r w:rsidRPr="00917938">
        <w:t>cumulative impacts</w:t>
      </w:r>
      <w:r>
        <w:t xml:space="preserve"> on fish habitat across years</w:t>
      </w:r>
      <w:r w:rsidRPr="00917938">
        <w:t xml:space="preserve"> </w:t>
      </w:r>
      <w:r>
        <w:t>are</w:t>
      </w:r>
      <w:r w:rsidRPr="00917938">
        <w:t xml:space="preserve"> </w:t>
      </w:r>
      <w:r>
        <w:t>substantial</w:t>
      </w:r>
      <w:r w:rsidRPr="00917938">
        <w:t xml:space="preserve">. </w:t>
      </w:r>
      <w:r>
        <w:t>In 2023-24, i</w:t>
      </w:r>
      <w:r w:rsidRPr="00917938">
        <w:t xml:space="preserve">f no Commonwealth environmental water was delivered since 2017-18, the area of suitable habitat for mulloway, black bream, yelloweye mullet, greenback flounder (key commercial fishery species), Tamar goby, congolli and smallmouth hardyhead (ecologically important species) would have declined by </w:t>
      </w:r>
      <w:r>
        <w:t>51</w:t>
      </w:r>
      <w:r w:rsidRPr="00917938">
        <w:t xml:space="preserve">%, </w:t>
      </w:r>
      <w:r>
        <w:t>40</w:t>
      </w:r>
      <w:r w:rsidRPr="00917938">
        <w:t xml:space="preserve">%, </w:t>
      </w:r>
      <w:r>
        <w:t>40</w:t>
      </w:r>
      <w:r w:rsidRPr="00917938">
        <w:t xml:space="preserve">%, </w:t>
      </w:r>
      <w:r>
        <w:t>4</w:t>
      </w:r>
      <w:r w:rsidRPr="00917938">
        <w:t>4%, 5</w:t>
      </w:r>
      <w:r>
        <w:t>2</w:t>
      </w:r>
      <w:r w:rsidRPr="00917938">
        <w:t xml:space="preserve">%, </w:t>
      </w:r>
      <w:r>
        <w:t>27</w:t>
      </w:r>
      <w:r w:rsidRPr="00917938">
        <w:t>% and 1</w:t>
      </w:r>
      <w:r>
        <w:t>8</w:t>
      </w:r>
      <w:r w:rsidRPr="00917938">
        <w:t>%, respectively. Similarly, without Commonwealth environmental water from 2018–202</w:t>
      </w:r>
      <w:r>
        <w:t>3</w:t>
      </w:r>
      <w:r w:rsidRPr="00917938">
        <w:t xml:space="preserve">, the area suitable for </w:t>
      </w:r>
      <w:r w:rsidRPr="00917938">
        <w:rPr>
          <w:i/>
          <w:iCs/>
        </w:rPr>
        <w:t>Ruppia tuberosa</w:t>
      </w:r>
      <w:r w:rsidRPr="00917938">
        <w:t xml:space="preserve"> sexual reproduction </w:t>
      </w:r>
      <w:r>
        <w:t xml:space="preserve">and dual life-cycle </w:t>
      </w:r>
      <w:r w:rsidRPr="00917938">
        <w:t>would have reduced by 4</w:t>
      </w:r>
      <w:r>
        <w:t>7</w:t>
      </w:r>
      <w:r w:rsidRPr="00917938">
        <w:t>%</w:t>
      </w:r>
      <w:r>
        <w:t xml:space="preserve"> and 25%, respectively</w:t>
      </w:r>
      <w:r w:rsidRPr="00917938">
        <w:t xml:space="preserve">. This highlights the importance of </w:t>
      </w:r>
      <w:r>
        <w:t xml:space="preserve">the cumulative benefit of </w:t>
      </w:r>
      <w:r w:rsidRPr="00917938">
        <w:t>environmental water to maintain and restore the ecosystem in the Coorong.</w:t>
      </w:r>
    </w:p>
    <w:p w14:paraId="0FB17FB1" w14:textId="77777777" w:rsidR="00967BB2" w:rsidRDefault="00967BB2" w:rsidP="005353EE">
      <w:pPr>
        <w:sectPr w:rsidR="00967BB2" w:rsidSect="005353EE">
          <w:pgSz w:w="11906" w:h="16838"/>
          <w:pgMar w:top="1440" w:right="1440" w:bottom="1440" w:left="1440" w:header="708" w:footer="708" w:gutter="0"/>
          <w:cols w:space="708"/>
          <w:docGrid w:linePitch="360"/>
        </w:sectPr>
      </w:pPr>
    </w:p>
    <w:p w14:paraId="0F6D26FB" w14:textId="568B5B90" w:rsidR="00967BB2" w:rsidRDefault="0064512F" w:rsidP="005353EE">
      <w:r w:rsidRPr="0064512F">
        <w:rPr>
          <w:noProof/>
        </w:rPr>
        <w:lastRenderedPageBreak/>
        <w:drawing>
          <wp:inline distT="0" distB="0" distL="0" distR="0" wp14:anchorId="4E67C581" wp14:editId="7051C165">
            <wp:extent cx="9030200" cy="4733124"/>
            <wp:effectExtent l="0" t="0" r="0" b="0"/>
            <wp:docPr id="911983538" name="Picture 1" descr="A hydrograph showing the timing and contribution of environmental water delivery, along with the key monitoring and evaluation outcomes for each financial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83538" name="Picture 1" descr="A hydrograph showing the timing and contribution of environmental water delivery, along with the key monitoring and evaluation outcomes for each financial year."/>
                    <pic:cNvPicPr/>
                  </pic:nvPicPr>
                  <pic:blipFill>
                    <a:blip r:embed="rId142"/>
                    <a:stretch>
                      <a:fillRect/>
                    </a:stretch>
                  </pic:blipFill>
                  <pic:spPr>
                    <a:xfrm>
                      <a:off x="0" y="0"/>
                      <a:ext cx="9034577" cy="4735418"/>
                    </a:xfrm>
                    <a:prstGeom prst="rect">
                      <a:avLst/>
                    </a:prstGeom>
                  </pic:spPr>
                </pic:pic>
              </a:graphicData>
            </a:graphic>
          </wp:inline>
        </w:drawing>
      </w:r>
    </w:p>
    <w:p w14:paraId="3008C4E0" w14:textId="0B40C403" w:rsidR="00967BB2" w:rsidRDefault="00967BB2" w:rsidP="00967BB2">
      <w:pPr>
        <w:pStyle w:val="Caption"/>
        <w:sectPr w:rsidR="00967BB2" w:rsidSect="00967BB2">
          <w:pgSz w:w="16838" w:h="11906" w:orient="landscape"/>
          <w:pgMar w:top="1440" w:right="1440" w:bottom="1440" w:left="1440" w:header="709" w:footer="709" w:gutter="0"/>
          <w:cols w:space="708"/>
          <w:docGrid w:linePitch="360"/>
        </w:sectPr>
      </w:pPr>
      <w:bookmarkStart w:id="556" w:name="_Ref200458446"/>
      <w:bookmarkStart w:id="557" w:name="_Toc200464524"/>
      <w:r>
        <w:t xml:space="preserve">Figure </w:t>
      </w:r>
      <w:r>
        <w:fldChar w:fldCharType="begin"/>
      </w:r>
      <w:r>
        <w:instrText>SEQ Figure \* ARABIC</w:instrText>
      </w:r>
      <w:r>
        <w:fldChar w:fldCharType="separate"/>
      </w:r>
      <w:r w:rsidR="00102828">
        <w:rPr>
          <w:noProof/>
        </w:rPr>
        <w:t>73</w:t>
      </w:r>
      <w:r>
        <w:fldChar w:fldCharType="end"/>
      </w:r>
      <w:bookmarkEnd w:id="556"/>
      <w:r>
        <w:t xml:space="preserve">. </w:t>
      </w:r>
      <w:r w:rsidRPr="00967BB2">
        <w:t xml:space="preserve">Key monitoring and evaluation outcomes in the Lower Murray River (black text) and Coorong, Lower Lakes and Murray Mouth (blue text) in relation to the flow regime (to South Australia) from 1 July 2019 to 30 June 2024, including the contribution of Commonwealth (CEW) and other environmental water (eWater). </w:t>
      </w:r>
      <w:r>
        <w:t xml:space="preserve">Only a subset of outcomes are presented above. </w:t>
      </w:r>
      <w:r w:rsidRPr="00967BB2">
        <w:t xml:space="preserve">Refer to </w:t>
      </w:r>
      <w:r>
        <w:fldChar w:fldCharType="begin"/>
      </w:r>
      <w:r>
        <w:instrText xml:space="preserve"> REF _Ref81474313 \h </w:instrText>
      </w:r>
      <w:r>
        <w:fldChar w:fldCharType="separate"/>
      </w:r>
      <w:r w:rsidR="00102828" w:rsidRPr="00F23935">
        <w:t xml:space="preserve">Figure </w:t>
      </w:r>
      <w:r w:rsidR="00102828">
        <w:rPr>
          <w:noProof/>
        </w:rPr>
        <w:t>5</w:t>
      </w:r>
      <w:r>
        <w:fldChar w:fldCharType="end"/>
      </w:r>
      <w:r w:rsidRPr="00967BB2">
        <w:t xml:space="preserve"> and </w:t>
      </w:r>
      <w:r>
        <w:fldChar w:fldCharType="begin"/>
      </w:r>
      <w:r>
        <w:instrText xml:space="preserve"> REF _Ref174368209 \h </w:instrText>
      </w:r>
      <w:r>
        <w:fldChar w:fldCharType="separate"/>
      </w:r>
      <w:r w:rsidR="00102828">
        <w:t>T</w:t>
      </w:r>
      <w:r w:rsidR="00102828" w:rsidRPr="001214E8">
        <w:t xml:space="preserve">able </w:t>
      </w:r>
      <w:r w:rsidR="00102828">
        <w:rPr>
          <w:noProof/>
        </w:rPr>
        <w:t>3</w:t>
      </w:r>
      <w:r>
        <w:fldChar w:fldCharType="end"/>
      </w:r>
      <w:r>
        <w:t xml:space="preserve"> </w:t>
      </w:r>
      <w:r w:rsidRPr="00967BB2">
        <w:t>for timing of watering events and expected outcomes. Approximate bankfull flow (orange dotted line) and modelled flow under natural conditions (dotted black line) are shown.</w:t>
      </w:r>
      <w:bookmarkEnd w:id="557"/>
      <w:r>
        <w:t xml:space="preserve"> </w:t>
      </w:r>
    </w:p>
    <w:p w14:paraId="27E9A350" w14:textId="4349934C" w:rsidR="00AE313C" w:rsidRDefault="005353EE" w:rsidP="00605FB2">
      <w:pPr>
        <w:pStyle w:val="Captions"/>
      </w:pPr>
      <w:bookmarkStart w:id="558" w:name="_Ref127871042"/>
      <w:bookmarkStart w:id="559" w:name="_Toc166771820"/>
      <w:bookmarkStart w:id="560" w:name="_Toc200464548"/>
      <w:r w:rsidRPr="00F55DF6">
        <w:lastRenderedPageBreak/>
        <w:t xml:space="preserve">Table </w:t>
      </w:r>
      <w:r w:rsidR="002A56B0">
        <w:fldChar w:fldCharType="begin"/>
      </w:r>
      <w:r w:rsidR="002A56B0">
        <w:instrText xml:space="preserve"> SEQ Table \* ARABIC </w:instrText>
      </w:r>
      <w:r w:rsidR="002A56B0">
        <w:fldChar w:fldCharType="separate"/>
      </w:r>
      <w:r w:rsidR="00102828">
        <w:rPr>
          <w:noProof/>
        </w:rPr>
        <w:t>24</w:t>
      </w:r>
      <w:r w:rsidR="002A56B0">
        <w:rPr>
          <w:noProof/>
        </w:rPr>
        <w:fldChar w:fldCharType="end"/>
      </w:r>
      <w:bookmarkEnd w:id="552"/>
      <w:bookmarkEnd w:id="558"/>
      <w:r w:rsidRPr="00F55DF6">
        <w:t xml:space="preserve">. </w:t>
      </w:r>
      <w:r>
        <w:t>C</w:t>
      </w:r>
      <w:r w:rsidR="00F02621">
        <w:t>ommonwealth Environmental Water Holder</w:t>
      </w:r>
      <w:r w:rsidRPr="00F55DF6">
        <w:t xml:space="preserve"> evaluation questions by indicators</w:t>
      </w:r>
      <w:r>
        <w:t xml:space="preserve"> for the Lower Murray, which includes the Lower Murray River (LMR)</w:t>
      </w:r>
      <w:r w:rsidRPr="00B560F6">
        <w:t xml:space="preserve"> </w:t>
      </w:r>
      <w:r>
        <w:t>and the Coorong, Lower Lakes and Murray Mouth (CLLMM)</w:t>
      </w:r>
      <w:r w:rsidRPr="00F55DF6">
        <w:t xml:space="preserve">. Evaluation questions are sourced or adapted from Gawne </w:t>
      </w:r>
      <w:r w:rsidRPr="00F55DF6">
        <w:rPr>
          <w:i/>
        </w:rPr>
        <w:t>et al.</w:t>
      </w:r>
      <w:r w:rsidRPr="00F55DF6">
        <w:t xml:space="preserve"> (2014). </w:t>
      </w:r>
      <w:r>
        <w:t>Evaluation</w:t>
      </w:r>
      <w:r w:rsidRPr="00123FD2">
        <w:t xml:space="preserve"> of C</w:t>
      </w:r>
      <w:r>
        <w:t>ommonwealth environmental water (C</w:t>
      </w:r>
      <w:r w:rsidRPr="00123FD2">
        <w:t>EW</w:t>
      </w:r>
      <w:r>
        <w:t>)</w:t>
      </w:r>
      <w:r w:rsidRPr="00123FD2">
        <w:t xml:space="preserve"> for </w:t>
      </w:r>
      <w:r>
        <w:t>hydraulic and matter t</w:t>
      </w:r>
      <w:r w:rsidRPr="00123FD2">
        <w:t xml:space="preserve">ransport </w:t>
      </w:r>
      <w:r>
        <w:t xml:space="preserve">questions </w:t>
      </w:r>
      <w:r w:rsidRPr="00123FD2">
        <w:t>is based on modelled data.</w:t>
      </w:r>
      <w:r>
        <w:t xml:space="preserve"> </w:t>
      </w:r>
      <w:bookmarkEnd w:id="553"/>
      <w:r>
        <w:t xml:space="preserve">Refer to the evaluation in respective indicator sections (Section </w:t>
      </w:r>
      <w:r>
        <w:fldChar w:fldCharType="begin"/>
      </w:r>
      <w:r>
        <w:instrText xml:space="preserve"> REF _Ref15904940 \r \h </w:instrText>
      </w:r>
      <w:r>
        <w:fldChar w:fldCharType="separate"/>
      </w:r>
      <w:r w:rsidR="00102828">
        <w:t>2</w:t>
      </w:r>
      <w:r>
        <w:fldChar w:fldCharType="end"/>
      </w:r>
      <w:r>
        <w:t>) for more detail.</w:t>
      </w:r>
      <w:bookmarkEnd w:id="554"/>
      <w:bookmarkEnd w:id="559"/>
      <w:bookmarkEnd w:id="560"/>
    </w:p>
    <w:p w14:paraId="571439D2" w14:textId="77777777" w:rsidR="00D06348" w:rsidRPr="003F3345" w:rsidRDefault="00D06348" w:rsidP="00D06348">
      <w:pPr>
        <w:spacing w:before="40" w:after="40" w:line="240" w:lineRule="auto"/>
        <w:jc w:val="left"/>
        <w:rPr>
          <w:b/>
          <w:bCs/>
          <w:i/>
          <w:iCs/>
          <w:color w:val="auto"/>
          <w:kern w:val="0"/>
          <w:szCs w:val="21"/>
          <w:lang w:val="en-US" w:bidi="en-US"/>
        </w:rPr>
      </w:pPr>
      <w:r w:rsidRPr="003F3345">
        <w:rPr>
          <w:b/>
          <w:bCs/>
          <w:i/>
          <w:iCs/>
          <w:color w:val="auto"/>
          <w:kern w:val="0"/>
          <w:szCs w:val="21"/>
          <w:lang w:val="en-US" w:bidi="en-US"/>
        </w:rPr>
        <w:t>Lower Murray River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le of CEWH evaluation questions by indicators for the Lower Murray, which includes the Lower Murray River, Coorong, Lower Lakes and Murray Mouth. "/>
      </w:tblPr>
      <w:tblGrid>
        <w:gridCol w:w="5558"/>
        <w:gridCol w:w="347"/>
        <w:gridCol w:w="346"/>
        <w:gridCol w:w="348"/>
        <w:gridCol w:w="352"/>
        <w:gridCol w:w="348"/>
        <w:gridCol w:w="344"/>
        <w:gridCol w:w="344"/>
        <w:gridCol w:w="344"/>
        <w:gridCol w:w="344"/>
        <w:gridCol w:w="341"/>
      </w:tblGrid>
      <w:tr w:rsidR="00D06348" w:rsidRPr="004561A6" w14:paraId="7AA1BA51" w14:textId="77777777" w:rsidTr="00B876BA">
        <w:trPr>
          <w:cantSplit/>
          <w:trHeight w:val="737"/>
          <w:tblHeader/>
        </w:trPr>
        <w:tc>
          <w:tcPr>
            <w:tcW w:w="3082" w:type="pct"/>
            <w:tcBorders>
              <w:top w:val="single" w:sz="4" w:space="0" w:color="auto"/>
              <w:left w:val="single" w:sz="4" w:space="0" w:color="auto"/>
              <w:right w:val="single" w:sz="4" w:space="0" w:color="auto"/>
            </w:tcBorders>
            <w:vAlign w:val="center"/>
          </w:tcPr>
          <w:p w14:paraId="3DFB1930" w14:textId="77777777" w:rsidR="00D06348" w:rsidRPr="004561A6" w:rsidRDefault="00D06348" w:rsidP="00D57552">
            <w:pPr>
              <w:spacing w:before="60" w:after="60" w:line="240" w:lineRule="auto"/>
              <w:contextualSpacing/>
              <w:jc w:val="center"/>
              <w:rPr>
                <w:rFonts w:cs="Arial"/>
                <w:b/>
                <w:sz w:val="18"/>
                <w:szCs w:val="18"/>
              </w:rPr>
            </w:pPr>
            <w:r>
              <w:rPr>
                <w:rFonts w:cs="Arial"/>
                <w:b/>
                <w:sz w:val="18"/>
                <w:szCs w:val="18"/>
              </w:rPr>
              <w:t>CEWH</w:t>
            </w:r>
            <w:r w:rsidRPr="004561A6">
              <w:rPr>
                <w:rFonts w:cs="Arial"/>
                <w:b/>
                <w:sz w:val="18"/>
                <w:szCs w:val="18"/>
              </w:rPr>
              <w:t xml:space="preserve"> evaluation questions </w:t>
            </w:r>
          </w:p>
        </w:tc>
        <w:tc>
          <w:tcPr>
            <w:tcW w:w="192" w:type="pct"/>
            <w:tcBorders>
              <w:top w:val="single" w:sz="4" w:space="0" w:color="auto"/>
              <w:left w:val="single" w:sz="4" w:space="0" w:color="auto"/>
              <w:right w:val="single" w:sz="4" w:space="0" w:color="auto"/>
            </w:tcBorders>
            <w:textDirection w:val="btLr"/>
          </w:tcPr>
          <w:p w14:paraId="65020F7E" w14:textId="77777777" w:rsidR="00D06348" w:rsidRPr="004561A6" w:rsidRDefault="00D06348" w:rsidP="00D57552">
            <w:pPr>
              <w:spacing w:before="0" w:after="0" w:line="240" w:lineRule="auto"/>
              <w:contextualSpacing/>
              <w:jc w:val="center"/>
              <w:rPr>
                <w:rFonts w:cs="Arial"/>
                <w:b/>
                <w:sz w:val="18"/>
                <w:szCs w:val="18"/>
              </w:rPr>
            </w:pPr>
            <w:r w:rsidRPr="004561A6">
              <w:rPr>
                <w:rFonts w:cs="Arial"/>
                <w:b/>
                <w:sz w:val="18"/>
                <w:szCs w:val="18"/>
              </w:rPr>
              <w:t>14-15</w:t>
            </w:r>
          </w:p>
        </w:tc>
        <w:tc>
          <w:tcPr>
            <w:tcW w:w="192" w:type="pct"/>
            <w:tcBorders>
              <w:top w:val="single" w:sz="4" w:space="0" w:color="auto"/>
              <w:left w:val="single" w:sz="4" w:space="0" w:color="auto"/>
              <w:right w:val="single" w:sz="4" w:space="0" w:color="auto"/>
            </w:tcBorders>
            <w:textDirection w:val="btLr"/>
          </w:tcPr>
          <w:p w14:paraId="1B193270" w14:textId="77777777" w:rsidR="00D06348" w:rsidRPr="004561A6" w:rsidRDefault="00D06348" w:rsidP="00D57552">
            <w:pPr>
              <w:spacing w:before="0" w:after="0" w:line="240" w:lineRule="auto"/>
              <w:contextualSpacing/>
              <w:jc w:val="center"/>
              <w:rPr>
                <w:rFonts w:cs="Arial"/>
                <w:b/>
                <w:sz w:val="18"/>
                <w:szCs w:val="18"/>
              </w:rPr>
            </w:pPr>
            <w:r w:rsidRPr="004561A6">
              <w:rPr>
                <w:rFonts w:cs="Arial"/>
                <w:b/>
                <w:sz w:val="18"/>
                <w:szCs w:val="18"/>
              </w:rPr>
              <w:t>15-16</w:t>
            </w:r>
          </w:p>
        </w:tc>
        <w:tc>
          <w:tcPr>
            <w:tcW w:w="193" w:type="pct"/>
            <w:tcBorders>
              <w:top w:val="single" w:sz="4" w:space="0" w:color="auto"/>
              <w:left w:val="single" w:sz="4" w:space="0" w:color="auto"/>
              <w:right w:val="single" w:sz="4" w:space="0" w:color="auto"/>
            </w:tcBorders>
            <w:textDirection w:val="btLr"/>
          </w:tcPr>
          <w:p w14:paraId="30B0A81D" w14:textId="77777777" w:rsidR="00D06348" w:rsidRPr="004561A6" w:rsidRDefault="00D06348" w:rsidP="00D57552">
            <w:pPr>
              <w:spacing w:before="0" w:after="0" w:line="240" w:lineRule="auto"/>
              <w:contextualSpacing/>
              <w:jc w:val="center"/>
              <w:rPr>
                <w:rFonts w:cs="Arial"/>
                <w:b/>
                <w:sz w:val="18"/>
                <w:szCs w:val="18"/>
              </w:rPr>
            </w:pPr>
            <w:r w:rsidRPr="004561A6">
              <w:rPr>
                <w:rFonts w:cs="Arial"/>
                <w:b/>
                <w:sz w:val="18"/>
                <w:szCs w:val="18"/>
              </w:rPr>
              <w:t>16-17</w:t>
            </w:r>
          </w:p>
        </w:tc>
        <w:tc>
          <w:tcPr>
            <w:tcW w:w="195" w:type="pct"/>
            <w:tcBorders>
              <w:top w:val="single" w:sz="4" w:space="0" w:color="auto"/>
              <w:left w:val="single" w:sz="4" w:space="0" w:color="auto"/>
              <w:right w:val="single" w:sz="4" w:space="0" w:color="auto"/>
            </w:tcBorders>
            <w:textDirection w:val="btLr"/>
          </w:tcPr>
          <w:p w14:paraId="042E2792" w14:textId="77777777" w:rsidR="00D06348" w:rsidRPr="004561A6" w:rsidRDefault="00D06348" w:rsidP="00D57552">
            <w:pPr>
              <w:spacing w:before="0" w:after="0" w:line="240" w:lineRule="auto"/>
              <w:contextualSpacing/>
              <w:jc w:val="center"/>
              <w:rPr>
                <w:rFonts w:cs="Arial"/>
                <w:b/>
                <w:sz w:val="18"/>
                <w:szCs w:val="18"/>
              </w:rPr>
            </w:pPr>
            <w:r w:rsidRPr="004561A6">
              <w:rPr>
                <w:rFonts w:cs="Arial"/>
                <w:b/>
                <w:sz w:val="18"/>
                <w:szCs w:val="18"/>
              </w:rPr>
              <w:t>17-18</w:t>
            </w:r>
          </w:p>
        </w:tc>
        <w:tc>
          <w:tcPr>
            <w:tcW w:w="193" w:type="pct"/>
            <w:tcBorders>
              <w:top w:val="single" w:sz="4" w:space="0" w:color="auto"/>
              <w:left w:val="single" w:sz="4" w:space="0" w:color="auto"/>
              <w:right w:val="single" w:sz="4" w:space="0" w:color="auto"/>
            </w:tcBorders>
            <w:textDirection w:val="btLr"/>
          </w:tcPr>
          <w:p w14:paraId="79B0C701" w14:textId="77777777" w:rsidR="00D06348" w:rsidRPr="004561A6" w:rsidRDefault="00D06348" w:rsidP="00D57552">
            <w:pPr>
              <w:spacing w:before="0" w:after="0" w:line="240" w:lineRule="auto"/>
              <w:contextualSpacing/>
              <w:jc w:val="center"/>
              <w:rPr>
                <w:rFonts w:cs="Arial"/>
                <w:b/>
                <w:sz w:val="18"/>
                <w:szCs w:val="18"/>
              </w:rPr>
            </w:pPr>
            <w:r w:rsidRPr="004561A6">
              <w:rPr>
                <w:rFonts w:cs="Arial"/>
                <w:b/>
                <w:sz w:val="18"/>
                <w:szCs w:val="18"/>
              </w:rPr>
              <w:t>18-19</w:t>
            </w:r>
          </w:p>
        </w:tc>
        <w:tc>
          <w:tcPr>
            <w:tcW w:w="191" w:type="pct"/>
            <w:tcBorders>
              <w:top w:val="single" w:sz="4" w:space="0" w:color="auto"/>
              <w:left w:val="single" w:sz="4" w:space="0" w:color="auto"/>
              <w:right w:val="single" w:sz="4" w:space="0" w:color="auto"/>
            </w:tcBorders>
            <w:textDirection w:val="btLr"/>
          </w:tcPr>
          <w:p w14:paraId="0DCF6FB2" w14:textId="77777777" w:rsidR="00D06348" w:rsidRPr="004561A6" w:rsidRDefault="00D06348" w:rsidP="00D57552">
            <w:pPr>
              <w:spacing w:before="0" w:after="0" w:line="240" w:lineRule="auto"/>
              <w:contextualSpacing/>
              <w:jc w:val="center"/>
              <w:rPr>
                <w:rFonts w:cs="Arial"/>
                <w:b/>
                <w:sz w:val="18"/>
                <w:szCs w:val="18"/>
              </w:rPr>
            </w:pPr>
            <w:r w:rsidRPr="004561A6">
              <w:rPr>
                <w:rFonts w:cs="Arial"/>
                <w:b/>
                <w:sz w:val="18"/>
                <w:szCs w:val="18"/>
              </w:rPr>
              <w:t>19-20</w:t>
            </w:r>
          </w:p>
        </w:tc>
        <w:tc>
          <w:tcPr>
            <w:tcW w:w="191" w:type="pct"/>
            <w:tcBorders>
              <w:top w:val="single" w:sz="4" w:space="0" w:color="auto"/>
              <w:left w:val="single" w:sz="4" w:space="0" w:color="auto"/>
              <w:right w:val="single" w:sz="4" w:space="0" w:color="auto"/>
            </w:tcBorders>
            <w:textDirection w:val="btLr"/>
          </w:tcPr>
          <w:p w14:paraId="69FCBCBA" w14:textId="77777777" w:rsidR="00D06348" w:rsidRPr="004561A6" w:rsidRDefault="00D06348" w:rsidP="00D57552">
            <w:pPr>
              <w:spacing w:before="0" w:after="0" w:line="240" w:lineRule="auto"/>
              <w:contextualSpacing/>
              <w:jc w:val="center"/>
              <w:rPr>
                <w:rFonts w:cs="Arial"/>
                <w:b/>
                <w:sz w:val="18"/>
                <w:szCs w:val="18"/>
              </w:rPr>
            </w:pPr>
            <w:r w:rsidRPr="004561A6">
              <w:rPr>
                <w:rFonts w:cs="Arial"/>
                <w:b/>
                <w:sz w:val="18"/>
                <w:szCs w:val="18"/>
              </w:rPr>
              <w:t>20-21</w:t>
            </w:r>
          </w:p>
        </w:tc>
        <w:tc>
          <w:tcPr>
            <w:tcW w:w="191" w:type="pct"/>
            <w:tcBorders>
              <w:top w:val="single" w:sz="4" w:space="0" w:color="auto"/>
              <w:left w:val="single" w:sz="4" w:space="0" w:color="auto"/>
              <w:right w:val="single" w:sz="4" w:space="0" w:color="auto"/>
            </w:tcBorders>
            <w:textDirection w:val="btLr"/>
          </w:tcPr>
          <w:p w14:paraId="1FE12D33" w14:textId="77777777" w:rsidR="00D06348" w:rsidRPr="004561A6" w:rsidRDefault="00D06348" w:rsidP="00D57552">
            <w:pPr>
              <w:spacing w:before="0" w:after="0" w:line="240" w:lineRule="auto"/>
              <w:contextualSpacing/>
              <w:jc w:val="center"/>
              <w:rPr>
                <w:rFonts w:cs="Arial"/>
                <w:b/>
                <w:sz w:val="18"/>
                <w:szCs w:val="18"/>
              </w:rPr>
            </w:pPr>
            <w:r w:rsidRPr="004561A6">
              <w:rPr>
                <w:rFonts w:cs="Arial"/>
                <w:b/>
                <w:sz w:val="18"/>
                <w:szCs w:val="18"/>
              </w:rPr>
              <w:t>21-22</w:t>
            </w:r>
          </w:p>
        </w:tc>
        <w:tc>
          <w:tcPr>
            <w:tcW w:w="191" w:type="pct"/>
            <w:tcBorders>
              <w:top w:val="single" w:sz="4" w:space="0" w:color="auto"/>
              <w:left w:val="single" w:sz="4" w:space="0" w:color="auto"/>
              <w:right w:val="single" w:sz="4" w:space="0" w:color="auto"/>
            </w:tcBorders>
            <w:textDirection w:val="btLr"/>
          </w:tcPr>
          <w:p w14:paraId="1C8FBA26" w14:textId="77777777" w:rsidR="00D06348" w:rsidRPr="004561A6" w:rsidRDefault="00D06348" w:rsidP="00D57552">
            <w:pPr>
              <w:spacing w:before="0" w:after="0" w:line="240" w:lineRule="auto"/>
              <w:contextualSpacing/>
              <w:jc w:val="center"/>
              <w:rPr>
                <w:rFonts w:cs="Arial"/>
                <w:b/>
                <w:sz w:val="18"/>
                <w:szCs w:val="18"/>
              </w:rPr>
            </w:pPr>
            <w:r w:rsidRPr="005E0213">
              <w:rPr>
                <w:rFonts w:cs="Arial"/>
                <w:b/>
                <w:sz w:val="18"/>
                <w:szCs w:val="18"/>
              </w:rPr>
              <w:t>22-23</w:t>
            </w:r>
          </w:p>
        </w:tc>
        <w:tc>
          <w:tcPr>
            <w:tcW w:w="190" w:type="pct"/>
            <w:tcBorders>
              <w:top w:val="single" w:sz="4" w:space="0" w:color="auto"/>
              <w:left w:val="single" w:sz="4" w:space="0" w:color="auto"/>
              <w:right w:val="single" w:sz="4" w:space="0" w:color="auto"/>
            </w:tcBorders>
            <w:textDirection w:val="btLr"/>
          </w:tcPr>
          <w:p w14:paraId="50E4F542" w14:textId="77777777" w:rsidR="00D06348" w:rsidRPr="004561A6" w:rsidRDefault="00D06348" w:rsidP="00D57552">
            <w:pPr>
              <w:spacing w:before="0" w:after="0" w:line="240" w:lineRule="auto"/>
              <w:contextualSpacing/>
              <w:jc w:val="center"/>
              <w:rPr>
                <w:rFonts w:cs="Arial"/>
                <w:b/>
                <w:sz w:val="18"/>
                <w:szCs w:val="18"/>
              </w:rPr>
            </w:pPr>
            <w:r w:rsidRPr="00651A50">
              <w:rPr>
                <w:rFonts w:cs="Arial"/>
                <w:b/>
                <w:sz w:val="18"/>
                <w:szCs w:val="18"/>
              </w:rPr>
              <w:t>23-24</w:t>
            </w:r>
          </w:p>
        </w:tc>
      </w:tr>
      <w:tr w:rsidR="00D06348" w:rsidRPr="004561A6" w14:paraId="1B363B9C" w14:textId="77777777" w:rsidTr="00B876BA">
        <w:trPr>
          <w:cantSplit/>
          <w:trHeight w:val="255"/>
        </w:trPr>
        <w:tc>
          <w:tcPr>
            <w:tcW w:w="3082" w:type="pct"/>
            <w:tcBorders>
              <w:top w:val="single" w:sz="4" w:space="0" w:color="auto"/>
              <w:left w:val="single" w:sz="4" w:space="0" w:color="auto"/>
              <w:right w:val="single" w:sz="4" w:space="0" w:color="auto"/>
            </w:tcBorders>
            <w:vAlign w:val="center"/>
          </w:tcPr>
          <w:p w14:paraId="2975B15C" w14:textId="77777777" w:rsidR="00D06348" w:rsidRPr="004561A6" w:rsidRDefault="00D06348" w:rsidP="00D57552">
            <w:pPr>
              <w:spacing w:before="60" w:after="60" w:line="240" w:lineRule="auto"/>
              <w:contextualSpacing/>
              <w:jc w:val="left"/>
              <w:rPr>
                <w:rFonts w:cs="Arial"/>
                <w:sz w:val="18"/>
                <w:szCs w:val="18"/>
              </w:rPr>
            </w:pPr>
            <w:r w:rsidRPr="004561A6">
              <w:rPr>
                <w:rFonts w:cs="Arial"/>
                <w:sz w:val="18"/>
                <w:szCs w:val="18"/>
              </w:rPr>
              <w:t>What did CEW contribute to hydraulic diversity within weir pools?</w:t>
            </w:r>
          </w:p>
        </w:tc>
        <w:tc>
          <w:tcPr>
            <w:tcW w:w="192"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2321DAAF" w14:textId="77777777" w:rsidR="00D06348" w:rsidRPr="004561A6" w:rsidRDefault="00D06348" w:rsidP="00D57552">
            <w:pPr>
              <w:spacing w:before="60" w:after="60" w:line="240" w:lineRule="auto"/>
              <w:contextualSpacing/>
              <w:jc w:val="center"/>
              <w:rPr>
                <w:rFonts w:cs="Arial"/>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4CF3141" w14:textId="77777777" w:rsidR="00D06348" w:rsidRPr="004561A6" w:rsidRDefault="00D06348" w:rsidP="00D57552">
            <w:pPr>
              <w:spacing w:before="60" w:after="60" w:line="240" w:lineRule="auto"/>
              <w:contextualSpacing/>
              <w:jc w:val="center"/>
              <w:rPr>
                <w:rFonts w:cs="Arial"/>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BA187F7" w14:textId="77777777" w:rsidR="00D06348" w:rsidRPr="004561A6" w:rsidRDefault="00D06348" w:rsidP="00D57552">
            <w:pPr>
              <w:spacing w:before="60" w:after="60" w:line="240" w:lineRule="auto"/>
              <w:contextualSpacing/>
              <w:jc w:val="center"/>
              <w:rPr>
                <w:rFonts w:cs="Arial"/>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EEA0A82" w14:textId="77777777" w:rsidR="00D06348" w:rsidRPr="004561A6" w:rsidRDefault="00D06348" w:rsidP="00D57552">
            <w:pPr>
              <w:spacing w:before="60" w:after="60" w:line="240" w:lineRule="auto"/>
              <w:contextualSpacing/>
              <w:jc w:val="center"/>
              <w:rPr>
                <w:rFonts w:cs="Arial"/>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3A22020" w14:textId="77777777" w:rsidR="00D06348" w:rsidRPr="004561A6" w:rsidRDefault="00D06348" w:rsidP="00D57552">
            <w:pPr>
              <w:spacing w:before="60" w:after="60" w:line="240" w:lineRule="auto"/>
              <w:contextualSpacing/>
              <w:jc w:val="center"/>
              <w:rPr>
                <w:rFonts w:cs="Arial"/>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DB7520E" w14:textId="77777777" w:rsidR="00D06348" w:rsidRPr="004561A6" w:rsidRDefault="00D06348" w:rsidP="00D57552">
            <w:pPr>
              <w:spacing w:before="60" w:after="60" w:line="240" w:lineRule="auto"/>
              <w:contextualSpacing/>
              <w:jc w:val="center"/>
              <w:rPr>
                <w:rFonts w:cs="Arial"/>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CD3A240" w14:textId="77777777" w:rsidR="00D06348" w:rsidRPr="004561A6" w:rsidRDefault="00D06348" w:rsidP="00D57552">
            <w:pPr>
              <w:spacing w:before="60" w:after="60" w:line="240" w:lineRule="auto"/>
              <w:contextualSpacing/>
              <w:jc w:val="center"/>
              <w:rPr>
                <w:rFonts w:cs="Arial"/>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0E044FD0" w14:textId="77777777" w:rsidR="00D06348" w:rsidRPr="004561A6" w:rsidRDefault="00D06348" w:rsidP="00D57552">
            <w:pPr>
              <w:spacing w:before="60" w:after="60" w:line="240" w:lineRule="auto"/>
              <w:contextualSpacing/>
              <w:jc w:val="center"/>
              <w:rPr>
                <w:rFonts w:cs="Arial"/>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769B07" w14:textId="77777777" w:rsidR="00D06348" w:rsidRPr="004561A6" w:rsidRDefault="00D06348" w:rsidP="00D57552">
            <w:pPr>
              <w:spacing w:before="60" w:after="60" w:line="240" w:lineRule="auto"/>
              <w:contextualSpacing/>
              <w:jc w:val="center"/>
              <w:rPr>
                <w:rFonts w:cs="Arial"/>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F264BCA" w14:textId="77777777" w:rsidR="00D06348" w:rsidRPr="004561A6" w:rsidRDefault="00D06348" w:rsidP="00D57552">
            <w:pPr>
              <w:spacing w:before="60" w:after="60" w:line="240" w:lineRule="auto"/>
              <w:contextualSpacing/>
              <w:jc w:val="center"/>
              <w:rPr>
                <w:rFonts w:cs="Arial"/>
                <w:sz w:val="18"/>
                <w:szCs w:val="18"/>
              </w:rPr>
            </w:pPr>
          </w:p>
        </w:tc>
      </w:tr>
      <w:tr w:rsidR="00D06348" w:rsidRPr="004561A6" w14:paraId="5AA61175" w14:textId="77777777" w:rsidTr="00B876BA">
        <w:trPr>
          <w:cantSplit/>
          <w:trHeight w:val="255"/>
        </w:trPr>
        <w:tc>
          <w:tcPr>
            <w:tcW w:w="3082" w:type="pct"/>
            <w:tcBorders>
              <w:top w:val="single" w:sz="4" w:space="0" w:color="auto"/>
              <w:left w:val="single" w:sz="4" w:space="0" w:color="auto"/>
              <w:right w:val="single" w:sz="4" w:space="0" w:color="auto"/>
            </w:tcBorders>
            <w:vAlign w:val="center"/>
          </w:tcPr>
          <w:p w14:paraId="0A997E22" w14:textId="77777777" w:rsidR="00D06348" w:rsidRPr="004561A6" w:rsidRDefault="00D06348" w:rsidP="00D57552">
            <w:pPr>
              <w:spacing w:before="60" w:after="60" w:line="240" w:lineRule="auto"/>
              <w:contextualSpacing/>
              <w:jc w:val="left"/>
              <w:rPr>
                <w:sz w:val="18"/>
                <w:szCs w:val="18"/>
              </w:rPr>
            </w:pPr>
            <w:r w:rsidRPr="004561A6">
              <w:rPr>
                <w:sz w:val="18"/>
                <w:szCs w:val="18"/>
              </w:rPr>
              <w:t>What did CEW contribute to variability in water levels within weir pools?</w:t>
            </w:r>
          </w:p>
        </w:tc>
        <w:tc>
          <w:tcPr>
            <w:tcW w:w="192" w:type="pct"/>
            <w:tcBorders>
              <w:top w:val="single" w:sz="4" w:space="0" w:color="auto"/>
              <w:left w:val="single" w:sz="4" w:space="0" w:color="auto"/>
              <w:right w:val="single" w:sz="4" w:space="0" w:color="auto"/>
            </w:tcBorders>
            <w:shd w:val="clear" w:color="auto" w:fill="A8D08D" w:themeFill="accent6" w:themeFillTint="99"/>
            <w:vAlign w:val="center"/>
          </w:tcPr>
          <w:p w14:paraId="3D888324"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91BDD09"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CFB7DC1"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7144CFF"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0DAC474"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23AF6C9C"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1BE667AD"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1242ADE"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38D6A62"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336DC16" w14:textId="77777777" w:rsidR="00D06348" w:rsidRPr="004561A6" w:rsidRDefault="00D06348" w:rsidP="00D57552">
            <w:pPr>
              <w:spacing w:before="60" w:after="60" w:line="240" w:lineRule="auto"/>
              <w:contextualSpacing/>
              <w:jc w:val="center"/>
              <w:rPr>
                <w:sz w:val="18"/>
                <w:szCs w:val="18"/>
              </w:rPr>
            </w:pPr>
          </w:p>
        </w:tc>
      </w:tr>
      <w:tr w:rsidR="00D06348" w:rsidRPr="004561A6" w14:paraId="015F6304" w14:textId="77777777" w:rsidTr="00B876BA">
        <w:trPr>
          <w:cantSplit/>
          <w:trHeight w:val="255"/>
        </w:trPr>
        <w:tc>
          <w:tcPr>
            <w:tcW w:w="3082" w:type="pct"/>
            <w:vMerge w:val="restart"/>
            <w:tcBorders>
              <w:top w:val="single" w:sz="4" w:space="0" w:color="auto"/>
              <w:left w:val="single" w:sz="4" w:space="0" w:color="auto"/>
              <w:right w:val="single" w:sz="4" w:space="0" w:color="auto"/>
            </w:tcBorders>
            <w:vAlign w:val="center"/>
          </w:tcPr>
          <w:p w14:paraId="2FF88AB3" w14:textId="77777777" w:rsidR="00D06348" w:rsidRPr="004561A6" w:rsidRDefault="00D06348" w:rsidP="00D57552">
            <w:pPr>
              <w:spacing w:before="60" w:after="60" w:line="240" w:lineRule="auto"/>
              <w:contextualSpacing/>
              <w:jc w:val="left"/>
              <w:rPr>
                <w:sz w:val="18"/>
                <w:szCs w:val="18"/>
              </w:rPr>
            </w:pPr>
            <w:r w:rsidRPr="004C4358">
              <w:rPr>
                <w:sz w:val="18"/>
                <w:szCs w:val="18"/>
              </w:rPr>
              <w:t>What did CEW contribute to hydrological connectivity?</w:t>
            </w:r>
          </w:p>
        </w:tc>
        <w:tc>
          <w:tcPr>
            <w:tcW w:w="192"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CEDBCA8"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76B6BBE"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F115BD2"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7FC749D"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B125F1B"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AD7983B"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BF7C802"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BC0AD86"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9CDBB61"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149A5FF1" w14:textId="77777777" w:rsidR="00D06348" w:rsidRPr="004561A6" w:rsidRDefault="00D06348" w:rsidP="00D57552">
            <w:pPr>
              <w:spacing w:before="60" w:after="60" w:line="240" w:lineRule="auto"/>
              <w:contextualSpacing/>
              <w:jc w:val="center"/>
              <w:rPr>
                <w:sz w:val="18"/>
                <w:szCs w:val="18"/>
              </w:rPr>
            </w:pPr>
          </w:p>
        </w:tc>
      </w:tr>
      <w:tr w:rsidR="00D06348" w:rsidRPr="004561A6" w14:paraId="07269AC8" w14:textId="77777777" w:rsidTr="00B876BA">
        <w:trPr>
          <w:cantSplit/>
          <w:trHeight w:val="255"/>
        </w:trPr>
        <w:tc>
          <w:tcPr>
            <w:tcW w:w="3082" w:type="pct"/>
            <w:vMerge/>
            <w:tcBorders>
              <w:left w:val="single" w:sz="4" w:space="0" w:color="auto"/>
              <w:bottom w:val="single" w:sz="4" w:space="0" w:color="auto"/>
              <w:right w:val="single" w:sz="4" w:space="0" w:color="auto"/>
            </w:tcBorders>
            <w:vAlign w:val="center"/>
          </w:tcPr>
          <w:p w14:paraId="4366485A" w14:textId="77777777" w:rsidR="00D06348" w:rsidRPr="004561A6" w:rsidRDefault="00D06348" w:rsidP="00D57552">
            <w:pPr>
              <w:spacing w:before="60" w:after="60" w:line="240" w:lineRule="auto"/>
              <w:contextualSpacing/>
              <w:jc w:val="left"/>
              <w:rPr>
                <w:sz w:val="18"/>
                <w:szCs w:val="18"/>
              </w:rPr>
            </w:pPr>
          </w:p>
        </w:tc>
        <w:tc>
          <w:tcPr>
            <w:tcW w:w="192" w:type="pct"/>
            <w:tcBorders>
              <w:top w:val="single" w:sz="4" w:space="0" w:color="auto"/>
              <w:left w:val="single" w:sz="4" w:space="0" w:color="auto"/>
              <w:bottom w:val="single" w:sz="4" w:space="0" w:color="auto"/>
              <w:right w:val="nil"/>
            </w:tcBorders>
            <w:shd w:val="clear" w:color="auto" w:fill="A8D08D" w:themeFill="accent6" w:themeFillTint="99"/>
            <w:vAlign w:val="center"/>
          </w:tcPr>
          <w:p w14:paraId="45F26B81"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nil"/>
              <w:bottom w:val="single" w:sz="4" w:space="0" w:color="auto"/>
              <w:right w:val="nil"/>
            </w:tcBorders>
            <w:shd w:val="clear" w:color="auto" w:fill="A8D08D" w:themeFill="accent6" w:themeFillTint="99"/>
            <w:vAlign w:val="center"/>
          </w:tcPr>
          <w:p w14:paraId="00130BC2"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nil"/>
              <w:bottom w:val="single" w:sz="4" w:space="0" w:color="auto"/>
              <w:right w:val="nil"/>
            </w:tcBorders>
            <w:shd w:val="clear" w:color="auto" w:fill="A8D08D" w:themeFill="accent6" w:themeFillTint="99"/>
            <w:vAlign w:val="center"/>
          </w:tcPr>
          <w:p w14:paraId="75B6C76C"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nil"/>
              <w:bottom w:val="single" w:sz="4" w:space="0" w:color="auto"/>
              <w:right w:val="nil"/>
            </w:tcBorders>
            <w:shd w:val="clear" w:color="auto" w:fill="A8D08D" w:themeFill="accent6" w:themeFillTint="99"/>
            <w:vAlign w:val="center"/>
          </w:tcPr>
          <w:p w14:paraId="000D720D"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nil"/>
              <w:bottom w:val="single" w:sz="4" w:space="0" w:color="auto"/>
              <w:right w:val="nil"/>
            </w:tcBorders>
            <w:shd w:val="clear" w:color="auto" w:fill="A8D08D" w:themeFill="accent6" w:themeFillTint="99"/>
            <w:vAlign w:val="center"/>
          </w:tcPr>
          <w:p w14:paraId="1EDD088F"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A8D08D" w:themeFill="accent6" w:themeFillTint="99"/>
            <w:vAlign w:val="center"/>
          </w:tcPr>
          <w:p w14:paraId="209E1365"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A8D08D" w:themeFill="accent6" w:themeFillTint="99"/>
            <w:vAlign w:val="center"/>
          </w:tcPr>
          <w:p w14:paraId="6B5AC8B4"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A8D08D" w:themeFill="accent6" w:themeFillTint="99"/>
            <w:vAlign w:val="center"/>
          </w:tcPr>
          <w:p w14:paraId="14D29861"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A8D08D" w:themeFill="accent6" w:themeFillTint="99"/>
            <w:vAlign w:val="center"/>
          </w:tcPr>
          <w:p w14:paraId="6E2C85CC"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nil"/>
              <w:bottom w:val="single" w:sz="4" w:space="0" w:color="auto"/>
              <w:right w:val="single" w:sz="4" w:space="0" w:color="auto"/>
            </w:tcBorders>
            <w:shd w:val="clear" w:color="auto" w:fill="A8D08D" w:themeFill="accent6" w:themeFillTint="99"/>
            <w:vAlign w:val="center"/>
          </w:tcPr>
          <w:p w14:paraId="3D15C4AB" w14:textId="77777777" w:rsidR="00D06348" w:rsidRPr="004561A6" w:rsidRDefault="00D06348" w:rsidP="00D57552">
            <w:pPr>
              <w:spacing w:before="60" w:after="60" w:line="240" w:lineRule="auto"/>
              <w:contextualSpacing/>
              <w:jc w:val="center"/>
              <w:rPr>
                <w:sz w:val="18"/>
                <w:szCs w:val="18"/>
              </w:rPr>
            </w:pPr>
          </w:p>
        </w:tc>
      </w:tr>
      <w:tr w:rsidR="00D06348" w:rsidRPr="004561A6" w14:paraId="28E8121F" w14:textId="77777777" w:rsidTr="00B876BA">
        <w:trPr>
          <w:cantSplit/>
          <w:trHeight w:val="255"/>
        </w:trPr>
        <w:tc>
          <w:tcPr>
            <w:tcW w:w="3082" w:type="pct"/>
            <w:vMerge w:val="restart"/>
            <w:tcBorders>
              <w:top w:val="single" w:sz="4" w:space="0" w:color="auto"/>
              <w:left w:val="single" w:sz="4" w:space="0" w:color="auto"/>
              <w:right w:val="single" w:sz="4" w:space="0" w:color="auto"/>
            </w:tcBorders>
            <w:vAlign w:val="center"/>
          </w:tcPr>
          <w:p w14:paraId="6F0CA925" w14:textId="77777777" w:rsidR="00D06348" w:rsidRPr="004561A6" w:rsidRDefault="00D06348" w:rsidP="00D57552">
            <w:pPr>
              <w:spacing w:before="60" w:after="60" w:line="240" w:lineRule="auto"/>
              <w:contextualSpacing/>
              <w:jc w:val="left"/>
              <w:rPr>
                <w:sz w:val="18"/>
                <w:szCs w:val="18"/>
              </w:rPr>
            </w:pPr>
            <w:r w:rsidRPr="004561A6">
              <w:rPr>
                <w:sz w:val="18"/>
                <w:szCs w:val="18"/>
              </w:rPr>
              <w:t>What did CEW contribute to dissolved oxygen levels?</w:t>
            </w:r>
            <w:r>
              <w:rPr>
                <w:sz w:val="18"/>
                <w:szCs w:val="18"/>
              </w:rPr>
              <w:t xml:space="preserve"> </w:t>
            </w:r>
            <w:r w:rsidRPr="004561A6">
              <w:rPr>
                <w:rFonts w:cs="Arial"/>
                <w:color w:val="auto"/>
                <w:sz w:val="18"/>
                <w:szCs w:val="18"/>
                <w:vertAlign w:val="superscript"/>
              </w:rPr>
              <w:t>#</w:t>
            </w:r>
          </w:p>
        </w:tc>
        <w:tc>
          <w:tcPr>
            <w:tcW w:w="19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3C1DD03"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5BA2F7"/>
            <w:vAlign w:val="center"/>
          </w:tcPr>
          <w:p w14:paraId="4F489D92"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FD1CFF1"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5BA2F7"/>
            <w:vAlign w:val="center"/>
          </w:tcPr>
          <w:p w14:paraId="1F232B97"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34C0DEF"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7BF47A4"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5BA2F7"/>
            <w:vAlign w:val="center"/>
          </w:tcPr>
          <w:p w14:paraId="402C32CC"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A59C3D"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E67D216"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FF36EA2" w14:textId="77777777" w:rsidR="00D06348" w:rsidRPr="004561A6" w:rsidRDefault="00D06348" w:rsidP="00D57552">
            <w:pPr>
              <w:spacing w:before="60" w:after="60" w:line="240" w:lineRule="auto"/>
              <w:contextualSpacing/>
              <w:jc w:val="center"/>
              <w:rPr>
                <w:sz w:val="18"/>
                <w:szCs w:val="18"/>
              </w:rPr>
            </w:pPr>
          </w:p>
        </w:tc>
      </w:tr>
      <w:tr w:rsidR="003F509B" w:rsidRPr="004561A6" w14:paraId="2BDAB669" w14:textId="77777777" w:rsidTr="00B876BA">
        <w:trPr>
          <w:cantSplit/>
          <w:trHeight w:val="255"/>
        </w:trPr>
        <w:tc>
          <w:tcPr>
            <w:tcW w:w="3082" w:type="pct"/>
            <w:vMerge/>
            <w:tcBorders>
              <w:left w:val="single" w:sz="4" w:space="0" w:color="auto"/>
              <w:bottom w:val="single" w:sz="4" w:space="0" w:color="auto"/>
              <w:right w:val="single" w:sz="4" w:space="0" w:color="auto"/>
            </w:tcBorders>
            <w:vAlign w:val="center"/>
          </w:tcPr>
          <w:p w14:paraId="6A0BFDDC" w14:textId="77777777" w:rsidR="00D06348" w:rsidRPr="004561A6" w:rsidRDefault="00D06348" w:rsidP="00D57552">
            <w:pPr>
              <w:spacing w:before="60" w:after="60" w:line="240" w:lineRule="auto"/>
              <w:contextualSpacing/>
              <w:jc w:val="left"/>
              <w:rPr>
                <w:sz w:val="18"/>
                <w:szCs w:val="18"/>
              </w:rPr>
            </w:pPr>
          </w:p>
        </w:tc>
        <w:tc>
          <w:tcPr>
            <w:tcW w:w="192" w:type="pct"/>
            <w:tcBorders>
              <w:top w:val="single" w:sz="4" w:space="0" w:color="auto"/>
              <w:left w:val="single" w:sz="4" w:space="0" w:color="auto"/>
              <w:bottom w:val="single" w:sz="4" w:space="0" w:color="auto"/>
              <w:right w:val="nil"/>
            </w:tcBorders>
            <w:shd w:val="clear" w:color="auto" w:fill="70AD47" w:themeFill="accent6"/>
            <w:vAlign w:val="center"/>
          </w:tcPr>
          <w:p w14:paraId="6916CF84"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nil"/>
              <w:bottom w:val="single" w:sz="4" w:space="0" w:color="auto"/>
              <w:right w:val="nil"/>
            </w:tcBorders>
            <w:shd w:val="clear" w:color="auto" w:fill="70AD47" w:themeFill="accent6"/>
            <w:vAlign w:val="center"/>
          </w:tcPr>
          <w:p w14:paraId="2B23D8B1"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nil"/>
              <w:bottom w:val="single" w:sz="4" w:space="0" w:color="auto"/>
              <w:right w:val="nil"/>
            </w:tcBorders>
            <w:shd w:val="clear" w:color="auto" w:fill="70AD47" w:themeFill="accent6"/>
            <w:vAlign w:val="center"/>
          </w:tcPr>
          <w:p w14:paraId="193CBAB2"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nil"/>
              <w:bottom w:val="single" w:sz="4" w:space="0" w:color="auto"/>
              <w:right w:val="nil"/>
            </w:tcBorders>
            <w:shd w:val="clear" w:color="auto" w:fill="70AD47" w:themeFill="accent6"/>
            <w:vAlign w:val="center"/>
          </w:tcPr>
          <w:p w14:paraId="49D30193"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nil"/>
              <w:bottom w:val="single" w:sz="4" w:space="0" w:color="auto"/>
              <w:right w:val="nil"/>
            </w:tcBorders>
            <w:shd w:val="clear" w:color="auto" w:fill="70AD47" w:themeFill="accent6"/>
            <w:vAlign w:val="center"/>
          </w:tcPr>
          <w:p w14:paraId="3EF0461C"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70AD47" w:themeFill="accent6"/>
            <w:vAlign w:val="center"/>
          </w:tcPr>
          <w:p w14:paraId="22BE749E"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70AD47" w:themeFill="accent6"/>
            <w:vAlign w:val="center"/>
          </w:tcPr>
          <w:p w14:paraId="7F8CA012"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70AD47" w:themeFill="accent6"/>
            <w:vAlign w:val="center"/>
          </w:tcPr>
          <w:p w14:paraId="50E5C81A"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70AD47" w:themeFill="accent6"/>
            <w:vAlign w:val="center"/>
          </w:tcPr>
          <w:p w14:paraId="1A3A6723"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nil"/>
              <w:bottom w:val="single" w:sz="4" w:space="0" w:color="auto"/>
              <w:right w:val="single" w:sz="4" w:space="0" w:color="auto"/>
            </w:tcBorders>
            <w:shd w:val="clear" w:color="auto" w:fill="70AD47" w:themeFill="accent6"/>
            <w:vAlign w:val="center"/>
          </w:tcPr>
          <w:p w14:paraId="4D936D73" w14:textId="77777777" w:rsidR="00D06348" w:rsidRPr="004561A6" w:rsidRDefault="00D06348" w:rsidP="00D57552">
            <w:pPr>
              <w:spacing w:before="60" w:after="60" w:line="240" w:lineRule="auto"/>
              <w:contextualSpacing/>
              <w:jc w:val="center"/>
              <w:rPr>
                <w:sz w:val="18"/>
                <w:szCs w:val="18"/>
              </w:rPr>
            </w:pPr>
          </w:p>
        </w:tc>
      </w:tr>
      <w:tr w:rsidR="00D06348" w:rsidRPr="004561A6" w14:paraId="537754CB" w14:textId="77777777" w:rsidTr="00B876BA">
        <w:trPr>
          <w:cantSplit/>
          <w:trHeight w:val="255"/>
        </w:trPr>
        <w:tc>
          <w:tcPr>
            <w:tcW w:w="3082" w:type="pct"/>
            <w:vMerge w:val="restart"/>
            <w:tcBorders>
              <w:top w:val="single" w:sz="4" w:space="0" w:color="auto"/>
              <w:left w:val="single" w:sz="4" w:space="0" w:color="auto"/>
              <w:right w:val="single" w:sz="4" w:space="0" w:color="auto"/>
            </w:tcBorders>
            <w:vAlign w:val="center"/>
          </w:tcPr>
          <w:p w14:paraId="0094A7A0" w14:textId="77777777" w:rsidR="00D06348" w:rsidRPr="004561A6" w:rsidRDefault="00D06348" w:rsidP="00D57552">
            <w:pPr>
              <w:spacing w:before="60" w:after="60" w:line="240" w:lineRule="auto"/>
              <w:contextualSpacing/>
              <w:jc w:val="left"/>
              <w:rPr>
                <w:sz w:val="18"/>
                <w:szCs w:val="18"/>
              </w:rPr>
            </w:pPr>
            <w:r w:rsidRPr="004561A6">
              <w:rPr>
                <w:sz w:val="18"/>
                <w:szCs w:val="18"/>
              </w:rPr>
              <w:t>What did CEW contribute to patterns and rates of primary productivity?</w:t>
            </w:r>
            <w:r w:rsidRPr="004561A6">
              <w:rPr>
                <w:rFonts w:cs="Arial"/>
                <w:sz w:val="18"/>
                <w:szCs w:val="18"/>
              </w:rPr>
              <w:t xml:space="preserve"> </w:t>
            </w:r>
            <w:r w:rsidRPr="004561A6">
              <w:rPr>
                <w:rFonts w:cs="Arial"/>
                <w:color w:val="auto"/>
                <w:sz w:val="18"/>
                <w:szCs w:val="18"/>
                <w:vertAlign w:val="superscript"/>
              </w:rPr>
              <w:t>#</w:t>
            </w:r>
          </w:p>
        </w:tc>
        <w:tc>
          <w:tcPr>
            <w:tcW w:w="19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1EF518E"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518A9C7"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E35F988"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7B29FC3"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AA7CF03"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2BD7166"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8B3F839"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B4675F4"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927FAEB"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D1C4CA" w14:textId="77777777" w:rsidR="00D06348" w:rsidRPr="004561A6" w:rsidRDefault="00D06348" w:rsidP="00D57552">
            <w:pPr>
              <w:spacing w:before="60" w:after="60" w:line="240" w:lineRule="auto"/>
              <w:contextualSpacing/>
              <w:jc w:val="center"/>
              <w:rPr>
                <w:sz w:val="18"/>
                <w:szCs w:val="18"/>
              </w:rPr>
            </w:pPr>
          </w:p>
        </w:tc>
      </w:tr>
      <w:tr w:rsidR="003F509B" w:rsidRPr="004561A6" w14:paraId="4085F7A4" w14:textId="77777777" w:rsidTr="00B876BA">
        <w:trPr>
          <w:cantSplit/>
          <w:trHeight w:val="255"/>
        </w:trPr>
        <w:tc>
          <w:tcPr>
            <w:tcW w:w="3082" w:type="pct"/>
            <w:vMerge/>
            <w:tcBorders>
              <w:left w:val="single" w:sz="4" w:space="0" w:color="auto"/>
              <w:right w:val="single" w:sz="4" w:space="0" w:color="auto"/>
            </w:tcBorders>
            <w:vAlign w:val="center"/>
          </w:tcPr>
          <w:p w14:paraId="23FCE0AA" w14:textId="77777777" w:rsidR="00D06348" w:rsidRPr="004561A6" w:rsidRDefault="00D06348" w:rsidP="00D57552">
            <w:pPr>
              <w:spacing w:before="60" w:after="60" w:line="240" w:lineRule="auto"/>
              <w:contextualSpacing/>
              <w:jc w:val="left"/>
              <w:rPr>
                <w:sz w:val="18"/>
                <w:szCs w:val="18"/>
              </w:rPr>
            </w:pPr>
          </w:p>
        </w:tc>
        <w:tc>
          <w:tcPr>
            <w:tcW w:w="192" w:type="pct"/>
            <w:tcBorders>
              <w:top w:val="single" w:sz="4" w:space="0" w:color="auto"/>
              <w:left w:val="single" w:sz="4" w:space="0" w:color="auto"/>
              <w:bottom w:val="single" w:sz="4" w:space="0" w:color="auto"/>
              <w:right w:val="nil"/>
            </w:tcBorders>
            <w:shd w:val="clear" w:color="auto" w:fill="E2EFD9" w:themeFill="accent6" w:themeFillTint="33"/>
            <w:vAlign w:val="center"/>
          </w:tcPr>
          <w:p w14:paraId="3743A955"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nil"/>
              <w:bottom w:val="single" w:sz="4" w:space="0" w:color="auto"/>
              <w:right w:val="nil"/>
            </w:tcBorders>
            <w:shd w:val="clear" w:color="auto" w:fill="E2EFD9" w:themeFill="accent6" w:themeFillTint="33"/>
            <w:vAlign w:val="center"/>
          </w:tcPr>
          <w:p w14:paraId="39C3F7F9"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nil"/>
              <w:bottom w:val="single" w:sz="4" w:space="0" w:color="auto"/>
              <w:right w:val="nil"/>
            </w:tcBorders>
            <w:shd w:val="clear" w:color="auto" w:fill="E2EFD9" w:themeFill="accent6" w:themeFillTint="33"/>
            <w:vAlign w:val="center"/>
          </w:tcPr>
          <w:p w14:paraId="2E0CD9FC"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nil"/>
              <w:bottom w:val="single" w:sz="4" w:space="0" w:color="auto"/>
              <w:right w:val="nil"/>
            </w:tcBorders>
            <w:shd w:val="clear" w:color="auto" w:fill="E2EFD9" w:themeFill="accent6" w:themeFillTint="33"/>
            <w:vAlign w:val="center"/>
          </w:tcPr>
          <w:p w14:paraId="3E1359CF"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nil"/>
              <w:bottom w:val="single" w:sz="4" w:space="0" w:color="auto"/>
              <w:right w:val="nil"/>
            </w:tcBorders>
            <w:shd w:val="clear" w:color="auto" w:fill="E2EFD9" w:themeFill="accent6" w:themeFillTint="33"/>
            <w:vAlign w:val="center"/>
          </w:tcPr>
          <w:p w14:paraId="07693C0F"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E2EFD9" w:themeFill="accent6" w:themeFillTint="33"/>
            <w:vAlign w:val="center"/>
          </w:tcPr>
          <w:p w14:paraId="6B31C777"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E2EFD9" w:themeFill="accent6" w:themeFillTint="33"/>
            <w:vAlign w:val="center"/>
          </w:tcPr>
          <w:p w14:paraId="6FBE0D06"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E2EFD9" w:themeFill="accent6" w:themeFillTint="33"/>
            <w:vAlign w:val="center"/>
          </w:tcPr>
          <w:p w14:paraId="6906957D"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E2EFD9" w:themeFill="accent6" w:themeFillTint="33"/>
            <w:vAlign w:val="center"/>
          </w:tcPr>
          <w:p w14:paraId="3CA1D56B"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nil"/>
              <w:bottom w:val="single" w:sz="4" w:space="0" w:color="auto"/>
              <w:right w:val="single" w:sz="4" w:space="0" w:color="auto"/>
            </w:tcBorders>
            <w:shd w:val="clear" w:color="auto" w:fill="E2EFD9" w:themeFill="accent6" w:themeFillTint="33"/>
            <w:vAlign w:val="center"/>
          </w:tcPr>
          <w:p w14:paraId="27855120" w14:textId="77777777" w:rsidR="00D06348" w:rsidRPr="004561A6" w:rsidRDefault="00D06348" w:rsidP="00D57552">
            <w:pPr>
              <w:spacing w:before="60" w:after="60" w:line="240" w:lineRule="auto"/>
              <w:contextualSpacing/>
              <w:jc w:val="center"/>
              <w:rPr>
                <w:sz w:val="18"/>
                <w:szCs w:val="18"/>
              </w:rPr>
            </w:pPr>
          </w:p>
        </w:tc>
      </w:tr>
      <w:tr w:rsidR="00D06348" w:rsidRPr="004561A6" w14:paraId="1A4B2C8D" w14:textId="77777777" w:rsidTr="00B876BA">
        <w:trPr>
          <w:cantSplit/>
          <w:trHeight w:val="255"/>
        </w:trPr>
        <w:tc>
          <w:tcPr>
            <w:tcW w:w="3082" w:type="pct"/>
            <w:vMerge w:val="restart"/>
            <w:tcBorders>
              <w:top w:val="single" w:sz="4" w:space="0" w:color="auto"/>
              <w:left w:val="single" w:sz="4" w:space="0" w:color="auto"/>
              <w:right w:val="single" w:sz="4" w:space="0" w:color="auto"/>
            </w:tcBorders>
            <w:vAlign w:val="center"/>
          </w:tcPr>
          <w:p w14:paraId="6E7A1F33" w14:textId="77777777" w:rsidR="00D06348" w:rsidRPr="004561A6" w:rsidRDefault="00D06348" w:rsidP="00D57552">
            <w:pPr>
              <w:spacing w:before="60" w:after="60" w:line="240" w:lineRule="auto"/>
              <w:contextualSpacing/>
              <w:jc w:val="left"/>
              <w:rPr>
                <w:sz w:val="18"/>
                <w:szCs w:val="18"/>
              </w:rPr>
            </w:pPr>
            <w:r w:rsidRPr="004561A6">
              <w:rPr>
                <w:sz w:val="18"/>
                <w:szCs w:val="18"/>
              </w:rPr>
              <w:t>What did CEW contribute to patterns and rates of decomposition?</w:t>
            </w:r>
            <w:r>
              <w:rPr>
                <w:sz w:val="18"/>
                <w:szCs w:val="18"/>
              </w:rPr>
              <w:t xml:space="preserve"> </w:t>
            </w:r>
            <w:r w:rsidRPr="004561A6">
              <w:rPr>
                <w:rFonts w:cs="Arial"/>
                <w:color w:val="auto"/>
                <w:sz w:val="18"/>
                <w:szCs w:val="18"/>
                <w:vertAlign w:val="superscript"/>
              </w:rPr>
              <w:t>#</w:t>
            </w:r>
          </w:p>
        </w:tc>
        <w:tc>
          <w:tcPr>
            <w:tcW w:w="192"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E0BD273"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0695676A"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2CACF49F"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02314A90"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8061EC6"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DD76F11"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CCCC78D"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7104709"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8203CD"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4D8C004" w14:textId="77777777" w:rsidR="00D06348" w:rsidRPr="004561A6" w:rsidRDefault="00D06348" w:rsidP="00D57552">
            <w:pPr>
              <w:spacing w:before="60" w:after="60" w:line="240" w:lineRule="auto"/>
              <w:contextualSpacing/>
              <w:jc w:val="center"/>
              <w:rPr>
                <w:sz w:val="18"/>
                <w:szCs w:val="18"/>
              </w:rPr>
            </w:pPr>
          </w:p>
        </w:tc>
      </w:tr>
      <w:tr w:rsidR="00B876BA" w:rsidRPr="004561A6" w14:paraId="1A40A506" w14:textId="77777777" w:rsidTr="00B876BA">
        <w:trPr>
          <w:cantSplit/>
          <w:trHeight w:val="255"/>
        </w:trPr>
        <w:tc>
          <w:tcPr>
            <w:tcW w:w="3082" w:type="pct"/>
            <w:vMerge/>
            <w:tcBorders>
              <w:left w:val="single" w:sz="4" w:space="0" w:color="auto"/>
              <w:right w:val="single" w:sz="4" w:space="0" w:color="auto"/>
            </w:tcBorders>
            <w:vAlign w:val="center"/>
          </w:tcPr>
          <w:p w14:paraId="50F8E18E" w14:textId="77777777" w:rsidR="00B876BA" w:rsidRPr="004561A6" w:rsidRDefault="00B876BA" w:rsidP="00D57552">
            <w:pPr>
              <w:spacing w:before="60" w:after="60" w:line="240" w:lineRule="auto"/>
              <w:contextualSpacing/>
              <w:jc w:val="left"/>
              <w:rPr>
                <w:sz w:val="18"/>
                <w:szCs w:val="18"/>
              </w:rPr>
            </w:pPr>
          </w:p>
        </w:tc>
        <w:tc>
          <w:tcPr>
            <w:tcW w:w="1918" w:type="pct"/>
            <w:gridSpan w:val="10"/>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2DC5D9C8" w14:textId="77777777" w:rsidR="00B876BA" w:rsidRPr="004561A6" w:rsidRDefault="00B876BA" w:rsidP="00D57552">
            <w:pPr>
              <w:spacing w:before="60" w:after="60" w:line="240" w:lineRule="auto"/>
              <w:contextualSpacing/>
              <w:jc w:val="center"/>
              <w:rPr>
                <w:sz w:val="18"/>
                <w:szCs w:val="18"/>
              </w:rPr>
            </w:pPr>
          </w:p>
        </w:tc>
      </w:tr>
      <w:tr w:rsidR="00D06348" w:rsidRPr="004561A6" w14:paraId="0CCC102F" w14:textId="77777777" w:rsidTr="00B876BA">
        <w:trPr>
          <w:cantSplit/>
          <w:trHeight w:val="255"/>
        </w:trPr>
        <w:tc>
          <w:tcPr>
            <w:tcW w:w="3082" w:type="pct"/>
            <w:tcBorders>
              <w:top w:val="single" w:sz="4" w:space="0" w:color="auto"/>
              <w:left w:val="single" w:sz="4" w:space="0" w:color="auto"/>
              <w:right w:val="single" w:sz="4" w:space="0" w:color="auto"/>
            </w:tcBorders>
            <w:vAlign w:val="center"/>
          </w:tcPr>
          <w:p w14:paraId="3D07A914" w14:textId="77777777" w:rsidR="00D06348" w:rsidRPr="004561A6" w:rsidRDefault="00D06348" w:rsidP="00D57552">
            <w:pPr>
              <w:spacing w:before="60" w:after="60" w:line="240" w:lineRule="auto"/>
              <w:contextualSpacing/>
              <w:jc w:val="left"/>
              <w:rPr>
                <w:sz w:val="18"/>
                <w:szCs w:val="18"/>
              </w:rPr>
            </w:pPr>
            <w:r w:rsidRPr="004561A6">
              <w:rPr>
                <w:sz w:val="18"/>
                <w:szCs w:val="18"/>
              </w:rPr>
              <w:t xml:space="preserve">What did CEW contribute to littoral understorey vegetation diversity and productivity? </w:t>
            </w:r>
          </w:p>
        </w:tc>
        <w:tc>
          <w:tcPr>
            <w:tcW w:w="192"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9EE2C32"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71226263"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4F256334"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85BA9D0"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1F8E8E4B"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AF5A525"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CCD445F"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9C4D8BC"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3FBB979D"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AB42A6B" w14:textId="77777777" w:rsidR="00D06348" w:rsidRPr="004561A6" w:rsidRDefault="00D06348" w:rsidP="00D57552">
            <w:pPr>
              <w:spacing w:before="60" w:after="60" w:line="240" w:lineRule="auto"/>
              <w:contextualSpacing/>
              <w:jc w:val="center"/>
              <w:rPr>
                <w:sz w:val="18"/>
                <w:szCs w:val="18"/>
              </w:rPr>
            </w:pPr>
          </w:p>
        </w:tc>
      </w:tr>
      <w:tr w:rsidR="00D06348" w:rsidRPr="004561A6" w14:paraId="7C983095" w14:textId="77777777" w:rsidTr="00B876BA">
        <w:trPr>
          <w:cantSplit/>
          <w:trHeight w:val="255"/>
        </w:trPr>
        <w:tc>
          <w:tcPr>
            <w:tcW w:w="3082" w:type="pct"/>
            <w:tcBorders>
              <w:top w:val="single" w:sz="4" w:space="0" w:color="auto"/>
              <w:left w:val="single" w:sz="4" w:space="0" w:color="auto"/>
              <w:right w:val="single" w:sz="4" w:space="0" w:color="auto"/>
            </w:tcBorders>
            <w:vAlign w:val="center"/>
          </w:tcPr>
          <w:p w14:paraId="0B958F3A" w14:textId="77777777" w:rsidR="00D06348" w:rsidRPr="004561A6" w:rsidRDefault="00D06348" w:rsidP="00D57552">
            <w:pPr>
              <w:spacing w:before="60" w:after="60" w:line="240" w:lineRule="auto"/>
              <w:contextualSpacing/>
              <w:jc w:val="left"/>
              <w:rPr>
                <w:sz w:val="18"/>
                <w:szCs w:val="18"/>
              </w:rPr>
            </w:pPr>
            <w:r w:rsidRPr="00A4436E">
              <w:rPr>
                <w:sz w:val="18"/>
                <w:szCs w:val="18"/>
              </w:rPr>
              <w:t>What did CEW contribute to above-ground biomass produced by understorey littoral vegetation?</w:t>
            </w:r>
          </w:p>
        </w:tc>
        <w:tc>
          <w:tcPr>
            <w:tcW w:w="192"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3A467BC"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552C4B99"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1F5CFE2E"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4D8FFD22"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27EED3B3"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3C4569"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33F7647"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4A97747"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5451D7CD"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D0BAB9" w14:textId="77777777" w:rsidR="00D06348" w:rsidRPr="004561A6" w:rsidRDefault="00D06348" w:rsidP="00D57552">
            <w:pPr>
              <w:spacing w:before="60" w:after="60" w:line="240" w:lineRule="auto"/>
              <w:contextualSpacing/>
              <w:jc w:val="center"/>
              <w:rPr>
                <w:sz w:val="18"/>
                <w:szCs w:val="18"/>
              </w:rPr>
            </w:pPr>
          </w:p>
        </w:tc>
      </w:tr>
      <w:tr w:rsidR="00D06348" w:rsidRPr="004561A6" w14:paraId="77EA76D8" w14:textId="77777777" w:rsidTr="00B876BA">
        <w:trPr>
          <w:cantSplit/>
          <w:trHeight w:val="255"/>
        </w:trPr>
        <w:tc>
          <w:tcPr>
            <w:tcW w:w="3082" w:type="pct"/>
            <w:tcBorders>
              <w:top w:val="single" w:sz="4" w:space="0" w:color="auto"/>
              <w:left w:val="single" w:sz="4" w:space="0" w:color="auto"/>
              <w:right w:val="single" w:sz="4" w:space="0" w:color="auto"/>
            </w:tcBorders>
            <w:vAlign w:val="center"/>
          </w:tcPr>
          <w:p w14:paraId="758CBB1D" w14:textId="77777777" w:rsidR="00D06348" w:rsidRPr="004561A6" w:rsidRDefault="00D06348" w:rsidP="00D57552">
            <w:pPr>
              <w:spacing w:before="60" w:after="60" w:line="240" w:lineRule="auto"/>
              <w:contextualSpacing/>
              <w:jc w:val="left"/>
              <w:rPr>
                <w:sz w:val="18"/>
                <w:szCs w:val="18"/>
              </w:rPr>
            </w:pPr>
            <w:r w:rsidRPr="004561A6">
              <w:rPr>
                <w:sz w:val="18"/>
                <w:szCs w:val="18"/>
              </w:rPr>
              <w:t>What did CEW contribute to microinvertebrate density?</w:t>
            </w:r>
            <w:r>
              <w:rPr>
                <w:sz w:val="18"/>
                <w:szCs w:val="18"/>
              </w:rPr>
              <w:t xml:space="preserve"> *</w:t>
            </w:r>
          </w:p>
        </w:tc>
        <w:tc>
          <w:tcPr>
            <w:tcW w:w="19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2F33275"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6E39423"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3B6D031"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75DBA99"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51CC4E68"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FF0000"/>
            <w:vAlign w:val="center"/>
          </w:tcPr>
          <w:p w14:paraId="25E8C8EB"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E70B0BE"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4394CE6"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54818B4"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9E882B0" w14:textId="77777777" w:rsidR="00D06348" w:rsidRPr="004561A6" w:rsidRDefault="00D06348" w:rsidP="00D57552">
            <w:pPr>
              <w:spacing w:before="60" w:after="60" w:line="240" w:lineRule="auto"/>
              <w:contextualSpacing/>
              <w:jc w:val="center"/>
              <w:rPr>
                <w:sz w:val="18"/>
                <w:szCs w:val="18"/>
              </w:rPr>
            </w:pPr>
          </w:p>
        </w:tc>
      </w:tr>
      <w:tr w:rsidR="00D06348" w:rsidRPr="004561A6" w14:paraId="209F3F29" w14:textId="77777777" w:rsidTr="00B876BA">
        <w:trPr>
          <w:cantSplit/>
          <w:trHeight w:val="255"/>
        </w:trPr>
        <w:tc>
          <w:tcPr>
            <w:tcW w:w="3082" w:type="pct"/>
            <w:tcBorders>
              <w:top w:val="single" w:sz="4" w:space="0" w:color="auto"/>
              <w:left w:val="single" w:sz="4" w:space="0" w:color="auto"/>
              <w:right w:val="single" w:sz="4" w:space="0" w:color="auto"/>
            </w:tcBorders>
            <w:vAlign w:val="center"/>
          </w:tcPr>
          <w:p w14:paraId="78DE45A9" w14:textId="77777777" w:rsidR="00D06348" w:rsidRPr="004561A6" w:rsidRDefault="00D06348" w:rsidP="00D57552">
            <w:pPr>
              <w:spacing w:before="60" w:after="60" w:line="240" w:lineRule="auto"/>
              <w:contextualSpacing/>
              <w:jc w:val="left"/>
              <w:rPr>
                <w:sz w:val="18"/>
                <w:szCs w:val="18"/>
              </w:rPr>
            </w:pPr>
            <w:r w:rsidRPr="004561A6">
              <w:rPr>
                <w:sz w:val="18"/>
                <w:szCs w:val="18"/>
              </w:rPr>
              <w:t>What did CEW contribute to microinvertebrate diversity?</w:t>
            </w:r>
          </w:p>
        </w:tc>
        <w:tc>
          <w:tcPr>
            <w:tcW w:w="19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22354B7"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2075AEC0"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BDAD0E"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50A4D07F"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5DDF6CE1"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60DE49"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23C7B9A"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55E77B3"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422BCB6"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3AE4BD1" w14:textId="77777777" w:rsidR="00D06348" w:rsidRPr="00253B09" w:rsidRDefault="00D06348" w:rsidP="00D57552">
            <w:pPr>
              <w:spacing w:before="60" w:after="60" w:line="240" w:lineRule="auto"/>
              <w:contextualSpacing/>
              <w:jc w:val="center"/>
              <w:rPr>
                <w:color w:val="E2EFD9" w:themeColor="accent6" w:themeTint="33"/>
                <w:sz w:val="18"/>
                <w:szCs w:val="18"/>
              </w:rPr>
            </w:pPr>
          </w:p>
        </w:tc>
      </w:tr>
      <w:tr w:rsidR="00D06348" w:rsidRPr="004561A6" w14:paraId="0ADD51E1" w14:textId="77777777" w:rsidTr="00B876BA">
        <w:trPr>
          <w:cantSplit/>
          <w:trHeight w:val="255"/>
        </w:trPr>
        <w:tc>
          <w:tcPr>
            <w:tcW w:w="3082" w:type="pct"/>
            <w:tcBorders>
              <w:top w:val="single" w:sz="4" w:space="0" w:color="auto"/>
              <w:left w:val="single" w:sz="4" w:space="0" w:color="auto"/>
              <w:right w:val="single" w:sz="4" w:space="0" w:color="auto"/>
            </w:tcBorders>
            <w:vAlign w:val="center"/>
          </w:tcPr>
          <w:p w14:paraId="1846BE25" w14:textId="77777777" w:rsidR="00D06348" w:rsidRPr="004561A6" w:rsidRDefault="00D06348" w:rsidP="00D57552">
            <w:pPr>
              <w:spacing w:before="60" w:after="60" w:line="240" w:lineRule="auto"/>
              <w:contextualSpacing/>
              <w:jc w:val="left"/>
              <w:rPr>
                <w:sz w:val="18"/>
                <w:szCs w:val="18"/>
              </w:rPr>
            </w:pPr>
            <w:r w:rsidRPr="004561A6">
              <w:rPr>
                <w:sz w:val="18"/>
                <w:szCs w:val="18"/>
              </w:rPr>
              <w:t>What did CEW contribute to spring microinvertebrate fish prey species density?</w:t>
            </w:r>
          </w:p>
        </w:tc>
        <w:tc>
          <w:tcPr>
            <w:tcW w:w="19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F95865"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4C11B6B"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F45B41B"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5BA2F7"/>
            <w:vAlign w:val="center"/>
          </w:tcPr>
          <w:p w14:paraId="601B60A6"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1557AF6D"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FF0000"/>
            <w:vAlign w:val="center"/>
          </w:tcPr>
          <w:p w14:paraId="5FF1AA62"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FF0000"/>
            <w:vAlign w:val="center"/>
          </w:tcPr>
          <w:p w14:paraId="55225DDF"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FF0000"/>
            <w:vAlign w:val="center"/>
          </w:tcPr>
          <w:p w14:paraId="22781FE9"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56CF6B2"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FF0000"/>
            <w:vAlign w:val="center"/>
          </w:tcPr>
          <w:p w14:paraId="70410EAF" w14:textId="77777777" w:rsidR="00D06348" w:rsidRPr="004561A6" w:rsidRDefault="00D06348" w:rsidP="00D57552">
            <w:pPr>
              <w:spacing w:before="60" w:after="60" w:line="240" w:lineRule="auto"/>
              <w:contextualSpacing/>
              <w:jc w:val="center"/>
              <w:rPr>
                <w:sz w:val="18"/>
                <w:szCs w:val="18"/>
              </w:rPr>
            </w:pPr>
          </w:p>
        </w:tc>
      </w:tr>
      <w:tr w:rsidR="00D06348" w:rsidRPr="004561A6" w14:paraId="524423CF" w14:textId="77777777" w:rsidTr="003923B5">
        <w:trPr>
          <w:cantSplit/>
          <w:trHeight w:val="255"/>
        </w:trPr>
        <w:tc>
          <w:tcPr>
            <w:tcW w:w="3082" w:type="pct"/>
            <w:tcBorders>
              <w:top w:val="single" w:sz="4" w:space="0" w:color="auto"/>
              <w:left w:val="single" w:sz="4" w:space="0" w:color="auto"/>
              <w:right w:val="single" w:sz="4" w:space="0" w:color="auto"/>
            </w:tcBorders>
            <w:vAlign w:val="center"/>
          </w:tcPr>
          <w:p w14:paraId="679AD36B" w14:textId="3E722A62" w:rsidR="00D06348" w:rsidRPr="004561A6" w:rsidRDefault="00D06348" w:rsidP="00D57552">
            <w:pPr>
              <w:spacing w:before="60" w:after="60" w:line="240" w:lineRule="auto"/>
              <w:contextualSpacing/>
              <w:jc w:val="left"/>
              <w:rPr>
                <w:sz w:val="18"/>
                <w:szCs w:val="18"/>
              </w:rPr>
            </w:pPr>
            <w:r w:rsidRPr="004561A6">
              <w:rPr>
                <w:sz w:val="18"/>
                <w:szCs w:val="18"/>
              </w:rPr>
              <w:t>What did the flow regime (including CEW) contribute to the spawning and recruitment of golden perch?</w:t>
            </w:r>
          </w:p>
        </w:tc>
        <w:tc>
          <w:tcPr>
            <w:tcW w:w="19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9AD8FEE"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277720E"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4B5F5FB2"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24E71CFD"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14FC9E9"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01CBBA"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48F1A7D7"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5BA2F7"/>
            <w:vAlign w:val="center"/>
          </w:tcPr>
          <w:p w14:paraId="79C0B3F3"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0C4711A"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B33EE27" w14:textId="77777777" w:rsidR="00D06348" w:rsidRPr="004561A6" w:rsidRDefault="00D06348" w:rsidP="00D57552">
            <w:pPr>
              <w:spacing w:before="60" w:after="60" w:line="240" w:lineRule="auto"/>
              <w:contextualSpacing/>
              <w:jc w:val="center"/>
              <w:rPr>
                <w:sz w:val="18"/>
                <w:szCs w:val="18"/>
              </w:rPr>
            </w:pPr>
          </w:p>
        </w:tc>
      </w:tr>
      <w:tr w:rsidR="003923B5" w:rsidRPr="004561A6" w14:paraId="5990823D" w14:textId="77777777" w:rsidTr="003923B5">
        <w:trPr>
          <w:cantSplit/>
          <w:trHeight w:val="255"/>
        </w:trPr>
        <w:tc>
          <w:tcPr>
            <w:tcW w:w="3082" w:type="pct"/>
            <w:tcBorders>
              <w:top w:val="single" w:sz="4" w:space="0" w:color="auto"/>
              <w:left w:val="single" w:sz="4" w:space="0" w:color="auto"/>
              <w:right w:val="single" w:sz="4" w:space="0" w:color="auto"/>
            </w:tcBorders>
            <w:vAlign w:val="center"/>
          </w:tcPr>
          <w:p w14:paraId="522F2CC5" w14:textId="7AB5FD57" w:rsidR="003923B5" w:rsidRPr="004561A6" w:rsidRDefault="003923B5" w:rsidP="00D57552">
            <w:pPr>
              <w:spacing w:before="60" w:after="60" w:line="240" w:lineRule="auto"/>
              <w:contextualSpacing/>
              <w:jc w:val="left"/>
              <w:rPr>
                <w:sz w:val="18"/>
                <w:szCs w:val="18"/>
              </w:rPr>
            </w:pPr>
            <w:r w:rsidRPr="004561A6">
              <w:rPr>
                <w:sz w:val="18"/>
                <w:szCs w:val="18"/>
              </w:rPr>
              <w:t>What did the flow regime (including CEW) contribute to the spawning and recruitment of silver perch?</w:t>
            </w:r>
          </w:p>
        </w:tc>
        <w:tc>
          <w:tcPr>
            <w:tcW w:w="19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6D56A63" w14:textId="77777777" w:rsidR="003923B5" w:rsidRPr="004561A6" w:rsidRDefault="003923B5"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45F5C96" w14:textId="77777777" w:rsidR="003923B5" w:rsidRPr="004561A6" w:rsidRDefault="003923B5"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096FD3D1" w14:textId="77777777" w:rsidR="003923B5" w:rsidRPr="004561A6" w:rsidRDefault="003923B5"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21DAD01" w14:textId="77777777" w:rsidR="003923B5" w:rsidRPr="004561A6" w:rsidRDefault="003923B5"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782BC0E" w14:textId="77777777" w:rsidR="003923B5" w:rsidRPr="004561A6" w:rsidRDefault="003923B5"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7543DF" w14:textId="77777777" w:rsidR="003923B5" w:rsidRPr="004561A6" w:rsidRDefault="003923B5"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6B9933C" w14:textId="77777777" w:rsidR="003923B5" w:rsidRPr="004561A6" w:rsidRDefault="003923B5"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8523ABE" w14:textId="77777777" w:rsidR="003923B5" w:rsidRPr="004561A6" w:rsidRDefault="003923B5"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5A44B9C" w14:textId="77777777" w:rsidR="003923B5" w:rsidRPr="004561A6" w:rsidRDefault="003923B5"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1AF58F8B" w14:textId="77777777" w:rsidR="003923B5" w:rsidRPr="004561A6" w:rsidRDefault="003923B5" w:rsidP="00D57552">
            <w:pPr>
              <w:spacing w:before="60" w:after="60" w:line="240" w:lineRule="auto"/>
              <w:contextualSpacing/>
              <w:jc w:val="center"/>
              <w:rPr>
                <w:sz w:val="18"/>
                <w:szCs w:val="18"/>
              </w:rPr>
            </w:pPr>
          </w:p>
        </w:tc>
      </w:tr>
      <w:tr w:rsidR="003F509B" w:rsidRPr="004561A6" w14:paraId="39FC1497" w14:textId="77777777" w:rsidTr="00B876BA">
        <w:trPr>
          <w:cantSplit/>
          <w:trHeight w:val="255"/>
        </w:trPr>
        <w:tc>
          <w:tcPr>
            <w:tcW w:w="3082" w:type="pct"/>
            <w:tcBorders>
              <w:top w:val="single" w:sz="4" w:space="0" w:color="auto"/>
              <w:left w:val="single" w:sz="4" w:space="0" w:color="auto"/>
              <w:right w:val="single" w:sz="4" w:space="0" w:color="auto"/>
            </w:tcBorders>
            <w:vAlign w:val="center"/>
          </w:tcPr>
          <w:p w14:paraId="1B1EADA5" w14:textId="18E7BB2B" w:rsidR="00D06348" w:rsidRPr="004561A6" w:rsidRDefault="00D06348" w:rsidP="00D57552">
            <w:pPr>
              <w:spacing w:before="60" w:after="60" w:line="240" w:lineRule="auto"/>
              <w:contextualSpacing/>
              <w:jc w:val="left"/>
              <w:rPr>
                <w:sz w:val="18"/>
                <w:szCs w:val="18"/>
              </w:rPr>
            </w:pPr>
            <w:r w:rsidRPr="004561A6">
              <w:rPr>
                <w:sz w:val="18"/>
                <w:szCs w:val="18"/>
              </w:rPr>
              <w:t>Did the flow regime (including CEW) contribute to the resilience of golden perch populations?</w:t>
            </w:r>
            <w:r w:rsidR="003923B5">
              <w:rPr>
                <w:sz w:val="18"/>
                <w:szCs w:val="18"/>
              </w:rPr>
              <w:t xml:space="preserve"> *</w:t>
            </w:r>
          </w:p>
        </w:tc>
        <w:tc>
          <w:tcPr>
            <w:tcW w:w="192" w:type="pct"/>
            <w:tcBorders>
              <w:top w:val="single" w:sz="4" w:space="0" w:color="auto"/>
              <w:left w:val="single" w:sz="4" w:space="0" w:color="auto"/>
              <w:bottom w:val="single" w:sz="4" w:space="0" w:color="auto"/>
              <w:right w:val="nil"/>
            </w:tcBorders>
            <w:shd w:val="clear" w:color="auto" w:fill="A8D08D" w:themeFill="accent6" w:themeFillTint="99"/>
            <w:vAlign w:val="center"/>
          </w:tcPr>
          <w:p w14:paraId="02F84692"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nil"/>
              <w:bottom w:val="single" w:sz="4" w:space="0" w:color="auto"/>
              <w:right w:val="nil"/>
            </w:tcBorders>
            <w:shd w:val="clear" w:color="auto" w:fill="A8D08D" w:themeFill="accent6" w:themeFillTint="99"/>
            <w:vAlign w:val="center"/>
          </w:tcPr>
          <w:p w14:paraId="09B8084A"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nil"/>
              <w:bottom w:val="single" w:sz="4" w:space="0" w:color="auto"/>
              <w:right w:val="nil"/>
            </w:tcBorders>
            <w:shd w:val="clear" w:color="auto" w:fill="A8D08D" w:themeFill="accent6" w:themeFillTint="99"/>
            <w:vAlign w:val="center"/>
          </w:tcPr>
          <w:p w14:paraId="7422A9AB"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nil"/>
              <w:bottom w:val="single" w:sz="4" w:space="0" w:color="auto"/>
              <w:right w:val="nil"/>
            </w:tcBorders>
            <w:shd w:val="clear" w:color="auto" w:fill="A8D08D" w:themeFill="accent6" w:themeFillTint="99"/>
            <w:vAlign w:val="center"/>
          </w:tcPr>
          <w:p w14:paraId="70D3EB16"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nil"/>
              <w:bottom w:val="single" w:sz="4" w:space="0" w:color="auto"/>
              <w:right w:val="nil"/>
            </w:tcBorders>
            <w:shd w:val="clear" w:color="auto" w:fill="A8D08D" w:themeFill="accent6" w:themeFillTint="99"/>
            <w:vAlign w:val="center"/>
          </w:tcPr>
          <w:p w14:paraId="0CEEA428"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A8D08D" w:themeFill="accent6" w:themeFillTint="99"/>
            <w:vAlign w:val="center"/>
          </w:tcPr>
          <w:p w14:paraId="3A1C3B11"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A8D08D" w:themeFill="accent6" w:themeFillTint="99"/>
            <w:vAlign w:val="center"/>
          </w:tcPr>
          <w:p w14:paraId="6812DF47"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A8D08D" w:themeFill="accent6" w:themeFillTint="99"/>
            <w:vAlign w:val="center"/>
          </w:tcPr>
          <w:p w14:paraId="370C9A68"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A8D08D" w:themeFill="accent6" w:themeFillTint="99"/>
            <w:vAlign w:val="center"/>
          </w:tcPr>
          <w:p w14:paraId="798C6C08"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nil"/>
              <w:bottom w:val="single" w:sz="4" w:space="0" w:color="auto"/>
              <w:right w:val="single" w:sz="4" w:space="0" w:color="auto"/>
            </w:tcBorders>
            <w:shd w:val="clear" w:color="auto" w:fill="A8D08D" w:themeFill="accent6" w:themeFillTint="99"/>
            <w:vAlign w:val="center"/>
          </w:tcPr>
          <w:p w14:paraId="1B197076" w14:textId="77777777" w:rsidR="00D06348" w:rsidRPr="004561A6" w:rsidRDefault="00D06348" w:rsidP="00D57552">
            <w:pPr>
              <w:spacing w:before="60" w:after="60" w:line="240" w:lineRule="auto"/>
              <w:contextualSpacing/>
              <w:jc w:val="center"/>
              <w:rPr>
                <w:sz w:val="18"/>
                <w:szCs w:val="18"/>
              </w:rPr>
            </w:pPr>
          </w:p>
        </w:tc>
      </w:tr>
      <w:tr w:rsidR="00D06348" w:rsidRPr="004561A6" w14:paraId="78BE5589" w14:textId="77777777" w:rsidTr="00B876BA">
        <w:trPr>
          <w:cantSplit/>
          <w:trHeight w:val="255"/>
        </w:trPr>
        <w:tc>
          <w:tcPr>
            <w:tcW w:w="3082" w:type="pct"/>
            <w:tcBorders>
              <w:top w:val="single" w:sz="4" w:space="0" w:color="auto"/>
              <w:left w:val="single" w:sz="4" w:space="0" w:color="auto"/>
              <w:bottom w:val="single" w:sz="4" w:space="0" w:color="auto"/>
              <w:right w:val="single" w:sz="4" w:space="0" w:color="auto"/>
            </w:tcBorders>
            <w:vAlign w:val="center"/>
          </w:tcPr>
          <w:p w14:paraId="16AEC7C3" w14:textId="77777777" w:rsidR="00D06348" w:rsidRPr="004561A6" w:rsidRDefault="00D06348" w:rsidP="00D57552">
            <w:pPr>
              <w:spacing w:before="60" w:after="60" w:line="240" w:lineRule="auto"/>
              <w:contextualSpacing/>
              <w:jc w:val="left"/>
              <w:rPr>
                <w:sz w:val="18"/>
                <w:szCs w:val="18"/>
              </w:rPr>
            </w:pPr>
            <w:r w:rsidRPr="00A4436E">
              <w:rPr>
                <w:sz w:val="18"/>
                <w:szCs w:val="18"/>
              </w:rPr>
              <w:t>What did CEW contribute to the growth and morphometric condition of Murray cod?</w:t>
            </w:r>
          </w:p>
        </w:tc>
        <w:tc>
          <w:tcPr>
            <w:tcW w:w="192"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4A3254B0"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7E7BD68"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059ED9C"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74FD67AA"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387ED779"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1D1A64"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8A5B92"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E7E9F2"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06D722"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7814AE" w14:textId="77777777" w:rsidR="00D06348" w:rsidRPr="004561A6" w:rsidRDefault="00D06348" w:rsidP="00D57552">
            <w:pPr>
              <w:spacing w:before="60" w:after="60" w:line="240" w:lineRule="auto"/>
              <w:contextualSpacing/>
              <w:jc w:val="center"/>
              <w:rPr>
                <w:sz w:val="18"/>
                <w:szCs w:val="18"/>
              </w:rPr>
            </w:pPr>
          </w:p>
        </w:tc>
      </w:tr>
      <w:tr w:rsidR="00D06348" w:rsidRPr="004561A6" w14:paraId="79E698E0" w14:textId="77777777" w:rsidTr="00B876BA">
        <w:trPr>
          <w:cantSplit/>
          <w:trHeight w:val="255"/>
        </w:trPr>
        <w:tc>
          <w:tcPr>
            <w:tcW w:w="3082" w:type="pct"/>
            <w:tcBorders>
              <w:top w:val="single" w:sz="4" w:space="0" w:color="auto"/>
              <w:left w:val="single" w:sz="4" w:space="0" w:color="auto"/>
              <w:bottom w:val="single" w:sz="4" w:space="0" w:color="auto"/>
              <w:right w:val="single" w:sz="4" w:space="0" w:color="auto"/>
            </w:tcBorders>
            <w:vAlign w:val="center"/>
          </w:tcPr>
          <w:p w14:paraId="38E47290" w14:textId="77777777" w:rsidR="00D06348" w:rsidRPr="004561A6" w:rsidRDefault="00D06348" w:rsidP="00D57552">
            <w:pPr>
              <w:spacing w:before="60" w:after="60" w:line="240" w:lineRule="auto"/>
              <w:contextualSpacing/>
              <w:jc w:val="left"/>
              <w:rPr>
                <w:sz w:val="18"/>
                <w:szCs w:val="18"/>
              </w:rPr>
            </w:pPr>
            <w:r w:rsidRPr="004561A6">
              <w:rPr>
                <w:sz w:val="18"/>
                <w:szCs w:val="18"/>
              </w:rPr>
              <w:t>What did the flow regime (including CEW) contribute to recruitment of Murray cod?</w:t>
            </w:r>
            <w:r>
              <w:rPr>
                <w:sz w:val="18"/>
                <w:szCs w:val="18"/>
              </w:rPr>
              <w:t xml:space="preserve"> </w:t>
            </w:r>
            <w:r w:rsidRPr="004561A6">
              <w:rPr>
                <w:sz w:val="18"/>
                <w:szCs w:val="18"/>
              </w:rPr>
              <w:t>*</w:t>
            </w:r>
          </w:p>
        </w:tc>
        <w:tc>
          <w:tcPr>
            <w:tcW w:w="192"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2F0BD9A7"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74A99F40"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2A4F544F"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4062307E"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11EB2ACB"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05D55922"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4C92758"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3F74B70"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1115D3D1"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0D6BC163" w14:textId="77777777" w:rsidR="00D06348" w:rsidRPr="004561A6" w:rsidRDefault="00D06348" w:rsidP="00D57552">
            <w:pPr>
              <w:spacing w:before="60" w:after="60" w:line="240" w:lineRule="auto"/>
              <w:contextualSpacing/>
              <w:jc w:val="center"/>
              <w:rPr>
                <w:sz w:val="18"/>
                <w:szCs w:val="18"/>
              </w:rPr>
            </w:pPr>
          </w:p>
        </w:tc>
      </w:tr>
      <w:tr w:rsidR="003F509B" w:rsidRPr="004561A6" w14:paraId="680B314C" w14:textId="77777777" w:rsidTr="00B876BA">
        <w:trPr>
          <w:cantSplit/>
          <w:trHeight w:val="255"/>
        </w:trPr>
        <w:tc>
          <w:tcPr>
            <w:tcW w:w="3082" w:type="pct"/>
            <w:tcBorders>
              <w:top w:val="single" w:sz="4" w:space="0" w:color="auto"/>
              <w:left w:val="single" w:sz="4" w:space="0" w:color="auto"/>
              <w:bottom w:val="single" w:sz="4" w:space="0" w:color="auto"/>
              <w:right w:val="single" w:sz="4" w:space="0" w:color="auto"/>
            </w:tcBorders>
            <w:vAlign w:val="center"/>
          </w:tcPr>
          <w:p w14:paraId="1E83C622" w14:textId="77777777" w:rsidR="00D06348" w:rsidRPr="004561A6" w:rsidRDefault="00D06348" w:rsidP="00D57552">
            <w:pPr>
              <w:spacing w:before="60" w:after="60" w:line="240" w:lineRule="auto"/>
              <w:contextualSpacing/>
              <w:jc w:val="left"/>
              <w:rPr>
                <w:sz w:val="18"/>
                <w:szCs w:val="18"/>
              </w:rPr>
            </w:pPr>
            <w:r w:rsidRPr="004561A6">
              <w:rPr>
                <w:sz w:val="18"/>
                <w:szCs w:val="18"/>
              </w:rPr>
              <w:t xml:space="preserve">What did the flow regime (including CEW) contribute to </w:t>
            </w:r>
            <w:r>
              <w:rPr>
                <w:sz w:val="18"/>
                <w:szCs w:val="18"/>
              </w:rPr>
              <w:t xml:space="preserve">the resilience </w:t>
            </w:r>
            <w:r w:rsidRPr="004561A6">
              <w:rPr>
                <w:sz w:val="18"/>
                <w:szCs w:val="18"/>
              </w:rPr>
              <w:t>of Murray cod</w:t>
            </w:r>
            <w:r>
              <w:rPr>
                <w:sz w:val="18"/>
                <w:szCs w:val="18"/>
              </w:rPr>
              <w:t xml:space="preserve"> populations</w:t>
            </w:r>
            <w:r w:rsidRPr="004561A6">
              <w:rPr>
                <w:sz w:val="18"/>
                <w:szCs w:val="18"/>
              </w:rPr>
              <w:t>?</w:t>
            </w:r>
          </w:p>
        </w:tc>
        <w:tc>
          <w:tcPr>
            <w:tcW w:w="192" w:type="pct"/>
            <w:tcBorders>
              <w:top w:val="single" w:sz="4" w:space="0" w:color="auto"/>
              <w:left w:val="single" w:sz="4" w:space="0" w:color="auto"/>
              <w:bottom w:val="single" w:sz="4" w:space="0" w:color="auto"/>
              <w:right w:val="nil"/>
            </w:tcBorders>
            <w:shd w:val="clear" w:color="auto" w:fill="595959" w:themeFill="text1" w:themeFillTint="A6"/>
            <w:vAlign w:val="center"/>
          </w:tcPr>
          <w:p w14:paraId="4054CA76" w14:textId="77777777" w:rsidR="00D06348" w:rsidRPr="004561A6" w:rsidRDefault="00D06348" w:rsidP="00D57552">
            <w:pPr>
              <w:spacing w:before="60" w:after="60" w:line="240" w:lineRule="auto"/>
              <w:contextualSpacing/>
              <w:jc w:val="center"/>
              <w:rPr>
                <w:sz w:val="18"/>
                <w:szCs w:val="18"/>
              </w:rPr>
            </w:pPr>
          </w:p>
        </w:tc>
        <w:tc>
          <w:tcPr>
            <w:tcW w:w="192" w:type="pct"/>
            <w:tcBorders>
              <w:top w:val="single" w:sz="4" w:space="0" w:color="auto"/>
              <w:left w:val="nil"/>
              <w:bottom w:val="single" w:sz="4" w:space="0" w:color="auto"/>
              <w:right w:val="nil"/>
            </w:tcBorders>
            <w:shd w:val="clear" w:color="auto" w:fill="595959" w:themeFill="text1" w:themeFillTint="A6"/>
            <w:vAlign w:val="center"/>
          </w:tcPr>
          <w:p w14:paraId="0FE7EEFB"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nil"/>
              <w:bottom w:val="single" w:sz="4" w:space="0" w:color="auto"/>
              <w:right w:val="nil"/>
            </w:tcBorders>
            <w:shd w:val="clear" w:color="auto" w:fill="595959" w:themeFill="text1" w:themeFillTint="A6"/>
            <w:vAlign w:val="center"/>
          </w:tcPr>
          <w:p w14:paraId="4FC7CC0E" w14:textId="77777777" w:rsidR="00D06348" w:rsidRPr="004561A6" w:rsidRDefault="00D06348" w:rsidP="00D57552">
            <w:pPr>
              <w:spacing w:before="60" w:after="60" w:line="240" w:lineRule="auto"/>
              <w:contextualSpacing/>
              <w:jc w:val="center"/>
              <w:rPr>
                <w:sz w:val="18"/>
                <w:szCs w:val="18"/>
              </w:rPr>
            </w:pPr>
          </w:p>
        </w:tc>
        <w:tc>
          <w:tcPr>
            <w:tcW w:w="195" w:type="pct"/>
            <w:tcBorders>
              <w:top w:val="single" w:sz="4" w:space="0" w:color="auto"/>
              <w:left w:val="nil"/>
              <w:bottom w:val="single" w:sz="4" w:space="0" w:color="auto"/>
              <w:right w:val="nil"/>
            </w:tcBorders>
            <w:shd w:val="clear" w:color="auto" w:fill="595959" w:themeFill="text1" w:themeFillTint="A6"/>
            <w:vAlign w:val="center"/>
          </w:tcPr>
          <w:p w14:paraId="3EEC09C1" w14:textId="77777777" w:rsidR="00D06348" w:rsidRPr="004561A6" w:rsidRDefault="00D06348" w:rsidP="00D57552">
            <w:pPr>
              <w:spacing w:before="60" w:after="60" w:line="240" w:lineRule="auto"/>
              <w:contextualSpacing/>
              <w:jc w:val="center"/>
              <w:rPr>
                <w:sz w:val="18"/>
                <w:szCs w:val="18"/>
              </w:rPr>
            </w:pPr>
          </w:p>
        </w:tc>
        <w:tc>
          <w:tcPr>
            <w:tcW w:w="193" w:type="pct"/>
            <w:tcBorders>
              <w:top w:val="single" w:sz="4" w:space="0" w:color="auto"/>
              <w:left w:val="nil"/>
              <w:bottom w:val="single" w:sz="4" w:space="0" w:color="auto"/>
              <w:right w:val="single" w:sz="4" w:space="0" w:color="auto"/>
            </w:tcBorders>
            <w:shd w:val="clear" w:color="auto" w:fill="595959" w:themeFill="text1" w:themeFillTint="A6"/>
            <w:vAlign w:val="center"/>
          </w:tcPr>
          <w:p w14:paraId="003F14B2"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single" w:sz="4" w:space="0" w:color="auto"/>
              <w:bottom w:val="single" w:sz="4" w:space="0" w:color="auto"/>
              <w:right w:val="nil"/>
            </w:tcBorders>
            <w:shd w:val="clear" w:color="auto" w:fill="70AD47" w:themeFill="accent6"/>
            <w:vAlign w:val="center"/>
          </w:tcPr>
          <w:p w14:paraId="0F09B381"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70AD47" w:themeFill="accent6"/>
            <w:vAlign w:val="center"/>
          </w:tcPr>
          <w:p w14:paraId="0238103E"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70AD47" w:themeFill="accent6"/>
            <w:vAlign w:val="center"/>
          </w:tcPr>
          <w:p w14:paraId="3BD3DB18" w14:textId="77777777" w:rsidR="00D06348" w:rsidRPr="004561A6" w:rsidRDefault="00D06348" w:rsidP="00D57552">
            <w:pPr>
              <w:spacing w:before="60" w:after="60" w:line="240" w:lineRule="auto"/>
              <w:contextualSpacing/>
              <w:jc w:val="center"/>
              <w:rPr>
                <w:sz w:val="18"/>
                <w:szCs w:val="18"/>
              </w:rPr>
            </w:pPr>
          </w:p>
        </w:tc>
        <w:tc>
          <w:tcPr>
            <w:tcW w:w="191" w:type="pct"/>
            <w:tcBorders>
              <w:top w:val="single" w:sz="4" w:space="0" w:color="auto"/>
              <w:left w:val="nil"/>
              <w:bottom w:val="single" w:sz="4" w:space="0" w:color="auto"/>
              <w:right w:val="nil"/>
            </w:tcBorders>
            <w:shd w:val="clear" w:color="auto" w:fill="70AD47" w:themeFill="accent6"/>
            <w:vAlign w:val="center"/>
          </w:tcPr>
          <w:p w14:paraId="4988F913" w14:textId="77777777" w:rsidR="00D06348" w:rsidRPr="004561A6" w:rsidRDefault="00D06348" w:rsidP="00D57552">
            <w:pPr>
              <w:spacing w:before="60" w:after="60" w:line="240" w:lineRule="auto"/>
              <w:contextualSpacing/>
              <w:jc w:val="center"/>
              <w:rPr>
                <w:sz w:val="18"/>
                <w:szCs w:val="18"/>
              </w:rPr>
            </w:pPr>
          </w:p>
        </w:tc>
        <w:tc>
          <w:tcPr>
            <w:tcW w:w="190" w:type="pct"/>
            <w:tcBorders>
              <w:top w:val="single" w:sz="4" w:space="0" w:color="auto"/>
              <w:left w:val="nil"/>
              <w:bottom w:val="single" w:sz="4" w:space="0" w:color="auto"/>
              <w:right w:val="single" w:sz="4" w:space="0" w:color="auto"/>
            </w:tcBorders>
            <w:shd w:val="clear" w:color="auto" w:fill="70AD47" w:themeFill="accent6"/>
            <w:vAlign w:val="center"/>
          </w:tcPr>
          <w:p w14:paraId="26C82A4A" w14:textId="77777777" w:rsidR="00D06348" w:rsidRPr="004561A6" w:rsidRDefault="00D06348" w:rsidP="00D57552">
            <w:pPr>
              <w:spacing w:before="60" w:after="60" w:line="240" w:lineRule="auto"/>
              <w:contextualSpacing/>
              <w:jc w:val="center"/>
              <w:rPr>
                <w:sz w:val="18"/>
                <w:szCs w:val="18"/>
              </w:rPr>
            </w:pPr>
          </w:p>
        </w:tc>
      </w:tr>
    </w:tbl>
    <w:p w14:paraId="106F1757" w14:textId="77777777" w:rsidR="00D06348" w:rsidRDefault="00D06348" w:rsidP="00D06348">
      <w:pPr>
        <w:spacing w:before="40" w:after="40" w:line="240" w:lineRule="auto"/>
        <w:jc w:val="left"/>
        <w:rPr>
          <w:color w:val="auto"/>
          <w:kern w:val="0"/>
          <w:sz w:val="18"/>
          <w:szCs w:val="18"/>
          <w:lang w:val="en-US" w:bidi="en-US"/>
        </w:rPr>
      </w:pPr>
    </w:p>
    <w:p w14:paraId="10DF1935" w14:textId="77777777" w:rsidR="00D06348" w:rsidRDefault="00D06348" w:rsidP="00D06348">
      <w:pPr>
        <w:spacing w:before="0" w:after="160" w:line="259" w:lineRule="auto"/>
        <w:jc w:val="left"/>
        <w:rPr>
          <w:color w:val="auto"/>
          <w:kern w:val="0"/>
          <w:szCs w:val="21"/>
          <w:lang w:val="en-US" w:bidi="en-US"/>
        </w:rPr>
      </w:pPr>
      <w:r>
        <w:rPr>
          <w:color w:val="auto"/>
          <w:kern w:val="0"/>
          <w:szCs w:val="21"/>
          <w:lang w:val="en-US" w:bidi="en-US"/>
        </w:rPr>
        <w:br w:type="page"/>
      </w:r>
    </w:p>
    <w:p w14:paraId="59D6CD5C" w14:textId="77777777" w:rsidR="00D06348" w:rsidRPr="003F3345" w:rsidRDefault="00D06348" w:rsidP="00D06348">
      <w:pPr>
        <w:spacing w:before="40" w:after="40" w:line="240" w:lineRule="auto"/>
        <w:jc w:val="left"/>
        <w:rPr>
          <w:b/>
          <w:bCs/>
          <w:i/>
          <w:iCs/>
          <w:color w:val="auto"/>
          <w:kern w:val="0"/>
          <w:szCs w:val="21"/>
          <w:lang w:val="en-US" w:bidi="en-US"/>
        </w:rPr>
      </w:pPr>
      <w:r w:rsidRPr="003F3345">
        <w:rPr>
          <w:b/>
          <w:bCs/>
          <w:i/>
          <w:iCs/>
          <w:color w:val="auto"/>
          <w:kern w:val="0"/>
          <w:szCs w:val="21"/>
          <w:lang w:val="en-US" w:bidi="en-US"/>
        </w:rPr>
        <w:lastRenderedPageBreak/>
        <w:t>Coorong, Lower Lakes and Murray Mouth</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6"/>
        <w:gridCol w:w="236"/>
        <w:gridCol w:w="236"/>
        <w:gridCol w:w="236"/>
        <w:gridCol w:w="236"/>
        <w:gridCol w:w="236"/>
        <w:gridCol w:w="236"/>
        <w:gridCol w:w="236"/>
        <w:gridCol w:w="236"/>
        <w:gridCol w:w="236"/>
        <w:gridCol w:w="236"/>
        <w:gridCol w:w="236"/>
        <w:gridCol w:w="236"/>
        <w:gridCol w:w="236"/>
        <w:gridCol w:w="227"/>
        <w:gridCol w:w="9"/>
        <w:gridCol w:w="236"/>
        <w:gridCol w:w="238"/>
        <w:gridCol w:w="236"/>
        <w:gridCol w:w="236"/>
        <w:gridCol w:w="236"/>
        <w:gridCol w:w="240"/>
      </w:tblGrid>
      <w:tr w:rsidR="00D06348" w:rsidRPr="004561A6" w14:paraId="74230BDC" w14:textId="77777777" w:rsidTr="005500BD">
        <w:trPr>
          <w:cantSplit/>
          <w:trHeight w:val="737"/>
          <w:tblHeader/>
        </w:trPr>
        <w:tc>
          <w:tcPr>
            <w:tcW w:w="2415" w:type="pct"/>
            <w:tcBorders>
              <w:top w:val="single" w:sz="4" w:space="0" w:color="auto"/>
              <w:left w:val="single" w:sz="4" w:space="0" w:color="auto"/>
              <w:right w:val="single" w:sz="4" w:space="0" w:color="auto"/>
            </w:tcBorders>
            <w:vAlign w:val="center"/>
          </w:tcPr>
          <w:p w14:paraId="20912AB9" w14:textId="77777777" w:rsidR="00D06348" w:rsidRPr="004561A6" w:rsidRDefault="00D06348" w:rsidP="00D57552">
            <w:pPr>
              <w:spacing w:before="60" w:after="60" w:line="240" w:lineRule="auto"/>
              <w:contextualSpacing/>
              <w:jc w:val="center"/>
              <w:rPr>
                <w:rFonts w:cs="Arial"/>
                <w:b/>
                <w:sz w:val="18"/>
                <w:szCs w:val="18"/>
              </w:rPr>
            </w:pPr>
            <w:r>
              <w:rPr>
                <w:rFonts w:cs="Arial"/>
                <w:b/>
                <w:sz w:val="18"/>
                <w:szCs w:val="18"/>
              </w:rPr>
              <w:t>CEWH</w:t>
            </w:r>
            <w:r w:rsidRPr="004561A6">
              <w:rPr>
                <w:rFonts w:cs="Arial"/>
                <w:b/>
                <w:sz w:val="18"/>
                <w:szCs w:val="18"/>
              </w:rPr>
              <w:t xml:space="preserve"> evaluation questions</w:t>
            </w:r>
          </w:p>
        </w:tc>
        <w:tc>
          <w:tcPr>
            <w:tcW w:w="258" w:type="pct"/>
            <w:gridSpan w:val="2"/>
            <w:tcBorders>
              <w:top w:val="single" w:sz="4" w:space="0" w:color="auto"/>
              <w:left w:val="single" w:sz="4" w:space="0" w:color="auto"/>
              <w:bottom w:val="single" w:sz="4" w:space="0" w:color="auto"/>
              <w:right w:val="single" w:sz="4" w:space="0" w:color="auto"/>
            </w:tcBorders>
            <w:textDirection w:val="btLr"/>
          </w:tcPr>
          <w:p w14:paraId="7C20CF0C" w14:textId="77777777" w:rsidR="00D06348" w:rsidRPr="004D4940" w:rsidRDefault="00D06348" w:rsidP="00D57552">
            <w:pPr>
              <w:spacing w:before="60" w:after="60" w:line="240" w:lineRule="auto"/>
              <w:ind w:left="113" w:right="113"/>
              <w:contextualSpacing/>
              <w:jc w:val="center"/>
              <w:rPr>
                <w:rFonts w:cs="Arial"/>
                <w:b/>
                <w:sz w:val="18"/>
                <w:szCs w:val="18"/>
              </w:rPr>
            </w:pPr>
            <w:r w:rsidRPr="004D4940">
              <w:rPr>
                <w:rFonts w:cs="Arial"/>
                <w:b/>
                <w:sz w:val="18"/>
                <w:szCs w:val="18"/>
              </w:rPr>
              <w:t>14-15</w:t>
            </w:r>
          </w:p>
        </w:tc>
        <w:tc>
          <w:tcPr>
            <w:tcW w:w="258" w:type="pct"/>
            <w:gridSpan w:val="2"/>
            <w:tcBorders>
              <w:top w:val="single" w:sz="4" w:space="0" w:color="auto"/>
              <w:left w:val="single" w:sz="4" w:space="0" w:color="auto"/>
              <w:bottom w:val="single" w:sz="4" w:space="0" w:color="auto"/>
              <w:right w:val="single" w:sz="4" w:space="0" w:color="auto"/>
            </w:tcBorders>
            <w:textDirection w:val="btLr"/>
          </w:tcPr>
          <w:p w14:paraId="11B40961" w14:textId="77777777" w:rsidR="00D06348" w:rsidRPr="004D4940" w:rsidRDefault="00D06348" w:rsidP="00D57552">
            <w:pPr>
              <w:spacing w:before="60" w:after="60" w:line="240" w:lineRule="auto"/>
              <w:ind w:left="113" w:right="113"/>
              <w:contextualSpacing/>
              <w:jc w:val="center"/>
              <w:rPr>
                <w:rFonts w:cs="Arial"/>
                <w:b/>
                <w:sz w:val="18"/>
                <w:szCs w:val="18"/>
              </w:rPr>
            </w:pPr>
            <w:r w:rsidRPr="004D4940">
              <w:rPr>
                <w:rFonts w:cs="Arial"/>
                <w:b/>
                <w:sz w:val="18"/>
                <w:szCs w:val="18"/>
              </w:rPr>
              <w:t>15-16</w:t>
            </w:r>
          </w:p>
        </w:tc>
        <w:tc>
          <w:tcPr>
            <w:tcW w:w="258" w:type="pct"/>
            <w:gridSpan w:val="2"/>
            <w:tcBorders>
              <w:top w:val="single" w:sz="4" w:space="0" w:color="auto"/>
              <w:left w:val="single" w:sz="4" w:space="0" w:color="auto"/>
              <w:bottom w:val="single" w:sz="4" w:space="0" w:color="auto"/>
              <w:right w:val="single" w:sz="4" w:space="0" w:color="auto"/>
            </w:tcBorders>
            <w:textDirection w:val="btLr"/>
          </w:tcPr>
          <w:p w14:paraId="42D89831" w14:textId="77777777" w:rsidR="00D06348" w:rsidRPr="004D4940" w:rsidRDefault="00D06348" w:rsidP="00D57552">
            <w:pPr>
              <w:spacing w:before="60" w:after="60" w:line="240" w:lineRule="auto"/>
              <w:ind w:left="113" w:right="113"/>
              <w:contextualSpacing/>
              <w:jc w:val="center"/>
              <w:rPr>
                <w:rFonts w:cs="Arial"/>
                <w:b/>
                <w:sz w:val="18"/>
                <w:szCs w:val="18"/>
              </w:rPr>
            </w:pPr>
            <w:r w:rsidRPr="004D4940">
              <w:rPr>
                <w:rFonts w:cs="Arial"/>
                <w:b/>
                <w:sz w:val="18"/>
                <w:szCs w:val="18"/>
              </w:rPr>
              <w:t>16-17</w:t>
            </w:r>
          </w:p>
        </w:tc>
        <w:tc>
          <w:tcPr>
            <w:tcW w:w="258" w:type="pct"/>
            <w:gridSpan w:val="2"/>
            <w:tcBorders>
              <w:top w:val="single" w:sz="4" w:space="0" w:color="auto"/>
              <w:left w:val="single" w:sz="4" w:space="0" w:color="auto"/>
              <w:bottom w:val="single" w:sz="4" w:space="0" w:color="auto"/>
              <w:right w:val="single" w:sz="4" w:space="0" w:color="auto"/>
            </w:tcBorders>
            <w:textDirection w:val="btLr"/>
          </w:tcPr>
          <w:p w14:paraId="0A53745C" w14:textId="77777777" w:rsidR="00D06348" w:rsidRPr="004D4940" w:rsidRDefault="00D06348" w:rsidP="00D57552">
            <w:pPr>
              <w:spacing w:before="60" w:after="60" w:line="240" w:lineRule="auto"/>
              <w:ind w:left="113" w:right="113"/>
              <w:contextualSpacing/>
              <w:jc w:val="center"/>
              <w:rPr>
                <w:rFonts w:cs="Arial"/>
                <w:b/>
                <w:sz w:val="18"/>
                <w:szCs w:val="18"/>
              </w:rPr>
            </w:pPr>
            <w:r w:rsidRPr="004D4940">
              <w:rPr>
                <w:rFonts w:cs="Arial"/>
                <w:b/>
                <w:sz w:val="18"/>
                <w:szCs w:val="18"/>
              </w:rPr>
              <w:t>17-18</w:t>
            </w:r>
          </w:p>
        </w:tc>
        <w:tc>
          <w:tcPr>
            <w:tcW w:w="258" w:type="pct"/>
            <w:gridSpan w:val="2"/>
            <w:tcBorders>
              <w:top w:val="single" w:sz="4" w:space="0" w:color="auto"/>
              <w:left w:val="single" w:sz="4" w:space="0" w:color="auto"/>
              <w:bottom w:val="single" w:sz="4" w:space="0" w:color="auto"/>
              <w:right w:val="single" w:sz="4" w:space="0" w:color="auto"/>
            </w:tcBorders>
            <w:textDirection w:val="btLr"/>
          </w:tcPr>
          <w:p w14:paraId="3EA397C2" w14:textId="77777777" w:rsidR="00D06348" w:rsidRPr="004D4940" w:rsidRDefault="00D06348" w:rsidP="00D57552">
            <w:pPr>
              <w:spacing w:before="60" w:after="60" w:line="240" w:lineRule="auto"/>
              <w:ind w:left="113" w:right="113"/>
              <w:contextualSpacing/>
              <w:jc w:val="center"/>
              <w:rPr>
                <w:rFonts w:cs="Arial"/>
                <w:b/>
                <w:sz w:val="18"/>
                <w:szCs w:val="18"/>
              </w:rPr>
            </w:pPr>
            <w:r w:rsidRPr="004D4940">
              <w:rPr>
                <w:rFonts w:cs="Arial"/>
                <w:b/>
                <w:sz w:val="18"/>
                <w:szCs w:val="18"/>
              </w:rPr>
              <w:t>18-19</w:t>
            </w:r>
          </w:p>
        </w:tc>
        <w:tc>
          <w:tcPr>
            <w:tcW w:w="258" w:type="pct"/>
            <w:gridSpan w:val="2"/>
            <w:tcBorders>
              <w:top w:val="single" w:sz="4" w:space="0" w:color="auto"/>
              <w:left w:val="single" w:sz="4" w:space="0" w:color="auto"/>
              <w:bottom w:val="single" w:sz="4" w:space="0" w:color="auto"/>
              <w:right w:val="single" w:sz="4" w:space="0" w:color="auto"/>
            </w:tcBorders>
            <w:textDirection w:val="btLr"/>
          </w:tcPr>
          <w:p w14:paraId="2501B902" w14:textId="77777777" w:rsidR="00D06348" w:rsidRPr="004D4940" w:rsidRDefault="00D06348" w:rsidP="00D57552">
            <w:pPr>
              <w:spacing w:before="60" w:after="60" w:line="240" w:lineRule="auto"/>
              <w:ind w:left="113" w:right="113"/>
              <w:contextualSpacing/>
              <w:jc w:val="center"/>
              <w:rPr>
                <w:rFonts w:cs="Arial"/>
                <w:b/>
                <w:sz w:val="18"/>
                <w:szCs w:val="18"/>
              </w:rPr>
            </w:pPr>
            <w:r w:rsidRPr="004D4940">
              <w:rPr>
                <w:rFonts w:cs="Arial"/>
                <w:b/>
                <w:sz w:val="18"/>
                <w:szCs w:val="18"/>
              </w:rPr>
              <w:t>19-20</w:t>
            </w:r>
          </w:p>
        </w:tc>
        <w:tc>
          <w:tcPr>
            <w:tcW w:w="253" w:type="pct"/>
            <w:gridSpan w:val="2"/>
            <w:tcBorders>
              <w:top w:val="single" w:sz="4" w:space="0" w:color="auto"/>
              <w:left w:val="single" w:sz="4" w:space="0" w:color="auto"/>
              <w:bottom w:val="single" w:sz="4" w:space="0" w:color="auto"/>
              <w:right w:val="single" w:sz="4" w:space="0" w:color="auto"/>
            </w:tcBorders>
            <w:textDirection w:val="btLr"/>
          </w:tcPr>
          <w:p w14:paraId="4E2338CC" w14:textId="77777777" w:rsidR="00D06348" w:rsidRPr="004D4940" w:rsidRDefault="00D06348" w:rsidP="00D57552">
            <w:pPr>
              <w:spacing w:before="60" w:after="60" w:line="240" w:lineRule="auto"/>
              <w:ind w:left="113" w:right="113"/>
              <w:contextualSpacing/>
              <w:jc w:val="center"/>
              <w:rPr>
                <w:rFonts w:cs="Arial"/>
                <w:b/>
                <w:sz w:val="18"/>
                <w:szCs w:val="18"/>
              </w:rPr>
            </w:pPr>
            <w:r w:rsidRPr="004D4940">
              <w:rPr>
                <w:rFonts w:cs="Arial"/>
                <w:b/>
                <w:sz w:val="18"/>
                <w:szCs w:val="18"/>
              </w:rPr>
              <w:t>20-21</w:t>
            </w:r>
          </w:p>
        </w:tc>
        <w:tc>
          <w:tcPr>
            <w:tcW w:w="264" w:type="pct"/>
            <w:gridSpan w:val="3"/>
            <w:tcBorders>
              <w:top w:val="single" w:sz="4" w:space="0" w:color="auto"/>
              <w:left w:val="single" w:sz="4" w:space="0" w:color="auto"/>
              <w:bottom w:val="single" w:sz="4" w:space="0" w:color="auto"/>
              <w:right w:val="single" w:sz="4" w:space="0" w:color="auto"/>
            </w:tcBorders>
            <w:textDirection w:val="btLr"/>
          </w:tcPr>
          <w:p w14:paraId="3846D75B" w14:textId="77777777" w:rsidR="00D06348" w:rsidRPr="004D4940" w:rsidRDefault="00D06348" w:rsidP="00D57552">
            <w:pPr>
              <w:spacing w:before="60" w:after="60" w:line="240" w:lineRule="auto"/>
              <w:ind w:left="113" w:right="113"/>
              <w:contextualSpacing/>
              <w:jc w:val="center"/>
              <w:rPr>
                <w:rFonts w:cs="Arial"/>
                <w:b/>
                <w:sz w:val="18"/>
                <w:szCs w:val="18"/>
              </w:rPr>
            </w:pPr>
            <w:r w:rsidRPr="004D4940">
              <w:rPr>
                <w:rFonts w:cs="Arial"/>
                <w:b/>
                <w:sz w:val="18"/>
                <w:szCs w:val="18"/>
              </w:rPr>
              <w:t xml:space="preserve">21-22 </w:t>
            </w:r>
          </w:p>
        </w:tc>
        <w:tc>
          <w:tcPr>
            <w:tcW w:w="258" w:type="pct"/>
            <w:gridSpan w:val="2"/>
            <w:tcBorders>
              <w:top w:val="single" w:sz="4" w:space="0" w:color="auto"/>
              <w:left w:val="single" w:sz="4" w:space="0" w:color="auto"/>
              <w:bottom w:val="single" w:sz="4" w:space="0" w:color="auto"/>
              <w:right w:val="single" w:sz="4" w:space="0" w:color="auto"/>
            </w:tcBorders>
            <w:textDirection w:val="btLr"/>
          </w:tcPr>
          <w:p w14:paraId="10C09175" w14:textId="77777777" w:rsidR="00D06348" w:rsidRPr="004D4940" w:rsidRDefault="00D06348" w:rsidP="00D57552">
            <w:pPr>
              <w:spacing w:before="60" w:after="60" w:line="240" w:lineRule="auto"/>
              <w:ind w:left="113" w:right="113"/>
              <w:contextualSpacing/>
              <w:jc w:val="center"/>
              <w:rPr>
                <w:rFonts w:cs="Arial"/>
                <w:b/>
                <w:sz w:val="18"/>
                <w:szCs w:val="18"/>
              </w:rPr>
            </w:pPr>
            <w:r w:rsidRPr="004D4940">
              <w:rPr>
                <w:rFonts w:cs="Arial"/>
                <w:b/>
                <w:sz w:val="18"/>
                <w:szCs w:val="18"/>
              </w:rPr>
              <w:t>22-23</w:t>
            </w:r>
          </w:p>
        </w:tc>
        <w:tc>
          <w:tcPr>
            <w:tcW w:w="260" w:type="pct"/>
            <w:gridSpan w:val="2"/>
            <w:tcBorders>
              <w:top w:val="single" w:sz="4" w:space="0" w:color="auto"/>
              <w:left w:val="single" w:sz="4" w:space="0" w:color="auto"/>
              <w:bottom w:val="single" w:sz="4" w:space="0" w:color="auto"/>
              <w:right w:val="single" w:sz="4" w:space="0" w:color="auto"/>
            </w:tcBorders>
            <w:textDirection w:val="btLr"/>
          </w:tcPr>
          <w:p w14:paraId="4698EF59" w14:textId="77777777" w:rsidR="00D06348" w:rsidRPr="004D4940" w:rsidRDefault="00D06348" w:rsidP="00D57552">
            <w:pPr>
              <w:spacing w:before="60" w:after="60" w:line="240" w:lineRule="auto"/>
              <w:ind w:left="113" w:right="113"/>
              <w:contextualSpacing/>
              <w:jc w:val="center"/>
              <w:rPr>
                <w:rFonts w:cs="Arial"/>
                <w:b/>
                <w:sz w:val="18"/>
                <w:szCs w:val="18"/>
              </w:rPr>
            </w:pPr>
            <w:r w:rsidRPr="004D4940">
              <w:rPr>
                <w:rFonts w:cs="Arial"/>
                <w:b/>
                <w:sz w:val="18"/>
                <w:szCs w:val="18"/>
              </w:rPr>
              <w:t>23-24</w:t>
            </w:r>
          </w:p>
        </w:tc>
      </w:tr>
      <w:tr w:rsidR="009D2534" w:rsidRPr="004561A6" w14:paraId="57D4DF5D" w14:textId="77777777" w:rsidTr="005500BD">
        <w:trPr>
          <w:cantSplit/>
          <w:trHeight w:val="255"/>
        </w:trPr>
        <w:tc>
          <w:tcPr>
            <w:tcW w:w="2415" w:type="pct"/>
            <w:tcBorders>
              <w:top w:val="single" w:sz="4" w:space="0" w:color="auto"/>
              <w:left w:val="single" w:sz="4" w:space="0" w:color="auto"/>
              <w:right w:val="single" w:sz="4" w:space="0" w:color="auto"/>
            </w:tcBorders>
            <w:vAlign w:val="center"/>
          </w:tcPr>
          <w:p w14:paraId="7F8AF1A7" w14:textId="77777777" w:rsidR="00D06348" w:rsidRPr="004561A6" w:rsidRDefault="00D06348" w:rsidP="00D57552">
            <w:pPr>
              <w:spacing w:before="60" w:after="60" w:line="240" w:lineRule="auto"/>
              <w:contextualSpacing/>
              <w:jc w:val="left"/>
              <w:rPr>
                <w:sz w:val="18"/>
                <w:szCs w:val="18"/>
              </w:rPr>
            </w:pPr>
            <w:r w:rsidRPr="004561A6">
              <w:rPr>
                <w:sz w:val="18"/>
                <w:szCs w:val="18"/>
              </w:rPr>
              <w:t>What did CEW contribute to salinity levels at the Murray Mouth?</w:t>
            </w:r>
            <w:r>
              <w:rPr>
                <w:sz w:val="18"/>
                <w:szCs w:val="18"/>
              </w:rPr>
              <w:t xml:space="preserve"> *</w:t>
            </w:r>
          </w:p>
        </w:tc>
        <w:tc>
          <w:tcPr>
            <w:tcW w:w="129" w:type="pct"/>
            <w:tcBorders>
              <w:top w:val="single" w:sz="4" w:space="0" w:color="auto"/>
              <w:left w:val="single" w:sz="4" w:space="0" w:color="auto"/>
              <w:bottom w:val="single" w:sz="4" w:space="0" w:color="auto"/>
              <w:right w:val="nil"/>
            </w:tcBorders>
            <w:shd w:val="clear" w:color="auto" w:fill="70AD47" w:themeFill="accent6"/>
            <w:vAlign w:val="center"/>
          </w:tcPr>
          <w:p w14:paraId="106581E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70AD47" w:themeFill="accent6"/>
            <w:vAlign w:val="center"/>
          </w:tcPr>
          <w:p w14:paraId="2134C2CD"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vAlign w:val="center"/>
          </w:tcPr>
          <w:p w14:paraId="0021E41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A8D08D" w:themeFill="accent6" w:themeFillTint="99"/>
            <w:vAlign w:val="center"/>
          </w:tcPr>
          <w:p w14:paraId="2F37902F"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70AD47" w:themeFill="accent6"/>
            <w:vAlign w:val="center"/>
          </w:tcPr>
          <w:p w14:paraId="01A32868"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70AD47" w:themeFill="accent6"/>
            <w:vAlign w:val="center"/>
          </w:tcPr>
          <w:p w14:paraId="6B51CAA9"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70AD47" w:themeFill="accent6"/>
            <w:vAlign w:val="center"/>
          </w:tcPr>
          <w:p w14:paraId="3BD8AE08"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70AD47" w:themeFill="accent6"/>
            <w:vAlign w:val="center"/>
          </w:tcPr>
          <w:p w14:paraId="029938DC" w14:textId="63344F05"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vAlign w:val="center"/>
          </w:tcPr>
          <w:p w14:paraId="4B26FC21" w14:textId="14A7D2DD"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A8D08D" w:themeFill="accent6" w:themeFillTint="99"/>
            <w:vAlign w:val="center"/>
          </w:tcPr>
          <w:p w14:paraId="31A35E46" w14:textId="49C138AB"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tcPr>
          <w:p w14:paraId="63647D91" w14:textId="1BA2A5D9"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A8D08D" w:themeFill="accent6" w:themeFillTint="99"/>
          </w:tcPr>
          <w:p w14:paraId="21321139" w14:textId="21CB9F15"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tcPr>
          <w:p w14:paraId="18CB809D" w14:textId="1C22AA4B" w:rsidR="00D06348" w:rsidRPr="004D4940" w:rsidRDefault="00D06348" w:rsidP="00D57552">
            <w:pPr>
              <w:spacing w:before="60" w:after="60" w:line="240" w:lineRule="auto"/>
              <w:contextualSpacing/>
              <w:jc w:val="left"/>
              <w:rPr>
                <w:sz w:val="18"/>
                <w:szCs w:val="18"/>
              </w:rPr>
            </w:pPr>
          </w:p>
        </w:tc>
        <w:tc>
          <w:tcPr>
            <w:tcW w:w="129" w:type="pct"/>
            <w:gridSpan w:val="2"/>
            <w:tcBorders>
              <w:top w:val="single" w:sz="4" w:space="0" w:color="auto"/>
              <w:left w:val="nil"/>
              <w:bottom w:val="single" w:sz="4" w:space="0" w:color="auto"/>
              <w:right w:val="single" w:sz="4" w:space="0" w:color="auto"/>
            </w:tcBorders>
            <w:shd w:val="clear" w:color="auto" w:fill="5B9BD5" w:themeFill="accent1"/>
          </w:tcPr>
          <w:p w14:paraId="5211D6C2" w14:textId="14F1D26F"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1168B482" w14:textId="77777777" w:rsidR="00D06348" w:rsidRPr="004D4940" w:rsidRDefault="00D06348" w:rsidP="00D57552">
            <w:pPr>
              <w:spacing w:before="60" w:after="60" w:line="240" w:lineRule="auto"/>
              <w:contextualSpacing/>
              <w:jc w:val="left"/>
              <w:rPr>
                <w:sz w:val="18"/>
                <w:szCs w:val="18"/>
              </w:rPr>
            </w:pPr>
          </w:p>
        </w:tc>
        <w:tc>
          <w:tcPr>
            <w:tcW w:w="130" w:type="pct"/>
            <w:tcBorders>
              <w:top w:val="single" w:sz="4" w:space="0" w:color="auto"/>
              <w:left w:val="nil"/>
              <w:bottom w:val="single" w:sz="4" w:space="0" w:color="auto"/>
              <w:right w:val="single" w:sz="4" w:space="0" w:color="auto"/>
            </w:tcBorders>
            <w:shd w:val="clear" w:color="auto" w:fill="E2EFD9" w:themeFill="accent6" w:themeFillTint="33"/>
          </w:tcPr>
          <w:p w14:paraId="78E1A582"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0397549B"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E2EFD9" w:themeFill="accent6" w:themeFillTint="33"/>
          </w:tcPr>
          <w:p w14:paraId="5F9572D5"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03633BE3" w14:textId="77777777" w:rsidR="00D06348" w:rsidRPr="004D4940" w:rsidRDefault="00D06348" w:rsidP="00D57552">
            <w:pPr>
              <w:spacing w:before="60" w:after="60" w:line="240" w:lineRule="auto"/>
              <w:contextualSpacing/>
              <w:jc w:val="left"/>
              <w:rPr>
                <w:sz w:val="18"/>
                <w:szCs w:val="18"/>
              </w:rPr>
            </w:pPr>
          </w:p>
        </w:tc>
        <w:tc>
          <w:tcPr>
            <w:tcW w:w="131" w:type="pct"/>
            <w:tcBorders>
              <w:top w:val="single" w:sz="4" w:space="0" w:color="auto"/>
              <w:left w:val="nil"/>
              <w:bottom w:val="single" w:sz="4" w:space="0" w:color="auto"/>
              <w:right w:val="single" w:sz="4" w:space="0" w:color="auto"/>
            </w:tcBorders>
            <w:shd w:val="clear" w:color="auto" w:fill="E2EFD9" w:themeFill="accent6" w:themeFillTint="33"/>
          </w:tcPr>
          <w:p w14:paraId="10FD132A" w14:textId="77777777" w:rsidR="00D06348" w:rsidRPr="004D4940" w:rsidRDefault="00D06348" w:rsidP="00D57552">
            <w:pPr>
              <w:spacing w:before="60" w:after="60" w:line="240" w:lineRule="auto"/>
              <w:contextualSpacing/>
              <w:jc w:val="left"/>
              <w:rPr>
                <w:sz w:val="18"/>
                <w:szCs w:val="18"/>
              </w:rPr>
            </w:pPr>
          </w:p>
        </w:tc>
      </w:tr>
      <w:tr w:rsidR="00D06348" w:rsidRPr="004561A6" w14:paraId="194071F6" w14:textId="77777777" w:rsidTr="005500BD">
        <w:trPr>
          <w:cantSplit/>
          <w:trHeight w:val="255"/>
        </w:trPr>
        <w:tc>
          <w:tcPr>
            <w:tcW w:w="2415" w:type="pct"/>
            <w:tcBorders>
              <w:top w:val="single" w:sz="4" w:space="0" w:color="auto"/>
              <w:left w:val="single" w:sz="4" w:space="0" w:color="auto"/>
              <w:right w:val="single" w:sz="4" w:space="0" w:color="auto"/>
            </w:tcBorders>
          </w:tcPr>
          <w:p w14:paraId="1C89D9F7" w14:textId="77777777" w:rsidR="00D06348" w:rsidRPr="00BA50A1" w:rsidRDefault="00D06348" w:rsidP="00D57552">
            <w:pPr>
              <w:spacing w:before="60" w:after="60" w:line="240" w:lineRule="auto"/>
              <w:contextualSpacing/>
              <w:jc w:val="left"/>
              <w:rPr>
                <w:sz w:val="18"/>
                <w:szCs w:val="18"/>
                <w:highlight w:val="yellow"/>
              </w:rPr>
            </w:pPr>
            <w:r w:rsidRPr="00C162EB">
              <w:rPr>
                <w:sz w:val="18"/>
                <w:szCs w:val="18"/>
              </w:rPr>
              <w:t>What did CEW contribute to salinity levels in the North Lagoon?</w:t>
            </w:r>
            <w:r>
              <w:rPr>
                <w:sz w:val="18"/>
                <w:szCs w:val="18"/>
              </w:rPr>
              <w:t xml:space="preserve"> *</w:t>
            </w: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6F7B90C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726DF709"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7FAAFEE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5E015CF3"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7557B44F"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40AD395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507D247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6BEC6748"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674319A2"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143B4C0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tcPr>
          <w:p w14:paraId="41E0326F"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tcPr>
          <w:p w14:paraId="50FBA543"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tcPr>
          <w:p w14:paraId="60FFEC7B" w14:textId="77777777" w:rsidR="00D06348" w:rsidRPr="004D4940" w:rsidRDefault="00D06348" w:rsidP="00D57552">
            <w:pPr>
              <w:spacing w:before="60" w:after="60" w:line="240" w:lineRule="auto"/>
              <w:contextualSpacing/>
              <w:jc w:val="left"/>
              <w:rPr>
                <w:sz w:val="18"/>
                <w:szCs w:val="18"/>
              </w:rPr>
            </w:pPr>
          </w:p>
        </w:tc>
        <w:tc>
          <w:tcPr>
            <w:tcW w:w="129" w:type="pct"/>
            <w:gridSpan w:val="2"/>
            <w:tcBorders>
              <w:top w:val="single" w:sz="4" w:space="0" w:color="auto"/>
              <w:left w:val="nil"/>
              <w:bottom w:val="single" w:sz="4" w:space="0" w:color="auto"/>
              <w:right w:val="single" w:sz="4" w:space="0" w:color="auto"/>
            </w:tcBorders>
            <w:shd w:val="clear" w:color="auto" w:fill="5B9BD5" w:themeFill="accent1"/>
          </w:tcPr>
          <w:p w14:paraId="55200F29"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70AD47" w:themeFill="accent6"/>
          </w:tcPr>
          <w:p w14:paraId="49F287FD" w14:textId="02C8E6D4" w:rsidR="00D06348" w:rsidRPr="004D4940" w:rsidRDefault="00D06348" w:rsidP="00D57552">
            <w:pPr>
              <w:spacing w:before="60" w:after="60" w:line="240" w:lineRule="auto"/>
              <w:contextualSpacing/>
              <w:jc w:val="left"/>
              <w:rPr>
                <w:sz w:val="18"/>
                <w:szCs w:val="18"/>
              </w:rPr>
            </w:pPr>
          </w:p>
        </w:tc>
        <w:tc>
          <w:tcPr>
            <w:tcW w:w="130" w:type="pct"/>
            <w:tcBorders>
              <w:top w:val="single" w:sz="4" w:space="0" w:color="auto"/>
              <w:left w:val="nil"/>
              <w:bottom w:val="single" w:sz="4" w:space="0" w:color="auto"/>
              <w:right w:val="single" w:sz="4" w:space="0" w:color="auto"/>
            </w:tcBorders>
            <w:shd w:val="clear" w:color="auto" w:fill="70AD47" w:themeFill="accent6"/>
          </w:tcPr>
          <w:p w14:paraId="7857C48E"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5A1C7F02"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E2EFD9" w:themeFill="accent6" w:themeFillTint="33"/>
          </w:tcPr>
          <w:p w14:paraId="124160A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tcPr>
          <w:p w14:paraId="71256983" w14:textId="77777777" w:rsidR="00D06348" w:rsidRPr="004D4940" w:rsidRDefault="00D06348" w:rsidP="00D57552">
            <w:pPr>
              <w:spacing w:before="60" w:after="60" w:line="240" w:lineRule="auto"/>
              <w:contextualSpacing/>
              <w:jc w:val="left"/>
              <w:rPr>
                <w:sz w:val="18"/>
                <w:szCs w:val="18"/>
              </w:rPr>
            </w:pPr>
          </w:p>
        </w:tc>
        <w:tc>
          <w:tcPr>
            <w:tcW w:w="131" w:type="pct"/>
            <w:tcBorders>
              <w:top w:val="single" w:sz="4" w:space="0" w:color="auto"/>
              <w:left w:val="nil"/>
              <w:bottom w:val="single" w:sz="4" w:space="0" w:color="auto"/>
              <w:right w:val="single" w:sz="4" w:space="0" w:color="auto"/>
            </w:tcBorders>
            <w:shd w:val="clear" w:color="auto" w:fill="A8D08D" w:themeFill="accent6" w:themeFillTint="99"/>
          </w:tcPr>
          <w:p w14:paraId="434DC30C" w14:textId="77777777" w:rsidR="00D06348" w:rsidRPr="004D4940" w:rsidRDefault="00D06348" w:rsidP="00D57552">
            <w:pPr>
              <w:spacing w:before="60" w:after="60" w:line="240" w:lineRule="auto"/>
              <w:contextualSpacing/>
              <w:jc w:val="left"/>
              <w:rPr>
                <w:sz w:val="18"/>
                <w:szCs w:val="18"/>
              </w:rPr>
            </w:pPr>
          </w:p>
        </w:tc>
      </w:tr>
      <w:tr w:rsidR="00D06348" w:rsidRPr="004561A6" w14:paraId="71B37B6C" w14:textId="77777777" w:rsidTr="005500BD">
        <w:trPr>
          <w:cantSplit/>
          <w:trHeight w:val="255"/>
        </w:trPr>
        <w:tc>
          <w:tcPr>
            <w:tcW w:w="2415" w:type="pct"/>
            <w:tcBorders>
              <w:top w:val="single" w:sz="4" w:space="0" w:color="auto"/>
              <w:left w:val="single" w:sz="4" w:space="0" w:color="auto"/>
              <w:right w:val="single" w:sz="4" w:space="0" w:color="auto"/>
            </w:tcBorders>
            <w:vAlign w:val="center"/>
          </w:tcPr>
          <w:p w14:paraId="5860B299" w14:textId="77777777" w:rsidR="00D06348" w:rsidRPr="004561A6" w:rsidRDefault="00D06348" w:rsidP="00D57552">
            <w:pPr>
              <w:spacing w:before="60" w:after="60" w:line="240" w:lineRule="auto"/>
              <w:contextualSpacing/>
              <w:jc w:val="left"/>
              <w:rPr>
                <w:sz w:val="18"/>
                <w:szCs w:val="18"/>
              </w:rPr>
            </w:pPr>
            <w:r w:rsidRPr="004561A6">
              <w:rPr>
                <w:sz w:val="18"/>
                <w:szCs w:val="18"/>
              </w:rPr>
              <w:t>What did CEW contribute to the salt transport</w:t>
            </w:r>
            <w:r>
              <w:rPr>
                <w:sz w:val="18"/>
                <w:szCs w:val="18"/>
              </w:rPr>
              <w:t xml:space="preserve"> through the barrages</w:t>
            </w:r>
            <w:r w:rsidRPr="004561A6">
              <w:rPr>
                <w:sz w:val="18"/>
                <w:szCs w:val="18"/>
              </w:rPr>
              <w:t>?</w:t>
            </w: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10B07552"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5C91872E"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55FBD8FC"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39C01D41"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vAlign w:val="center"/>
          </w:tcPr>
          <w:p w14:paraId="1A2F1B0F"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A8D08D" w:themeFill="accent6" w:themeFillTint="99"/>
            <w:vAlign w:val="center"/>
          </w:tcPr>
          <w:p w14:paraId="1C2DDD20"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2688E3D3"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6C98EF4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421FE6D5"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5CE75F3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tcPr>
          <w:p w14:paraId="333C4853"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tcPr>
          <w:p w14:paraId="2AAF6A5A"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tcPr>
          <w:p w14:paraId="268FBC23" w14:textId="77777777" w:rsidR="00D06348" w:rsidRPr="004D4940" w:rsidRDefault="00D06348" w:rsidP="00D57552">
            <w:pPr>
              <w:spacing w:before="60" w:after="60" w:line="240" w:lineRule="auto"/>
              <w:contextualSpacing/>
              <w:jc w:val="left"/>
              <w:rPr>
                <w:sz w:val="18"/>
                <w:szCs w:val="18"/>
              </w:rPr>
            </w:pPr>
          </w:p>
        </w:tc>
        <w:tc>
          <w:tcPr>
            <w:tcW w:w="129" w:type="pct"/>
            <w:gridSpan w:val="2"/>
            <w:tcBorders>
              <w:top w:val="single" w:sz="4" w:space="0" w:color="auto"/>
              <w:left w:val="nil"/>
              <w:bottom w:val="single" w:sz="4" w:space="0" w:color="auto"/>
              <w:right w:val="single" w:sz="4" w:space="0" w:color="auto"/>
            </w:tcBorders>
            <w:shd w:val="clear" w:color="auto" w:fill="5B9BD5" w:themeFill="accent1"/>
          </w:tcPr>
          <w:p w14:paraId="7331627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tcPr>
          <w:p w14:paraId="489AF0E1" w14:textId="5F446FFB" w:rsidR="00D06348" w:rsidRPr="004D4940" w:rsidRDefault="00D06348" w:rsidP="00D57552">
            <w:pPr>
              <w:spacing w:before="60" w:after="60" w:line="240" w:lineRule="auto"/>
              <w:contextualSpacing/>
              <w:jc w:val="left"/>
              <w:rPr>
                <w:sz w:val="18"/>
                <w:szCs w:val="18"/>
              </w:rPr>
            </w:pPr>
          </w:p>
        </w:tc>
        <w:tc>
          <w:tcPr>
            <w:tcW w:w="130" w:type="pct"/>
            <w:tcBorders>
              <w:top w:val="single" w:sz="4" w:space="0" w:color="auto"/>
              <w:left w:val="nil"/>
              <w:bottom w:val="single" w:sz="4" w:space="0" w:color="auto"/>
              <w:right w:val="single" w:sz="4" w:space="0" w:color="auto"/>
            </w:tcBorders>
            <w:shd w:val="clear" w:color="auto" w:fill="A8D08D" w:themeFill="accent6" w:themeFillTint="99"/>
          </w:tcPr>
          <w:p w14:paraId="7B17C193" w14:textId="54A529E1"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tcPr>
          <w:p w14:paraId="596A1C70"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A8D08D" w:themeFill="accent6" w:themeFillTint="99"/>
          </w:tcPr>
          <w:p w14:paraId="56D1CE3A"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tcPr>
          <w:p w14:paraId="49E1633B" w14:textId="77777777" w:rsidR="00D06348" w:rsidRPr="004D4940" w:rsidRDefault="00D06348" w:rsidP="00D57552">
            <w:pPr>
              <w:spacing w:before="60" w:after="60" w:line="240" w:lineRule="auto"/>
              <w:contextualSpacing/>
              <w:jc w:val="left"/>
              <w:rPr>
                <w:sz w:val="18"/>
                <w:szCs w:val="18"/>
              </w:rPr>
            </w:pPr>
          </w:p>
        </w:tc>
        <w:tc>
          <w:tcPr>
            <w:tcW w:w="131" w:type="pct"/>
            <w:tcBorders>
              <w:top w:val="single" w:sz="4" w:space="0" w:color="auto"/>
              <w:left w:val="nil"/>
              <w:bottom w:val="single" w:sz="4" w:space="0" w:color="auto"/>
              <w:right w:val="single" w:sz="4" w:space="0" w:color="auto"/>
            </w:tcBorders>
            <w:shd w:val="clear" w:color="auto" w:fill="A8D08D" w:themeFill="accent6" w:themeFillTint="99"/>
          </w:tcPr>
          <w:p w14:paraId="66A8B84E" w14:textId="77777777" w:rsidR="00D06348" w:rsidRPr="004D4940" w:rsidRDefault="00D06348" w:rsidP="00D57552">
            <w:pPr>
              <w:spacing w:before="60" w:after="60" w:line="240" w:lineRule="auto"/>
              <w:contextualSpacing/>
              <w:jc w:val="left"/>
              <w:rPr>
                <w:sz w:val="18"/>
                <w:szCs w:val="18"/>
              </w:rPr>
            </w:pPr>
          </w:p>
        </w:tc>
      </w:tr>
      <w:tr w:rsidR="00D06348" w:rsidRPr="004561A6" w14:paraId="3396EF5A" w14:textId="77777777" w:rsidTr="005500BD">
        <w:trPr>
          <w:cantSplit/>
          <w:trHeight w:val="255"/>
        </w:trPr>
        <w:tc>
          <w:tcPr>
            <w:tcW w:w="2415" w:type="pct"/>
            <w:tcBorders>
              <w:top w:val="single" w:sz="4" w:space="0" w:color="auto"/>
              <w:left w:val="single" w:sz="4" w:space="0" w:color="auto"/>
              <w:right w:val="single" w:sz="4" w:space="0" w:color="auto"/>
            </w:tcBorders>
            <w:vAlign w:val="center"/>
          </w:tcPr>
          <w:p w14:paraId="0D92DE71" w14:textId="77777777" w:rsidR="00D06348" w:rsidRPr="004561A6" w:rsidRDefault="00D06348" w:rsidP="00D57552">
            <w:pPr>
              <w:spacing w:before="60" w:after="60" w:line="240" w:lineRule="auto"/>
              <w:contextualSpacing/>
              <w:jc w:val="left"/>
              <w:rPr>
                <w:sz w:val="18"/>
                <w:szCs w:val="18"/>
              </w:rPr>
            </w:pPr>
            <w:r w:rsidRPr="004561A6">
              <w:rPr>
                <w:sz w:val="18"/>
                <w:szCs w:val="18"/>
              </w:rPr>
              <w:t xml:space="preserve">What did CEW contribute to </w:t>
            </w:r>
            <w:r>
              <w:rPr>
                <w:sz w:val="18"/>
                <w:szCs w:val="18"/>
              </w:rPr>
              <w:t>r</w:t>
            </w:r>
            <w:r w:rsidRPr="002B3CD4">
              <w:rPr>
                <w:sz w:val="18"/>
                <w:szCs w:val="18"/>
              </w:rPr>
              <w:t>eduction of salt import at the Murray Mouth</w:t>
            </w:r>
            <w:r>
              <w:rPr>
                <w:sz w:val="18"/>
                <w:szCs w:val="18"/>
              </w:rPr>
              <w:t>? *</w:t>
            </w: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566C406F"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11F0C2AF"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5C697DAD"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5607485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vAlign w:val="center"/>
          </w:tcPr>
          <w:p w14:paraId="706EFA0F"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A8D08D" w:themeFill="accent6" w:themeFillTint="99"/>
            <w:vAlign w:val="center"/>
          </w:tcPr>
          <w:p w14:paraId="6C7C041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6CB5BCE5"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131C959B"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4AA40AE3"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12428D6B"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tcPr>
          <w:p w14:paraId="1E380B61"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tcPr>
          <w:p w14:paraId="671942FB"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tcPr>
          <w:p w14:paraId="4F2B809B" w14:textId="77777777" w:rsidR="00D06348" w:rsidRPr="004D4940" w:rsidRDefault="00D06348" w:rsidP="00D57552">
            <w:pPr>
              <w:spacing w:before="60" w:after="60" w:line="240" w:lineRule="auto"/>
              <w:contextualSpacing/>
              <w:jc w:val="left"/>
              <w:rPr>
                <w:sz w:val="18"/>
                <w:szCs w:val="18"/>
              </w:rPr>
            </w:pPr>
          </w:p>
        </w:tc>
        <w:tc>
          <w:tcPr>
            <w:tcW w:w="129" w:type="pct"/>
            <w:gridSpan w:val="2"/>
            <w:tcBorders>
              <w:top w:val="single" w:sz="4" w:space="0" w:color="auto"/>
              <w:left w:val="nil"/>
              <w:bottom w:val="single" w:sz="4" w:space="0" w:color="auto"/>
              <w:right w:val="single" w:sz="4" w:space="0" w:color="auto"/>
            </w:tcBorders>
            <w:shd w:val="clear" w:color="auto" w:fill="5B9BD5" w:themeFill="accent1"/>
          </w:tcPr>
          <w:p w14:paraId="52F1A9F3"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1C11C1D8" w14:textId="2824A10E" w:rsidR="00D06348" w:rsidRPr="004D4940" w:rsidRDefault="00D06348" w:rsidP="00D57552">
            <w:pPr>
              <w:spacing w:before="60" w:after="60" w:line="240" w:lineRule="auto"/>
              <w:contextualSpacing/>
              <w:jc w:val="left"/>
              <w:rPr>
                <w:sz w:val="18"/>
                <w:szCs w:val="18"/>
              </w:rPr>
            </w:pPr>
          </w:p>
        </w:tc>
        <w:tc>
          <w:tcPr>
            <w:tcW w:w="130" w:type="pct"/>
            <w:tcBorders>
              <w:top w:val="single" w:sz="4" w:space="0" w:color="auto"/>
              <w:left w:val="nil"/>
              <w:bottom w:val="single" w:sz="4" w:space="0" w:color="auto"/>
              <w:right w:val="single" w:sz="4" w:space="0" w:color="auto"/>
            </w:tcBorders>
            <w:shd w:val="clear" w:color="auto" w:fill="E2EFD9" w:themeFill="accent6" w:themeFillTint="33"/>
          </w:tcPr>
          <w:p w14:paraId="70464AE4" w14:textId="38E79AA6"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53B3FB59"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E2EFD9" w:themeFill="accent6" w:themeFillTint="33"/>
          </w:tcPr>
          <w:p w14:paraId="3ABE5C2D"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70AD47" w:themeFill="accent6"/>
          </w:tcPr>
          <w:p w14:paraId="33E2F1D5" w14:textId="7EC828B6" w:rsidR="00D06348" w:rsidRPr="004D4940" w:rsidRDefault="00D06348" w:rsidP="00D57552">
            <w:pPr>
              <w:spacing w:before="60" w:after="60" w:line="240" w:lineRule="auto"/>
              <w:contextualSpacing/>
              <w:jc w:val="left"/>
              <w:rPr>
                <w:sz w:val="18"/>
                <w:szCs w:val="18"/>
              </w:rPr>
            </w:pPr>
          </w:p>
        </w:tc>
        <w:tc>
          <w:tcPr>
            <w:tcW w:w="131" w:type="pct"/>
            <w:tcBorders>
              <w:top w:val="single" w:sz="4" w:space="0" w:color="auto"/>
              <w:left w:val="nil"/>
              <w:bottom w:val="single" w:sz="4" w:space="0" w:color="auto"/>
              <w:right w:val="single" w:sz="4" w:space="0" w:color="auto"/>
            </w:tcBorders>
            <w:shd w:val="clear" w:color="auto" w:fill="70AD47" w:themeFill="accent6"/>
          </w:tcPr>
          <w:p w14:paraId="246436CC" w14:textId="2682B0DF" w:rsidR="00D06348" w:rsidRPr="004D4940" w:rsidRDefault="00D06348" w:rsidP="00D57552">
            <w:pPr>
              <w:spacing w:before="60" w:after="60" w:line="240" w:lineRule="auto"/>
              <w:contextualSpacing/>
              <w:jc w:val="left"/>
              <w:rPr>
                <w:sz w:val="18"/>
                <w:szCs w:val="18"/>
              </w:rPr>
            </w:pPr>
          </w:p>
        </w:tc>
      </w:tr>
      <w:tr w:rsidR="00D06348" w:rsidRPr="004561A6" w14:paraId="006D3152" w14:textId="77777777" w:rsidTr="005500BD">
        <w:trPr>
          <w:cantSplit/>
          <w:trHeight w:val="255"/>
        </w:trPr>
        <w:tc>
          <w:tcPr>
            <w:tcW w:w="2415" w:type="pct"/>
            <w:tcBorders>
              <w:top w:val="single" w:sz="4" w:space="0" w:color="auto"/>
              <w:left w:val="single" w:sz="4" w:space="0" w:color="auto"/>
              <w:right w:val="single" w:sz="4" w:space="0" w:color="auto"/>
            </w:tcBorders>
            <w:vAlign w:val="center"/>
          </w:tcPr>
          <w:p w14:paraId="40690EDC" w14:textId="77777777" w:rsidR="00D06348" w:rsidRPr="00BA50A1" w:rsidRDefault="00D06348" w:rsidP="00D57552">
            <w:pPr>
              <w:spacing w:before="60" w:after="60" w:line="240" w:lineRule="auto"/>
              <w:contextualSpacing/>
              <w:jc w:val="left"/>
              <w:rPr>
                <w:sz w:val="18"/>
                <w:szCs w:val="18"/>
                <w:highlight w:val="yellow"/>
              </w:rPr>
            </w:pPr>
            <w:r w:rsidRPr="00C162EB">
              <w:rPr>
                <w:sz w:val="18"/>
                <w:szCs w:val="18"/>
              </w:rPr>
              <w:t>What did CEW contribute to reduction of salt flux to the North Lagoon?</w:t>
            </w:r>
            <w:r>
              <w:rPr>
                <w:sz w:val="18"/>
                <w:szCs w:val="18"/>
              </w:rPr>
              <w:t xml:space="preserve"> *</w:t>
            </w: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196BEC7C"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5C5C0D5D"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52798B17"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1BD9D730"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0F20FA2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7F292FA2"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6A15640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51AAEB8F"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251B9B5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2F2298D8"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tcPr>
          <w:p w14:paraId="5D4E5A3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tcPr>
          <w:p w14:paraId="21E75E8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tcPr>
          <w:p w14:paraId="44220828" w14:textId="77777777" w:rsidR="00D06348" w:rsidRPr="004D4940" w:rsidRDefault="00D06348" w:rsidP="00D57552">
            <w:pPr>
              <w:spacing w:before="60" w:after="60" w:line="240" w:lineRule="auto"/>
              <w:contextualSpacing/>
              <w:jc w:val="left"/>
              <w:rPr>
                <w:sz w:val="18"/>
                <w:szCs w:val="18"/>
              </w:rPr>
            </w:pPr>
          </w:p>
        </w:tc>
        <w:tc>
          <w:tcPr>
            <w:tcW w:w="129" w:type="pct"/>
            <w:gridSpan w:val="2"/>
            <w:tcBorders>
              <w:top w:val="single" w:sz="4" w:space="0" w:color="auto"/>
              <w:left w:val="nil"/>
              <w:bottom w:val="single" w:sz="4" w:space="0" w:color="auto"/>
              <w:right w:val="single" w:sz="4" w:space="0" w:color="auto"/>
            </w:tcBorders>
            <w:shd w:val="clear" w:color="auto" w:fill="5B9BD5" w:themeFill="accent1"/>
          </w:tcPr>
          <w:p w14:paraId="689FB953"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52959A57" w14:textId="77777777" w:rsidR="00D06348" w:rsidRPr="004D4940" w:rsidRDefault="00D06348" w:rsidP="00D57552">
            <w:pPr>
              <w:spacing w:before="60" w:after="60" w:line="240" w:lineRule="auto"/>
              <w:contextualSpacing/>
              <w:jc w:val="left"/>
              <w:rPr>
                <w:sz w:val="18"/>
                <w:szCs w:val="18"/>
              </w:rPr>
            </w:pPr>
          </w:p>
        </w:tc>
        <w:tc>
          <w:tcPr>
            <w:tcW w:w="130" w:type="pct"/>
            <w:tcBorders>
              <w:top w:val="single" w:sz="4" w:space="0" w:color="auto"/>
              <w:left w:val="nil"/>
              <w:bottom w:val="single" w:sz="4" w:space="0" w:color="auto"/>
              <w:right w:val="single" w:sz="4" w:space="0" w:color="auto"/>
            </w:tcBorders>
            <w:shd w:val="clear" w:color="auto" w:fill="E2EFD9" w:themeFill="accent6" w:themeFillTint="33"/>
          </w:tcPr>
          <w:p w14:paraId="504ED8BE"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7BDDC26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E2EFD9" w:themeFill="accent6" w:themeFillTint="33"/>
          </w:tcPr>
          <w:p w14:paraId="05778093"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tcPr>
          <w:p w14:paraId="548C3FD3" w14:textId="77777777" w:rsidR="00D06348" w:rsidRPr="004D4940" w:rsidRDefault="00D06348" w:rsidP="00D57552">
            <w:pPr>
              <w:spacing w:before="60" w:after="60" w:line="240" w:lineRule="auto"/>
              <w:contextualSpacing/>
              <w:jc w:val="left"/>
              <w:rPr>
                <w:sz w:val="18"/>
                <w:szCs w:val="18"/>
              </w:rPr>
            </w:pPr>
          </w:p>
        </w:tc>
        <w:tc>
          <w:tcPr>
            <w:tcW w:w="131" w:type="pct"/>
            <w:tcBorders>
              <w:top w:val="single" w:sz="4" w:space="0" w:color="auto"/>
              <w:left w:val="nil"/>
              <w:bottom w:val="single" w:sz="4" w:space="0" w:color="auto"/>
              <w:right w:val="single" w:sz="4" w:space="0" w:color="auto"/>
            </w:tcBorders>
            <w:shd w:val="clear" w:color="auto" w:fill="5B9BD5" w:themeFill="accent1"/>
          </w:tcPr>
          <w:p w14:paraId="237952E0" w14:textId="77777777" w:rsidR="00D06348" w:rsidRPr="004D4940" w:rsidRDefault="00D06348" w:rsidP="00D57552">
            <w:pPr>
              <w:spacing w:before="60" w:after="60" w:line="240" w:lineRule="auto"/>
              <w:contextualSpacing/>
              <w:jc w:val="left"/>
              <w:rPr>
                <w:sz w:val="18"/>
                <w:szCs w:val="18"/>
              </w:rPr>
            </w:pPr>
          </w:p>
        </w:tc>
      </w:tr>
      <w:tr w:rsidR="00D06348" w:rsidRPr="004561A6" w14:paraId="667AAD35" w14:textId="77777777" w:rsidTr="005500BD">
        <w:trPr>
          <w:cantSplit/>
          <w:trHeight w:val="255"/>
        </w:trPr>
        <w:tc>
          <w:tcPr>
            <w:tcW w:w="2415" w:type="pct"/>
            <w:tcBorders>
              <w:top w:val="single" w:sz="4" w:space="0" w:color="auto"/>
              <w:left w:val="single" w:sz="4" w:space="0" w:color="auto"/>
              <w:right w:val="single" w:sz="4" w:space="0" w:color="auto"/>
            </w:tcBorders>
            <w:vAlign w:val="center"/>
          </w:tcPr>
          <w:p w14:paraId="7809D760" w14:textId="020199C7" w:rsidR="00CD6C7E" w:rsidRPr="004561A6" w:rsidRDefault="00D06348" w:rsidP="00CD6C7E">
            <w:pPr>
              <w:spacing w:before="60" w:after="60" w:line="240" w:lineRule="auto"/>
              <w:contextualSpacing/>
              <w:jc w:val="left"/>
              <w:rPr>
                <w:sz w:val="18"/>
                <w:szCs w:val="18"/>
              </w:rPr>
            </w:pPr>
            <w:r w:rsidRPr="00944FE9">
              <w:rPr>
                <w:sz w:val="18"/>
                <w:szCs w:val="18"/>
              </w:rPr>
              <w:t>What did CEW contribute to the sal</w:t>
            </w:r>
            <w:r>
              <w:rPr>
                <w:sz w:val="18"/>
                <w:szCs w:val="18"/>
              </w:rPr>
              <w:t>inity</w:t>
            </w:r>
            <w:r w:rsidRPr="00944FE9">
              <w:rPr>
                <w:sz w:val="18"/>
                <w:szCs w:val="18"/>
              </w:rPr>
              <w:t xml:space="preserve"> </w:t>
            </w:r>
            <w:r>
              <w:rPr>
                <w:sz w:val="18"/>
                <w:szCs w:val="18"/>
              </w:rPr>
              <w:t>regime</w:t>
            </w:r>
            <w:r w:rsidRPr="00944FE9">
              <w:rPr>
                <w:sz w:val="18"/>
                <w:szCs w:val="18"/>
              </w:rPr>
              <w:t>?</w:t>
            </w: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2C986DBF"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vAlign w:val="center"/>
          </w:tcPr>
          <w:p w14:paraId="6EB6FEBE"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vAlign w:val="center"/>
          </w:tcPr>
          <w:p w14:paraId="7D57AE5D"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vAlign w:val="center"/>
          </w:tcPr>
          <w:p w14:paraId="27C922FE"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vAlign w:val="center"/>
          </w:tcPr>
          <w:p w14:paraId="6A5031D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vAlign w:val="center"/>
          </w:tcPr>
          <w:p w14:paraId="21947DC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vAlign w:val="center"/>
          </w:tcPr>
          <w:p w14:paraId="58A98352"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vAlign w:val="center"/>
          </w:tcPr>
          <w:p w14:paraId="7A1FC6B0"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vAlign w:val="center"/>
          </w:tcPr>
          <w:p w14:paraId="30164F57"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vAlign w:val="center"/>
          </w:tcPr>
          <w:p w14:paraId="62EE8AC1"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744DF942"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6E604F70"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7FD45C44" w14:textId="77777777" w:rsidR="00D06348" w:rsidRPr="004D4940" w:rsidRDefault="00D06348" w:rsidP="00D57552">
            <w:pPr>
              <w:spacing w:before="60" w:after="60" w:line="240" w:lineRule="auto"/>
              <w:contextualSpacing/>
              <w:jc w:val="left"/>
              <w:rPr>
                <w:sz w:val="18"/>
                <w:szCs w:val="18"/>
              </w:rPr>
            </w:pPr>
          </w:p>
        </w:tc>
        <w:tc>
          <w:tcPr>
            <w:tcW w:w="129" w:type="pct"/>
            <w:gridSpan w:val="2"/>
            <w:tcBorders>
              <w:top w:val="single" w:sz="4" w:space="0" w:color="auto"/>
              <w:left w:val="nil"/>
              <w:bottom w:val="single" w:sz="4" w:space="0" w:color="auto"/>
              <w:right w:val="nil"/>
            </w:tcBorders>
            <w:shd w:val="clear" w:color="auto" w:fill="5B9BD5" w:themeFill="accent1"/>
          </w:tcPr>
          <w:p w14:paraId="10E4A227"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2E2D78FA" w14:textId="77777777" w:rsidR="00D06348" w:rsidRPr="004D4940" w:rsidRDefault="00D06348" w:rsidP="00D57552">
            <w:pPr>
              <w:spacing w:before="60" w:after="60" w:line="240" w:lineRule="auto"/>
              <w:contextualSpacing/>
              <w:jc w:val="left"/>
              <w:rPr>
                <w:sz w:val="18"/>
                <w:szCs w:val="18"/>
              </w:rPr>
            </w:pPr>
          </w:p>
        </w:tc>
        <w:tc>
          <w:tcPr>
            <w:tcW w:w="130" w:type="pct"/>
            <w:tcBorders>
              <w:top w:val="single" w:sz="4" w:space="0" w:color="auto"/>
              <w:left w:val="nil"/>
              <w:bottom w:val="single" w:sz="4" w:space="0" w:color="auto"/>
              <w:right w:val="nil"/>
            </w:tcBorders>
            <w:shd w:val="clear" w:color="auto" w:fill="5B9BD5" w:themeFill="accent1"/>
          </w:tcPr>
          <w:p w14:paraId="2186DB40"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4D95E437"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0A60F42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4482BA9B" w14:textId="77777777" w:rsidR="00D06348" w:rsidRPr="004D4940" w:rsidRDefault="00D06348" w:rsidP="00D57552">
            <w:pPr>
              <w:spacing w:before="60" w:after="60" w:line="240" w:lineRule="auto"/>
              <w:contextualSpacing/>
              <w:jc w:val="left"/>
              <w:rPr>
                <w:sz w:val="18"/>
                <w:szCs w:val="18"/>
              </w:rPr>
            </w:pPr>
          </w:p>
        </w:tc>
        <w:tc>
          <w:tcPr>
            <w:tcW w:w="131" w:type="pct"/>
            <w:tcBorders>
              <w:top w:val="single" w:sz="4" w:space="0" w:color="auto"/>
              <w:left w:val="nil"/>
              <w:bottom w:val="single" w:sz="4" w:space="0" w:color="auto"/>
              <w:right w:val="single" w:sz="4" w:space="0" w:color="auto"/>
            </w:tcBorders>
            <w:shd w:val="clear" w:color="auto" w:fill="5B9BD5" w:themeFill="accent1"/>
          </w:tcPr>
          <w:p w14:paraId="663DA89E" w14:textId="77777777" w:rsidR="00D06348" w:rsidRPr="004D4940" w:rsidRDefault="00D06348" w:rsidP="00D57552">
            <w:pPr>
              <w:spacing w:before="60" w:after="60" w:line="240" w:lineRule="auto"/>
              <w:contextualSpacing/>
              <w:jc w:val="left"/>
              <w:rPr>
                <w:sz w:val="18"/>
                <w:szCs w:val="18"/>
              </w:rPr>
            </w:pPr>
          </w:p>
        </w:tc>
      </w:tr>
      <w:tr w:rsidR="003F509B" w:rsidRPr="004561A6" w14:paraId="4509E053" w14:textId="77777777" w:rsidTr="005500BD">
        <w:trPr>
          <w:cantSplit/>
          <w:trHeight w:val="255"/>
        </w:trPr>
        <w:tc>
          <w:tcPr>
            <w:tcW w:w="2415" w:type="pct"/>
            <w:tcBorders>
              <w:top w:val="single" w:sz="4" w:space="0" w:color="auto"/>
              <w:left w:val="single" w:sz="4" w:space="0" w:color="auto"/>
              <w:bottom w:val="single" w:sz="4" w:space="0" w:color="auto"/>
              <w:right w:val="single" w:sz="4" w:space="0" w:color="auto"/>
            </w:tcBorders>
            <w:vAlign w:val="center"/>
          </w:tcPr>
          <w:p w14:paraId="0B53B51B" w14:textId="77777777" w:rsidR="00D06348" w:rsidRPr="004561A6" w:rsidRDefault="00D06348" w:rsidP="00D57552">
            <w:pPr>
              <w:spacing w:before="60" w:after="60" w:line="240" w:lineRule="auto"/>
              <w:contextualSpacing/>
              <w:jc w:val="left"/>
              <w:rPr>
                <w:sz w:val="18"/>
                <w:szCs w:val="18"/>
              </w:rPr>
            </w:pPr>
            <w:r w:rsidRPr="004561A6">
              <w:rPr>
                <w:sz w:val="18"/>
                <w:szCs w:val="18"/>
              </w:rPr>
              <w:t>What did CEW contribute to improving mulloway habitat?</w:t>
            </w:r>
            <w:r>
              <w:rPr>
                <w:sz w:val="18"/>
                <w:szCs w:val="18"/>
              </w:rPr>
              <w:t xml:space="preserve"> *</w:t>
            </w: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25578109"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28FE00E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33754E19"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3641E70E"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1949D2FD"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402FF1A7"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0A5660EC"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2ED0FBA0"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22520451"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vAlign w:val="center"/>
          </w:tcPr>
          <w:p w14:paraId="3F7C4D13"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tcPr>
          <w:p w14:paraId="1EA5ADD7" w14:textId="7F808482"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tcPr>
          <w:p w14:paraId="550AE613" w14:textId="6C3D1CA3"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70AD47" w:themeFill="accent6"/>
          </w:tcPr>
          <w:p w14:paraId="1E293FFF" w14:textId="77777777" w:rsidR="00D06348" w:rsidRPr="004D4940" w:rsidRDefault="00D06348" w:rsidP="00D57552">
            <w:pPr>
              <w:spacing w:before="60" w:after="60" w:line="240" w:lineRule="auto"/>
              <w:contextualSpacing/>
              <w:jc w:val="left"/>
              <w:rPr>
                <w:sz w:val="18"/>
                <w:szCs w:val="18"/>
              </w:rPr>
            </w:pPr>
          </w:p>
        </w:tc>
        <w:tc>
          <w:tcPr>
            <w:tcW w:w="129" w:type="pct"/>
            <w:gridSpan w:val="2"/>
            <w:tcBorders>
              <w:top w:val="single" w:sz="4" w:space="0" w:color="auto"/>
              <w:left w:val="nil"/>
              <w:bottom w:val="single" w:sz="4" w:space="0" w:color="auto"/>
              <w:right w:val="single" w:sz="4" w:space="0" w:color="auto"/>
            </w:tcBorders>
            <w:shd w:val="clear" w:color="auto" w:fill="70AD47" w:themeFill="accent6"/>
          </w:tcPr>
          <w:p w14:paraId="2F88CBFD"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2E068526" w14:textId="77777777" w:rsidR="00D06348" w:rsidRPr="004D4940" w:rsidRDefault="00D06348" w:rsidP="00D57552">
            <w:pPr>
              <w:spacing w:before="60" w:after="60" w:line="240" w:lineRule="auto"/>
              <w:contextualSpacing/>
              <w:jc w:val="left"/>
              <w:rPr>
                <w:sz w:val="18"/>
                <w:szCs w:val="18"/>
              </w:rPr>
            </w:pPr>
          </w:p>
        </w:tc>
        <w:tc>
          <w:tcPr>
            <w:tcW w:w="130" w:type="pct"/>
            <w:tcBorders>
              <w:top w:val="single" w:sz="4" w:space="0" w:color="auto"/>
              <w:left w:val="nil"/>
              <w:bottom w:val="single" w:sz="4" w:space="0" w:color="auto"/>
              <w:right w:val="single" w:sz="4" w:space="0" w:color="auto"/>
            </w:tcBorders>
            <w:shd w:val="clear" w:color="auto" w:fill="E2EFD9" w:themeFill="accent6" w:themeFillTint="33"/>
          </w:tcPr>
          <w:p w14:paraId="4B2ECD48"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5D863220"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E2EFD9" w:themeFill="accent6" w:themeFillTint="33"/>
          </w:tcPr>
          <w:p w14:paraId="003DCFD8"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tcPr>
          <w:p w14:paraId="5E5B3941" w14:textId="77777777" w:rsidR="00D06348" w:rsidRPr="004D4940" w:rsidRDefault="00D06348" w:rsidP="00D57552">
            <w:pPr>
              <w:spacing w:before="60" w:after="60" w:line="240" w:lineRule="auto"/>
              <w:contextualSpacing/>
              <w:jc w:val="left"/>
              <w:rPr>
                <w:sz w:val="18"/>
                <w:szCs w:val="18"/>
              </w:rPr>
            </w:pPr>
          </w:p>
        </w:tc>
        <w:tc>
          <w:tcPr>
            <w:tcW w:w="131" w:type="pct"/>
            <w:tcBorders>
              <w:top w:val="single" w:sz="4" w:space="0" w:color="auto"/>
              <w:left w:val="nil"/>
              <w:bottom w:val="single" w:sz="4" w:space="0" w:color="auto"/>
              <w:right w:val="single" w:sz="4" w:space="0" w:color="auto"/>
            </w:tcBorders>
            <w:shd w:val="clear" w:color="auto" w:fill="A8D08D" w:themeFill="accent6" w:themeFillTint="99"/>
          </w:tcPr>
          <w:p w14:paraId="6CB05DC3" w14:textId="77777777" w:rsidR="00D06348" w:rsidRPr="004D4940" w:rsidRDefault="00D06348" w:rsidP="00D57552">
            <w:pPr>
              <w:spacing w:before="60" w:after="60" w:line="240" w:lineRule="auto"/>
              <w:contextualSpacing/>
              <w:jc w:val="left"/>
              <w:rPr>
                <w:sz w:val="18"/>
                <w:szCs w:val="18"/>
              </w:rPr>
            </w:pPr>
          </w:p>
        </w:tc>
      </w:tr>
      <w:tr w:rsidR="009D2534" w:rsidRPr="004561A6" w14:paraId="043A4306" w14:textId="77777777" w:rsidTr="005500BD">
        <w:trPr>
          <w:cantSplit/>
          <w:trHeight w:val="255"/>
        </w:trPr>
        <w:tc>
          <w:tcPr>
            <w:tcW w:w="2415" w:type="pct"/>
            <w:tcBorders>
              <w:top w:val="single" w:sz="4" w:space="0" w:color="auto"/>
              <w:left w:val="single" w:sz="4" w:space="0" w:color="auto"/>
              <w:bottom w:val="single" w:sz="4" w:space="0" w:color="auto"/>
              <w:right w:val="single" w:sz="4" w:space="0" w:color="auto"/>
            </w:tcBorders>
            <w:vAlign w:val="center"/>
          </w:tcPr>
          <w:p w14:paraId="26EFABF1" w14:textId="5C12E37A" w:rsidR="00D06348" w:rsidRPr="00441826" w:rsidRDefault="00D06348" w:rsidP="00D57552">
            <w:pPr>
              <w:spacing w:before="60" w:after="60" w:line="240" w:lineRule="auto"/>
              <w:contextualSpacing/>
              <w:jc w:val="left"/>
              <w:rPr>
                <w:sz w:val="18"/>
                <w:szCs w:val="18"/>
                <w:highlight w:val="yellow"/>
              </w:rPr>
            </w:pPr>
            <w:r w:rsidRPr="00C162EB">
              <w:rPr>
                <w:sz w:val="18"/>
                <w:szCs w:val="18"/>
              </w:rPr>
              <w:t xml:space="preserve">What did CEW contribute to improving </w:t>
            </w:r>
            <w:r w:rsidR="009D2534">
              <w:rPr>
                <w:sz w:val="18"/>
                <w:szCs w:val="18"/>
              </w:rPr>
              <w:t>black bream</w:t>
            </w:r>
            <w:r w:rsidRPr="00C162EB">
              <w:rPr>
                <w:sz w:val="18"/>
                <w:szCs w:val="18"/>
              </w:rPr>
              <w:t xml:space="preserve"> habitat?</w:t>
            </w:r>
            <w:r>
              <w:rPr>
                <w:sz w:val="18"/>
                <w:szCs w:val="18"/>
              </w:rPr>
              <w:t xml:space="preserve"> *</w:t>
            </w: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53A40395"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562A4C7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2FC422D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127928A9"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4D19A8B8"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6C6A8610"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vAlign w:val="center"/>
          </w:tcPr>
          <w:p w14:paraId="4DA6113E" w14:textId="49B90259"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A8D08D" w:themeFill="accent6" w:themeFillTint="99"/>
            <w:vAlign w:val="center"/>
          </w:tcPr>
          <w:p w14:paraId="76F0540F" w14:textId="4A58BF8B"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vAlign w:val="center"/>
          </w:tcPr>
          <w:p w14:paraId="7CD5A9CC" w14:textId="7D81CB76"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A8D08D" w:themeFill="accent6" w:themeFillTint="99"/>
            <w:vAlign w:val="center"/>
          </w:tcPr>
          <w:p w14:paraId="2BDFFC1C" w14:textId="490FC83E"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tcPr>
          <w:p w14:paraId="4AD78188"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tcPr>
          <w:p w14:paraId="4891238F"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tcPr>
          <w:p w14:paraId="030E0709" w14:textId="77777777" w:rsidR="00D06348" w:rsidRPr="004D4940" w:rsidRDefault="00D06348" w:rsidP="00D57552">
            <w:pPr>
              <w:spacing w:before="60" w:after="60" w:line="240" w:lineRule="auto"/>
              <w:contextualSpacing/>
              <w:jc w:val="left"/>
              <w:rPr>
                <w:sz w:val="18"/>
                <w:szCs w:val="18"/>
              </w:rPr>
            </w:pPr>
          </w:p>
        </w:tc>
        <w:tc>
          <w:tcPr>
            <w:tcW w:w="129" w:type="pct"/>
            <w:gridSpan w:val="2"/>
            <w:tcBorders>
              <w:top w:val="single" w:sz="4" w:space="0" w:color="auto"/>
              <w:left w:val="nil"/>
              <w:bottom w:val="single" w:sz="4" w:space="0" w:color="auto"/>
              <w:right w:val="single" w:sz="4" w:space="0" w:color="auto"/>
            </w:tcBorders>
            <w:shd w:val="clear" w:color="auto" w:fill="A8D08D" w:themeFill="accent6" w:themeFillTint="99"/>
          </w:tcPr>
          <w:p w14:paraId="4C308ED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7DE43B72" w14:textId="15E75C62" w:rsidR="00D06348" w:rsidRPr="004D4940" w:rsidRDefault="00D06348" w:rsidP="00D57552">
            <w:pPr>
              <w:spacing w:before="60" w:after="60" w:line="240" w:lineRule="auto"/>
              <w:contextualSpacing/>
              <w:jc w:val="left"/>
              <w:rPr>
                <w:sz w:val="18"/>
                <w:szCs w:val="18"/>
              </w:rPr>
            </w:pPr>
          </w:p>
        </w:tc>
        <w:tc>
          <w:tcPr>
            <w:tcW w:w="130" w:type="pct"/>
            <w:tcBorders>
              <w:top w:val="single" w:sz="4" w:space="0" w:color="auto"/>
              <w:left w:val="nil"/>
              <w:bottom w:val="single" w:sz="4" w:space="0" w:color="auto"/>
              <w:right w:val="single" w:sz="4" w:space="0" w:color="auto"/>
            </w:tcBorders>
            <w:shd w:val="clear" w:color="auto" w:fill="E2EFD9" w:themeFill="accent6" w:themeFillTint="33"/>
          </w:tcPr>
          <w:p w14:paraId="37C992DB" w14:textId="2A9449FE"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4B139A93"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E2EFD9" w:themeFill="accent6" w:themeFillTint="33"/>
          </w:tcPr>
          <w:p w14:paraId="4A1DCA0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tcPr>
          <w:p w14:paraId="73DC3319" w14:textId="77777777" w:rsidR="00D06348" w:rsidRPr="004D4940" w:rsidRDefault="00D06348" w:rsidP="00D57552">
            <w:pPr>
              <w:spacing w:before="60" w:after="60" w:line="240" w:lineRule="auto"/>
              <w:contextualSpacing/>
              <w:jc w:val="left"/>
              <w:rPr>
                <w:sz w:val="18"/>
                <w:szCs w:val="18"/>
              </w:rPr>
            </w:pPr>
          </w:p>
        </w:tc>
        <w:tc>
          <w:tcPr>
            <w:tcW w:w="131" w:type="pct"/>
            <w:tcBorders>
              <w:top w:val="single" w:sz="4" w:space="0" w:color="auto"/>
              <w:left w:val="nil"/>
              <w:bottom w:val="single" w:sz="4" w:space="0" w:color="auto"/>
              <w:right w:val="single" w:sz="4" w:space="0" w:color="auto"/>
            </w:tcBorders>
            <w:shd w:val="clear" w:color="auto" w:fill="A8D08D" w:themeFill="accent6" w:themeFillTint="99"/>
          </w:tcPr>
          <w:p w14:paraId="61A14E00" w14:textId="77777777" w:rsidR="00D06348" w:rsidRPr="004D4940" w:rsidRDefault="00D06348" w:rsidP="00D57552">
            <w:pPr>
              <w:spacing w:before="60" w:after="60" w:line="240" w:lineRule="auto"/>
              <w:contextualSpacing/>
              <w:jc w:val="left"/>
              <w:rPr>
                <w:sz w:val="18"/>
                <w:szCs w:val="18"/>
              </w:rPr>
            </w:pPr>
          </w:p>
        </w:tc>
      </w:tr>
      <w:tr w:rsidR="003F509B" w:rsidRPr="004561A6" w14:paraId="18D25733" w14:textId="77777777" w:rsidTr="005500BD">
        <w:trPr>
          <w:cantSplit/>
          <w:trHeight w:val="255"/>
        </w:trPr>
        <w:tc>
          <w:tcPr>
            <w:tcW w:w="2415" w:type="pct"/>
            <w:tcBorders>
              <w:top w:val="single" w:sz="4" w:space="0" w:color="auto"/>
              <w:left w:val="single" w:sz="4" w:space="0" w:color="auto"/>
              <w:bottom w:val="single" w:sz="4" w:space="0" w:color="auto"/>
              <w:right w:val="single" w:sz="4" w:space="0" w:color="auto"/>
            </w:tcBorders>
            <w:vAlign w:val="center"/>
          </w:tcPr>
          <w:p w14:paraId="4A29FBAB" w14:textId="77777777" w:rsidR="00D06348" w:rsidRPr="004561A6" w:rsidRDefault="00D06348" w:rsidP="00D57552">
            <w:pPr>
              <w:spacing w:before="60" w:after="60" w:line="240" w:lineRule="auto"/>
              <w:contextualSpacing/>
              <w:jc w:val="left"/>
              <w:rPr>
                <w:sz w:val="18"/>
                <w:szCs w:val="18"/>
              </w:rPr>
            </w:pPr>
            <w:r w:rsidRPr="004561A6">
              <w:rPr>
                <w:sz w:val="18"/>
                <w:szCs w:val="18"/>
              </w:rPr>
              <w:t>What did CEW contribute to improving</w:t>
            </w:r>
            <w:r>
              <w:rPr>
                <w:sz w:val="18"/>
                <w:szCs w:val="18"/>
              </w:rPr>
              <w:t xml:space="preserve"> smallmouth hardyhead</w:t>
            </w:r>
            <w:r w:rsidRPr="004561A6">
              <w:rPr>
                <w:sz w:val="18"/>
                <w:szCs w:val="18"/>
              </w:rPr>
              <w:t xml:space="preserve"> habitat?</w:t>
            </w:r>
            <w:r>
              <w:rPr>
                <w:sz w:val="18"/>
                <w:szCs w:val="18"/>
              </w:rPr>
              <w:t xml:space="preserve"> *</w:t>
            </w: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47A8BBB1"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2F3556B5"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2C4C3CB1"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03C10B1A"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1FD38BC9"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11A65F5C"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vAlign w:val="center"/>
          </w:tcPr>
          <w:p w14:paraId="36A50EE2"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A8D08D" w:themeFill="accent6" w:themeFillTint="99"/>
            <w:vAlign w:val="center"/>
          </w:tcPr>
          <w:p w14:paraId="7538D25C"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vAlign w:val="center"/>
          </w:tcPr>
          <w:p w14:paraId="1FEB0098"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A8D08D" w:themeFill="accent6" w:themeFillTint="99"/>
            <w:vAlign w:val="center"/>
          </w:tcPr>
          <w:p w14:paraId="158293B9"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tcPr>
          <w:p w14:paraId="4D69E52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A8D08D" w:themeFill="accent6" w:themeFillTint="99"/>
          </w:tcPr>
          <w:p w14:paraId="7288741C"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tcPr>
          <w:p w14:paraId="77DB54CC" w14:textId="77777777" w:rsidR="00D06348" w:rsidRPr="004D4940" w:rsidRDefault="00D06348" w:rsidP="00D57552">
            <w:pPr>
              <w:spacing w:before="60" w:after="60" w:line="240" w:lineRule="auto"/>
              <w:contextualSpacing/>
              <w:jc w:val="left"/>
              <w:rPr>
                <w:sz w:val="18"/>
                <w:szCs w:val="18"/>
              </w:rPr>
            </w:pPr>
          </w:p>
        </w:tc>
        <w:tc>
          <w:tcPr>
            <w:tcW w:w="129" w:type="pct"/>
            <w:gridSpan w:val="2"/>
            <w:tcBorders>
              <w:top w:val="single" w:sz="4" w:space="0" w:color="auto"/>
              <w:left w:val="nil"/>
              <w:bottom w:val="single" w:sz="4" w:space="0" w:color="auto"/>
              <w:right w:val="single" w:sz="4" w:space="0" w:color="auto"/>
            </w:tcBorders>
            <w:shd w:val="clear" w:color="auto" w:fill="A8D08D" w:themeFill="accent6" w:themeFillTint="99"/>
          </w:tcPr>
          <w:p w14:paraId="3451156A"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25AF4E5D" w14:textId="26CAF4D4" w:rsidR="00D06348" w:rsidRPr="004D4940" w:rsidRDefault="00D06348" w:rsidP="00D57552">
            <w:pPr>
              <w:spacing w:before="60" w:after="60" w:line="240" w:lineRule="auto"/>
              <w:contextualSpacing/>
              <w:jc w:val="left"/>
              <w:rPr>
                <w:sz w:val="18"/>
                <w:szCs w:val="18"/>
              </w:rPr>
            </w:pPr>
          </w:p>
        </w:tc>
        <w:tc>
          <w:tcPr>
            <w:tcW w:w="130" w:type="pct"/>
            <w:tcBorders>
              <w:top w:val="single" w:sz="4" w:space="0" w:color="auto"/>
              <w:left w:val="nil"/>
              <w:bottom w:val="single" w:sz="4" w:space="0" w:color="auto"/>
              <w:right w:val="single" w:sz="4" w:space="0" w:color="auto"/>
            </w:tcBorders>
            <w:shd w:val="clear" w:color="auto" w:fill="E2EFD9" w:themeFill="accent6" w:themeFillTint="33"/>
          </w:tcPr>
          <w:p w14:paraId="515E0ADE" w14:textId="41319918"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1FD3D29F"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E2EFD9" w:themeFill="accent6" w:themeFillTint="33"/>
          </w:tcPr>
          <w:p w14:paraId="1C43EDCA"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7506118E" w14:textId="77777777" w:rsidR="00D06348" w:rsidRPr="004D4940" w:rsidRDefault="00D06348" w:rsidP="00D57552">
            <w:pPr>
              <w:spacing w:before="60" w:after="60" w:line="240" w:lineRule="auto"/>
              <w:contextualSpacing/>
              <w:jc w:val="left"/>
              <w:rPr>
                <w:sz w:val="18"/>
                <w:szCs w:val="18"/>
              </w:rPr>
            </w:pPr>
          </w:p>
        </w:tc>
        <w:tc>
          <w:tcPr>
            <w:tcW w:w="131" w:type="pct"/>
            <w:tcBorders>
              <w:top w:val="single" w:sz="4" w:space="0" w:color="auto"/>
              <w:left w:val="nil"/>
              <w:bottom w:val="single" w:sz="4" w:space="0" w:color="auto"/>
              <w:right w:val="single" w:sz="4" w:space="0" w:color="auto"/>
            </w:tcBorders>
            <w:shd w:val="clear" w:color="auto" w:fill="E2EFD9" w:themeFill="accent6" w:themeFillTint="33"/>
          </w:tcPr>
          <w:p w14:paraId="04DC771D" w14:textId="77777777" w:rsidR="00D06348" w:rsidRPr="004D4940" w:rsidRDefault="00D06348" w:rsidP="00D57552">
            <w:pPr>
              <w:spacing w:before="60" w:after="60" w:line="240" w:lineRule="auto"/>
              <w:contextualSpacing/>
              <w:jc w:val="left"/>
              <w:rPr>
                <w:sz w:val="18"/>
                <w:szCs w:val="18"/>
              </w:rPr>
            </w:pPr>
          </w:p>
        </w:tc>
      </w:tr>
      <w:tr w:rsidR="003F509B" w:rsidRPr="004561A6" w14:paraId="5C0AF275" w14:textId="77777777" w:rsidTr="005500BD">
        <w:trPr>
          <w:cantSplit/>
          <w:trHeight w:val="255"/>
        </w:trPr>
        <w:tc>
          <w:tcPr>
            <w:tcW w:w="2415" w:type="pct"/>
            <w:tcBorders>
              <w:top w:val="single" w:sz="4" w:space="0" w:color="auto"/>
              <w:left w:val="single" w:sz="4" w:space="0" w:color="auto"/>
              <w:right w:val="single" w:sz="4" w:space="0" w:color="auto"/>
            </w:tcBorders>
            <w:vAlign w:val="center"/>
          </w:tcPr>
          <w:p w14:paraId="5867F3D3" w14:textId="2BE724B4" w:rsidR="00D06348" w:rsidRPr="004561A6" w:rsidRDefault="00D06348" w:rsidP="00D57552">
            <w:pPr>
              <w:spacing w:before="60" w:after="60" w:line="240" w:lineRule="auto"/>
              <w:contextualSpacing/>
              <w:jc w:val="left"/>
              <w:rPr>
                <w:sz w:val="18"/>
                <w:szCs w:val="18"/>
              </w:rPr>
            </w:pPr>
            <w:r w:rsidRPr="00CB3FC5">
              <w:rPr>
                <w:sz w:val="18"/>
                <w:szCs w:val="18"/>
              </w:rPr>
              <w:t xml:space="preserve">What did CEW contribute to improving </w:t>
            </w:r>
            <w:r>
              <w:rPr>
                <w:sz w:val="18"/>
                <w:szCs w:val="18"/>
              </w:rPr>
              <w:t>fish</w:t>
            </w:r>
            <w:r w:rsidRPr="00CB3FC5">
              <w:rPr>
                <w:sz w:val="18"/>
                <w:szCs w:val="18"/>
              </w:rPr>
              <w:t xml:space="preserve"> habitat</w:t>
            </w:r>
            <w:r>
              <w:rPr>
                <w:sz w:val="18"/>
                <w:szCs w:val="18"/>
              </w:rPr>
              <w:t xml:space="preserve"> </w:t>
            </w:r>
            <w:r w:rsidR="006D7C27">
              <w:rPr>
                <w:sz w:val="18"/>
                <w:szCs w:val="18"/>
              </w:rPr>
              <w:t xml:space="preserve">in the Coorong </w:t>
            </w:r>
            <w:r>
              <w:rPr>
                <w:sz w:val="18"/>
                <w:szCs w:val="18"/>
              </w:rPr>
              <w:t>over the long-term</w:t>
            </w:r>
            <w:r w:rsidRPr="00CB3FC5">
              <w:rPr>
                <w:sz w:val="18"/>
                <w:szCs w:val="18"/>
              </w:rPr>
              <w:t>?</w:t>
            </w: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2701DD9D"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95959" w:themeFill="text1" w:themeFillTint="A6"/>
            <w:vAlign w:val="center"/>
          </w:tcPr>
          <w:p w14:paraId="0D9FA27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95959" w:themeFill="text1" w:themeFillTint="A6"/>
            <w:vAlign w:val="center"/>
          </w:tcPr>
          <w:p w14:paraId="402834DA"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95959" w:themeFill="text1" w:themeFillTint="A6"/>
            <w:vAlign w:val="center"/>
          </w:tcPr>
          <w:p w14:paraId="61805A92"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95959" w:themeFill="text1" w:themeFillTint="A6"/>
            <w:vAlign w:val="center"/>
          </w:tcPr>
          <w:p w14:paraId="141F88E7"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18D3D50C"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B9BD5" w:themeFill="accent1"/>
            <w:vAlign w:val="center"/>
          </w:tcPr>
          <w:p w14:paraId="11A0D9A5"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vAlign w:val="center"/>
          </w:tcPr>
          <w:p w14:paraId="62CA4FD4"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vAlign w:val="center"/>
          </w:tcPr>
          <w:p w14:paraId="06655D6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vAlign w:val="center"/>
          </w:tcPr>
          <w:p w14:paraId="79BCBC50"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589133FC"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55842C2D"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4A9FAE30" w14:textId="77777777" w:rsidR="00D06348" w:rsidRPr="004D4940" w:rsidRDefault="00D06348" w:rsidP="00D57552">
            <w:pPr>
              <w:spacing w:before="60" w:after="60" w:line="240" w:lineRule="auto"/>
              <w:contextualSpacing/>
              <w:jc w:val="left"/>
              <w:rPr>
                <w:sz w:val="18"/>
                <w:szCs w:val="18"/>
              </w:rPr>
            </w:pPr>
          </w:p>
        </w:tc>
        <w:tc>
          <w:tcPr>
            <w:tcW w:w="129" w:type="pct"/>
            <w:gridSpan w:val="2"/>
            <w:tcBorders>
              <w:top w:val="single" w:sz="4" w:space="0" w:color="auto"/>
              <w:left w:val="nil"/>
              <w:bottom w:val="single" w:sz="4" w:space="0" w:color="auto"/>
              <w:right w:val="nil"/>
            </w:tcBorders>
            <w:shd w:val="clear" w:color="auto" w:fill="5B9BD5" w:themeFill="accent1"/>
          </w:tcPr>
          <w:p w14:paraId="6AEA3A3B"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36C8DE9F" w14:textId="77777777" w:rsidR="00D06348" w:rsidRPr="004D4940" w:rsidRDefault="00D06348" w:rsidP="00D57552">
            <w:pPr>
              <w:spacing w:before="60" w:after="60" w:line="240" w:lineRule="auto"/>
              <w:contextualSpacing/>
              <w:jc w:val="left"/>
              <w:rPr>
                <w:sz w:val="18"/>
                <w:szCs w:val="18"/>
              </w:rPr>
            </w:pPr>
          </w:p>
        </w:tc>
        <w:tc>
          <w:tcPr>
            <w:tcW w:w="130" w:type="pct"/>
            <w:tcBorders>
              <w:top w:val="single" w:sz="4" w:space="0" w:color="auto"/>
              <w:left w:val="nil"/>
              <w:bottom w:val="single" w:sz="4" w:space="0" w:color="auto"/>
              <w:right w:val="nil"/>
            </w:tcBorders>
            <w:shd w:val="clear" w:color="auto" w:fill="5B9BD5" w:themeFill="accent1"/>
          </w:tcPr>
          <w:p w14:paraId="531156E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5B3F86ED"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2F2815FA"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B9BD5" w:themeFill="accent1"/>
          </w:tcPr>
          <w:p w14:paraId="2FDFF688" w14:textId="77777777" w:rsidR="00D06348" w:rsidRPr="004D4940" w:rsidRDefault="00D06348" w:rsidP="00D57552">
            <w:pPr>
              <w:spacing w:before="60" w:after="60" w:line="240" w:lineRule="auto"/>
              <w:contextualSpacing/>
              <w:jc w:val="left"/>
              <w:rPr>
                <w:sz w:val="18"/>
                <w:szCs w:val="18"/>
              </w:rPr>
            </w:pPr>
          </w:p>
        </w:tc>
        <w:tc>
          <w:tcPr>
            <w:tcW w:w="131" w:type="pct"/>
            <w:tcBorders>
              <w:top w:val="single" w:sz="4" w:space="0" w:color="auto"/>
              <w:left w:val="nil"/>
              <w:bottom w:val="single" w:sz="4" w:space="0" w:color="auto"/>
              <w:right w:val="single" w:sz="4" w:space="0" w:color="auto"/>
            </w:tcBorders>
            <w:shd w:val="clear" w:color="auto" w:fill="5B9BD5" w:themeFill="accent1"/>
          </w:tcPr>
          <w:p w14:paraId="3E0189A9" w14:textId="77777777" w:rsidR="00D06348" w:rsidRPr="004D4940" w:rsidRDefault="00D06348" w:rsidP="00D57552">
            <w:pPr>
              <w:spacing w:before="60" w:after="60" w:line="240" w:lineRule="auto"/>
              <w:contextualSpacing/>
              <w:jc w:val="left"/>
              <w:rPr>
                <w:sz w:val="18"/>
                <w:szCs w:val="18"/>
              </w:rPr>
            </w:pPr>
          </w:p>
        </w:tc>
      </w:tr>
      <w:tr w:rsidR="003F509B" w:rsidRPr="004561A6" w14:paraId="52EA2161" w14:textId="77777777" w:rsidTr="005500BD">
        <w:trPr>
          <w:cantSplit/>
          <w:trHeight w:val="255"/>
        </w:trPr>
        <w:tc>
          <w:tcPr>
            <w:tcW w:w="2415" w:type="pct"/>
            <w:tcBorders>
              <w:top w:val="single" w:sz="4" w:space="0" w:color="auto"/>
              <w:left w:val="single" w:sz="4" w:space="0" w:color="auto"/>
              <w:right w:val="single" w:sz="4" w:space="0" w:color="auto"/>
            </w:tcBorders>
            <w:vAlign w:val="center"/>
          </w:tcPr>
          <w:p w14:paraId="2B045915" w14:textId="77777777" w:rsidR="00D06348" w:rsidRPr="004561A6" w:rsidRDefault="00D06348" w:rsidP="00D57552">
            <w:pPr>
              <w:spacing w:before="60" w:after="60" w:line="240" w:lineRule="auto"/>
              <w:contextualSpacing/>
              <w:jc w:val="left"/>
              <w:rPr>
                <w:sz w:val="18"/>
                <w:szCs w:val="18"/>
              </w:rPr>
            </w:pPr>
            <w:r w:rsidRPr="004561A6">
              <w:rPr>
                <w:sz w:val="18"/>
                <w:szCs w:val="18"/>
              </w:rPr>
              <w:t xml:space="preserve">What did CEW contribute to improving </w:t>
            </w:r>
            <w:r>
              <w:rPr>
                <w:sz w:val="18"/>
                <w:szCs w:val="18"/>
              </w:rPr>
              <w:t xml:space="preserve">predicted </w:t>
            </w:r>
            <w:r w:rsidRPr="004561A6">
              <w:rPr>
                <w:i/>
                <w:iCs/>
                <w:sz w:val="18"/>
                <w:szCs w:val="18"/>
              </w:rPr>
              <w:t>Ruppia tuberosa</w:t>
            </w:r>
            <w:r w:rsidRPr="004561A6">
              <w:rPr>
                <w:sz w:val="18"/>
                <w:szCs w:val="18"/>
              </w:rPr>
              <w:t xml:space="preserve"> (sexual life-</w:t>
            </w:r>
            <w:r>
              <w:rPr>
                <w:sz w:val="18"/>
                <w:szCs w:val="18"/>
              </w:rPr>
              <w:t>cycle</w:t>
            </w:r>
            <w:r w:rsidRPr="004561A6">
              <w:rPr>
                <w:sz w:val="18"/>
                <w:szCs w:val="18"/>
              </w:rPr>
              <w:t xml:space="preserve">) habitat? </w:t>
            </w:r>
            <w:r>
              <w:rPr>
                <w:sz w:val="18"/>
                <w:szCs w:val="18"/>
              </w:rPr>
              <w:t>*</w:t>
            </w:r>
            <w:r w:rsidRPr="00995017">
              <w:rPr>
                <w:sz w:val="18"/>
                <w:szCs w:val="18"/>
                <w:vertAlign w:val="superscript"/>
              </w:rPr>
              <w:t>a</w:t>
            </w:r>
          </w:p>
        </w:tc>
        <w:tc>
          <w:tcPr>
            <w:tcW w:w="129" w:type="pct"/>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0DA47A7"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30FBC762"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461CBBCA"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575D0F45"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281FB092"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62C59718"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51426D8D"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70AD47" w:themeFill="accent6"/>
            <w:vAlign w:val="center"/>
          </w:tcPr>
          <w:p w14:paraId="7C71A165" w14:textId="6D86E28E"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70AD47" w:themeFill="accent6"/>
            <w:vAlign w:val="center"/>
          </w:tcPr>
          <w:p w14:paraId="2E49A477" w14:textId="4CEE502E"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vAlign w:val="center"/>
          </w:tcPr>
          <w:p w14:paraId="5A373DF9" w14:textId="70A4B439"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A8D08D" w:themeFill="accent6" w:themeFillTint="99"/>
          </w:tcPr>
          <w:p w14:paraId="14516402" w14:textId="15FEF25E"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A8D08D" w:themeFill="accent6" w:themeFillTint="99"/>
          </w:tcPr>
          <w:p w14:paraId="11765F72" w14:textId="3ACE43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A8D08D" w:themeFill="accent6" w:themeFillTint="99"/>
          </w:tcPr>
          <w:p w14:paraId="05384D2B" w14:textId="6AAE465D" w:rsidR="00D06348" w:rsidRPr="004D4940" w:rsidRDefault="00D06348" w:rsidP="00D57552">
            <w:pPr>
              <w:spacing w:before="60" w:after="60" w:line="240" w:lineRule="auto"/>
              <w:contextualSpacing/>
              <w:jc w:val="left"/>
              <w:rPr>
                <w:sz w:val="18"/>
                <w:szCs w:val="18"/>
              </w:rPr>
            </w:pPr>
          </w:p>
        </w:tc>
        <w:tc>
          <w:tcPr>
            <w:tcW w:w="129" w:type="pct"/>
            <w:gridSpan w:val="2"/>
            <w:tcBorders>
              <w:top w:val="single" w:sz="4" w:space="0" w:color="auto"/>
              <w:left w:val="single" w:sz="4" w:space="0" w:color="auto"/>
              <w:bottom w:val="single" w:sz="4" w:space="0" w:color="auto"/>
              <w:right w:val="nil"/>
            </w:tcBorders>
            <w:shd w:val="clear" w:color="auto" w:fill="5B9BD5" w:themeFill="accent1"/>
          </w:tcPr>
          <w:p w14:paraId="5BF5194D"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B9BD5" w:themeFill="accent1"/>
          </w:tcPr>
          <w:p w14:paraId="64D87F07" w14:textId="77777777" w:rsidR="00D06348" w:rsidRPr="004D4940" w:rsidRDefault="00D06348" w:rsidP="00D57552">
            <w:pPr>
              <w:spacing w:before="60" w:after="60" w:line="240" w:lineRule="auto"/>
              <w:contextualSpacing/>
              <w:jc w:val="left"/>
              <w:rPr>
                <w:sz w:val="18"/>
                <w:szCs w:val="18"/>
              </w:rPr>
            </w:pPr>
          </w:p>
        </w:tc>
        <w:tc>
          <w:tcPr>
            <w:tcW w:w="130" w:type="pct"/>
            <w:tcBorders>
              <w:top w:val="single" w:sz="4" w:space="0" w:color="auto"/>
              <w:left w:val="single" w:sz="4" w:space="0" w:color="auto"/>
              <w:bottom w:val="single" w:sz="4" w:space="0" w:color="auto"/>
              <w:right w:val="nil"/>
            </w:tcBorders>
            <w:shd w:val="clear" w:color="auto" w:fill="E2EFD9" w:themeFill="accent6" w:themeFillTint="33"/>
          </w:tcPr>
          <w:p w14:paraId="608E2A80"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E2EFD9" w:themeFill="accent6" w:themeFillTint="33"/>
          </w:tcPr>
          <w:p w14:paraId="49014D1C"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E2EFD9" w:themeFill="accent6" w:themeFillTint="33"/>
          </w:tcPr>
          <w:p w14:paraId="51F8187E"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E2EFD9" w:themeFill="accent6" w:themeFillTint="33"/>
          </w:tcPr>
          <w:p w14:paraId="35D07423" w14:textId="77777777" w:rsidR="00D06348" w:rsidRPr="004D4940" w:rsidRDefault="00D06348" w:rsidP="00D57552">
            <w:pPr>
              <w:spacing w:before="60" w:after="60" w:line="240" w:lineRule="auto"/>
              <w:contextualSpacing/>
              <w:jc w:val="left"/>
              <w:rPr>
                <w:sz w:val="18"/>
                <w:szCs w:val="18"/>
              </w:rPr>
            </w:pPr>
          </w:p>
        </w:tc>
        <w:tc>
          <w:tcPr>
            <w:tcW w:w="131" w:type="pct"/>
            <w:tcBorders>
              <w:top w:val="single" w:sz="4" w:space="0" w:color="auto"/>
              <w:left w:val="single" w:sz="4" w:space="0" w:color="auto"/>
              <w:bottom w:val="single" w:sz="4" w:space="0" w:color="auto"/>
              <w:right w:val="single" w:sz="4" w:space="0" w:color="auto"/>
            </w:tcBorders>
            <w:shd w:val="clear" w:color="auto" w:fill="595959" w:themeFill="text1" w:themeFillTint="A6"/>
          </w:tcPr>
          <w:p w14:paraId="19043ECE" w14:textId="77777777" w:rsidR="00D06348" w:rsidRPr="004D4940" w:rsidRDefault="00D06348" w:rsidP="00D57552">
            <w:pPr>
              <w:spacing w:before="60" w:after="60" w:line="240" w:lineRule="auto"/>
              <w:contextualSpacing/>
              <w:jc w:val="left"/>
              <w:rPr>
                <w:sz w:val="18"/>
                <w:szCs w:val="18"/>
              </w:rPr>
            </w:pPr>
          </w:p>
        </w:tc>
      </w:tr>
      <w:tr w:rsidR="00140DB9" w:rsidRPr="004561A6" w14:paraId="71784DD3" w14:textId="77777777" w:rsidTr="005500BD">
        <w:trPr>
          <w:cantSplit/>
          <w:trHeight w:val="255"/>
        </w:trPr>
        <w:tc>
          <w:tcPr>
            <w:tcW w:w="2415" w:type="pct"/>
            <w:tcBorders>
              <w:top w:val="single" w:sz="4" w:space="0" w:color="auto"/>
              <w:left w:val="single" w:sz="4" w:space="0" w:color="auto"/>
              <w:bottom w:val="single" w:sz="4" w:space="0" w:color="auto"/>
              <w:right w:val="single" w:sz="4" w:space="0" w:color="auto"/>
            </w:tcBorders>
            <w:vAlign w:val="center"/>
          </w:tcPr>
          <w:p w14:paraId="7B0F5715" w14:textId="77777777" w:rsidR="00D06348" w:rsidRPr="00CD1291" w:rsidRDefault="00D06348" w:rsidP="00D57552">
            <w:pPr>
              <w:spacing w:before="60" w:after="60" w:line="240" w:lineRule="auto"/>
              <w:contextualSpacing/>
              <w:jc w:val="left"/>
              <w:rPr>
                <w:sz w:val="18"/>
                <w:szCs w:val="18"/>
                <w:highlight w:val="yellow"/>
              </w:rPr>
            </w:pPr>
            <w:r w:rsidRPr="004561A6">
              <w:rPr>
                <w:sz w:val="18"/>
                <w:szCs w:val="18"/>
              </w:rPr>
              <w:t xml:space="preserve">What did CEW contribute to improving </w:t>
            </w:r>
            <w:r>
              <w:rPr>
                <w:sz w:val="18"/>
                <w:szCs w:val="18"/>
              </w:rPr>
              <w:t xml:space="preserve">predicted </w:t>
            </w:r>
            <w:r w:rsidRPr="004561A6">
              <w:rPr>
                <w:i/>
                <w:iCs/>
                <w:sz w:val="18"/>
                <w:szCs w:val="18"/>
              </w:rPr>
              <w:t>Ruppia tuberosa</w:t>
            </w:r>
            <w:r w:rsidRPr="004561A6">
              <w:rPr>
                <w:sz w:val="18"/>
                <w:szCs w:val="18"/>
              </w:rPr>
              <w:t xml:space="preserve"> (</w:t>
            </w:r>
            <w:r>
              <w:rPr>
                <w:sz w:val="18"/>
                <w:szCs w:val="18"/>
              </w:rPr>
              <w:t>all</w:t>
            </w:r>
            <w:r w:rsidRPr="004561A6">
              <w:rPr>
                <w:sz w:val="18"/>
                <w:szCs w:val="18"/>
              </w:rPr>
              <w:t xml:space="preserve"> life</w:t>
            </w:r>
            <w:r>
              <w:rPr>
                <w:sz w:val="18"/>
                <w:szCs w:val="18"/>
              </w:rPr>
              <w:t xml:space="preserve"> </w:t>
            </w:r>
            <w:r w:rsidRPr="004561A6">
              <w:rPr>
                <w:sz w:val="18"/>
                <w:szCs w:val="18"/>
              </w:rPr>
              <w:t>stage</w:t>
            </w:r>
            <w:r>
              <w:rPr>
                <w:sz w:val="18"/>
                <w:szCs w:val="18"/>
              </w:rPr>
              <w:t>s</w:t>
            </w:r>
            <w:r w:rsidRPr="004561A6">
              <w:rPr>
                <w:sz w:val="18"/>
                <w:szCs w:val="18"/>
              </w:rPr>
              <w:t>) habitat</w:t>
            </w:r>
            <w:r>
              <w:rPr>
                <w:sz w:val="18"/>
                <w:szCs w:val="18"/>
              </w:rPr>
              <w:t xml:space="preserve"> over the long-term</w:t>
            </w:r>
            <w:r w:rsidRPr="004561A6">
              <w:rPr>
                <w:sz w:val="18"/>
                <w:szCs w:val="18"/>
              </w:rPr>
              <w:t>?</w:t>
            </w:r>
            <w:r>
              <w:rPr>
                <w:sz w:val="18"/>
                <w:szCs w:val="18"/>
              </w:rPr>
              <w:t xml:space="preserve"> </w:t>
            </w:r>
            <w:r w:rsidRPr="004D4940">
              <w:rPr>
                <w:sz w:val="18"/>
                <w:szCs w:val="18"/>
                <w:vertAlign w:val="superscript"/>
              </w:rPr>
              <w:t>a</w:t>
            </w:r>
          </w:p>
        </w:tc>
        <w:tc>
          <w:tcPr>
            <w:tcW w:w="129" w:type="pct"/>
            <w:tcBorders>
              <w:top w:val="single" w:sz="4" w:space="0" w:color="auto"/>
              <w:left w:val="single" w:sz="4" w:space="0" w:color="auto"/>
              <w:bottom w:val="single" w:sz="4" w:space="0" w:color="auto"/>
              <w:right w:val="nil"/>
            </w:tcBorders>
            <w:shd w:val="clear" w:color="auto" w:fill="595959" w:themeFill="text1" w:themeFillTint="A6"/>
            <w:vAlign w:val="center"/>
          </w:tcPr>
          <w:p w14:paraId="168CC07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95959" w:themeFill="text1" w:themeFillTint="A6"/>
            <w:vAlign w:val="center"/>
          </w:tcPr>
          <w:p w14:paraId="30C01DD9"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95959" w:themeFill="text1" w:themeFillTint="A6"/>
            <w:vAlign w:val="center"/>
          </w:tcPr>
          <w:p w14:paraId="5545E36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95959" w:themeFill="text1" w:themeFillTint="A6"/>
            <w:vAlign w:val="center"/>
          </w:tcPr>
          <w:p w14:paraId="7531AA8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95959" w:themeFill="text1" w:themeFillTint="A6"/>
            <w:vAlign w:val="center"/>
          </w:tcPr>
          <w:p w14:paraId="0D67DB28"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595959" w:themeFill="text1" w:themeFillTint="A6"/>
            <w:vAlign w:val="center"/>
          </w:tcPr>
          <w:p w14:paraId="644F466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595959" w:themeFill="text1" w:themeFillTint="A6"/>
            <w:vAlign w:val="center"/>
          </w:tcPr>
          <w:p w14:paraId="504CB216"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single" w:sz="4" w:space="0" w:color="auto"/>
              <w:bottom w:val="single" w:sz="4" w:space="0" w:color="auto"/>
              <w:right w:val="nil"/>
            </w:tcBorders>
            <w:shd w:val="clear" w:color="auto" w:fill="70AD47" w:themeFill="accent6"/>
            <w:vAlign w:val="center"/>
          </w:tcPr>
          <w:p w14:paraId="2958D993"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70AD47" w:themeFill="accent6"/>
            <w:vAlign w:val="center"/>
          </w:tcPr>
          <w:p w14:paraId="509F9F3D" w14:textId="046C41B3"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70AD47" w:themeFill="accent6"/>
            <w:vAlign w:val="center"/>
          </w:tcPr>
          <w:p w14:paraId="16ACC1E7"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70AD47" w:themeFill="accent6"/>
          </w:tcPr>
          <w:p w14:paraId="7C976D1E" w14:textId="2E86CCD1"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70AD47" w:themeFill="accent6"/>
          </w:tcPr>
          <w:p w14:paraId="58420C90"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70AD47" w:themeFill="accent6"/>
          </w:tcPr>
          <w:p w14:paraId="78E8C31B" w14:textId="5EC7B565" w:rsidR="00D06348" w:rsidRPr="004D4940" w:rsidRDefault="00D06348" w:rsidP="00D57552">
            <w:pPr>
              <w:spacing w:before="60" w:after="60" w:line="240" w:lineRule="auto"/>
              <w:contextualSpacing/>
              <w:jc w:val="left"/>
              <w:rPr>
                <w:sz w:val="18"/>
                <w:szCs w:val="18"/>
              </w:rPr>
            </w:pPr>
          </w:p>
        </w:tc>
        <w:tc>
          <w:tcPr>
            <w:tcW w:w="129" w:type="pct"/>
            <w:gridSpan w:val="2"/>
            <w:tcBorders>
              <w:top w:val="single" w:sz="4" w:space="0" w:color="auto"/>
              <w:left w:val="nil"/>
              <w:bottom w:val="single" w:sz="4" w:space="0" w:color="auto"/>
              <w:right w:val="nil"/>
            </w:tcBorders>
            <w:shd w:val="clear" w:color="auto" w:fill="70AD47" w:themeFill="accent6"/>
          </w:tcPr>
          <w:p w14:paraId="1491D800" w14:textId="6CB45FAF"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70AD47" w:themeFill="accent6"/>
          </w:tcPr>
          <w:p w14:paraId="3A182EC6" w14:textId="77777777" w:rsidR="00D06348" w:rsidRPr="004D4940" w:rsidRDefault="00D06348" w:rsidP="00D57552">
            <w:pPr>
              <w:spacing w:before="60" w:after="60" w:line="240" w:lineRule="auto"/>
              <w:contextualSpacing/>
              <w:jc w:val="left"/>
              <w:rPr>
                <w:sz w:val="18"/>
                <w:szCs w:val="18"/>
              </w:rPr>
            </w:pPr>
          </w:p>
        </w:tc>
        <w:tc>
          <w:tcPr>
            <w:tcW w:w="130" w:type="pct"/>
            <w:tcBorders>
              <w:top w:val="single" w:sz="4" w:space="0" w:color="auto"/>
              <w:left w:val="nil"/>
              <w:bottom w:val="single" w:sz="4" w:space="0" w:color="auto"/>
              <w:right w:val="nil"/>
            </w:tcBorders>
            <w:shd w:val="clear" w:color="auto" w:fill="70AD47" w:themeFill="accent6"/>
          </w:tcPr>
          <w:p w14:paraId="4CC7334D" w14:textId="1E2AD830"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70AD47" w:themeFill="accent6"/>
          </w:tcPr>
          <w:p w14:paraId="1107F4DB" w14:textId="77777777"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nil"/>
            </w:tcBorders>
            <w:shd w:val="clear" w:color="auto" w:fill="70AD47" w:themeFill="accent6"/>
          </w:tcPr>
          <w:p w14:paraId="79492DE7" w14:textId="0189CA84" w:rsidR="00D06348" w:rsidRPr="004D4940" w:rsidRDefault="00D06348" w:rsidP="00D57552">
            <w:pPr>
              <w:spacing w:before="60" w:after="60" w:line="240" w:lineRule="auto"/>
              <w:contextualSpacing/>
              <w:jc w:val="left"/>
              <w:rPr>
                <w:sz w:val="18"/>
                <w:szCs w:val="18"/>
              </w:rPr>
            </w:pPr>
          </w:p>
        </w:tc>
        <w:tc>
          <w:tcPr>
            <w:tcW w:w="129" w:type="pct"/>
            <w:tcBorders>
              <w:top w:val="single" w:sz="4" w:space="0" w:color="auto"/>
              <w:left w:val="nil"/>
              <w:bottom w:val="single" w:sz="4" w:space="0" w:color="auto"/>
              <w:right w:val="single" w:sz="4" w:space="0" w:color="auto"/>
            </w:tcBorders>
            <w:shd w:val="clear" w:color="auto" w:fill="70AD47" w:themeFill="accent6"/>
          </w:tcPr>
          <w:p w14:paraId="0772E78A" w14:textId="77777777" w:rsidR="00D06348" w:rsidRPr="004D4940" w:rsidRDefault="00D06348" w:rsidP="00D57552">
            <w:pPr>
              <w:spacing w:before="60" w:after="60" w:line="240" w:lineRule="auto"/>
              <w:contextualSpacing/>
              <w:jc w:val="left"/>
              <w:rPr>
                <w:sz w:val="18"/>
                <w:szCs w:val="18"/>
              </w:rPr>
            </w:pPr>
          </w:p>
        </w:tc>
        <w:tc>
          <w:tcPr>
            <w:tcW w:w="131" w:type="pct"/>
            <w:tcBorders>
              <w:top w:val="single" w:sz="4" w:space="0" w:color="auto"/>
              <w:left w:val="single" w:sz="4" w:space="0" w:color="auto"/>
              <w:bottom w:val="single" w:sz="4" w:space="0" w:color="auto"/>
              <w:right w:val="single" w:sz="4" w:space="0" w:color="auto"/>
            </w:tcBorders>
            <w:shd w:val="clear" w:color="auto" w:fill="595959" w:themeFill="text1" w:themeFillTint="A6"/>
          </w:tcPr>
          <w:p w14:paraId="5E294CE8" w14:textId="77777777" w:rsidR="00D06348" w:rsidRPr="004D4940" w:rsidRDefault="00D06348" w:rsidP="00D57552">
            <w:pPr>
              <w:spacing w:before="60" w:after="60" w:line="240" w:lineRule="auto"/>
              <w:contextualSpacing/>
              <w:jc w:val="left"/>
              <w:rPr>
                <w:sz w:val="18"/>
                <w:szCs w:val="18"/>
              </w:rPr>
            </w:pPr>
          </w:p>
        </w:tc>
      </w:tr>
      <w:tr w:rsidR="00D06348" w:rsidRPr="00C845C1" w14:paraId="71DF6A3C" w14:textId="77777777" w:rsidTr="005500BD">
        <w:trPr>
          <w:cantSplit/>
          <w:trHeight w:val="680"/>
        </w:trPr>
        <w:tc>
          <w:tcPr>
            <w:tcW w:w="2415" w:type="pct"/>
            <w:tcBorders>
              <w:top w:val="single" w:sz="4" w:space="0" w:color="auto"/>
              <w:left w:val="nil"/>
              <w:bottom w:val="nil"/>
              <w:right w:val="nil"/>
            </w:tcBorders>
            <w:textDirection w:val="btLr"/>
            <w:vAlign w:val="center"/>
          </w:tcPr>
          <w:p w14:paraId="2F4E86EC" w14:textId="77777777" w:rsidR="00D06348" w:rsidRPr="004561A6" w:rsidRDefault="00D06348" w:rsidP="00D57552">
            <w:pPr>
              <w:spacing w:before="60" w:after="60" w:line="240" w:lineRule="auto"/>
              <w:ind w:left="113" w:right="113"/>
              <w:contextualSpacing/>
              <w:jc w:val="left"/>
              <w:rPr>
                <w:sz w:val="18"/>
                <w:szCs w:val="18"/>
              </w:rPr>
            </w:pPr>
          </w:p>
        </w:tc>
        <w:tc>
          <w:tcPr>
            <w:tcW w:w="129" w:type="pct"/>
            <w:tcBorders>
              <w:top w:val="single" w:sz="4" w:space="0" w:color="auto"/>
              <w:left w:val="nil"/>
              <w:bottom w:val="nil"/>
              <w:right w:val="single" w:sz="4" w:space="0" w:color="auto"/>
            </w:tcBorders>
            <w:textDirection w:val="btLr"/>
            <w:vAlign w:val="center"/>
          </w:tcPr>
          <w:p w14:paraId="729ADB88" w14:textId="77777777" w:rsidR="00D06348" w:rsidRPr="004D4940" w:rsidRDefault="00D06348" w:rsidP="00D57552">
            <w:pPr>
              <w:spacing w:before="60" w:after="60" w:line="240" w:lineRule="auto"/>
              <w:ind w:left="113" w:right="113"/>
              <w:contextualSpacing/>
              <w:jc w:val="left"/>
              <w:rPr>
                <w:sz w:val="18"/>
                <w:szCs w:val="18"/>
              </w:rPr>
            </w:pPr>
          </w:p>
        </w:tc>
        <w:tc>
          <w:tcPr>
            <w:tcW w:w="258" w:type="pct"/>
            <w:gridSpan w:val="2"/>
            <w:tcBorders>
              <w:top w:val="single" w:sz="4" w:space="0" w:color="auto"/>
              <w:left w:val="single" w:sz="4" w:space="0" w:color="auto"/>
              <w:bottom w:val="single" w:sz="4" w:space="0" w:color="auto"/>
              <w:right w:val="single" w:sz="4" w:space="0" w:color="auto"/>
            </w:tcBorders>
            <w:textDirection w:val="btLr"/>
            <w:vAlign w:val="center"/>
          </w:tcPr>
          <w:p w14:paraId="39E4DB68" w14:textId="77777777" w:rsidR="00D06348" w:rsidRPr="004D4940" w:rsidRDefault="00D06348" w:rsidP="00D57552">
            <w:pPr>
              <w:spacing w:before="60" w:after="60" w:line="240" w:lineRule="auto"/>
              <w:ind w:left="113" w:right="113"/>
              <w:contextualSpacing/>
              <w:jc w:val="left"/>
              <w:rPr>
                <w:b/>
                <w:bCs/>
                <w:sz w:val="18"/>
                <w:szCs w:val="18"/>
              </w:rPr>
            </w:pPr>
            <w:r w:rsidRPr="004D4940">
              <w:rPr>
                <w:b/>
                <w:bCs/>
                <w:sz w:val="18"/>
                <w:szCs w:val="18"/>
              </w:rPr>
              <w:t>2015</w:t>
            </w:r>
          </w:p>
        </w:tc>
        <w:tc>
          <w:tcPr>
            <w:tcW w:w="258" w:type="pct"/>
            <w:gridSpan w:val="2"/>
            <w:tcBorders>
              <w:top w:val="single" w:sz="4" w:space="0" w:color="auto"/>
              <w:left w:val="single" w:sz="4" w:space="0" w:color="auto"/>
              <w:bottom w:val="single" w:sz="4" w:space="0" w:color="auto"/>
              <w:right w:val="single" w:sz="4" w:space="0" w:color="auto"/>
            </w:tcBorders>
            <w:textDirection w:val="btLr"/>
            <w:vAlign w:val="center"/>
          </w:tcPr>
          <w:p w14:paraId="1BC1E6F2" w14:textId="77777777" w:rsidR="00D06348" w:rsidRPr="004D4940" w:rsidRDefault="00D06348" w:rsidP="00D57552">
            <w:pPr>
              <w:spacing w:before="60" w:after="60" w:line="240" w:lineRule="auto"/>
              <w:ind w:left="113" w:right="113"/>
              <w:contextualSpacing/>
              <w:jc w:val="left"/>
              <w:rPr>
                <w:b/>
                <w:bCs/>
                <w:sz w:val="18"/>
                <w:szCs w:val="18"/>
              </w:rPr>
            </w:pPr>
            <w:r w:rsidRPr="004D4940">
              <w:rPr>
                <w:b/>
                <w:bCs/>
                <w:sz w:val="18"/>
                <w:szCs w:val="18"/>
              </w:rPr>
              <w:t>2016</w:t>
            </w:r>
          </w:p>
        </w:tc>
        <w:tc>
          <w:tcPr>
            <w:tcW w:w="258" w:type="pct"/>
            <w:gridSpan w:val="2"/>
            <w:tcBorders>
              <w:top w:val="single" w:sz="4" w:space="0" w:color="auto"/>
              <w:left w:val="single" w:sz="4" w:space="0" w:color="auto"/>
              <w:bottom w:val="single" w:sz="4" w:space="0" w:color="auto"/>
              <w:right w:val="single" w:sz="4" w:space="0" w:color="auto"/>
            </w:tcBorders>
            <w:textDirection w:val="btLr"/>
            <w:vAlign w:val="center"/>
          </w:tcPr>
          <w:p w14:paraId="78C5944C" w14:textId="77777777" w:rsidR="00D06348" w:rsidRPr="004D4940" w:rsidRDefault="00D06348" w:rsidP="00D57552">
            <w:pPr>
              <w:spacing w:before="60" w:after="60" w:line="240" w:lineRule="auto"/>
              <w:ind w:left="113" w:right="113"/>
              <w:contextualSpacing/>
              <w:jc w:val="left"/>
              <w:rPr>
                <w:b/>
                <w:bCs/>
                <w:sz w:val="18"/>
                <w:szCs w:val="18"/>
              </w:rPr>
            </w:pPr>
            <w:r w:rsidRPr="004D4940">
              <w:rPr>
                <w:b/>
                <w:bCs/>
                <w:sz w:val="18"/>
                <w:szCs w:val="18"/>
              </w:rPr>
              <w:t>2017</w:t>
            </w:r>
          </w:p>
        </w:tc>
        <w:tc>
          <w:tcPr>
            <w:tcW w:w="258" w:type="pct"/>
            <w:gridSpan w:val="2"/>
            <w:tcBorders>
              <w:top w:val="single" w:sz="4" w:space="0" w:color="auto"/>
              <w:left w:val="single" w:sz="4" w:space="0" w:color="auto"/>
              <w:bottom w:val="single" w:sz="4" w:space="0" w:color="auto"/>
              <w:right w:val="single" w:sz="4" w:space="0" w:color="auto"/>
            </w:tcBorders>
            <w:textDirection w:val="btLr"/>
            <w:vAlign w:val="center"/>
          </w:tcPr>
          <w:p w14:paraId="4ED72543" w14:textId="77777777" w:rsidR="00D06348" w:rsidRPr="004D4940" w:rsidRDefault="00D06348" w:rsidP="00D57552">
            <w:pPr>
              <w:spacing w:before="60" w:after="60" w:line="240" w:lineRule="auto"/>
              <w:ind w:left="113" w:right="113"/>
              <w:contextualSpacing/>
              <w:jc w:val="left"/>
              <w:rPr>
                <w:b/>
                <w:bCs/>
                <w:sz w:val="18"/>
                <w:szCs w:val="18"/>
              </w:rPr>
            </w:pPr>
            <w:r w:rsidRPr="004D4940">
              <w:rPr>
                <w:b/>
                <w:bCs/>
                <w:sz w:val="18"/>
                <w:szCs w:val="18"/>
              </w:rPr>
              <w:t>2018</w:t>
            </w:r>
          </w:p>
        </w:tc>
        <w:tc>
          <w:tcPr>
            <w:tcW w:w="258" w:type="pct"/>
            <w:gridSpan w:val="2"/>
            <w:tcBorders>
              <w:top w:val="single" w:sz="4" w:space="0" w:color="auto"/>
              <w:left w:val="single" w:sz="4" w:space="0" w:color="auto"/>
              <w:bottom w:val="single" w:sz="4" w:space="0" w:color="auto"/>
              <w:right w:val="single" w:sz="4" w:space="0" w:color="auto"/>
            </w:tcBorders>
            <w:textDirection w:val="btLr"/>
            <w:vAlign w:val="center"/>
          </w:tcPr>
          <w:p w14:paraId="2EBD6CB5" w14:textId="77777777" w:rsidR="00D06348" w:rsidRPr="004D4940" w:rsidRDefault="00D06348" w:rsidP="00D57552">
            <w:pPr>
              <w:spacing w:before="60" w:after="60" w:line="240" w:lineRule="auto"/>
              <w:ind w:left="113" w:right="113"/>
              <w:contextualSpacing/>
              <w:jc w:val="left"/>
              <w:rPr>
                <w:b/>
                <w:bCs/>
                <w:sz w:val="18"/>
                <w:szCs w:val="18"/>
              </w:rPr>
            </w:pPr>
            <w:r w:rsidRPr="004D4940">
              <w:rPr>
                <w:b/>
                <w:bCs/>
                <w:sz w:val="18"/>
                <w:szCs w:val="18"/>
              </w:rPr>
              <w:t>2019</w:t>
            </w:r>
          </w:p>
        </w:tc>
        <w:tc>
          <w:tcPr>
            <w:tcW w:w="258" w:type="pct"/>
            <w:gridSpan w:val="2"/>
            <w:tcBorders>
              <w:top w:val="single" w:sz="4" w:space="0" w:color="auto"/>
              <w:left w:val="single" w:sz="4" w:space="0" w:color="auto"/>
              <w:bottom w:val="single" w:sz="4" w:space="0" w:color="auto"/>
              <w:right w:val="single" w:sz="4" w:space="0" w:color="auto"/>
            </w:tcBorders>
            <w:textDirection w:val="btLr"/>
          </w:tcPr>
          <w:p w14:paraId="34002EC7" w14:textId="77777777" w:rsidR="00D06348" w:rsidRPr="004D4940" w:rsidRDefault="00D06348" w:rsidP="00D57552">
            <w:pPr>
              <w:spacing w:before="60" w:after="60" w:line="240" w:lineRule="auto"/>
              <w:ind w:left="113" w:right="113"/>
              <w:contextualSpacing/>
              <w:jc w:val="left"/>
              <w:rPr>
                <w:b/>
                <w:bCs/>
                <w:sz w:val="18"/>
                <w:szCs w:val="18"/>
              </w:rPr>
            </w:pPr>
            <w:r w:rsidRPr="004D4940">
              <w:rPr>
                <w:b/>
                <w:bCs/>
                <w:sz w:val="18"/>
                <w:szCs w:val="18"/>
              </w:rPr>
              <w:t>2020</w:t>
            </w:r>
          </w:p>
        </w:tc>
        <w:tc>
          <w:tcPr>
            <w:tcW w:w="258" w:type="pct"/>
            <w:gridSpan w:val="3"/>
            <w:tcBorders>
              <w:top w:val="single" w:sz="4" w:space="0" w:color="auto"/>
              <w:left w:val="single" w:sz="4" w:space="0" w:color="auto"/>
              <w:bottom w:val="single" w:sz="4" w:space="0" w:color="auto"/>
              <w:right w:val="single" w:sz="4" w:space="0" w:color="auto"/>
            </w:tcBorders>
            <w:textDirection w:val="btLr"/>
          </w:tcPr>
          <w:p w14:paraId="060F45AA" w14:textId="77777777" w:rsidR="00D06348" w:rsidRPr="004D4940" w:rsidRDefault="00D06348" w:rsidP="00D57552">
            <w:pPr>
              <w:spacing w:before="60" w:after="60" w:line="240" w:lineRule="auto"/>
              <w:ind w:left="113" w:right="113"/>
              <w:contextualSpacing/>
              <w:jc w:val="left"/>
              <w:rPr>
                <w:b/>
                <w:bCs/>
                <w:sz w:val="18"/>
                <w:szCs w:val="18"/>
              </w:rPr>
            </w:pPr>
            <w:r w:rsidRPr="004D4940">
              <w:rPr>
                <w:b/>
                <w:bCs/>
                <w:sz w:val="18"/>
                <w:szCs w:val="18"/>
              </w:rPr>
              <w:t>2021</w:t>
            </w:r>
          </w:p>
        </w:tc>
        <w:tc>
          <w:tcPr>
            <w:tcW w:w="259" w:type="pct"/>
            <w:gridSpan w:val="2"/>
            <w:tcBorders>
              <w:top w:val="single" w:sz="4" w:space="0" w:color="auto"/>
              <w:left w:val="single" w:sz="4" w:space="0" w:color="auto"/>
              <w:bottom w:val="single" w:sz="4" w:space="0" w:color="auto"/>
              <w:right w:val="single" w:sz="4" w:space="0" w:color="auto"/>
            </w:tcBorders>
            <w:textDirection w:val="btLr"/>
          </w:tcPr>
          <w:p w14:paraId="12F0352C" w14:textId="77777777" w:rsidR="00D06348" w:rsidRPr="004D4940" w:rsidRDefault="00D06348" w:rsidP="00D57552">
            <w:pPr>
              <w:spacing w:before="60" w:after="60" w:line="240" w:lineRule="auto"/>
              <w:ind w:left="113" w:right="113"/>
              <w:contextualSpacing/>
              <w:jc w:val="left"/>
              <w:rPr>
                <w:b/>
                <w:bCs/>
                <w:sz w:val="18"/>
                <w:szCs w:val="18"/>
              </w:rPr>
            </w:pPr>
            <w:r w:rsidRPr="004D4940">
              <w:rPr>
                <w:b/>
                <w:bCs/>
                <w:sz w:val="18"/>
                <w:szCs w:val="18"/>
              </w:rPr>
              <w:t>2022</w:t>
            </w:r>
          </w:p>
        </w:tc>
        <w:tc>
          <w:tcPr>
            <w:tcW w:w="258" w:type="pct"/>
            <w:gridSpan w:val="2"/>
            <w:tcBorders>
              <w:top w:val="single" w:sz="4" w:space="0" w:color="auto"/>
              <w:left w:val="single" w:sz="4" w:space="0" w:color="auto"/>
              <w:bottom w:val="single" w:sz="4" w:space="0" w:color="auto"/>
              <w:right w:val="single" w:sz="4" w:space="0" w:color="auto"/>
            </w:tcBorders>
            <w:textDirection w:val="btLr"/>
          </w:tcPr>
          <w:p w14:paraId="2434851F" w14:textId="77777777" w:rsidR="00D06348" w:rsidRPr="004D4940" w:rsidRDefault="00D06348" w:rsidP="00D57552">
            <w:pPr>
              <w:spacing w:before="60" w:after="60" w:line="240" w:lineRule="auto"/>
              <w:ind w:left="113" w:right="113"/>
              <w:contextualSpacing/>
              <w:jc w:val="left"/>
              <w:rPr>
                <w:b/>
                <w:bCs/>
                <w:sz w:val="18"/>
                <w:szCs w:val="18"/>
              </w:rPr>
            </w:pPr>
            <w:r w:rsidRPr="004D4940">
              <w:rPr>
                <w:b/>
                <w:bCs/>
                <w:sz w:val="18"/>
                <w:szCs w:val="18"/>
              </w:rPr>
              <w:t>2023</w:t>
            </w:r>
          </w:p>
        </w:tc>
        <w:tc>
          <w:tcPr>
            <w:tcW w:w="131" w:type="pct"/>
            <w:tcBorders>
              <w:top w:val="single" w:sz="4" w:space="0" w:color="auto"/>
              <w:left w:val="single" w:sz="4" w:space="0" w:color="auto"/>
              <w:bottom w:val="nil"/>
              <w:right w:val="nil"/>
            </w:tcBorders>
            <w:textDirection w:val="btLr"/>
          </w:tcPr>
          <w:p w14:paraId="0DE3A937" w14:textId="77777777" w:rsidR="00D06348" w:rsidRPr="004D4940" w:rsidRDefault="00D06348" w:rsidP="00D57552">
            <w:pPr>
              <w:spacing w:before="60" w:after="60" w:line="240" w:lineRule="auto"/>
              <w:ind w:left="113" w:right="113"/>
              <w:contextualSpacing/>
              <w:jc w:val="left"/>
              <w:rPr>
                <w:b/>
                <w:bCs/>
                <w:sz w:val="18"/>
                <w:szCs w:val="18"/>
              </w:rPr>
            </w:pPr>
          </w:p>
        </w:tc>
      </w:tr>
    </w:tbl>
    <w:p w14:paraId="22FB7609" w14:textId="77777777" w:rsidR="00D06348" w:rsidRDefault="00D06348" w:rsidP="00D06348">
      <w:pPr>
        <w:spacing w:before="40" w:after="40" w:line="240" w:lineRule="auto"/>
        <w:jc w:val="left"/>
        <w:rPr>
          <w:color w:val="auto"/>
          <w:kern w:val="0"/>
          <w:szCs w:val="21"/>
          <w:lang w:val="en-US" w:bidi="en-US"/>
        </w:rPr>
      </w:pPr>
    </w:p>
    <w:p w14:paraId="23EC0306" w14:textId="77777777" w:rsidR="00D06348" w:rsidRPr="00D73C3D" w:rsidRDefault="00D06348" w:rsidP="00D06348">
      <w:pPr>
        <w:spacing w:before="40" w:after="40" w:line="240" w:lineRule="auto"/>
        <w:jc w:val="left"/>
        <w:rPr>
          <w:color w:val="auto"/>
          <w:kern w:val="0"/>
          <w:sz w:val="18"/>
          <w:szCs w:val="18"/>
          <w:lang w:val="en-US" w:bidi="en-US"/>
        </w:rPr>
      </w:pPr>
      <w:r w:rsidRPr="00D73C3D">
        <w:rPr>
          <w:color w:val="auto"/>
          <w:kern w:val="0"/>
          <w:sz w:val="18"/>
          <w:szCs w:val="18"/>
          <w:lang w:val="en-US" w:bidi="en-US"/>
        </w:rPr>
        <w:t>* = not all evaluation questions are presented here for this indicator. # = evaluation results presented for downstream of Lock 6 in the LMR.</w:t>
      </w:r>
      <w:r>
        <w:rPr>
          <w:color w:val="auto"/>
          <w:kern w:val="0"/>
          <w:sz w:val="18"/>
          <w:szCs w:val="18"/>
          <w:lang w:val="en-US" w:bidi="en-US"/>
        </w:rPr>
        <w:t xml:space="preserve"> </w:t>
      </w:r>
      <w:r w:rsidRPr="000E6018">
        <w:rPr>
          <w:color w:val="auto"/>
          <w:kern w:val="0"/>
          <w:sz w:val="18"/>
          <w:szCs w:val="18"/>
          <w:vertAlign w:val="superscript"/>
          <w:lang w:val="en-US" w:bidi="en-US"/>
        </w:rPr>
        <w:t>a</w:t>
      </w:r>
      <w:r>
        <w:rPr>
          <w:color w:val="auto"/>
          <w:kern w:val="0"/>
          <w:sz w:val="18"/>
          <w:szCs w:val="18"/>
          <w:lang w:val="en-US" w:bidi="en-US"/>
        </w:rPr>
        <w:t xml:space="preserve"> Evaluation for </w:t>
      </w:r>
      <w:r w:rsidRPr="00AA18F3">
        <w:rPr>
          <w:i/>
          <w:iCs/>
          <w:color w:val="auto"/>
          <w:kern w:val="0"/>
          <w:sz w:val="18"/>
          <w:szCs w:val="18"/>
          <w:lang w:val="en-US" w:bidi="en-US"/>
        </w:rPr>
        <w:t>Ruppia tuberosa</w:t>
      </w:r>
      <w:r>
        <w:rPr>
          <w:color w:val="auto"/>
          <w:kern w:val="0"/>
          <w:sz w:val="18"/>
          <w:szCs w:val="18"/>
          <w:lang w:val="en-US" w:bidi="en-US"/>
        </w:rPr>
        <w:t xml:space="preserve"> habitat is by financial year. </w:t>
      </w:r>
    </w:p>
    <w:p w14:paraId="303CC929" w14:textId="61848795" w:rsidR="00D06348" w:rsidRPr="00D73C3D" w:rsidRDefault="00D06348" w:rsidP="00D06348">
      <w:pPr>
        <w:spacing w:before="40" w:after="40" w:line="240" w:lineRule="auto"/>
        <w:jc w:val="left"/>
        <w:rPr>
          <w:color w:val="auto"/>
          <w:kern w:val="0"/>
          <w:sz w:val="18"/>
          <w:szCs w:val="18"/>
          <w:lang w:val="en-US" w:bidi="en-US"/>
        </w:rPr>
      </w:pPr>
      <w:r w:rsidRPr="00D73C3D">
        <w:rPr>
          <w:color w:val="auto"/>
          <w:kern w:val="0"/>
          <w:sz w:val="18"/>
          <w:szCs w:val="18"/>
          <w:lang w:val="en-US" w:bidi="en-US"/>
        </w:rPr>
        <w:t xml:space="preserve">Contribution (to what extent CEW contributed towards the outcome, with the significance of the outcome considered). See respective indicator evaluation sections (Section </w:t>
      </w:r>
      <w:r w:rsidRPr="00D73C3D">
        <w:rPr>
          <w:color w:val="auto"/>
          <w:kern w:val="0"/>
          <w:sz w:val="18"/>
          <w:szCs w:val="18"/>
          <w:lang w:val="en-US" w:bidi="en-US"/>
        </w:rPr>
        <w:fldChar w:fldCharType="begin"/>
      </w:r>
      <w:r w:rsidRPr="00D73C3D">
        <w:rPr>
          <w:color w:val="auto"/>
          <w:kern w:val="0"/>
          <w:sz w:val="18"/>
          <w:szCs w:val="18"/>
          <w:lang w:val="en-US" w:bidi="en-US"/>
        </w:rPr>
        <w:instrText xml:space="preserve"> REF _Ref15904940 \r \h  \* MERGEFORMAT </w:instrText>
      </w:r>
      <w:r w:rsidRPr="00D73C3D">
        <w:rPr>
          <w:color w:val="auto"/>
          <w:kern w:val="0"/>
          <w:sz w:val="18"/>
          <w:szCs w:val="18"/>
          <w:lang w:val="en-US" w:bidi="en-US"/>
        </w:rPr>
      </w:r>
      <w:r w:rsidRPr="00D73C3D">
        <w:rPr>
          <w:color w:val="auto"/>
          <w:kern w:val="0"/>
          <w:sz w:val="18"/>
          <w:szCs w:val="18"/>
          <w:lang w:val="en-US" w:bidi="en-US"/>
        </w:rPr>
        <w:fldChar w:fldCharType="separate"/>
      </w:r>
      <w:r w:rsidR="00102828">
        <w:rPr>
          <w:color w:val="auto"/>
          <w:kern w:val="0"/>
          <w:sz w:val="18"/>
          <w:szCs w:val="18"/>
          <w:lang w:val="en-US" w:bidi="en-US"/>
        </w:rPr>
        <w:t>2</w:t>
      </w:r>
      <w:r w:rsidRPr="00D73C3D">
        <w:rPr>
          <w:color w:val="auto"/>
          <w:kern w:val="0"/>
          <w:sz w:val="18"/>
          <w:szCs w:val="18"/>
          <w:lang w:val="en-US" w:bidi="en-US"/>
        </w:rPr>
        <w:fldChar w:fldCharType="end"/>
      </w:r>
      <w:r w:rsidRPr="00D73C3D">
        <w:rPr>
          <w:color w:val="auto"/>
          <w:kern w:val="0"/>
          <w:sz w:val="18"/>
          <w:szCs w:val="18"/>
          <w:lang w:val="en-US" w:bidi="en-US"/>
        </w:rPr>
        <w:t>) for selection criteria:</w:t>
      </w:r>
    </w:p>
    <w:tbl>
      <w:tblPr>
        <w:tblW w:w="9172" w:type="dxa"/>
        <w:tblLook w:val="04A0" w:firstRow="1" w:lastRow="0" w:firstColumn="1" w:lastColumn="0" w:noHBand="0" w:noVBand="1"/>
      </w:tblPr>
      <w:tblGrid>
        <w:gridCol w:w="272"/>
        <w:gridCol w:w="976"/>
        <w:gridCol w:w="270"/>
        <w:gridCol w:w="1107"/>
        <w:gridCol w:w="269"/>
        <w:gridCol w:w="1059"/>
        <w:gridCol w:w="320"/>
        <w:gridCol w:w="1069"/>
        <w:gridCol w:w="263"/>
        <w:gridCol w:w="722"/>
        <w:gridCol w:w="254"/>
        <w:gridCol w:w="1132"/>
        <w:gridCol w:w="264"/>
        <w:gridCol w:w="1195"/>
      </w:tblGrid>
      <w:tr w:rsidR="00D06348" w:rsidRPr="004561A6" w14:paraId="56AABB37" w14:textId="77777777" w:rsidTr="00D57552">
        <w:tc>
          <w:tcPr>
            <w:tcW w:w="276" w:type="dxa"/>
            <w:shd w:val="clear" w:color="auto" w:fill="595959" w:themeFill="text1" w:themeFillTint="A6"/>
          </w:tcPr>
          <w:p w14:paraId="26FDE46A" w14:textId="77777777" w:rsidR="00D06348" w:rsidRPr="004561A6" w:rsidRDefault="00D06348" w:rsidP="00D57552">
            <w:pPr>
              <w:contextualSpacing/>
              <w:rPr>
                <w:sz w:val="18"/>
                <w:szCs w:val="18"/>
              </w:rPr>
            </w:pPr>
          </w:p>
        </w:tc>
        <w:tc>
          <w:tcPr>
            <w:tcW w:w="976" w:type="dxa"/>
          </w:tcPr>
          <w:p w14:paraId="75308B06" w14:textId="77777777" w:rsidR="00D06348" w:rsidRPr="004561A6" w:rsidRDefault="00D06348" w:rsidP="00D57552">
            <w:pPr>
              <w:contextualSpacing/>
              <w:rPr>
                <w:sz w:val="18"/>
                <w:szCs w:val="18"/>
              </w:rPr>
            </w:pPr>
            <w:r w:rsidRPr="004561A6">
              <w:rPr>
                <w:sz w:val="18"/>
                <w:szCs w:val="18"/>
              </w:rPr>
              <w:t>Not assessed</w:t>
            </w:r>
          </w:p>
        </w:tc>
        <w:tc>
          <w:tcPr>
            <w:tcW w:w="274" w:type="dxa"/>
            <w:shd w:val="clear" w:color="auto" w:fill="D9D9D9" w:themeFill="background1" w:themeFillShade="D9"/>
          </w:tcPr>
          <w:p w14:paraId="6252612F" w14:textId="77777777" w:rsidR="00D06348" w:rsidRPr="004561A6" w:rsidRDefault="00D06348" w:rsidP="00D57552">
            <w:pPr>
              <w:contextualSpacing/>
              <w:rPr>
                <w:sz w:val="18"/>
                <w:szCs w:val="18"/>
              </w:rPr>
            </w:pPr>
          </w:p>
        </w:tc>
        <w:tc>
          <w:tcPr>
            <w:tcW w:w="1114" w:type="dxa"/>
            <w:vAlign w:val="center"/>
          </w:tcPr>
          <w:p w14:paraId="0D673998" w14:textId="77777777" w:rsidR="00D06348" w:rsidRPr="004561A6" w:rsidRDefault="00D06348" w:rsidP="00D57552">
            <w:pPr>
              <w:contextualSpacing/>
              <w:rPr>
                <w:sz w:val="18"/>
                <w:szCs w:val="18"/>
              </w:rPr>
            </w:pPr>
            <w:r w:rsidRPr="004561A6">
              <w:rPr>
                <w:sz w:val="18"/>
                <w:szCs w:val="18"/>
              </w:rPr>
              <w:t>Unknown</w:t>
            </w:r>
          </w:p>
        </w:tc>
        <w:tc>
          <w:tcPr>
            <w:tcW w:w="273" w:type="dxa"/>
            <w:shd w:val="clear" w:color="auto" w:fill="FF0000"/>
            <w:vAlign w:val="center"/>
          </w:tcPr>
          <w:p w14:paraId="4C1936D0" w14:textId="77777777" w:rsidR="00D06348" w:rsidRPr="004561A6" w:rsidRDefault="00D06348" w:rsidP="00D57552">
            <w:pPr>
              <w:contextualSpacing/>
              <w:rPr>
                <w:sz w:val="18"/>
                <w:szCs w:val="18"/>
              </w:rPr>
            </w:pPr>
          </w:p>
        </w:tc>
        <w:tc>
          <w:tcPr>
            <w:tcW w:w="1062" w:type="dxa"/>
            <w:vAlign w:val="center"/>
          </w:tcPr>
          <w:p w14:paraId="7E58A50C" w14:textId="77777777" w:rsidR="00D06348" w:rsidRPr="004561A6" w:rsidRDefault="00D06348" w:rsidP="00D57552">
            <w:pPr>
              <w:contextualSpacing/>
              <w:rPr>
                <w:sz w:val="18"/>
                <w:szCs w:val="18"/>
              </w:rPr>
            </w:pPr>
            <w:r w:rsidRPr="004561A6">
              <w:rPr>
                <w:sz w:val="18"/>
                <w:szCs w:val="18"/>
              </w:rPr>
              <w:t>Negative</w:t>
            </w:r>
          </w:p>
        </w:tc>
        <w:tc>
          <w:tcPr>
            <w:tcW w:w="328" w:type="dxa"/>
            <w:shd w:val="clear" w:color="auto" w:fill="E2EFD9" w:themeFill="accent6" w:themeFillTint="33"/>
            <w:vAlign w:val="center"/>
          </w:tcPr>
          <w:p w14:paraId="29C0B53F" w14:textId="77777777" w:rsidR="00D06348" w:rsidRPr="004561A6" w:rsidRDefault="00D06348" w:rsidP="00D57552">
            <w:pPr>
              <w:contextualSpacing/>
              <w:rPr>
                <w:sz w:val="18"/>
                <w:szCs w:val="18"/>
              </w:rPr>
            </w:pPr>
          </w:p>
        </w:tc>
        <w:tc>
          <w:tcPr>
            <w:tcW w:w="1020" w:type="dxa"/>
            <w:vAlign w:val="center"/>
          </w:tcPr>
          <w:p w14:paraId="60F5FD56" w14:textId="77777777" w:rsidR="00D06348" w:rsidRDefault="00D06348" w:rsidP="00D57552">
            <w:pPr>
              <w:contextualSpacing/>
              <w:rPr>
                <w:sz w:val="18"/>
                <w:szCs w:val="18"/>
              </w:rPr>
            </w:pPr>
            <w:r w:rsidRPr="004561A6">
              <w:rPr>
                <w:sz w:val="18"/>
                <w:szCs w:val="18"/>
              </w:rPr>
              <w:t>None/</w:t>
            </w:r>
          </w:p>
          <w:p w14:paraId="5804C912" w14:textId="77777777" w:rsidR="00D06348" w:rsidRPr="004561A6" w:rsidRDefault="00D06348" w:rsidP="00D57552">
            <w:pPr>
              <w:contextualSpacing/>
              <w:rPr>
                <w:sz w:val="18"/>
                <w:szCs w:val="18"/>
              </w:rPr>
            </w:pPr>
            <w:r w:rsidRPr="004561A6">
              <w:rPr>
                <w:sz w:val="18"/>
                <w:szCs w:val="18"/>
              </w:rPr>
              <w:t>negligible</w:t>
            </w:r>
          </w:p>
        </w:tc>
        <w:tc>
          <w:tcPr>
            <w:tcW w:w="267" w:type="dxa"/>
            <w:shd w:val="clear" w:color="auto" w:fill="A8D08D" w:themeFill="accent6" w:themeFillTint="99"/>
            <w:vAlign w:val="center"/>
          </w:tcPr>
          <w:p w14:paraId="4AA2A8E8" w14:textId="77777777" w:rsidR="00D06348" w:rsidRPr="004561A6" w:rsidRDefault="00D06348" w:rsidP="00D57552">
            <w:pPr>
              <w:contextualSpacing/>
              <w:rPr>
                <w:sz w:val="18"/>
                <w:szCs w:val="18"/>
              </w:rPr>
            </w:pPr>
          </w:p>
        </w:tc>
        <w:tc>
          <w:tcPr>
            <w:tcW w:w="724" w:type="dxa"/>
            <w:vAlign w:val="center"/>
          </w:tcPr>
          <w:p w14:paraId="5D369F4D" w14:textId="77777777" w:rsidR="00D06348" w:rsidRPr="004561A6" w:rsidRDefault="00D06348" w:rsidP="00D57552">
            <w:pPr>
              <w:contextualSpacing/>
              <w:rPr>
                <w:sz w:val="18"/>
                <w:szCs w:val="18"/>
              </w:rPr>
            </w:pPr>
            <w:r w:rsidRPr="004561A6">
              <w:rPr>
                <w:sz w:val="18"/>
                <w:szCs w:val="18"/>
              </w:rPr>
              <w:t>Minor</w:t>
            </w:r>
          </w:p>
        </w:tc>
        <w:tc>
          <w:tcPr>
            <w:tcW w:w="257" w:type="dxa"/>
            <w:shd w:val="clear" w:color="auto" w:fill="70AD47" w:themeFill="accent6"/>
            <w:vAlign w:val="center"/>
          </w:tcPr>
          <w:p w14:paraId="138A30B5" w14:textId="77777777" w:rsidR="00D06348" w:rsidRPr="004561A6" w:rsidRDefault="00D06348" w:rsidP="00D57552">
            <w:pPr>
              <w:contextualSpacing/>
              <w:rPr>
                <w:sz w:val="18"/>
                <w:szCs w:val="18"/>
              </w:rPr>
            </w:pPr>
          </w:p>
        </w:tc>
        <w:tc>
          <w:tcPr>
            <w:tcW w:w="1135" w:type="dxa"/>
            <w:vAlign w:val="center"/>
          </w:tcPr>
          <w:p w14:paraId="377B3A2A" w14:textId="77777777" w:rsidR="00D06348" w:rsidRPr="004561A6" w:rsidRDefault="00D06348" w:rsidP="00D57552">
            <w:pPr>
              <w:contextualSpacing/>
              <w:rPr>
                <w:sz w:val="18"/>
                <w:szCs w:val="18"/>
              </w:rPr>
            </w:pPr>
            <w:r w:rsidRPr="004561A6">
              <w:rPr>
                <w:sz w:val="18"/>
                <w:szCs w:val="18"/>
              </w:rPr>
              <w:t>Moderate</w:t>
            </w:r>
          </w:p>
        </w:tc>
        <w:tc>
          <w:tcPr>
            <w:tcW w:w="268" w:type="dxa"/>
            <w:shd w:val="clear" w:color="auto" w:fill="5BA2F7"/>
          </w:tcPr>
          <w:p w14:paraId="0D732FC2" w14:textId="77777777" w:rsidR="00D06348" w:rsidRPr="004561A6" w:rsidRDefault="00D06348" w:rsidP="00D57552">
            <w:pPr>
              <w:contextualSpacing/>
              <w:rPr>
                <w:sz w:val="18"/>
                <w:szCs w:val="18"/>
              </w:rPr>
            </w:pPr>
          </w:p>
        </w:tc>
        <w:tc>
          <w:tcPr>
            <w:tcW w:w="1198" w:type="dxa"/>
            <w:vAlign w:val="center"/>
          </w:tcPr>
          <w:p w14:paraId="16FBD86E" w14:textId="77777777" w:rsidR="00D06348" w:rsidRPr="004561A6" w:rsidRDefault="00D06348" w:rsidP="00D57552">
            <w:pPr>
              <w:contextualSpacing/>
              <w:jc w:val="left"/>
              <w:rPr>
                <w:sz w:val="18"/>
                <w:szCs w:val="18"/>
              </w:rPr>
            </w:pPr>
            <w:r w:rsidRPr="004561A6">
              <w:rPr>
                <w:sz w:val="18"/>
                <w:szCs w:val="18"/>
              </w:rPr>
              <w:t>Substantial</w:t>
            </w:r>
          </w:p>
        </w:tc>
      </w:tr>
    </w:tbl>
    <w:p w14:paraId="14842D64" w14:textId="77777777" w:rsidR="00AE313C" w:rsidRDefault="00AE313C">
      <w:pPr>
        <w:spacing w:before="0" w:after="160" w:line="259" w:lineRule="auto"/>
        <w:jc w:val="left"/>
        <w:rPr>
          <w:rFonts w:eastAsia="MS Mincho" w:cs="Arial"/>
          <w:b/>
          <w:color w:val="auto"/>
          <w:kern w:val="0"/>
          <w:sz w:val="20"/>
          <w:lang w:val="en-US"/>
        </w:rPr>
      </w:pPr>
      <w:r>
        <w:br w:type="page"/>
      </w:r>
    </w:p>
    <w:p w14:paraId="05FFA78C" w14:textId="0436E1A1" w:rsidR="00435120" w:rsidRPr="00C162EB" w:rsidRDefault="00FA04CC" w:rsidP="00435120">
      <w:pPr>
        <w:pStyle w:val="Heading1"/>
      </w:pPr>
      <w:bookmarkStart w:id="561" w:name="_Ref472332586"/>
      <w:bookmarkStart w:id="562" w:name="_Ref472590168"/>
      <w:bookmarkStart w:id="563" w:name="_Toc3558343"/>
      <w:bookmarkStart w:id="564" w:name="_Ref30588787"/>
      <w:bookmarkStart w:id="565" w:name="_Ref128064351"/>
      <w:bookmarkStart w:id="566" w:name="_Toc166771633"/>
      <w:r w:rsidRPr="00C162EB">
        <w:lastRenderedPageBreak/>
        <w:t xml:space="preserve"> </w:t>
      </w:r>
      <w:bookmarkStart w:id="567" w:name="_Toc200467869"/>
      <w:r w:rsidR="00435120" w:rsidRPr="00C162EB">
        <w:t xml:space="preserve">General </w:t>
      </w:r>
      <w:bookmarkEnd w:id="561"/>
      <w:bookmarkEnd w:id="562"/>
      <w:bookmarkEnd w:id="563"/>
      <w:bookmarkEnd w:id="564"/>
      <w:bookmarkEnd w:id="565"/>
      <w:r w:rsidR="00435120" w:rsidRPr="00C162EB">
        <w:t>Management Recommendations</w:t>
      </w:r>
      <w:bookmarkEnd w:id="566"/>
      <w:bookmarkEnd w:id="567"/>
    </w:p>
    <w:p w14:paraId="27485ECC" w14:textId="544BB224" w:rsidR="00D06348" w:rsidRPr="00907EA4" w:rsidRDefault="00D06348" w:rsidP="00D06348">
      <w:pPr>
        <w:rPr>
          <w:rFonts w:eastAsiaTheme="majorEastAsia"/>
        </w:rPr>
      </w:pPr>
      <w:r>
        <w:t>E</w:t>
      </w:r>
      <w:r w:rsidRPr="00907EA4">
        <w:t>nvironmental water delivery to the Lower Murray</w:t>
      </w:r>
      <w:r>
        <w:t xml:space="preserve"> during dry years</w:t>
      </w:r>
      <w:r w:rsidRPr="00907EA4">
        <w:t xml:space="preserve"> has typically involved contributing to base flows (~</w:t>
      </w:r>
      <w:r>
        <w:t>SA</w:t>
      </w:r>
      <w:r w:rsidRPr="00907EA4">
        <w:t xml:space="preserve"> entitlement flows), promoting in-channel flow pulses (i.e. increasing</w:t>
      </w:r>
      <w:r w:rsidRPr="00907EA4">
        <w:rPr>
          <w:rFonts w:eastAsiaTheme="majorEastAsia"/>
        </w:rPr>
        <w:t xml:space="preserve"> magnitude, duration and/or frequency of freshes), and supporting</w:t>
      </w:r>
      <w:r>
        <w:rPr>
          <w:rFonts w:eastAsiaTheme="majorEastAsia"/>
        </w:rPr>
        <w:t xml:space="preserve"> end-of-system flows to maintain Lower Lakes levels and</w:t>
      </w:r>
      <w:r w:rsidRPr="00907EA4">
        <w:rPr>
          <w:rFonts w:eastAsiaTheme="majorEastAsia"/>
        </w:rPr>
        <w:t xml:space="preserve"> </w:t>
      </w:r>
      <w:r>
        <w:rPr>
          <w:rFonts w:eastAsiaTheme="majorEastAsia"/>
        </w:rPr>
        <w:t xml:space="preserve">support </w:t>
      </w:r>
      <w:r w:rsidRPr="00907EA4">
        <w:rPr>
          <w:rFonts w:eastAsiaTheme="majorEastAsia"/>
        </w:rPr>
        <w:t>barrage</w:t>
      </w:r>
      <w:r>
        <w:rPr>
          <w:rFonts w:eastAsiaTheme="majorEastAsia"/>
        </w:rPr>
        <w:t>/fishway</w:t>
      </w:r>
      <w:r w:rsidRPr="00907EA4">
        <w:rPr>
          <w:rFonts w:eastAsiaTheme="majorEastAsia"/>
        </w:rPr>
        <w:t xml:space="preserve"> </w:t>
      </w:r>
      <w:r>
        <w:rPr>
          <w:rFonts w:eastAsiaTheme="majorEastAsia"/>
        </w:rPr>
        <w:t>operation</w:t>
      </w:r>
      <w:r w:rsidRPr="00907EA4">
        <w:rPr>
          <w:rFonts w:eastAsiaTheme="majorEastAsia"/>
        </w:rPr>
        <w:t>. During wet years, such as</w:t>
      </w:r>
      <w:r>
        <w:rPr>
          <w:rFonts w:eastAsiaTheme="majorEastAsia"/>
        </w:rPr>
        <w:t xml:space="preserve"> 2016-17 and</w:t>
      </w:r>
      <w:r w:rsidRPr="00907EA4">
        <w:rPr>
          <w:rFonts w:eastAsiaTheme="majorEastAsia"/>
        </w:rPr>
        <w:t xml:space="preserve"> 2021</w:t>
      </w:r>
      <w:r>
        <w:rPr>
          <w:rFonts w:eastAsiaTheme="majorEastAsia"/>
        </w:rPr>
        <w:t>–2024</w:t>
      </w:r>
      <w:r w:rsidRPr="00907EA4">
        <w:rPr>
          <w:rFonts w:eastAsiaTheme="majorEastAsia"/>
        </w:rPr>
        <w:t>, environmental water delivery has aimed to fill gaps in the hydrograph to maintain high flow volumes or reduce the rate of flow recessions. The overall aims of the water delivery are maintaining/improving habitat, connectivity and populations</w:t>
      </w:r>
      <w:r>
        <w:rPr>
          <w:rFonts w:eastAsiaTheme="majorEastAsia"/>
        </w:rPr>
        <w:t>,</w:t>
      </w:r>
      <w:r w:rsidRPr="00907EA4">
        <w:rPr>
          <w:rFonts w:eastAsiaTheme="majorEastAsia"/>
        </w:rPr>
        <w:t xml:space="preserve"> and restoring ecosystem health in the LMR and CLLMM region. </w:t>
      </w:r>
      <w:r w:rsidRPr="00907EA4">
        <w:t xml:space="preserve">General recommendations for flow management in the LMR are provided below, based on monitoring outcomes from the LTIM and </w:t>
      </w:r>
      <w:r>
        <w:t>Flow-</w:t>
      </w:r>
      <w:r w:rsidRPr="00907EA4">
        <w:t xml:space="preserve">MER projects, in conjunction with our contemporary understanding of flow-related ecology in the LMR. More specific management considerations are provided in Section </w:t>
      </w:r>
      <w:r w:rsidRPr="00907EA4">
        <w:fldChar w:fldCharType="begin"/>
      </w:r>
      <w:r w:rsidRPr="00907EA4">
        <w:instrText xml:space="preserve"> REF _Ref15904940 \r \h  \* MERGEFORMAT </w:instrText>
      </w:r>
      <w:r w:rsidRPr="00907EA4">
        <w:fldChar w:fldCharType="separate"/>
      </w:r>
      <w:r w:rsidR="00102828">
        <w:t>2</w:t>
      </w:r>
      <w:r w:rsidRPr="00907EA4">
        <w:fldChar w:fldCharType="end"/>
      </w:r>
      <w:r w:rsidRPr="00907EA4">
        <w:t>, based on ecological outcomes and findings from indicators. Our findings and recommendations on flow management are most relevant to the spring–summer period</w:t>
      </w:r>
      <w:r>
        <w:t>,</w:t>
      </w:r>
      <w:r w:rsidRPr="00907EA4">
        <w:t xml:space="preserve"> as this is the primary period driving biological response of selected indicators in the LMR. </w:t>
      </w:r>
    </w:p>
    <w:p w14:paraId="1E69801E" w14:textId="77777777" w:rsidR="00D06348" w:rsidRPr="00D2651B" w:rsidRDefault="00D06348" w:rsidP="00D06348">
      <w:pPr>
        <w:rPr>
          <w:b/>
          <w:bCs/>
          <w:i/>
          <w:iCs/>
        </w:rPr>
      </w:pPr>
      <w:bookmarkStart w:id="568" w:name="_Hlk96520716"/>
      <w:r w:rsidRPr="00D2651B">
        <w:rPr>
          <w:b/>
          <w:bCs/>
          <w:i/>
          <w:iCs/>
        </w:rPr>
        <w:t>Spring–early summer in-channel flow pulses</w:t>
      </w:r>
    </w:p>
    <w:p w14:paraId="5064C7BA" w14:textId="742F18C2" w:rsidR="00D06348" w:rsidRPr="00D2651B" w:rsidRDefault="00D06348" w:rsidP="00D06348">
      <w:r w:rsidRPr="00D2651B">
        <w:t xml:space="preserve">Spring–early summer </w:t>
      </w:r>
      <w:bookmarkEnd w:id="568"/>
      <w:r w:rsidRPr="00D2651B">
        <w:t>in-channel flow pulses were key features of the natural hydrograph in the LMR but are absent or reduced from the contemporary flow regime</w:t>
      </w:r>
      <w:r>
        <w:t xml:space="preserve"> (</w:t>
      </w:r>
      <w:r>
        <w:fldChar w:fldCharType="begin"/>
      </w:r>
      <w:r>
        <w:instrText xml:space="preserve"> REF _Ref416335393 \h </w:instrText>
      </w:r>
      <w:r>
        <w:fldChar w:fldCharType="separate"/>
      </w:r>
      <w:r w:rsidR="00102828" w:rsidRPr="0007443D">
        <w:t xml:space="preserve">Figure </w:t>
      </w:r>
      <w:r w:rsidR="00102828">
        <w:rPr>
          <w:noProof/>
        </w:rPr>
        <w:t>4</w:t>
      </w:r>
      <w:r>
        <w:fldChar w:fldCharType="end"/>
      </w:r>
      <w:r>
        <w:t>)</w:t>
      </w:r>
      <w:r w:rsidRPr="00D2651B">
        <w:t>. These flow pulses improve hydrological connectivity, increase hydraulic diversity, and support a broad range of ecological processes and outcomes in riverine and estuarine ecosystems (e.g. lotic habitat, matter transport, food webs, spawning cues for riverine fishes, zooplankton/fish larvae drift, littoral vegetation diversity and productivity, fish recruitment). Such outcomes have been demonstrated to different levels via the ecological indicators in the Lower Murray over the</w:t>
      </w:r>
      <w:r>
        <w:t xml:space="preserve"> </w:t>
      </w:r>
      <w:r w:rsidRPr="00D2651B">
        <w:t>monitoring years</w:t>
      </w:r>
      <w:r>
        <w:t xml:space="preserve"> since 2014-15</w:t>
      </w:r>
      <w:r w:rsidRPr="00D2651B">
        <w:t xml:space="preserve">. </w:t>
      </w:r>
    </w:p>
    <w:p w14:paraId="454F19B0" w14:textId="4A6963FD" w:rsidR="00D06348" w:rsidRPr="00D2651B" w:rsidRDefault="00D06348" w:rsidP="00D06348">
      <w:r w:rsidRPr="00D2651B">
        <w:t>Under the predominantly dry conditions from 2014-15 to 2020-21 (except 2016-17), environmental water represented 25</w:t>
      </w:r>
      <w:r w:rsidRPr="00D2651B">
        <w:rPr>
          <w:rFonts w:ascii="Calibri" w:hAnsi="Calibri" w:cs="Calibri"/>
        </w:rPr>
        <w:t>–</w:t>
      </w:r>
      <w:r w:rsidRPr="00D2651B">
        <w:t>43% of the annual total volumes (mean ~2,700 GL/y</w:t>
      </w:r>
      <w:r>
        <w:t>, QSA</w:t>
      </w:r>
      <w:r w:rsidRPr="00D2651B">
        <w:t>) in the LMR, noting the total volume would have been 89% (modelled) greater prior to river regulation. In these years, environmental flows, typically delivered via return flows from upstream watering events, have supported multiple in-channel flow pulses (10,000</w:t>
      </w:r>
      <w:r w:rsidRPr="00D2651B">
        <w:rPr>
          <w:rFonts w:ascii="Calibri" w:hAnsi="Calibri" w:cs="Calibri"/>
        </w:rPr>
        <w:t>–</w:t>
      </w:r>
      <w:r w:rsidRPr="00D2651B">
        <w:t xml:space="preserve">18,000 ML/d) in the LMR during spring–early summer </w:t>
      </w:r>
      <w:r>
        <w:t>(</w:t>
      </w:r>
      <w:r>
        <w:fldChar w:fldCharType="begin"/>
      </w:r>
      <w:r>
        <w:instrText xml:space="preserve"> REF _Ref155710246 \h </w:instrText>
      </w:r>
      <w:r>
        <w:fldChar w:fldCharType="separate"/>
      </w:r>
      <w:r w:rsidR="00102828">
        <w:t xml:space="preserve">Figure </w:t>
      </w:r>
      <w:r w:rsidR="00102828">
        <w:rPr>
          <w:noProof/>
        </w:rPr>
        <w:t>12</w:t>
      </w:r>
      <w:r>
        <w:fldChar w:fldCharType="end"/>
      </w:r>
      <w:r>
        <w:t>)</w:t>
      </w:r>
      <w:r w:rsidRPr="00D2651B">
        <w:t xml:space="preserve">. </w:t>
      </w:r>
      <w:bookmarkStart w:id="569" w:name="_Hlk127486676"/>
      <w:r w:rsidRPr="00D2651B">
        <w:t xml:space="preserve">These small freshes </w:t>
      </w:r>
      <w:bookmarkStart w:id="570" w:name="_Hlk96530909"/>
      <w:r w:rsidRPr="00D2651B">
        <w:t>elicited minor to moderate improvement in hydraulic conditions in the LMR and</w:t>
      </w:r>
      <w:bookmarkEnd w:id="569"/>
      <w:bookmarkEnd w:id="570"/>
      <w:r w:rsidRPr="00D2651B">
        <w:t xml:space="preserve"> have led to positive ecological responses at ‘reach scale’. For example, increased water level variability by environmental flow supported the recruitment of native littoral understorey vegetation and the germination (2019-20) and survival (2020-21) of river red gums in river reaches downstream of weirs</w:t>
      </w:r>
      <w:r w:rsidR="00E27C23">
        <w:t>,</w:t>
      </w:r>
      <w:r w:rsidRPr="00D2651B">
        <w:t xml:space="preserve"> improved hydrological connectivity, indicated by increased river length and duration with flowing velocity &gt;0.2 m/s, promoted downstream microinvertebrate transport and facilitated larval drift of flow-cued spawners (e.g. silver perch larvae from the lower mid-Murray to the LMR in 2020-21). Furthermore, spring flows of 10,000–18,000 ML/d have been associated with recruitment of Murray cod in most years since 2014-15. Flows of this volume result in an increased extent of lotic habitat</w:t>
      </w:r>
      <w:r>
        <w:t>, relative to entitlement flows,</w:t>
      </w:r>
      <w:r w:rsidRPr="00D2651B">
        <w:t xml:space="preserve"> and may promote prey abundance in individual weir pools. The life history of Murray cod operates over these smaller spatial scales (10s of km), and as such, </w:t>
      </w:r>
      <w:r w:rsidRPr="00D2651B">
        <w:lastRenderedPageBreak/>
        <w:t xml:space="preserve">their recruitment may have been benefited by improved lotic habitat at ‘reach scale’, along with appropriate food supplies, supported by environmental water delivery. </w:t>
      </w:r>
    </w:p>
    <w:p w14:paraId="06995D17" w14:textId="77777777" w:rsidR="00D06348" w:rsidRDefault="00D06348" w:rsidP="00D06348">
      <w:pPr>
        <w:rPr>
          <w:szCs w:val="21"/>
        </w:rPr>
      </w:pPr>
      <w:bookmarkStart w:id="571" w:name="_Hlk127488865"/>
      <w:r w:rsidRPr="00D2651B">
        <w:t xml:space="preserve">Higher flow rates (&gt;20,000 ML/d) and/or </w:t>
      </w:r>
      <w:r>
        <w:t>longer</w:t>
      </w:r>
      <w:r w:rsidRPr="00D2651B">
        <w:t xml:space="preserve"> durations are required to substantially </w:t>
      </w:r>
      <w:r w:rsidRPr="00F801DD">
        <w:t xml:space="preserve">reinstate flowing river characteristics. For instance, </w:t>
      </w:r>
      <w:r w:rsidRPr="00916C4A">
        <w:t xml:space="preserve">modelling indicated from </w:t>
      </w:r>
      <w:r>
        <w:t>late September</w:t>
      </w:r>
      <w:r w:rsidRPr="00916C4A">
        <w:t xml:space="preserve"> to </w:t>
      </w:r>
      <w:r>
        <w:t xml:space="preserve">late October </w:t>
      </w:r>
      <w:r w:rsidRPr="00916C4A">
        <w:t xml:space="preserve">2023, a relatively small increase in flow discharge from </w:t>
      </w:r>
      <w:r>
        <w:t>17,136 </w:t>
      </w:r>
      <w:r w:rsidRPr="00916C4A">
        <w:t xml:space="preserve">ML/d to </w:t>
      </w:r>
      <w:r>
        <w:t>24,620 </w:t>
      </w:r>
      <w:r w:rsidRPr="00916C4A">
        <w:t xml:space="preserve">ML/d (QSA) by Commonwealth environmental water increased the average length of lotic habitat (velocity &gt;0.3 m/s) from </w:t>
      </w:r>
      <w:r>
        <w:t>132</w:t>
      </w:r>
      <w:r w:rsidRPr="00916C4A">
        <w:t xml:space="preserve"> to </w:t>
      </w:r>
      <w:r>
        <w:t>259</w:t>
      </w:r>
      <w:r w:rsidRPr="00916C4A">
        <w:t xml:space="preserve"> km, equating to an increase of </w:t>
      </w:r>
      <w:r>
        <w:t>127</w:t>
      </w:r>
      <w:r w:rsidRPr="00916C4A">
        <w:t xml:space="preserve"> km (</w:t>
      </w:r>
      <w:r>
        <w:t>6</w:t>
      </w:r>
      <w:r w:rsidRPr="00916C4A">
        <w:t xml:space="preserve">4% of the reach) in the LMR.  </w:t>
      </w:r>
      <w:r w:rsidRPr="00F801DD">
        <w:t>Significant hydraulic improvement is required to achieve greater ecological outcomes (e.g. riverine production</w:t>
      </w:r>
      <w:r w:rsidRPr="00D2651B">
        <w:t xml:space="preserve"> and recruitment of flow-cued spawning fishes) in the LMR. </w:t>
      </w:r>
      <w:r w:rsidRPr="00D2651B">
        <w:rPr>
          <w:szCs w:val="21"/>
        </w:rPr>
        <w:t xml:space="preserve">With existing volumes of environmental water and delivery constraints, reaching and sustaining flows &gt;20,000 ML/d in the LMR during dry years is largely reliant on coordinating flow deliveries across much of the southern MDB, including flows from the Murray, Goulburn, Murrumbidgee and Darling rivers. Such concerted effort has been increasing in recent years (e.g. Southern Spring Flow 2020, Rees </w:t>
      </w:r>
      <w:r w:rsidRPr="00D2651B">
        <w:rPr>
          <w:i/>
          <w:iCs/>
          <w:szCs w:val="21"/>
        </w:rPr>
        <w:t>et al.</w:t>
      </w:r>
      <w:r w:rsidRPr="00D2651B">
        <w:rPr>
          <w:szCs w:val="21"/>
        </w:rPr>
        <w:t xml:space="preserve"> 2021). Under wetter scenarios, flows &gt;20,000 ML/d may be achieved by delivering environmental water in conjunction with unregulated flows. The latter was </w:t>
      </w:r>
      <w:r>
        <w:rPr>
          <w:szCs w:val="21"/>
        </w:rPr>
        <w:t xml:space="preserve">well </w:t>
      </w:r>
      <w:r w:rsidRPr="00D2651B">
        <w:rPr>
          <w:szCs w:val="21"/>
        </w:rPr>
        <w:t>demonstrated in 2021-22, when unregulated flows to the LMR, supplemented by environmental water, promoted a sustained, in-channel flow pulse (20,000–37,600 ML/d) that extended over a broad period from August 2021 to March 2022. This transformed 257–327 km of the LMR (</w:t>
      </w:r>
      <w:r>
        <w:rPr>
          <w:szCs w:val="21"/>
        </w:rPr>
        <w:t>up to 95%</w:t>
      </w:r>
      <w:r w:rsidRPr="00D2651B">
        <w:rPr>
          <w:szCs w:val="21"/>
        </w:rPr>
        <w:t xml:space="preserve">) into a flowing river (velocity &gt;0.3 m/s) and promoted spawning and strong recruitment of golden perch for the first time since 2013-14. </w:t>
      </w:r>
      <w:bookmarkEnd w:id="571"/>
    </w:p>
    <w:p w14:paraId="44950143" w14:textId="77777777" w:rsidR="00D06348" w:rsidRPr="00BB24BF" w:rsidRDefault="00D06348" w:rsidP="00D06348">
      <w:pPr>
        <w:rPr>
          <w:b/>
          <w:bCs/>
          <w:i/>
          <w:iCs/>
        </w:rPr>
      </w:pPr>
      <w:r>
        <w:rPr>
          <w:b/>
          <w:bCs/>
          <w:i/>
          <w:iCs/>
        </w:rPr>
        <w:t>Overbank flows</w:t>
      </w:r>
      <w:r w:rsidRPr="00BB24BF">
        <w:rPr>
          <w:b/>
          <w:bCs/>
          <w:i/>
          <w:iCs/>
        </w:rPr>
        <w:t xml:space="preserve"> </w:t>
      </w:r>
    </w:p>
    <w:p w14:paraId="235E533D" w14:textId="77777777" w:rsidR="00D06348" w:rsidRDefault="00D06348" w:rsidP="00D06348">
      <w:pPr>
        <w:rPr>
          <w:szCs w:val="22"/>
        </w:rPr>
      </w:pPr>
      <w:r>
        <w:rPr>
          <w:szCs w:val="21"/>
        </w:rPr>
        <w:t xml:space="preserve">Overbank flows are an integral part </w:t>
      </w:r>
      <w:r w:rsidRPr="001C756F">
        <w:rPr>
          <w:szCs w:val="21"/>
        </w:rPr>
        <w:t>of the natural flow regime</w:t>
      </w:r>
      <w:r>
        <w:rPr>
          <w:szCs w:val="21"/>
        </w:rPr>
        <w:t xml:space="preserve"> that are</w:t>
      </w:r>
      <w:r w:rsidRPr="001C756F">
        <w:rPr>
          <w:szCs w:val="21"/>
        </w:rPr>
        <w:t xml:space="preserve"> important in maintaining the ecological integrity of floodplain rivers.</w:t>
      </w:r>
      <w:r>
        <w:rPr>
          <w:szCs w:val="21"/>
        </w:rPr>
        <w:t xml:space="preserve"> As observed in 2022-23 and other studies in the LMR (e.g. Murray Flood Ecology, Ye </w:t>
      </w:r>
      <w:r w:rsidRPr="006166E4">
        <w:rPr>
          <w:i/>
          <w:iCs/>
          <w:szCs w:val="21"/>
        </w:rPr>
        <w:t>et al.</w:t>
      </w:r>
      <w:r>
        <w:rPr>
          <w:szCs w:val="21"/>
        </w:rPr>
        <w:t xml:space="preserve"> 2014), n</w:t>
      </w:r>
      <w:r w:rsidRPr="00782B08">
        <w:rPr>
          <w:szCs w:val="21"/>
        </w:rPr>
        <w:t xml:space="preserve">atural </w:t>
      </w:r>
      <w:r>
        <w:rPr>
          <w:szCs w:val="21"/>
        </w:rPr>
        <w:t>overbank flows substantially improved lateral and longitudinal connectivity, increased riverine productivity, and promoted</w:t>
      </w:r>
      <w:r w:rsidRPr="00782B08">
        <w:rPr>
          <w:szCs w:val="21"/>
        </w:rPr>
        <w:t xml:space="preserve"> recruitment, abundance</w:t>
      </w:r>
      <w:r>
        <w:rPr>
          <w:szCs w:val="21"/>
        </w:rPr>
        <w:t>,</w:t>
      </w:r>
      <w:r w:rsidRPr="00782B08">
        <w:rPr>
          <w:szCs w:val="21"/>
        </w:rPr>
        <w:t xml:space="preserve"> </w:t>
      </w:r>
      <w:r>
        <w:rPr>
          <w:szCs w:val="21"/>
        </w:rPr>
        <w:t xml:space="preserve">growth and </w:t>
      </w:r>
      <w:r w:rsidRPr="00782B08">
        <w:rPr>
          <w:szCs w:val="21"/>
        </w:rPr>
        <w:t>condition of key native biota</w:t>
      </w:r>
      <w:r>
        <w:rPr>
          <w:szCs w:val="21"/>
        </w:rPr>
        <w:t xml:space="preserve"> (e.g</w:t>
      </w:r>
      <w:r w:rsidRPr="00782B08">
        <w:rPr>
          <w:szCs w:val="21"/>
        </w:rPr>
        <w:t>.</w:t>
      </w:r>
      <w:r>
        <w:rPr>
          <w:szCs w:val="21"/>
        </w:rPr>
        <w:t xml:space="preserve"> golden perch in 2010-11 and 2011-12). </w:t>
      </w:r>
      <w:bookmarkStart w:id="572" w:name="_Hlk197461814"/>
      <w:r>
        <w:rPr>
          <w:szCs w:val="21"/>
        </w:rPr>
        <w:t xml:space="preserve">In August 2022, 115 GL of </w:t>
      </w:r>
      <w:r>
        <w:t xml:space="preserve">Commonwealth environmental water was used to build on unregulated bankfull flows and inundated 5,027 Ha of low-level floodplain </w:t>
      </w:r>
      <w:bookmarkEnd w:id="572"/>
      <w:r>
        <w:t xml:space="preserve">with current constrains in the system. This was a substantial achievement and the first time overbank conditions had been created by environmental water without downstream infrastructure (as opposed to managing the recession from higher unregulated flow). Continuing to opportunistically test the mechanisms and processes to deliver environmental water during high flows is likely to benefit floodplain ecosystems. </w:t>
      </w:r>
    </w:p>
    <w:p w14:paraId="74AC1436" w14:textId="77777777" w:rsidR="00D06348" w:rsidRPr="00D2651B" w:rsidRDefault="00D06348" w:rsidP="00D06348">
      <w:pPr>
        <w:rPr>
          <w:szCs w:val="21"/>
        </w:rPr>
      </w:pPr>
      <w:r>
        <w:rPr>
          <w:szCs w:val="21"/>
        </w:rPr>
        <w:t>There are a number of recent examples of e</w:t>
      </w:r>
      <w:r w:rsidRPr="00F97A28">
        <w:rPr>
          <w:szCs w:val="21"/>
        </w:rPr>
        <w:t xml:space="preserve">nvironmental water </w:t>
      </w:r>
      <w:r>
        <w:rPr>
          <w:szCs w:val="21"/>
        </w:rPr>
        <w:t>being</w:t>
      </w:r>
      <w:r w:rsidRPr="00F97A28">
        <w:rPr>
          <w:szCs w:val="21"/>
        </w:rPr>
        <w:t xml:space="preserve"> used to reduce the rate of </w:t>
      </w:r>
      <w:r>
        <w:rPr>
          <w:szCs w:val="21"/>
        </w:rPr>
        <w:t xml:space="preserve">high </w:t>
      </w:r>
      <w:r w:rsidRPr="00F97A28">
        <w:rPr>
          <w:szCs w:val="21"/>
        </w:rPr>
        <w:t>flow recessions and maintain</w:t>
      </w:r>
      <w:r>
        <w:rPr>
          <w:szCs w:val="21"/>
        </w:rPr>
        <w:t xml:space="preserve">/extend the period of lotic conditions in the LMR. Given the magnitude and duration of some large overbank flow events (e.g. 2022-23), the additional ecological benefit from maintaining or extending the duration of inundation or lotic conditions for a relatively short timeframe (days to weeks), after a prolonged period of experiencing those conditions, using environmental water is largely unknown and requires further investigation. </w:t>
      </w:r>
    </w:p>
    <w:p w14:paraId="7E5B98CC" w14:textId="77777777" w:rsidR="00B876BA" w:rsidRDefault="00B876BA">
      <w:pPr>
        <w:spacing w:before="0" w:after="160" w:line="259" w:lineRule="auto"/>
        <w:jc w:val="left"/>
        <w:rPr>
          <w:b/>
          <w:bCs/>
          <w:i/>
          <w:iCs/>
        </w:rPr>
      </w:pPr>
      <w:r>
        <w:rPr>
          <w:b/>
          <w:bCs/>
          <w:i/>
          <w:iCs/>
        </w:rPr>
        <w:br w:type="page"/>
      </w:r>
    </w:p>
    <w:p w14:paraId="08905FA5" w14:textId="44D6C54B" w:rsidR="00D06348" w:rsidRPr="00BB24BF" w:rsidRDefault="00D06348" w:rsidP="00D06348">
      <w:pPr>
        <w:rPr>
          <w:b/>
          <w:bCs/>
          <w:i/>
          <w:iCs/>
        </w:rPr>
      </w:pPr>
      <w:r w:rsidRPr="00BB24BF">
        <w:rPr>
          <w:b/>
          <w:bCs/>
          <w:i/>
          <w:iCs/>
        </w:rPr>
        <w:lastRenderedPageBreak/>
        <w:t xml:space="preserve">Timing of flow delivery </w:t>
      </w:r>
    </w:p>
    <w:p w14:paraId="25B1F284" w14:textId="77BE0CBC" w:rsidR="00D06348" w:rsidRPr="00BB24BF" w:rsidRDefault="00D06348" w:rsidP="00D06348">
      <w:r w:rsidRPr="00BB24BF">
        <w:t xml:space="preserve">The timing of flow delivery is important and should continue to be considered with regard to its effect on achieving ecological objectives and meeting </w:t>
      </w:r>
      <w:r w:rsidRPr="00BB24BF">
        <w:rPr>
          <w:bCs/>
          <w:szCs w:val="21"/>
        </w:rPr>
        <w:t xml:space="preserve">biological processes and species’ life history </w:t>
      </w:r>
      <w:r w:rsidRPr="00BB24BF">
        <w:t>requirements. For example, in 2017-18, 2019-20 and 2020-21, the spring</w:t>
      </w:r>
      <w:r w:rsidRPr="00BB24BF">
        <w:rPr>
          <w:rFonts w:ascii="Calibri" w:hAnsi="Calibri" w:cs="Calibri"/>
        </w:rPr>
        <w:t>–</w:t>
      </w:r>
      <w:r w:rsidRPr="00BB24BF">
        <w:t>early summer flow pulses were of a similar magnitude in the LMR, but the flow pulse in 2019-20 occurred earlier in the season (peak in mid-October)</w:t>
      </w:r>
      <w:r w:rsidR="009F6E73">
        <w:t xml:space="preserve"> (</w:t>
      </w:r>
      <w:r w:rsidR="009F6E73">
        <w:fldChar w:fldCharType="begin"/>
      </w:r>
      <w:r w:rsidR="009F6E73">
        <w:instrText xml:space="preserve"> REF _Ref209426405 \h </w:instrText>
      </w:r>
      <w:r w:rsidR="009F6E73">
        <w:fldChar w:fldCharType="separate"/>
      </w:r>
      <w:r w:rsidR="00102828" w:rsidRPr="009D2816">
        <w:t xml:space="preserve">Table </w:t>
      </w:r>
      <w:r w:rsidR="00102828">
        <w:rPr>
          <w:noProof/>
        </w:rPr>
        <w:t>25</w:t>
      </w:r>
      <w:r w:rsidR="009F6E73">
        <w:fldChar w:fldCharType="end"/>
      </w:r>
      <w:r w:rsidR="009F6E73">
        <w:t>)</w:t>
      </w:r>
      <w:r w:rsidRPr="00BB24BF">
        <w:t xml:space="preserve">, coinciding with the spawning period of Murray cod (i.e. October to November). Stronger recruitment of Murray cod was evident in 2019-20, compared to 2017-18 and 2020-21, suggesting that elevated flow in early spring, immediately prior to and during spawning, may be beneficial to Murray cod reproduction, potentially by improving the extent/quality of spawning habitat and providing favoured food resources for early life stages. Alternatively, flow pulses delivered mostly after the spawning season may not elicit the same response by Murray cod. </w:t>
      </w:r>
    </w:p>
    <w:p w14:paraId="36B186EC" w14:textId="77777777" w:rsidR="00D06348" w:rsidRPr="00BB24BF" w:rsidRDefault="00D06348" w:rsidP="00D06348">
      <w:r w:rsidRPr="00BB24BF">
        <w:t>Flow pulses during late spring and summer generally coincide with higher water temperatures (&gt;20°C) and, if of sufficient magnitude, may promote spawning of golden perch. While the spawning and recruitment of this species was relatively low in the LMR from 2014-15 to 2020-21 during flows &lt;20,000 ML/d and the hypoxic blackwater event (2016-17</w:t>
      </w:r>
      <w:r>
        <w:t>;</w:t>
      </w:r>
      <w:r w:rsidRPr="00BB24BF">
        <w:t xml:space="preserve"> 94,600 ML/d), extensive spawning and strong recruitment occurred during 2021-22, in association with high in-channel flows (20,000</w:t>
      </w:r>
      <w:bookmarkStart w:id="573" w:name="_Hlk197372825"/>
      <w:r w:rsidRPr="00BB24BF">
        <w:t>–</w:t>
      </w:r>
      <w:bookmarkEnd w:id="573"/>
      <w:r w:rsidRPr="00BB24BF">
        <w:t>38,000 ML/d) throughout the spawning season. Furthermore, spawning and recruitment occurred during high overbank flows (18</w:t>
      </w:r>
      <w:r>
        <w:t>7</w:t>
      </w:r>
      <w:r w:rsidRPr="00BB24BF">
        <w:t>,</w:t>
      </w:r>
      <w:r>
        <w:t>6</w:t>
      </w:r>
      <w:r w:rsidRPr="00BB24BF">
        <w:t>00 ML/d) in 2022-23</w:t>
      </w:r>
      <w:r>
        <w:t xml:space="preserve"> and high in-channel spring flows (&gt;20,000 ML/d) in 2023-24</w:t>
      </w:r>
      <w:r w:rsidRPr="00BB24BF">
        <w:t>. Peak spawning of golden perch during 2021</w:t>
      </w:r>
      <w:r w:rsidRPr="003D1898">
        <w:t>–</w:t>
      </w:r>
      <w:r>
        <w:t>2024</w:t>
      </w:r>
      <w:r w:rsidRPr="00BB24BF">
        <w:t xml:space="preserve"> and previous wet years (2010</w:t>
      </w:r>
      <w:r>
        <w:t>–201</w:t>
      </w:r>
      <w:r w:rsidRPr="00BB24BF">
        <w:t xml:space="preserve">3) occurred in the LMR between late October and January. </w:t>
      </w:r>
    </w:p>
    <w:p w14:paraId="2FE33EDF" w14:textId="77777777" w:rsidR="006941C0" w:rsidRPr="009D2816" w:rsidRDefault="006941C0" w:rsidP="009F6E73">
      <w:bookmarkStart w:id="574" w:name="_Ref97501188"/>
      <w:bookmarkStart w:id="575" w:name="_Toc101963883"/>
      <w:bookmarkStart w:id="576" w:name="_Toc135730197"/>
      <w:bookmarkStart w:id="577" w:name="_Toc196905561"/>
      <w:r w:rsidRPr="009D2816">
        <w:t xml:space="preserve">To achieve outcomes for lamprey migration through the barrages, the delivery of environmental water should be considered during the peak timing of migration for pouched (July–August) and short-headed (September–October) lamprey. To accomplish multiple species outcomes, a holistic approach in flow regime design will be required. This can be informed by better understanding of the effect of specific aspects of flow (e.g. timing, magnitude and duration) on life-history processes, the hydraulic requirements of flow-dependant species, and the availability of food resources. Whilst the timing of flow is important, a large proportion of environmental water is delivered to the LMR as return flows (e.g. in winter/spring/early summer). This reinforces that a collaborative and coordinated approach to environmental water planning and delivery across the southern Basin is essential. This includes aligning the timing and delivery of water, that is responsive and flexible to rain events, to achieve multi-site ecological outcomes.   </w:t>
      </w:r>
    </w:p>
    <w:p w14:paraId="6F587AE3" w14:textId="77777777" w:rsidR="006941C0" w:rsidRDefault="006941C0" w:rsidP="009F6E73">
      <w:pPr>
        <w:rPr>
          <w:color w:val="auto"/>
          <w:sz w:val="20"/>
          <w:szCs w:val="18"/>
        </w:rPr>
      </w:pPr>
      <w:r>
        <w:br w:type="page"/>
      </w:r>
    </w:p>
    <w:p w14:paraId="5391E4D3" w14:textId="1D1DFC23" w:rsidR="00D06348" w:rsidRPr="009D2816" w:rsidRDefault="00D06348" w:rsidP="00D06348">
      <w:pPr>
        <w:pStyle w:val="Caption"/>
      </w:pPr>
      <w:bookmarkStart w:id="578" w:name="_Ref209426405"/>
      <w:bookmarkStart w:id="579" w:name="_Toc200464549"/>
      <w:r w:rsidRPr="009D2816">
        <w:lastRenderedPageBreak/>
        <w:t xml:space="preserve">Table </w:t>
      </w:r>
      <w:r>
        <w:fldChar w:fldCharType="begin"/>
      </w:r>
      <w:r>
        <w:instrText>SEQ Table \* ARABIC</w:instrText>
      </w:r>
      <w:r>
        <w:fldChar w:fldCharType="separate"/>
      </w:r>
      <w:r w:rsidR="00102828">
        <w:rPr>
          <w:noProof/>
        </w:rPr>
        <w:t>25</w:t>
      </w:r>
      <w:r>
        <w:fldChar w:fldCharType="end"/>
      </w:r>
      <w:bookmarkEnd w:id="574"/>
      <w:bookmarkEnd w:id="578"/>
      <w:r w:rsidRPr="009D2816">
        <w:rPr>
          <w:lang w:val="en-US"/>
        </w:rPr>
        <w:t>. The magnitude, timing and duration of the main spring</w:t>
      </w:r>
      <w:r w:rsidRPr="009D2816">
        <w:rPr>
          <w:rFonts w:cs="Calibri"/>
        </w:rPr>
        <w:t>–</w:t>
      </w:r>
      <w:r w:rsidRPr="009D2816">
        <w:t>summer flow pulses from 2014-15 to 202</w:t>
      </w:r>
      <w:r>
        <w:t>3</w:t>
      </w:r>
      <w:r w:rsidRPr="009D2816">
        <w:t>-2</w:t>
      </w:r>
      <w:r>
        <w:t>4</w:t>
      </w:r>
      <w:r w:rsidRPr="009D2816">
        <w:t>.</w:t>
      </w:r>
      <w:bookmarkEnd w:id="575"/>
      <w:r w:rsidRPr="009D2816">
        <w:t xml:space="preserve"> Duration is calculated based on the number of </w:t>
      </w:r>
      <w:r w:rsidR="00631CB5">
        <w:t xml:space="preserve">consecutive </w:t>
      </w:r>
      <w:r w:rsidRPr="009D2816">
        <w:t xml:space="preserve">days that exceeded the threshold </w:t>
      </w:r>
      <w:r w:rsidR="00F82BD8">
        <w:t xml:space="preserve">for </w:t>
      </w:r>
      <w:r w:rsidRPr="009D2816">
        <w:t>a given period.</w:t>
      </w:r>
      <w:bookmarkEnd w:id="576"/>
      <w:bookmarkEnd w:id="577"/>
      <w:bookmarkEnd w:id="579"/>
    </w:p>
    <w:tbl>
      <w:tblPr>
        <w:tblStyle w:val="TableGrid"/>
        <w:tblW w:w="5000" w:type="pct"/>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Description w:val="Table showing the magnitude, timing and duration of the main spring–summer flow pulses from 2014-15 to 2023-24."/>
      </w:tblPr>
      <w:tblGrid>
        <w:gridCol w:w="896"/>
        <w:gridCol w:w="1089"/>
        <w:gridCol w:w="1276"/>
        <w:gridCol w:w="1702"/>
        <w:gridCol w:w="852"/>
        <w:gridCol w:w="709"/>
        <w:gridCol w:w="850"/>
        <w:gridCol w:w="850"/>
        <w:gridCol w:w="802"/>
      </w:tblGrid>
      <w:tr w:rsidR="00631CB5" w:rsidRPr="009D2816" w14:paraId="7D9BDA5A" w14:textId="77777777" w:rsidTr="00782605">
        <w:trPr>
          <w:trHeight w:val="340"/>
          <w:tblHeader/>
          <w:jc w:val="center"/>
        </w:trPr>
        <w:tc>
          <w:tcPr>
            <w:tcW w:w="496" w:type="pct"/>
            <w:vMerge w:val="restart"/>
            <w:tcBorders>
              <w:top w:val="single" w:sz="4" w:space="0" w:color="auto"/>
            </w:tcBorders>
            <w:vAlign w:val="center"/>
          </w:tcPr>
          <w:p w14:paraId="1F044B5F" w14:textId="77777777" w:rsidR="002849E2" w:rsidRPr="00782605" w:rsidRDefault="002849E2" w:rsidP="00782605">
            <w:pPr>
              <w:spacing w:before="0" w:after="0"/>
              <w:contextualSpacing/>
              <w:jc w:val="center"/>
              <w:rPr>
                <w:b/>
                <w:color w:val="auto"/>
                <w:sz w:val="19"/>
                <w:szCs w:val="19"/>
              </w:rPr>
            </w:pPr>
            <w:r w:rsidRPr="00782605">
              <w:rPr>
                <w:b/>
                <w:color w:val="auto"/>
                <w:sz w:val="19"/>
                <w:szCs w:val="19"/>
              </w:rPr>
              <w:t>Water year</w:t>
            </w:r>
          </w:p>
        </w:tc>
        <w:tc>
          <w:tcPr>
            <w:tcW w:w="603" w:type="pct"/>
            <w:vMerge w:val="restart"/>
            <w:tcBorders>
              <w:top w:val="single" w:sz="4" w:space="0" w:color="auto"/>
            </w:tcBorders>
            <w:vAlign w:val="center"/>
          </w:tcPr>
          <w:p w14:paraId="02CC3164" w14:textId="5CA874B9" w:rsidR="002849E2" w:rsidRPr="00782605" w:rsidRDefault="00782605" w:rsidP="00782605">
            <w:pPr>
              <w:spacing w:before="0" w:after="0"/>
              <w:contextualSpacing/>
              <w:jc w:val="center"/>
              <w:rPr>
                <w:b/>
                <w:color w:val="auto"/>
                <w:sz w:val="19"/>
                <w:szCs w:val="19"/>
              </w:rPr>
            </w:pPr>
            <w:r w:rsidRPr="00782605">
              <w:rPr>
                <w:b/>
                <w:color w:val="auto"/>
                <w:sz w:val="19"/>
                <w:szCs w:val="19"/>
              </w:rPr>
              <w:t>Spring–summer p</w:t>
            </w:r>
            <w:r w:rsidR="002849E2" w:rsidRPr="00782605">
              <w:rPr>
                <w:b/>
                <w:color w:val="auto"/>
                <w:sz w:val="19"/>
                <w:szCs w:val="19"/>
              </w:rPr>
              <w:t>eak (ML/d)</w:t>
            </w:r>
          </w:p>
        </w:tc>
        <w:tc>
          <w:tcPr>
            <w:tcW w:w="707" w:type="pct"/>
            <w:vMerge w:val="restart"/>
            <w:tcBorders>
              <w:top w:val="single" w:sz="4" w:space="0" w:color="auto"/>
            </w:tcBorders>
            <w:vAlign w:val="center"/>
          </w:tcPr>
          <w:p w14:paraId="6E8F6D71" w14:textId="77777777" w:rsidR="002849E2" w:rsidRPr="00782605" w:rsidRDefault="002849E2" w:rsidP="00782605">
            <w:pPr>
              <w:spacing w:before="0" w:after="0"/>
              <w:contextualSpacing/>
              <w:jc w:val="center"/>
              <w:rPr>
                <w:b/>
                <w:color w:val="auto"/>
                <w:sz w:val="19"/>
                <w:szCs w:val="19"/>
              </w:rPr>
            </w:pPr>
            <w:r w:rsidRPr="00782605">
              <w:rPr>
                <w:b/>
                <w:color w:val="auto"/>
                <w:sz w:val="19"/>
                <w:szCs w:val="19"/>
              </w:rPr>
              <w:t>Peak date</w:t>
            </w:r>
          </w:p>
        </w:tc>
        <w:tc>
          <w:tcPr>
            <w:tcW w:w="943" w:type="pct"/>
            <w:vMerge w:val="restart"/>
            <w:tcBorders>
              <w:top w:val="single" w:sz="4" w:space="0" w:color="auto"/>
            </w:tcBorders>
            <w:vAlign w:val="center"/>
          </w:tcPr>
          <w:p w14:paraId="0F667706" w14:textId="77777777" w:rsidR="002849E2" w:rsidRPr="00782605" w:rsidRDefault="002849E2" w:rsidP="00782605">
            <w:pPr>
              <w:spacing w:before="0" w:after="0"/>
              <w:contextualSpacing/>
              <w:jc w:val="center"/>
              <w:rPr>
                <w:b/>
                <w:color w:val="auto"/>
                <w:sz w:val="19"/>
                <w:szCs w:val="19"/>
              </w:rPr>
            </w:pPr>
            <w:r w:rsidRPr="00782605">
              <w:rPr>
                <w:b/>
                <w:color w:val="auto"/>
                <w:sz w:val="19"/>
                <w:szCs w:val="19"/>
              </w:rPr>
              <w:t>Season</w:t>
            </w:r>
          </w:p>
        </w:tc>
        <w:tc>
          <w:tcPr>
            <w:tcW w:w="2251" w:type="pct"/>
            <w:gridSpan w:val="5"/>
            <w:tcBorders>
              <w:top w:val="single" w:sz="4" w:space="0" w:color="auto"/>
            </w:tcBorders>
            <w:vAlign w:val="center"/>
          </w:tcPr>
          <w:p w14:paraId="68F0EC08" w14:textId="7D13FC50" w:rsidR="002849E2" w:rsidRPr="00782605" w:rsidRDefault="002849E2" w:rsidP="00782605">
            <w:pPr>
              <w:spacing w:before="0" w:after="0"/>
              <w:contextualSpacing/>
              <w:jc w:val="center"/>
              <w:rPr>
                <w:b/>
                <w:color w:val="auto"/>
                <w:sz w:val="19"/>
                <w:szCs w:val="19"/>
              </w:rPr>
            </w:pPr>
            <w:r w:rsidRPr="00782605">
              <w:rPr>
                <w:b/>
                <w:color w:val="auto"/>
                <w:sz w:val="19"/>
                <w:szCs w:val="19"/>
              </w:rPr>
              <w:t>Duration (days, d) &gt;X GL/d</w:t>
            </w:r>
          </w:p>
        </w:tc>
      </w:tr>
      <w:tr w:rsidR="00782605" w:rsidRPr="009D2816" w14:paraId="51D7CDBB" w14:textId="77777777" w:rsidTr="00782605">
        <w:trPr>
          <w:trHeight w:val="340"/>
          <w:tblHeader/>
          <w:jc w:val="center"/>
        </w:trPr>
        <w:tc>
          <w:tcPr>
            <w:tcW w:w="496" w:type="pct"/>
            <w:vMerge/>
            <w:tcBorders>
              <w:bottom w:val="single" w:sz="4" w:space="0" w:color="auto"/>
            </w:tcBorders>
            <w:vAlign w:val="center"/>
          </w:tcPr>
          <w:p w14:paraId="5F149AAA" w14:textId="77777777" w:rsidR="002849E2" w:rsidRPr="00782605" w:rsidRDefault="002849E2" w:rsidP="00782605">
            <w:pPr>
              <w:spacing w:before="0" w:after="0"/>
              <w:contextualSpacing/>
              <w:jc w:val="center"/>
              <w:rPr>
                <w:b/>
                <w:color w:val="auto"/>
                <w:sz w:val="19"/>
                <w:szCs w:val="19"/>
              </w:rPr>
            </w:pPr>
          </w:p>
        </w:tc>
        <w:tc>
          <w:tcPr>
            <w:tcW w:w="603" w:type="pct"/>
            <w:vMerge/>
            <w:tcBorders>
              <w:bottom w:val="single" w:sz="4" w:space="0" w:color="auto"/>
            </w:tcBorders>
            <w:vAlign w:val="center"/>
          </w:tcPr>
          <w:p w14:paraId="347E6238" w14:textId="77777777" w:rsidR="002849E2" w:rsidRPr="00782605" w:rsidRDefault="002849E2" w:rsidP="00782605">
            <w:pPr>
              <w:spacing w:before="0" w:after="0"/>
              <w:contextualSpacing/>
              <w:jc w:val="center"/>
              <w:rPr>
                <w:b/>
                <w:color w:val="auto"/>
                <w:sz w:val="19"/>
                <w:szCs w:val="19"/>
              </w:rPr>
            </w:pPr>
          </w:p>
        </w:tc>
        <w:tc>
          <w:tcPr>
            <w:tcW w:w="707" w:type="pct"/>
            <w:vMerge/>
            <w:tcBorders>
              <w:bottom w:val="single" w:sz="4" w:space="0" w:color="auto"/>
            </w:tcBorders>
            <w:vAlign w:val="center"/>
          </w:tcPr>
          <w:p w14:paraId="6F8ADED9" w14:textId="77777777" w:rsidR="002849E2" w:rsidRPr="00782605" w:rsidRDefault="002849E2" w:rsidP="00782605">
            <w:pPr>
              <w:spacing w:before="0" w:after="0"/>
              <w:contextualSpacing/>
              <w:jc w:val="center"/>
              <w:rPr>
                <w:b/>
                <w:color w:val="auto"/>
                <w:sz w:val="19"/>
                <w:szCs w:val="19"/>
              </w:rPr>
            </w:pPr>
          </w:p>
        </w:tc>
        <w:tc>
          <w:tcPr>
            <w:tcW w:w="943" w:type="pct"/>
            <w:vMerge/>
            <w:tcBorders>
              <w:bottom w:val="single" w:sz="4" w:space="0" w:color="auto"/>
            </w:tcBorders>
            <w:vAlign w:val="center"/>
          </w:tcPr>
          <w:p w14:paraId="3D94293D" w14:textId="77777777" w:rsidR="002849E2" w:rsidRPr="00782605" w:rsidRDefault="002849E2" w:rsidP="00782605">
            <w:pPr>
              <w:spacing w:before="0" w:after="0"/>
              <w:contextualSpacing/>
              <w:jc w:val="center"/>
              <w:rPr>
                <w:b/>
                <w:color w:val="auto"/>
                <w:sz w:val="19"/>
                <w:szCs w:val="19"/>
              </w:rPr>
            </w:pPr>
          </w:p>
        </w:tc>
        <w:tc>
          <w:tcPr>
            <w:tcW w:w="472" w:type="pct"/>
            <w:tcBorders>
              <w:top w:val="single" w:sz="4" w:space="0" w:color="auto"/>
              <w:bottom w:val="single" w:sz="4" w:space="0" w:color="auto"/>
            </w:tcBorders>
            <w:vAlign w:val="center"/>
          </w:tcPr>
          <w:p w14:paraId="77FECD1E" w14:textId="4592D1CC" w:rsidR="002849E2" w:rsidRPr="00782605" w:rsidRDefault="002849E2" w:rsidP="00782605">
            <w:pPr>
              <w:spacing w:before="0" w:after="0"/>
              <w:contextualSpacing/>
              <w:jc w:val="center"/>
              <w:rPr>
                <w:b/>
                <w:color w:val="auto"/>
                <w:sz w:val="19"/>
                <w:szCs w:val="19"/>
              </w:rPr>
            </w:pPr>
            <w:r w:rsidRPr="00782605">
              <w:rPr>
                <w:b/>
                <w:color w:val="auto"/>
                <w:sz w:val="19"/>
                <w:szCs w:val="19"/>
              </w:rPr>
              <w:t>&gt;10</w:t>
            </w:r>
          </w:p>
        </w:tc>
        <w:tc>
          <w:tcPr>
            <w:tcW w:w="393" w:type="pct"/>
            <w:tcBorders>
              <w:top w:val="single" w:sz="4" w:space="0" w:color="auto"/>
              <w:bottom w:val="single" w:sz="4" w:space="0" w:color="auto"/>
            </w:tcBorders>
            <w:vAlign w:val="center"/>
          </w:tcPr>
          <w:p w14:paraId="050FEE70" w14:textId="2C874ADD" w:rsidR="002849E2" w:rsidRPr="00782605" w:rsidRDefault="002849E2" w:rsidP="00782605">
            <w:pPr>
              <w:spacing w:before="0" w:after="0"/>
              <w:contextualSpacing/>
              <w:jc w:val="center"/>
              <w:rPr>
                <w:b/>
                <w:color w:val="auto"/>
                <w:sz w:val="19"/>
                <w:szCs w:val="19"/>
              </w:rPr>
            </w:pPr>
            <w:r w:rsidRPr="00782605">
              <w:rPr>
                <w:b/>
                <w:color w:val="auto"/>
                <w:sz w:val="19"/>
                <w:szCs w:val="19"/>
              </w:rPr>
              <w:t>&gt;15</w:t>
            </w:r>
          </w:p>
        </w:tc>
        <w:tc>
          <w:tcPr>
            <w:tcW w:w="471" w:type="pct"/>
            <w:tcBorders>
              <w:top w:val="single" w:sz="4" w:space="0" w:color="auto"/>
              <w:bottom w:val="single" w:sz="4" w:space="0" w:color="auto"/>
            </w:tcBorders>
            <w:vAlign w:val="center"/>
          </w:tcPr>
          <w:p w14:paraId="5105B25F" w14:textId="76CCF365" w:rsidR="002849E2" w:rsidRPr="00782605" w:rsidRDefault="00F061E0" w:rsidP="00782605">
            <w:pPr>
              <w:spacing w:before="0" w:after="0"/>
              <w:contextualSpacing/>
              <w:jc w:val="center"/>
              <w:rPr>
                <w:b/>
                <w:color w:val="auto"/>
                <w:sz w:val="19"/>
                <w:szCs w:val="19"/>
              </w:rPr>
            </w:pPr>
            <w:r w:rsidRPr="00782605">
              <w:rPr>
                <w:b/>
                <w:color w:val="auto"/>
                <w:sz w:val="19"/>
                <w:szCs w:val="19"/>
              </w:rPr>
              <w:t>&gt;20</w:t>
            </w:r>
          </w:p>
        </w:tc>
        <w:tc>
          <w:tcPr>
            <w:tcW w:w="471" w:type="pct"/>
            <w:tcBorders>
              <w:top w:val="single" w:sz="4" w:space="0" w:color="auto"/>
              <w:bottom w:val="single" w:sz="4" w:space="0" w:color="auto"/>
            </w:tcBorders>
            <w:vAlign w:val="center"/>
          </w:tcPr>
          <w:p w14:paraId="4F3AFFF3" w14:textId="5D4FCC43" w:rsidR="002849E2" w:rsidRPr="00782605" w:rsidRDefault="002849E2" w:rsidP="00782605">
            <w:pPr>
              <w:spacing w:before="0" w:after="0"/>
              <w:contextualSpacing/>
              <w:jc w:val="center"/>
              <w:rPr>
                <w:b/>
                <w:color w:val="auto"/>
                <w:sz w:val="19"/>
                <w:szCs w:val="19"/>
              </w:rPr>
            </w:pPr>
            <w:r w:rsidRPr="00782605">
              <w:rPr>
                <w:b/>
                <w:color w:val="auto"/>
                <w:sz w:val="19"/>
                <w:szCs w:val="19"/>
              </w:rPr>
              <w:t>&gt;25</w:t>
            </w:r>
          </w:p>
        </w:tc>
        <w:tc>
          <w:tcPr>
            <w:tcW w:w="444" w:type="pct"/>
            <w:tcBorders>
              <w:top w:val="single" w:sz="4" w:space="0" w:color="auto"/>
              <w:bottom w:val="single" w:sz="4" w:space="0" w:color="auto"/>
            </w:tcBorders>
            <w:vAlign w:val="center"/>
          </w:tcPr>
          <w:p w14:paraId="2579EF23" w14:textId="595C0739" w:rsidR="002849E2" w:rsidRPr="00782605" w:rsidRDefault="002849E2" w:rsidP="00782605">
            <w:pPr>
              <w:spacing w:before="0" w:after="0"/>
              <w:contextualSpacing/>
              <w:jc w:val="center"/>
              <w:rPr>
                <w:b/>
                <w:color w:val="auto"/>
                <w:sz w:val="19"/>
                <w:szCs w:val="19"/>
              </w:rPr>
            </w:pPr>
            <w:r w:rsidRPr="00782605">
              <w:rPr>
                <w:b/>
                <w:color w:val="auto"/>
                <w:sz w:val="19"/>
                <w:szCs w:val="19"/>
              </w:rPr>
              <w:t>&gt;45</w:t>
            </w:r>
          </w:p>
        </w:tc>
      </w:tr>
      <w:tr w:rsidR="00782605" w:rsidRPr="009D2816" w14:paraId="004AC3CD" w14:textId="77777777" w:rsidTr="00782605">
        <w:trPr>
          <w:trHeight w:val="340"/>
          <w:jc w:val="center"/>
        </w:trPr>
        <w:tc>
          <w:tcPr>
            <w:tcW w:w="496" w:type="pct"/>
            <w:tcBorders>
              <w:top w:val="nil"/>
              <w:left w:val="nil"/>
              <w:bottom w:val="nil"/>
              <w:right w:val="nil"/>
            </w:tcBorders>
          </w:tcPr>
          <w:p w14:paraId="5EFC6BBA"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2014-15</w:t>
            </w:r>
          </w:p>
        </w:tc>
        <w:tc>
          <w:tcPr>
            <w:tcW w:w="603" w:type="pct"/>
            <w:tcBorders>
              <w:top w:val="nil"/>
              <w:left w:val="nil"/>
              <w:bottom w:val="nil"/>
              <w:right w:val="nil"/>
            </w:tcBorders>
          </w:tcPr>
          <w:p w14:paraId="14BDB4E3"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10,200</w:t>
            </w:r>
          </w:p>
        </w:tc>
        <w:tc>
          <w:tcPr>
            <w:tcW w:w="707" w:type="pct"/>
            <w:tcBorders>
              <w:top w:val="nil"/>
              <w:left w:val="nil"/>
              <w:bottom w:val="nil"/>
              <w:right w:val="nil"/>
            </w:tcBorders>
          </w:tcPr>
          <w:p w14:paraId="4CD114AC"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23/11/2014</w:t>
            </w:r>
          </w:p>
        </w:tc>
        <w:tc>
          <w:tcPr>
            <w:tcW w:w="943" w:type="pct"/>
            <w:tcBorders>
              <w:top w:val="nil"/>
              <w:left w:val="nil"/>
              <w:bottom w:val="nil"/>
              <w:right w:val="nil"/>
            </w:tcBorders>
          </w:tcPr>
          <w:p w14:paraId="0C12EAC5" w14:textId="7777777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Mid-–late spring; mid-summer</w:t>
            </w:r>
          </w:p>
        </w:tc>
        <w:tc>
          <w:tcPr>
            <w:tcW w:w="472" w:type="pct"/>
            <w:tcBorders>
              <w:top w:val="nil"/>
              <w:left w:val="nil"/>
              <w:bottom w:val="nil"/>
              <w:right w:val="nil"/>
            </w:tcBorders>
          </w:tcPr>
          <w:p w14:paraId="0F5BDF7A" w14:textId="715F88B6" w:rsidR="002849E2" w:rsidRPr="00782605" w:rsidRDefault="00631CB5" w:rsidP="00D57552">
            <w:pPr>
              <w:spacing w:before="60" w:after="60" w:line="240" w:lineRule="auto"/>
              <w:jc w:val="center"/>
              <w:rPr>
                <w:rFonts w:cs="Calibri"/>
                <w:color w:val="auto"/>
                <w:sz w:val="18"/>
                <w:szCs w:val="18"/>
              </w:rPr>
            </w:pPr>
            <w:r w:rsidRPr="00782605">
              <w:rPr>
                <w:rFonts w:cs="Calibri"/>
                <w:color w:val="auto"/>
                <w:sz w:val="18"/>
                <w:szCs w:val="18"/>
              </w:rPr>
              <w:t>4</w:t>
            </w:r>
            <w:r w:rsidR="002849E2" w:rsidRPr="00782605">
              <w:rPr>
                <w:rFonts w:cs="Calibri"/>
                <w:color w:val="auto"/>
                <w:sz w:val="18"/>
                <w:szCs w:val="18"/>
              </w:rPr>
              <w:t xml:space="preserve"> d; </w:t>
            </w:r>
          </w:p>
          <w:p w14:paraId="4CC54AB4" w14:textId="790C9F8E"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7 d</w:t>
            </w:r>
          </w:p>
        </w:tc>
        <w:tc>
          <w:tcPr>
            <w:tcW w:w="393" w:type="pct"/>
            <w:tcBorders>
              <w:top w:val="nil"/>
              <w:left w:val="nil"/>
              <w:bottom w:val="nil"/>
              <w:right w:val="nil"/>
            </w:tcBorders>
          </w:tcPr>
          <w:p w14:paraId="47CFABA4" w14:textId="77777777" w:rsidR="002849E2" w:rsidRPr="00782605" w:rsidRDefault="002849E2" w:rsidP="00D57552">
            <w:pPr>
              <w:spacing w:before="60" w:after="60" w:line="240" w:lineRule="auto"/>
              <w:jc w:val="center"/>
              <w:rPr>
                <w:rFonts w:cs="Calibri"/>
                <w:color w:val="auto"/>
                <w:sz w:val="18"/>
                <w:szCs w:val="18"/>
              </w:rPr>
            </w:pPr>
          </w:p>
        </w:tc>
        <w:tc>
          <w:tcPr>
            <w:tcW w:w="471" w:type="pct"/>
            <w:tcBorders>
              <w:top w:val="nil"/>
              <w:left w:val="nil"/>
              <w:bottom w:val="nil"/>
              <w:right w:val="nil"/>
            </w:tcBorders>
          </w:tcPr>
          <w:p w14:paraId="19740A3B" w14:textId="77777777" w:rsidR="002849E2" w:rsidRPr="00782605" w:rsidRDefault="002849E2" w:rsidP="00D57552">
            <w:pPr>
              <w:spacing w:before="60" w:after="60" w:line="240" w:lineRule="auto"/>
              <w:jc w:val="center"/>
              <w:rPr>
                <w:rFonts w:cs="Calibri"/>
                <w:color w:val="auto"/>
                <w:sz w:val="18"/>
                <w:szCs w:val="18"/>
              </w:rPr>
            </w:pPr>
          </w:p>
        </w:tc>
        <w:tc>
          <w:tcPr>
            <w:tcW w:w="471" w:type="pct"/>
            <w:tcBorders>
              <w:top w:val="nil"/>
              <w:left w:val="nil"/>
              <w:bottom w:val="nil"/>
              <w:right w:val="nil"/>
            </w:tcBorders>
          </w:tcPr>
          <w:p w14:paraId="04F87AAA" w14:textId="6298C2BF" w:rsidR="002849E2" w:rsidRPr="00782605" w:rsidRDefault="002849E2" w:rsidP="00D57552">
            <w:pPr>
              <w:spacing w:before="60" w:after="60" w:line="240" w:lineRule="auto"/>
              <w:jc w:val="center"/>
              <w:rPr>
                <w:rFonts w:cs="Calibri"/>
                <w:color w:val="auto"/>
                <w:sz w:val="18"/>
                <w:szCs w:val="18"/>
              </w:rPr>
            </w:pPr>
          </w:p>
        </w:tc>
        <w:tc>
          <w:tcPr>
            <w:tcW w:w="444" w:type="pct"/>
            <w:tcBorders>
              <w:top w:val="nil"/>
              <w:left w:val="nil"/>
              <w:bottom w:val="nil"/>
              <w:right w:val="nil"/>
            </w:tcBorders>
          </w:tcPr>
          <w:p w14:paraId="4B867531" w14:textId="77777777" w:rsidR="002849E2" w:rsidRPr="00782605" w:rsidRDefault="002849E2" w:rsidP="00D57552">
            <w:pPr>
              <w:spacing w:before="60" w:after="60" w:line="240" w:lineRule="auto"/>
              <w:jc w:val="center"/>
              <w:rPr>
                <w:rFonts w:cs="Calibri"/>
                <w:color w:val="auto"/>
                <w:sz w:val="18"/>
                <w:szCs w:val="18"/>
              </w:rPr>
            </w:pPr>
          </w:p>
        </w:tc>
      </w:tr>
      <w:tr w:rsidR="00782605" w:rsidRPr="009D2816" w14:paraId="3BE5D526" w14:textId="77777777" w:rsidTr="00782605">
        <w:trPr>
          <w:trHeight w:val="340"/>
          <w:jc w:val="center"/>
        </w:trPr>
        <w:tc>
          <w:tcPr>
            <w:tcW w:w="496" w:type="pct"/>
            <w:tcBorders>
              <w:top w:val="nil"/>
              <w:left w:val="nil"/>
              <w:bottom w:val="nil"/>
              <w:right w:val="nil"/>
            </w:tcBorders>
          </w:tcPr>
          <w:p w14:paraId="4F4651A2"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2015-16</w:t>
            </w:r>
          </w:p>
        </w:tc>
        <w:tc>
          <w:tcPr>
            <w:tcW w:w="603" w:type="pct"/>
            <w:tcBorders>
              <w:top w:val="nil"/>
              <w:left w:val="nil"/>
              <w:bottom w:val="nil"/>
              <w:right w:val="nil"/>
            </w:tcBorders>
          </w:tcPr>
          <w:p w14:paraId="57B69C9A"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11,600</w:t>
            </w:r>
          </w:p>
        </w:tc>
        <w:tc>
          <w:tcPr>
            <w:tcW w:w="707" w:type="pct"/>
            <w:tcBorders>
              <w:top w:val="nil"/>
              <w:left w:val="nil"/>
              <w:bottom w:val="nil"/>
              <w:right w:val="nil"/>
            </w:tcBorders>
          </w:tcPr>
          <w:p w14:paraId="13A2A5A0"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28/10/2015</w:t>
            </w:r>
          </w:p>
        </w:tc>
        <w:tc>
          <w:tcPr>
            <w:tcW w:w="943" w:type="pct"/>
            <w:tcBorders>
              <w:top w:val="nil"/>
              <w:left w:val="nil"/>
              <w:bottom w:val="nil"/>
              <w:right w:val="nil"/>
            </w:tcBorders>
          </w:tcPr>
          <w:p w14:paraId="61B8B142" w14:textId="25653BD6"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Early</w:t>
            </w:r>
            <w:r w:rsidRPr="00782605">
              <w:rPr>
                <w:rFonts w:ascii="Calibri" w:hAnsi="Calibri" w:cs="Calibri"/>
                <w:color w:val="auto"/>
                <w:sz w:val="18"/>
                <w:szCs w:val="18"/>
              </w:rPr>
              <w:t>–</w:t>
            </w:r>
            <w:r w:rsidRPr="00782605">
              <w:rPr>
                <w:rFonts w:cs="Calibri"/>
                <w:color w:val="auto"/>
                <w:sz w:val="18"/>
                <w:szCs w:val="18"/>
              </w:rPr>
              <w:t>mid-</w:t>
            </w:r>
            <w:r w:rsidR="00EB3B8C">
              <w:rPr>
                <w:rFonts w:cs="Calibri"/>
                <w:color w:val="auto"/>
                <w:sz w:val="18"/>
                <w:szCs w:val="18"/>
              </w:rPr>
              <w:t>s</w:t>
            </w:r>
            <w:r w:rsidRPr="00782605">
              <w:rPr>
                <w:rFonts w:cs="Calibri"/>
                <w:color w:val="auto"/>
                <w:sz w:val="18"/>
                <w:szCs w:val="18"/>
              </w:rPr>
              <w:t>pring</w:t>
            </w:r>
          </w:p>
        </w:tc>
        <w:tc>
          <w:tcPr>
            <w:tcW w:w="472" w:type="pct"/>
            <w:tcBorders>
              <w:top w:val="nil"/>
              <w:left w:val="nil"/>
              <w:bottom w:val="nil"/>
              <w:right w:val="nil"/>
            </w:tcBorders>
          </w:tcPr>
          <w:p w14:paraId="05750B6B" w14:textId="0A80389E" w:rsidR="002849E2" w:rsidRPr="00782605" w:rsidRDefault="00631CB5" w:rsidP="00D57552">
            <w:pPr>
              <w:spacing w:before="60" w:after="60" w:line="240" w:lineRule="auto"/>
              <w:jc w:val="center"/>
              <w:rPr>
                <w:color w:val="auto"/>
                <w:sz w:val="18"/>
                <w:szCs w:val="18"/>
              </w:rPr>
            </w:pPr>
            <w:r w:rsidRPr="00782605">
              <w:rPr>
                <w:rFonts w:cs="Calibri"/>
                <w:color w:val="auto"/>
                <w:sz w:val="18"/>
                <w:szCs w:val="18"/>
              </w:rPr>
              <w:t>17</w:t>
            </w:r>
            <w:r w:rsidR="002849E2" w:rsidRPr="00782605">
              <w:rPr>
                <w:rFonts w:cs="Calibri"/>
                <w:color w:val="auto"/>
                <w:sz w:val="18"/>
                <w:szCs w:val="18"/>
              </w:rPr>
              <w:t xml:space="preserve"> d</w:t>
            </w:r>
          </w:p>
        </w:tc>
        <w:tc>
          <w:tcPr>
            <w:tcW w:w="393" w:type="pct"/>
            <w:tcBorders>
              <w:top w:val="nil"/>
              <w:left w:val="nil"/>
              <w:bottom w:val="nil"/>
              <w:right w:val="nil"/>
            </w:tcBorders>
          </w:tcPr>
          <w:p w14:paraId="7643C48F" w14:textId="77777777" w:rsidR="002849E2" w:rsidRPr="00782605" w:rsidRDefault="002849E2" w:rsidP="00D57552">
            <w:pPr>
              <w:spacing w:before="60" w:after="60" w:line="240" w:lineRule="auto"/>
              <w:jc w:val="center"/>
              <w:rPr>
                <w:rFonts w:cs="Calibri"/>
                <w:color w:val="auto"/>
                <w:sz w:val="18"/>
                <w:szCs w:val="18"/>
              </w:rPr>
            </w:pPr>
          </w:p>
        </w:tc>
        <w:tc>
          <w:tcPr>
            <w:tcW w:w="471" w:type="pct"/>
            <w:tcBorders>
              <w:top w:val="nil"/>
              <w:left w:val="nil"/>
              <w:bottom w:val="nil"/>
              <w:right w:val="nil"/>
            </w:tcBorders>
          </w:tcPr>
          <w:p w14:paraId="452753D9" w14:textId="77777777" w:rsidR="002849E2" w:rsidRPr="00782605" w:rsidRDefault="002849E2" w:rsidP="00D57552">
            <w:pPr>
              <w:spacing w:before="60" w:after="60" w:line="240" w:lineRule="auto"/>
              <w:jc w:val="center"/>
              <w:rPr>
                <w:rFonts w:cs="Calibri"/>
                <w:color w:val="auto"/>
                <w:sz w:val="18"/>
                <w:szCs w:val="18"/>
              </w:rPr>
            </w:pPr>
          </w:p>
        </w:tc>
        <w:tc>
          <w:tcPr>
            <w:tcW w:w="471" w:type="pct"/>
            <w:tcBorders>
              <w:top w:val="nil"/>
              <w:left w:val="nil"/>
              <w:bottom w:val="nil"/>
              <w:right w:val="nil"/>
            </w:tcBorders>
          </w:tcPr>
          <w:p w14:paraId="20D8A719" w14:textId="13B9420B" w:rsidR="002849E2" w:rsidRPr="00782605" w:rsidRDefault="002849E2" w:rsidP="00D57552">
            <w:pPr>
              <w:spacing w:before="60" w:after="60" w:line="240" w:lineRule="auto"/>
              <w:jc w:val="center"/>
              <w:rPr>
                <w:rFonts w:cs="Calibri"/>
                <w:color w:val="auto"/>
                <w:sz w:val="18"/>
                <w:szCs w:val="18"/>
              </w:rPr>
            </w:pPr>
          </w:p>
        </w:tc>
        <w:tc>
          <w:tcPr>
            <w:tcW w:w="444" w:type="pct"/>
            <w:tcBorders>
              <w:top w:val="nil"/>
              <w:left w:val="nil"/>
              <w:bottom w:val="nil"/>
              <w:right w:val="nil"/>
            </w:tcBorders>
          </w:tcPr>
          <w:p w14:paraId="328F3B61" w14:textId="77777777" w:rsidR="002849E2" w:rsidRPr="00782605" w:rsidRDefault="002849E2" w:rsidP="00D57552">
            <w:pPr>
              <w:spacing w:before="60" w:after="60" w:line="240" w:lineRule="auto"/>
              <w:jc w:val="center"/>
              <w:rPr>
                <w:rFonts w:cs="Calibri"/>
                <w:color w:val="auto"/>
                <w:sz w:val="18"/>
                <w:szCs w:val="18"/>
              </w:rPr>
            </w:pPr>
          </w:p>
        </w:tc>
      </w:tr>
      <w:tr w:rsidR="00782605" w:rsidRPr="009D2816" w14:paraId="204B083F" w14:textId="77777777" w:rsidTr="00782605">
        <w:trPr>
          <w:trHeight w:val="340"/>
          <w:jc w:val="center"/>
        </w:trPr>
        <w:tc>
          <w:tcPr>
            <w:tcW w:w="496" w:type="pct"/>
            <w:tcBorders>
              <w:top w:val="nil"/>
              <w:left w:val="nil"/>
              <w:bottom w:val="nil"/>
              <w:right w:val="nil"/>
            </w:tcBorders>
          </w:tcPr>
          <w:p w14:paraId="7B2EF5A2"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2016-17</w:t>
            </w:r>
          </w:p>
        </w:tc>
        <w:tc>
          <w:tcPr>
            <w:tcW w:w="603" w:type="pct"/>
            <w:tcBorders>
              <w:top w:val="nil"/>
              <w:left w:val="nil"/>
              <w:bottom w:val="nil"/>
              <w:right w:val="nil"/>
            </w:tcBorders>
          </w:tcPr>
          <w:p w14:paraId="53923818"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94,600</w:t>
            </w:r>
          </w:p>
        </w:tc>
        <w:tc>
          <w:tcPr>
            <w:tcW w:w="707" w:type="pct"/>
            <w:tcBorders>
              <w:top w:val="nil"/>
              <w:left w:val="nil"/>
              <w:bottom w:val="nil"/>
              <w:right w:val="nil"/>
            </w:tcBorders>
          </w:tcPr>
          <w:p w14:paraId="2B7ECE75"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29/11/2016</w:t>
            </w:r>
          </w:p>
        </w:tc>
        <w:tc>
          <w:tcPr>
            <w:tcW w:w="943" w:type="pct"/>
            <w:tcBorders>
              <w:top w:val="nil"/>
              <w:left w:val="nil"/>
              <w:bottom w:val="nil"/>
              <w:right w:val="nil"/>
            </w:tcBorders>
          </w:tcPr>
          <w:p w14:paraId="3AC31AE6"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Early spring–early summer</w:t>
            </w:r>
          </w:p>
        </w:tc>
        <w:tc>
          <w:tcPr>
            <w:tcW w:w="472" w:type="pct"/>
            <w:tcBorders>
              <w:top w:val="nil"/>
              <w:left w:val="nil"/>
              <w:bottom w:val="nil"/>
              <w:right w:val="nil"/>
            </w:tcBorders>
          </w:tcPr>
          <w:p w14:paraId="69EBAC77" w14:textId="0C2DCC1F" w:rsidR="002849E2" w:rsidRPr="00782605" w:rsidRDefault="00631CB5" w:rsidP="00D57552">
            <w:pPr>
              <w:spacing w:before="60" w:after="60" w:line="240" w:lineRule="auto"/>
              <w:jc w:val="center"/>
              <w:rPr>
                <w:color w:val="auto"/>
                <w:sz w:val="18"/>
                <w:szCs w:val="18"/>
              </w:rPr>
            </w:pPr>
            <w:r w:rsidRPr="00782605">
              <w:rPr>
                <w:color w:val="auto"/>
                <w:sz w:val="18"/>
                <w:szCs w:val="18"/>
              </w:rPr>
              <w:t>204</w:t>
            </w:r>
            <w:r w:rsidR="002849E2" w:rsidRPr="00782605">
              <w:rPr>
                <w:color w:val="auto"/>
                <w:sz w:val="18"/>
                <w:szCs w:val="18"/>
              </w:rPr>
              <w:t xml:space="preserve"> d</w:t>
            </w:r>
          </w:p>
        </w:tc>
        <w:tc>
          <w:tcPr>
            <w:tcW w:w="393" w:type="pct"/>
            <w:tcBorders>
              <w:top w:val="nil"/>
              <w:left w:val="nil"/>
              <w:bottom w:val="nil"/>
              <w:right w:val="nil"/>
            </w:tcBorders>
          </w:tcPr>
          <w:p w14:paraId="114432F1" w14:textId="18143CF4" w:rsidR="002849E2" w:rsidRPr="00782605" w:rsidRDefault="00631CB5" w:rsidP="00D57552">
            <w:pPr>
              <w:spacing w:before="60" w:after="60" w:line="240" w:lineRule="auto"/>
              <w:jc w:val="center"/>
              <w:rPr>
                <w:rFonts w:cs="Calibri"/>
                <w:color w:val="auto"/>
                <w:sz w:val="18"/>
                <w:szCs w:val="18"/>
              </w:rPr>
            </w:pPr>
            <w:r w:rsidRPr="00782605">
              <w:rPr>
                <w:rFonts w:cs="Calibri"/>
                <w:color w:val="auto"/>
                <w:sz w:val="18"/>
                <w:szCs w:val="18"/>
              </w:rPr>
              <w:t>175</w:t>
            </w:r>
            <w:r w:rsidR="002849E2" w:rsidRPr="00782605">
              <w:rPr>
                <w:rFonts w:cs="Calibri"/>
                <w:color w:val="auto"/>
                <w:sz w:val="18"/>
                <w:szCs w:val="18"/>
              </w:rPr>
              <w:t xml:space="preserve"> d</w:t>
            </w:r>
          </w:p>
        </w:tc>
        <w:tc>
          <w:tcPr>
            <w:tcW w:w="471" w:type="pct"/>
            <w:tcBorders>
              <w:top w:val="nil"/>
              <w:left w:val="nil"/>
              <w:bottom w:val="nil"/>
              <w:right w:val="nil"/>
            </w:tcBorders>
          </w:tcPr>
          <w:p w14:paraId="75FC7D54" w14:textId="72C94EE3" w:rsidR="002849E2" w:rsidRPr="00782605" w:rsidRDefault="00631CB5" w:rsidP="00D57552">
            <w:pPr>
              <w:spacing w:before="60" w:after="60" w:line="240" w:lineRule="auto"/>
              <w:jc w:val="center"/>
              <w:rPr>
                <w:rFonts w:cs="Calibri"/>
                <w:color w:val="auto"/>
                <w:sz w:val="18"/>
                <w:szCs w:val="18"/>
              </w:rPr>
            </w:pPr>
            <w:r w:rsidRPr="00782605">
              <w:rPr>
                <w:rFonts w:cs="Calibri"/>
                <w:color w:val="auto"/>
                <w:sz w:val="18"/>
                <w:szCs w:val="18"/>
              </w:rPr>
              <w:t>155 d</w:t>
            </w:r>
          </w:p>
        </w:tc>
        <w:tc>
          <w:tcPr>
            <w:tcW w:w="471" w:type="pct"/>
            <w:tcBorders>
              <w:top w:val="nil"/>
              <w:left w:val="nil"/>
              <w:bottom w:val="nil"/>
              <w:right w:val="nil"/>
            </w:tcBorders>
          </w:tcPr>
          <w:p w14:paraId="0062F5A3" w14:textId="6B51BD22" w:rsidR="002849E2" w:rsidRPr="00782605" w:rsidRDefault="00631CB5" w:rsidP="00D57552">
            <w:pPr>
              <w:spacing w:before="60" w:after="60" w:line="240" w:lineRule="auto"/>
              <w:jc w:val="center"/>
              <w:rPr>
                <w:rFonts w:cs="Calibri"/>
                <w:color w:val="auto"/>
                <w:sz w:val="18"/>
                <w:szCs w:val="18"/>
              </w:rPr>
            </w:pPr>
            <w:r w:rsidRPr="00782605">
              <w:rPr>
                <w:rFonts w:cs="Calibri"/>
                <w:color w:val="auto"/>
                <w:sz w:val="18"/>
                <w:szCs w:val="18"/>
              </w:rPr>
              <w:t>139</w:t>
            </w:r>
            <w:r w:rsidR="002849E2" w:rsidRPr="00782605">
              <w:rPr>
                <w:rFonts w:cs="Calibri"/>
                <w:color w:val="auto"/>
                <w:sz w:val="18"/>
                <w:szCs w:val="18"/>
              </w:rPr>
              <w:t xml:space="preserve"> d</w:t>
            </w:r>
          </w:p>
        </w:tc>
        <w:tc>
          <w:tcPr>
            <w:tcW w:w="444" w:type="pct"/>
            <w:tcBorders>
              <w:top w:val="nil"/>
              <w:left w:val="nil"/>
              <w:bottom w:val="nil"/>
              <w:right w:val="nil"/>
            </w:tcBorders>
          </w:tcPr>
          <w:p w14:paraId="6F761686" w14:textId="3C6BD3D2" w:rsidR="002849E2" w:rsidRPr="00782605" w:rsidRDefault="00631CB5" w:rsidP="00D57552">
            <w:pPr>
              <w:spacing w:before="60" w:after="60" w:line="240" w:lineRule="auto"/>
              <w:jc w:val="center"/>
              <w:rPr>
                <w:rFonts w:cs="Calibri"/>
                <w:color w:val="auto"/>
                <w:sz w:val="18"/>
                <w:szCs w:val="18"/>
              </w:rPr>
            </w:pPr>
            <w:r w:rsidRPr="00782605">
              <w:rPr>
                <w:rFonts w:cs="Calibri"/>
                <w:color w:val="auto"/>
                <w:sz w:val="18"/>
                <w:szCs w:val="18"/>
              </w:rPr>
              <w:t>59</w:t>
            </w:r>
            <w:r w:rsidR="002849E2" w:rsidRPr="00782605">
              <w:rPr>
                <w:rFonts w:cs="Calibri"/>
                <w:color w:val="auto"/>
                <w:sz w:val="18"/>
                <w:szCs w:val="18"/>
              </w:rPr>
              <w:t xml:space="preserve"> d</w:t>
            </w:r>
          </w:p>
        </w:tc>
      </w:tr>
      <w:tr w:rsidR="00782605" w:rsidRPr="009D2816" w14:paraId="0898BDA7" w14:textId="77777777" w:rsidTr="00782605">
        <w:trPr>
          <w:trHeight w:val="340"/>
          <w:jc w:val="center"/>
        </w:trPr>
        <w:tc>
          <w:tcPr>
            <w:tcW w:w="496" w:type="pct"/>
            <w:tcBorders>
              <w:top w:val="nil"/>
              <w:left w:val="nil"/>
              <w:bottom w:val="nil"/>
              <w:right w:val="nil"/>
            </w:tcBorders>
          </w:tcPr>
          <w:p w14:paraId="79881A98"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2017-18</w:t>
            </w:r>
          </w:p>
        </w:tc>
        <w:tc>
          <w:tcPr>
            <w:tcW w:w="603" w:type="pct"/>
            <w:tcBorders>
              <w:top w:val="nil"/>
              <w:left w:val="nil"/>
              <w:bottom w:val="nil"/>
              <w:right w:val="nil"/>
            </w:tcBorders>
          </w:tcPr>
          <w:p w14:paraId="757144E2"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17,800</w:t>
            </w:r>
          </w:p>
        </w:tc>
        <w:tc>
          <w:tcPr>
            <w:tcW w:w="707" w:type="pct"/>
            <w:tcBorders>
              <w:top w:val="nil"/>
              <w:left w:val="nil"/>
              <w:bottom w:val="nil"/>
              <w:right w:val="nil"/>
            </w:tcBorders>
          </w:tcPr>
          <w:p w14:paraId="156C821F"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8/12/2017</w:t>
            </w:r>
          </w:p>
        </w:tc>
        <w:tc>
          <w:tcPr>
            <w:tcW w:w="943" w:type="pct"/>
            <w:tcBorders>
              <w:top w:val="nil"/>
              <w:left w:val="nil"/>
              <w:bottom w:val="nil"/>
              <w:right w:val="nil"/>
            </w:tcBorders>
          </w:tcPr>
          <w:p w14:paraId="7EC8A803"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Mid-spring; late spring–early summer</w:t>
            </w:r>
          </w:p>
        </w:tc>
        <w:tc>
          <w:tcPr>
            <w:tcW w:w="472" w:type="pct"/>
            <w:tcBorders>
              <w:top w:val="nil"/>
              <w:left w:val="nil"/>
              <w:bottom w:val="nil"/>
              <w:right w:val="nil"/>
            </w:tcBorders>
          </w:tcPr>
          <w:p w14:paraId="1ED5CE55" w14:textId="0FA9EC2B" w:rsidR="002849E2" w:rsidRPr="00782605" w:rsidRDefault="002849E2" w:rsidP="00D57552">
            <w:pPr>
              <w:spacing w:before="60" w:after="60" w:line="240" w:lineRule="auto"/>
              <w:jc w:val="center"/>
              <w:rPr>
                <w:color w:val="auto"/>
                <w:sz w:val="18"/>
                <w:szCs w:val="18"/>
              </w:rPr>
            </w:pPr>
            <w:r w:rsidRPr="00782605">
              <w:rPr>
                <w:color w:val="auto"/>
                <w:sz w:val="18"/>
                <w:szCs w:val="18"/>
              </w:rPr>
              <w:t xml:space="preserve">6 d; </w:t>
            </w:r>
          </w:p>
          <w:p w14:paraId="72E2899A" w14:textId="1E3FF5B4" w:rsidR="002849E2" w:rsidRPr="00782605" w:rsidRDefault="002849E2" w:rsidP="00D57552">
            <w:pPr>
              <w:spacing w:before="60" w:after="60" w:line="240" w:lineRule="auto"/>
              <w:jc w:val="center"/>
              <w:rPr>
                <w:color w:val="auto"/>
                <w:sz w:val="18"/>
                <w:szCs w:val="18"/>
              </w:rPr>
            </w:pPr>
            <w:r w:rsidRPr="00782605">
              <w:rPr>
                <w:color w:val="auto"/>
                <w:sz w:val="18"/>
                <w:szCs w:val="18"/>
              </w:rPr>
              <w:t>5</w:t>
            </w:r>
            <w:r w:rsidR="00631CB5" w:rsidRPr="00782605">
              <w:rPr>
                <w:color w:val="auto"/>
                <w:sz w:val="18"/>
                <w:szCs w:val="18"/>
              </w:rPr>
              <w:t>1</w:t>
            </w:r>
            <w:r w:rsidRPr="00782605">
              <w:rPr>
                <w:color w:val="auto"/>
                <w:sz w:val="18"/>
                <w:szCs w:val="18"/>
              </w:rPr>
              <w:t xml:space="preserve"> d</w:t>
            </w:r>
          </w:p>
        </w:tc>
        <w:tc>
          <w:tcPr>
            <w:tcW w:w="393" w:type="pct"/>
            <w:tcBorders>
              <w:top w:val="nil"/>
              <w:left w:val="nil"/>
              <w:bottom w:val="nil"/>
              <w:right w:val="nil"/>
            </w:tcBorders>
          </w:tcPr>
          <w:p w14:paraId="1FA8AE01" w14:textId="16C1AE2B"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 xml:space="preserve">0 d; </w:t>
            </w:r>
          </w:p>
          <w:p w14:paraId="77C5C55D" w14:textId="78FE9DBD" w:rsidR="002849E2" w:rsidRPr="00782605" w:rsidRDefault="00631CB5" w:rsidP="00D57552">
            <w:pPr>
              <w:spacing w:before="60" w:after="60" w:line="240" w:lineRule="auto"/>
              <w:jc w:val="center"/>
              <w:rPr>
                <w:rFonts w:cs="Calibri"/>
                <w:color w:val="auto"/>
                <w:sz w:val="18"/>
                <w:szCs w:val="18"/>
              </w:rPr>
            </w:pPr>
            <w:r w:rsidRPr="00782605">
              <w:rPr>
                <w:rFonts w:cs="Calibri"/>
                <w:color w:val="auto"/>
                <w:sz w:val="18"/>
                <w:szCs w:val="18"/>
              </w:rPr>
              <w:t>7</w:t>
            </w:r>
            <w:r w:rsidR="002849E2" w:rsidRPr="00782605">
              <w:rPr>
                <w:rFonts w:cs="Calibri"/>
                <w:color w:val="auto"/>
                <w:sz w:val="18"/>
                <w:szCs w:val="18"/>
              </w:rPr>
              <w:t xml:space="preserve"> d</w:t>
            </w:r>
          </w:p>
        </w:tc>
        <w:tc>
          <w:tcPr>
            <w:tcW w:w="471" w:type="pct"/>
            <w:tcBorders>
              <w:top w:val="nil"/>
              <w:left w:val="nil"/>
              <w:bottom w:val="nil"/>
              <w:right w:val="nil"/>
            </w:tcBorders>
          </w:tcPr>
          <w:p w14:paraId="0CC95868" w14:textId="77777777" w:rsidR="002849E2" w:rsidRPr="00782605" w:rsidRDefault="002849E2" w:rsidP="00D57552">
            <w:pPr>
              <w:spacing w:before="60" w:after="60" w:line="240" w:lineRule="auto"/>
              <w:jc w:val="center"/>
              <w:rPr>
                <w:rFonts w:cs="Calibri"/>
                <w:color w:val="auto"/>
                <w:sz w:val="18"/>
                <w:szCs w:val="18"/>
              </w:rPr>
            </w:pPr>
          </w:p>
        </w:tc>
        <w:tc>
          <w:tcPr>
            <w:tcW w:w="471" w:type="pct"/>
            <w:tcBorders>
              <w:top w:val="nil"/>
              <w:left w:val="nil"/>
              <w:bottom w:val="nil"/>
              <w:right w:val="nil"/>
            </w:tcBorders>
          </w:tcPr>
          <w:p w14:paraId="79317AB1" w14:textId="7260F5F9" w:rsidR="002849E2" w:rsidRPr="00782605" w:rsidRDefault="002849E2" w:rsidP="00D57552">
            <w:pPr>
              <w:spacing w:before="60" w:after="60" w:line="240" w:lineRule="auto"/>
              <w:jc w:val="center"/>
              <w:rPr>
                <w:rFonts w:cs="Calibri"/>
                <w:color w:val="auto"/>
                <w:sz w:val="18"/>
                <w:szCs w:val="18"/>
              </w:rPr>
            </w:pPr>
          </w:p>
        </w:tc>
        <w:tc>
          <w:tcPr>
            <w:tcW w:w="444" w:type="pct"/>
            <w:tcBorders>
              <w:top w:val="nil"/>
              <w:left w:val="nil"/>
              <w:bottom w:val="nil"/>
              <w:right w:val="nil"/>
            </w:tcBorders>
          </w:tcPr>
          <w:p w14:paraId="7A3CC684" w14:textId="77777777" w:rsidR="002849E2" w:rsidRPr="00782605" w:rsidRDefault="002849E2" w:rsidP="00D57552">
            <w:pPr>
              <w:spacing w:before="60" w:after="60" w:line="240" w:lineRule="auto"/>
              <w:jc w:val="center"/>
              <w:rPr>
                <w:rFonts w:cs="Calibri"/>
                <w:color w:val="auto"/>
                <w:sz w:val="18"/>
                <w:szCs w:val="18"/>
              </w:rPr>
            </w:pPr>
          </w:p>
        </w:tc>
      </w:tr>
      <w:tr w:rsidR="00782605" w:rsidRPr="009D2816" w14:paraId="00CAAB7F" w14:textId="77777777" w:rsidTr="00782605">
        <w:trPr>
          <w:trHeight w:val="340"/>
          <w:jc w:val="center"/>
        </w:trPr>
        <w:tc>
          <w:tcPr>
            <w:tcW w:w="496" w:type="pct"/>
            <w:tcBorders>
              <w:top w:val="nil"/>
              <w:left w:val="nil"/>
              <w:bottom w:val="nil"/>
              <w:right w:val="nil"/>
            </w:tcBorders>
          </w:tcPr>
          <w:p w14:paraId="66B06158"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2018-19</w:t>
            </w:r>
          </w:p>
        </w:tc>
        <w:tc>
          <w:tcPr>
            <w:tcW w:w="603" w:type="pct"/>
            <w:tcBorders>
              <w:top w:val="nil"/>
              <w:left w:val="nil"/>
              <w:bottom w:val="nil"/>
              <w:right w:val="nil"/>
            </w:tcBorders>
          </w:tcPr>
          <w:p w14:paraId="17935738"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12,100</w:t>
            </w:r>
          </w:p>
        </w:tc>
        <w:tc>
          <w:tcPr>
            <w:tcW w:w="707" w:type="pct"/>
            <w:tcBorders>
              <w:top w:val="nil"/>
              <w:left w:val="nil"/>
              <w:bottom w:val="nil"/>
              <w:right w:val="nil"/>
            </w:tcBorders>
          </w:tcPr>
          <w:p w14:paraId="0A85C88D"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1/1/2019</w:t>
            </w:r>
          </w:p>
        </w:tc>
        <w:tc>
          <w:tcPr>
            <w:tcW w:w="943" w:type="pct"/>
            <w:tcBorders>
              <w:top w:val="nil"/>
              <w:left w:val="nil"/>
              <w:bottom w:val="nil"/>
              <w:right w:val="nil"/>
            </w:tcBorders>
          </w:tcPr>
          <w:p w14:paraId="496B8E75" w14:textId="7777777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Mid-summer</w:t>
            </w:r>
          </w:p>
        </w:tc>
        <w:tc>
          <w:tcPr>
            <w:tcW w:w="472" w:type="pct"/>
            <w:tcBorders>
              <w:top w:val="nil"/>
              <w:left w:val="nil"/>
              <w:bottom w:val="nil"/>
              <w:right w:val="nil"/>
            </w:tcBorders>
          </w:tcPr>
          <w:p w14:paraId="3E44F20D" w14:textId="5AF651BF"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17 d</w:t>
            </w:r>
          </w:p>
        </w:tc>
        <w:tc>
          <w:tcPr>
            <w:tcW w:w="393" w:type="pct"/>
            <w:tcBorders>
              <w:top w:val="nil"/>
              <w:left w:val="nil"/>
              <w:bottom w:val="nil"/>
              <w:right w:val="nil"/>
            </w:tcBorders>
          </w:tcPr>
          <w:p w14:paraId="7606A480" w14:textId="77777777" w:rsidR="002849E2" w:rsidRPr="00782605" w:rsidRDefault="002849E2" w:rsidP="00D57552">
            <w:pPr>
              <w:spacing w:before="60" w:after="60" w:line="240" w:lineRule="auto"/>
              <w:jc w:val="center"/>
              <w:rPr>
                <w:rFonts w:cs="Calibri"/>
                <w:color w:val="auto"/>
                <w:sz w:val="18"/>
                <w:szCs w:val="18"/>
              </w:rPr>
            </w:pPr>
          </w:p>
        </w:tc>
        <w:tc>
          <w:tcPr>
            <w:tcW w:w="471" w:type="pct"/>
            <w:tcBorders>
              <w:top w:val="nil"/>
              <w:left w:val="nil"/>
              <w:bottom w:val="nil"/>
              <w:right w:val="nil"/>
            </w:tcBorders>
          </w:tcPr>
          <w:p w14:paraId="000A899A" w14:textId="77777777" w:rsidR="002849E2" w:rsidRPr="00782605" w:rsidRDefault="002849E2" w:rsidP="00D57552">
            <w:pPr>
              <w:spacing w:before="60" w:after="60" w:line="240" w:lineRule="auto"/>
              <w:jc w:val="center"/>
              <w:rPr>
                <w:rFonts w:cs="Calibri"/>
                <w:color w:val="auto"/>
                <w:sz w:val="18"/>
                <w:szCs w:val="18"/>
              </w:rPr>
            </w:pPr>
          </w:p>
        </w:tc>
        <w:tc>
          <w:tcPr>
            <w:tcW w:w="471" w:type="pct"/>
            <w:tcBorders>
              <w:top w:val="nil"/>
              <w:left w:val="nil"/>
              <w:bottom w:val="nil"/>
              <w:right w:val="nil"/>
            </w:tcBorders>
          </w:tcPr>
          <w:p w14:paraId="77E1C326" w14:textId="23514681" w:rsidR="002849E2" w:rsidRPr="00782605" w:rsidRDefault="002849E2" w:rsidP="00D57552">
            <w:pPr>
              <w:spacing w:before="60" w:after="60" w:line="240" w:lineRule="auto"/>
              <w:jc w:val="center"/>
              <w:rPr>
                <w:rFonts w:cs="Calibri"/>
                <w:color w:val="auto"/>
                <w:sz w:val="18"/>
                <w:szCs w:val="18"/>
              </w:rPr>
            </w:pPr>
          </w:p>
        </w:tc>
        <w:tc>
          <w:tcPr>
            <w:tcW w:w="444" w:type="pct"/>
            <w:tcBorders>
              <w:top w:val="nil"/>
              <w:left w:val="nil"/>
              <w:bottom w:val="nil"/>
              <w:right w:val="nil"/>
            </w:tcBorders>
          </w:tcPr>
          <w:p w14:paraId="2B08845D" w14:textId="77777777" w:rsidR="002849E2" w:rsidRPr="00782605" w:rsidRDefault="002849E2" w:rsidP="00D57552">
            <w:pPr>
              <w:spacing w:before="60" w:after="60" w:line="240" w:lineRule="auto"/>
              <w:jc w:val="center"/>
              <w:rPr>
                <w:rFonts w:cs="Calibri"/>
                <w:color w:val="auto"/>
                <w:sz w:val="18"/>
                <w:szCs w:val="18"/>
              </w:rPr>
            </w:pPr>
          </w:p>
        </w:tc>
      </w:tr>
      <w:tr w:rsidR="00782605" w:rsidRPr="009D2816" w14:paraId="5E64131E" w14:textId="77777777" w:rsidTr="00782605">
        <w:trPr>
          <w:trHeight w:val="66"/>
          <w:jc w:val="center"/>
        </w:trPr>
        <w:tc>
          <w:tcPr>
            <w:tcW w:w="496" w:type="pct"/>
            <w:tcBorders>
              <w:top w:val="nil"/>
              <w:left w:val="nil"/>
              <w:bottom w:val="nil"/>
              <w:right w:val="nil"/>
            </w:tcBorders>
          </w:tcPr>
          <w:p w14:paraId="7A21D417"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2019-20</w:t>
            </w:r>
          </w:p>
        </w:tc>
        <w:tc>
          <w:tcPr>
            <w:tcW w:w="603" w:type="pct"/>
            <w:tcBorders>
              <w:top w:val="nil"/>
              <w:left w:val="nil"/>
              <w:bottom w:val="nil"/>
              <w:right w:val="nil"/>
            </w:tcBorders>
          </w:tcPr>
          <w:p w14:paraId="7ED275F5"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15,600</w:t>
            </w:r>
          </w:p>
        </w:tc>
        <w:tc>
          <w:tcPr>
            <w:tcW w:w="707" w:type="pct"/>
            <w:tcBorders>
              <w:top w:val="nil"/>
              <w:left w:val="nil"/>
              <w:bottom w:val="nil"/>
              <w:right w:val="nil"/>
            </w:tcBorders>
          </w:tcPr>
          <w:p w14:paraId="6B042A44"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19/10/2019</w:t>
            </w:r>
          </w:p>
        </w:tc>
        <w:tc>
          <w:tcPr>
            <w:tcW w:w="943" w:type="pct"/>
            <w:tcBorders>
              <w:top w:val="nil"/>
              <w:left w:val="nil"/>
              <w:bottom w:val="nil"/>
              <w:right w:val="nil"/>
            </w:tcBorders>
          </w:tcPr>
          <w:p w14:paraId="19D6730F"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Mid-spring</w:t>
            </w:r>
          </w:p>
        </w:tc>
        <w:tc>
          <w:tcPr>
            <w:tcW w:w="472" w:type="pct"/>
            <w:tcBorders>
              <w:top w:val="nil"/>
              <w:left w:val="nil"/>
              <w:bottom w:val="nil"/>
              <w:right w:val="nil"/>
            </w:tcBorders>
          </w:tcPr>
          <w:p w14:paraId="5308BFC5" w14:textId="36AAF06B" w:rsidR="002849E2" w:rsidRPr="00782605" w:rsidRDefault="002849E2" w:rsidP="00D57552">
            <w:pPr>
              <w:spacing w:before="60" w:after="60" w:line="240" w:lineRule="auto"/>
              <w:jc w:val="center"/>
              <w:rPr>
                <w:color w:val="auto"/>
                <w:sz w:val="18"/>
                <w:szCs w:val="18"/>
              </w:rPr>
            </w:pPr>
            <w:r w:rsidRPr="00782605">
              <w:rPr>
                <w:color w:val="auto"/>
                <w:sz w:val="18"/>
                <w:szCs w:val="18"/>
              </w:rPr>
              <w:t>34 d</w:t>
            </w:r>
          </w:p>
        </w:tc>
        <w:tc>
          <w:tcPr>
            <w:tcW w:w="393" w:type="pct"/>
            <w:tcBorders>
              <w:top w:val="nil"/>
              <w:left w:val="nil"/>
              <w:bottom w:val="nil"/>
              <w:right w:val="nil"/>
            </w:tcBorders>
          </w:tcPr>
          <w:p w14:paraId="11B1C0AF" w14:textId="56D5FF2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11 d</w:t>
            </w:r>
          </w:p>
        </w:tc>
        <w:tc>
          <w:tcPr>
            <w:tcW w:w="471" w:type="pct"/>
            <w:tcBorders>
              <w:top w:val="nil"/>
              <w:left w:val="nil"/>
              <w:bottom w:val="nil"/>
              <w:right w:val="nil"/>
            </w:tcBorders>
          </w:tcPr>
          <w:p w14:paraId="4A030015" w14:textId="77777777" w:rsidR="002849E2" w:rsidRPr="00782605" w:rsidRDefault="002849E2" w:rsidP="00D57552">
            <w:pPr>
              <w:spacing w:before="60" w:after="60" w:line="240" w:lineRule="auto"/>
              <w:jc w:val="center"/>
              <w:rPr>
                <w:rFonts w:cs="Calibri"/>
                <w:color w:val="auto"/>
                <w:sz w:val="18"/>
                <w:szCs w:val="18"/>
              </w:rPr>
            </w:pPr>
          </w:p>
        </w:tc>
        <w:tc>
          <w:tcPr>
            <w:tcW w:w="471" w:type="pct"/>
            <w:tcBorders>
              <w:top w:val="nil"/>
              <w:left w:val="nil"/>
              <w:bottom w:val="nil"/>
              <w:right w:val="nil"/>
            </w:tcBorders>
          </w:tcPr>
          <w:p w14:paraId="6B39C46D" w14:textId="2F4D780B" w:rsidR="002849E2" w:rsidRPr="00782605" w:rsidRDefault="002849E2" w:rsidP="00D57552">
            <w:pPr>
              <w:spacing w:before="60" w:after="60" w:line="240" w:lineRule="auto"/>
              <w:jc w:val="center"/>
              <w:rPr>
                <w:rFonts w:cs="Calibri"/>
                <w:color w:val="auto"/>
                <w:sz w:val="18"/>
                <w:szCs w:val="18"/>
              </w:rPr>
            </w:pPr>
          </w:p>
        </w:tc>
        <w:tc>
          <w:tcPr>
            <w:tcW w:w="444" w:type="pct"/>
            <w:tcBorders>
              <w:top w:val="nil"/>
              <w:left w:val="nil"/>
              <w:bottom w:val="nil"/>
              <w:right w:val="nil"/>
            </w:tcBorders>
          </w:tcPr>
          <w:p w14:paraId="2231750C" w14:textId="77777777" w:rsidR="002849E2" w:rsidRPr="00782605" w:rsidRDefault="002849E2" w:rsidP="00D57552">
            <w:pPr>
              <w:spacing w:before="60" w:after="60" w:line="240" w:lineRule="auto"/>
              <w:jc w:val="center"/>
              <w:rPr>
                <w:rFonts w:cs="Calibri"/>
                <w:color w:val="auto"/>
                <w:sz w:val="18"/>
                <w:szCs w:val="18"/>
              </w:rPr>
            </w:pPr>
          </w:p>
        </w:tc>
      </w:tr>
      <w:tr w:rsidR="00782605" w:rsidRPr="009D2816" w14:paraId="22A2B12C" w14:textId="77777777" w:rsidTr="00782605">
        <w:trPr>
          <w:trHeight w:val="340"/>
          <w:jc w:val="center"/>
        </w:trPr>
        <w:tc>
          <w:tcPr>
            <w:tcW w:w="496" w:type="pct"/>
            <w:tcBorders>
              <w:top w:val="nil"/>
              <w:left w:val="nil"/>
              <w:bottom w:val="nil"/>
              <w:right w:val="nil"/>
            </w:tcBorders>
          </w:tcPr>
          <w:p w14:paraId="403E43DC"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2020-21</w:t>
            </w:r>
          </w:p>
        </w:tc>
        <w:tc>
          <w:tcPr>
            <w:tcW w:w="603" w:type="pct"/>
            <w:tcBorders>
              <w:top w:val="nil"/>
              <w:left w:val="nil"/>
              <w:bottom w:val="nil"/>
              <w:right w:val="nil"/>
            </w:tcBorders>
          </w:tcPr>
          <w:p w14:paraId="2FBE2038"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17,900</w:t>
            </w:r>
          </w:p>
        </w:tc>
        <w:tc>
          <w:tcPr>
            <w:tcW w:w="707" w:type="pct"/>
            <w:tcBorders>
              <w:top w:val="nil"/>
              <w:left w:val="nil"/>
              <w:bottom w:val="nil"/>
              <w:right w:val="nil"/>
            </w:tcBorders>
          </w:tcPr>
          <w:p w14:paraId="2BE6E142"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25/11/2020</w:t>
            </w:r>
          </w:p>
        </w:tc>
        <w:tc>
          <w:tcPr>
            <w:tcW w:w="943" w:type="pct"/>
            <w:tcBorders>
              <w:top w:val="nil"/>
              <w:left w:val="nil"/>
              <w:bottom w:val="nil"/>
              <w:right w:val="nil"/>
            </w:tcBorders>
          </w:tcPr>
          <w:p w14:paraId="535C5D71" w14:textId="77777777" w:rsidR="002849E2" w:rsidRPr="00782605" w:rsidRDefault="002849E2" w:rsidP="00D57552">
            <w:pPr>
              <w:spacing w:before="60" w:after="60" w:line="240" w:lineRule="auto"/>
              <w:jc w:val="center"/>
              <w:rPr>
                <w:color w:val="auto"/>
                <w:sz w:val="18"/>
                <w:szCs w:val="18"/>
              </w:rPr>
            </w:pPr>
            <w:r w:rsidRPr="00782605">
              <w:rPr>
                <w:rFonts w:cs="Calibri"/>
                <w:color w:val="auto"/>
                <w:sz w:val="18"/>
                <w:szCs w:val="18"/>
              </w:rPr>
              <w:t>Late spring–early summer</w:t>
            </w:r>
          </w:p>
        </w:tc>
        <w:tc>
          <w:tcPr>
            <w:tcW w:w="472" w:type="pct"/>
            <w:tcBorders>
              <w:top w:val="nil"/>
              <w:left w:val="nil"/>
              <w:bottom w:val="nil"/>
              <w:right w:val="nil"/>
            </w:tcBorders>
          </w:tcPr>
          <w:p w14:paraId="1979A84C" w14:textId="25B9A650" w:rsidR="002849E2" w:rsidRPr="00782605" w:rsidRDefault="00631CB5" w:rsidP="00D57552">
            <w:pPr>
              <w:spacing w:before="60" w:after="60" w:line="240" w:lineRule="auto"/>
              <w:jc w:val="center"/>
              <w:rPr>
                <w:color w:val="auto"/>
                <w:sz w:val="18"/>
                <w:szCs w:val="18"/>
              </w:rPr>
            </w:pPr>
            <w:r w:rsidRPr="00782605">
              <w:rPr>
                <w:color w:val="auto"/>
                <w:sz w:val="18"/>
                <w:szCs w:val="18"/>
              </w:rPr>
              <w:t>43</w:t>
            </w:r>
            <w:r w:rsidR="002849E2" w:rsidRPr="00782605">
              <w:rPr>
                <w:color w:val="auto"/>
                <w:sz w:val="18"/>
                <w:szCs w:val="18"/>
              </w:rPr>
              <w:t xml:space="preserve"> d</w:t>
            </w:r>
          </w:p>
        </w:tc>
        <w:tc>
          <w:tcPr>
            <w:tcW w:w="393" w:type="pct"/>
            <w:tcBorders>
              <w:top w:val="nil"/>
              <w:left w:val="nil"/>
              <w:bottom w:val="nil"/>
              <w:right w:val="nil"/>
            </w:tcBorders>
          </w:tcPr>
          <w:p w14:paraId="6B3A22D4" w14:textId="5E2E043B"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18 d</w:t>
            </w:r>
          </w:p>
        </w:tc>
        <w:tc>
          <w:tcPr>
            <w:tcW w:w="471" w:type="pct"/>
            <w:tcBorders>
              <w:top w:val="nil"/>
              <w:left w:val="nil"/>
              <w:bottom w:val="nil"/>
              <w:right w:val="nil"/>
            </w:tcBorders>
          </w:tcPr>
          <w:p w14:paraId="265F4B06" w14:textId="77777777" w:rsidR="002849E2" w:rsidRPr="00782605" w:rsidRDefault="002849E2" w:rsidP="00D57552">
            <w:pPr>
              <w:spacing w:before="60" w:after="60" w:line="240" w:lineRule="auto"/>
              <w:jc w:val="center"/>
              <w:rPr>
                <w:rFonts w:cs="Calibri"/>
                <w:color w:val="auto"/>
                <w:sz w:val="18"/>
                <w:szCs w:val="18"/>
              </w:rPr>
            </w:pPr>
          </w:p>
        </w:tc>
        <w:tc>
          <w:tcPr>
            <w:tcW w:w="471" w:type="pct"/>
            <w:tcBorders>
              <w:top w:val="nil"/>
              <w:left w:val="nil"/>
              <w:bottom w:val="nil"/>
              <w:right w:val="nil"/>
            </w:tcBorders>
          </w:tcPr>
          <w:p w14:paraId="30571A33" w14:textId="7027150B" w:rsidR="002849E2" w:rsidRPr="00782605" w:rsidRDefault="002849E2" w:rsidP="00D57552">
            <w:pPr>
              <w:spacing w:before="60" w:after="60" w:line="240" w:lineRule="auto"/>
              <w:jc w:val="center"/>
              <w:rPr>
                <w:rFonts w:cs="Calibri"/>
                <w:color w:val="auto"/>
                <w:sz w:val="18"/>
                <w:szCs w:val="18"/>
              </w:rPr>
            </w:pPr>
          </w:p>
        </w:tc>
        <w:tc>
          <w:tcPr>
            <w:tcW w:w="444" w:type="pct"/>
            <w:tcBorders>
              <w:top w:val="nil"/>
              <w:left w:val="nil"/>
              <w:bottom w:val="nil"/>
              <w:right w:val="nil"/>
            </w:tcBorders>
          </w:tcPr>
          <w:p w14:paraId="1894E1AF" w14:textId="77777777" w:rsidR="002849E2" w:rsidRPr="00782605" w:rsidRDefault="002849E2" w:rsidP="00D57552">
            <w:pPr>
              <w:spacing w:before="60" w:after="60" w:line="240" w:lineRule="auto"/>
              <w:jc w:val="center"/>
              <w:rPr>
                <w:rFonts w:cs="Calibri"/>
                <w:color w:val="auto"/>
                <w:sz w:val="18"/>
                <w:szCs w:val="18"/>
              </w:rPr>
            </w:pPr>
          </w:p>
        </w:tc>
      </w:tr>
      <w:tr w:rsidR="00782605" w:rsidRPr="009D2816" w14:paraId="3862F630" w14:textId="77777777" w:rsidTr="00782605">
        <w:trPr>
          <w:trHeight w:val="340"/>
          <w:jc w:val="center"/>
        </w:trPr>
        <w:tc>
          <w:tcPr>
            <w:tcW w:w="496" w:type="pct"/>
            <w:tcBorders>
              <w:top w:val="nil"/>
              <w:left w:val="nil"/>
              <w:bottom w:val="nil"/>
              <w:right w:val="nil"/>
            </w:tcBorders>
          </w:tcPr>
          <w:p w14:paraId="56739A1C" w14:textId="7777777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2021-22</w:t>
            </w:r>
          </w:p>
        </w:tc>
        <w:tc>
          <w:tcPr>
            <w:tcW w:w="603" w:type="pct"/>
            <w:tcBorders>
              <w:top w:val="nil"/>
              <w:left w:val="nil"/>
              <w:bottom w:val="nil"/>
              <w:right w:val="nil"/>
            </w:tcBorders>
          </w:tcPr>
          <w:p w14:paraId="2BEBF5B2" w14:textId="7777777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37,600</w:t>
            </w:r>
          </w:p>
        </w:tc>
        <w:tc>
          <w:tcPr>
            <w:tcW w:w="707" w:type="pct"/>
            <w:tcBorders>
              <w:top w:val="nil"/>
              <w:left w:val="nil"/>
              <w:bottom w:val="nil"/>
              <w:right w:val="nil"/>
            </w:tcBorders>
          </w:tcPr>
          <w:p w14:paraId="163D791F" w14:textId="7777777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28/12/2021</w:t>
            </w:r>
          </w:p>
        </w:tc>
        <w:tc>
          <w:tcPr>
            <w:tcW w:w="943" w:type="pct"/>
            <w:tcBorders>
              <w:top w:val="nil"/>
              <w:left w:val="nil"/>
              <w:bottom w:val="nil"/>
              <w:right w:val="nil"/>
            </w:tcBorders>
          </w:tcPr>
          <w:p w14:paraId="4F5C4A5D" w14:textId="7777777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Early spring–early autumn</w:t>
            </w:r>
          </w:p>
        </w:tc>
        <w:tc>
          <w:tcPr>
            <w:tcW w:w="472" w:type="pct"/>
            <w:tcBorders>
              <w:top w:val="nil"/>
              <w:left w:val="nil"/>
              <w:bottom w:val="nil"/>
              <w:right w:val="nil"/>
            </w:tcBorders>
          </w:tcPr>
          <w:p w14:paraId="229DC327" w14:textId="26653BFA"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333 d</w:t>
            </w:r>
          </w:p>
        </w:tc>
        <w:tc>
          <w:tcPr>
            <w:tcW w:w="393" w:type="pct"/>
            <w:tcBorders>
              <w:top w:val="nil"/>
              <w:left w:val="nil"/>
              <w:bottom w:val="nil"/>
              <w:right w:val="nil"/>
            </w:tcBorders>
          </w:tcPr>
          <w:p w14:paraId="19548231" w14:textId="5A54D3B4" w:rsidR="002849E2" w:rsidRPr="00782605" w:rsidRDefault="00631CB5" w:rsidP="00D57552">
            <w:pPr>
              <w:spacing w:before="60" w:after="60" w:line="240" w:lineRule="auto"/>
              <w:jc w:val="center"/>
              <w:rPr>
                <w:rFonts w:cs="Calibri"/>
                <w:color w:val="auto"/>
                <w:sz w:val="18"/>
                <w:szCs w:val="18"/>
              </w:rPr>
            </w:pPr>
            <w:r w:rsidRPr="00782605">
              <w:rPr>
                <w:rFonts w:cs="Calibri"/>
                <w:color w:val="auto"/>
                <w:sz w:val="18"/>
                <w:szCs w:val="18"/>
              </w:rPr>
              <w:t>329</w:t>
            </w:r>
            <w:r w:rsidR="002849E2" w:rsidRPr="00782605">
              <w:rPr>
                <w:rFonts w:cs="Calibri"/>
                <w:color w:val="auto"/>
                <w:sz w:val="18"/>
                <w:szCs w:val="18"/>
              </w:rPr>
              <w:t xml:space="preserve"> d</w:t>
            </w:r>
          </w:p>
        </w:tc>
        <w:tc>
          <w:tcPr>
            <w:tcW w:w="471" w:type="pct"/>
            <w:tcBorders>
              <w:top w:val="nil"/>
              <w:left w:val="nil"/>
              <w:bottom w:val="nil"/>
              <w:right w:val="nil"/>
            </w:tcBorders>
          </w:tcPr>
          <w:p w14:paraId="644DF314" w14:textId="7BE3D0CB" w:rsidR="002849E2" w:rsidRPr="00782605" w:rsidRDefault="00631CB5" w:rsidP="00D57552">
            <w:pPr>
              <w:spacing w:before="60" w:after="60" w:line="240" w:lineRule="auto"/>
              <w:jc w:val="center"/>
              <w:rPr>
                <w:rFonts w:cs="Calibri"/>
                <w:color w:val="auto"/>
                <w:sz w:val="18"/>
                <w:szCs w:val="18"/>
              </w:rPr>
            </w:pPr>
            <w:r w:rsidRPr="00782605">
              <w:rPr>
                <w:rFonts w:cs="Calibri"/>
                <w:color w:val="auto"/>
                <w:sz w:val="18"/>
                <w:szCs w:val="18"/>
              </w:rPr>
              <w:t>217 d</w:t>
            </w:r>
          </w:p>
        </w:tc>
        <w:tc>
          <w:tcPr>
            <w:tcW w:w="471" w:type="pct"/>
            <w:tcBorders>
              <w:top w:val="nil"/>
              <w:left w:val="nil"/>
              <w:bottom w:val="nil"/>
              <w:right w:val="nil"/>
            </w:tcBorders>
          </w:tcPr>
          <w:p w14:paraId="5A134F2A" w14:textId="5F05CFA6"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16</w:t>
            </w:r>
            <w:r w:rsidR="00631CB5" w:rsidRPr="00782605">
              <w:rPr>
                <w:rFonts w:cs="Calibri"/>
                <w:color w:val="auto"/>
                <w:sz w:val="18"/>
                <w:szCs w:val="18"/>
              </w:rPr>
              <w:t>5</w:t>
            </w:r>
            <w:r w:rsidRPr="00782605">
              <w:rPr>
                <w:rFonts w:cs="Calibri"/>
                <w:color w:val="auto"/>
                <w:sz w:val="18"/>
                <w:szCs w:val="18"/>
              </w:rPr>
              <w:t xml:space="preserve"> d</w:t>
            </w:r>
          </w:p>
        </w:tc>
        <w:tc>
          <w:tcPr>
            <w:tcW w:w="444" w:type="pct"/>
            <w:tcBorders>
              <w:top w:val="nil"/>
              <w:left w:val="nil"/>
              <w:bottom w:val="nil"/>
              <w:right w:val="nil"/>
            </w:tcBorders>
          </w:tcPr>
          <w:p w14:paraId="31D0F565" w14:textId="77777777" w:rsidR="002849E2" w:rsidRPr="00782605" w:rsidRDefault="002849E2" w:rsidP="00D57552">
            <w:pPr>
              <w:spacing w:before="60" w:after="60" w:line="240" w:lineRule="auto"/>
              <w:jc w:val="center"/>
              <w:rPr>
                <w:rFonts w:cs="Calibri"/>
                <w:color w:val="auto"/>
                <w:sz w:val="18"/>
                <w:szCs w:val="18"/>
              </w:rPr>
            </w:pPr>
          </w:p>
        </w:tc>
      </w:tr>
      <w:tr w:rsidR="00782605" w:rsidRPr="005E0213" w14:paraId="15B0997F" w14:textId="77777777" w:rsidTr="00782605">
        <w:trPr>
          <w:trHeight w:val="340"/>
          <w:jc w:val="center"/>
        </w:trPr>
        <w:tc>
          <w:tcPr>
            <w:tcW w:w="496" w:type="pct"/>
            <w:tcBorders>
              <w:top w:val="nil"/>
              <w:left w:val="nil"/>
              <w:bottom w:val="nil"/>
              <w:right w:val="nil"/>
            </w:tcBorders>
          </w:tcPr>
          <w:p w14:paraId="478B68C0" w14:textId="7777777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2022-23</w:t>
            </w:r>
          </w:p>
        </w:tc>
        <w:tc>
          <w:tcPr>
            <w:tcW w:w="603" w:type="pct"/>
            <w:tcBorders>
              <w:top w:val="nil"/>
              <w:left w:val="nil"/>
              <w:bottom w:val="nil"/>
              <w:right w:val="nil"/>
            </w:tcBorders>
          </w:tcPr>
          <w:p w14:paraId="4A3E7B5F" w14:textId="7777777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187,600</w:t>
            </w:r>
          </w:p>
        </w:tc>
        <w:tc>
          <w:tcPr>
            <w:tcW w:w="707" w:type="pct"/>
            <w:tcBorders>
              <w:top w:val="nil"/>
              <w:left w:val="nil"/>
              <w:bottom w:val="nil"/>
              <w:right w:val="nil"/>
            </w:tcBorders>
          </w:tcPr>
          <w:p w14:paraId="5A0FBB62" w14:textId="7777777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22/12/2022</w:t>
            </w:r>
          </w:p>
        </w:tc>
        <w:tc>
          <w:tcPr>
            <w:tcW w:w="943" w:type="pct"/>
            <w:tcBorders>
              <w:top w:val="nil"/>
              <w:left w:val="nil"/>
              <w:bottom w:val="nil"/>
              <w:right w:val="nil"/>
            </w:tcBorders>
          </w:tcPr>
          <w:p w14:paraId="28949092" w14:textId="7777777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Early spring–early autumn</w:t>
            </w:r>
          </w:p>
        </w:tc>
        <w:tc>
          <w:tcPr>
            <w:tcW w:w="472" w:type="pct"/>
            <w:tcBorders>
              <w:top w:val="nil"/>
              <w:left w:val="nil"/>
              <w:bottom w:val="nil"/>
              <w:right w:val="nil"/>
            </w:tcBorders>
          </w:tcPr>
          <w:p w14:paraId="667AEF14" w14:textId="7CFC0F76"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365 d</w:t>
            </w:r>
          </w:p>
        </w:tc>
        <w:tc>
          <w:tcPr>
            <w:tcW w:w="393" w:type="pct"/>
            <w:tcBorders>
              <w:top w:val="nil"/>
              <w:left w:val="nil"/>
              <w:bottom w:val="nil"/>
              <w:right w:val="nil"/>
            </w:tcBorders>
          </w:tcPr>
          <w:p w14:paraId="1532BB65" w14:textId="6ABCFA38"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3</w:t>
            </w:r>
            <w:r w:rsidR="00631CB5" w:rsidRPr="00782605">
              <w:rPr>
                <w:rFonts w:cs="Calibri"/>
                <w:color w:val="auto"/>
                <w:sz w:val="18"/>
                <w:szCs w:val="18"/>
              </w:rPr>
              <w:t>21</w:t>
            </w:r>
            <w:r w:rsidRPr="00782605">
              <w:rPr>
                <w:rFonts w:cs="Calibri"/>
                <w:color w:val="auto"/>
                <w:sz w:val="18"/>
                <w:szCs w:val="18"/>
              </w:rPr>
              <w:t xml:space="preserve"> d</w:t>
            </w:r>
          </w:p>
        </w:tc>
        <w:tc>
          <w:tcPr>
            <w:tcW w:w="471" w:type="pct"/>
            <w:tcBorders>
              <w:top w:val="nil"/>
              <w:left w:val="nil"/>
              <w:bottom w:val="nil"/>
              <w:right w:val="nil"/>
            </w:tcBorders>
          </w:tcPr>
          <w:p w14:paraId="6A467C8E" w14:textId="6D16FE11" w:rsidR="002849E2" w:rsidRPr="00782605" w:rsidRDefault="00631CB5" w:rsidP="00D57552">
            <w:pPr>
              <w:spacing w:before="60" w:after="60" w:line="240" w:lineRule="auto"/>
              <w:jc w:val="center"/>
              <w:rPr>
                <w:rFonts w:cs="Calibri"/>
                <w:color w:val="auto"/>
                <w:sz w:val="18"/>
                <w:szCs w:val="18"/>
              </w:rPr>
            </w:pPr>
            <w:r w:rsidRPr="00782605">
              <w:rPr>
                <w:rFonts w:cs="Calibri"/>
                <w:color w:val="auto"/>
                <w:sz w:val="18"/>
                <w:szCs w:val="18"/>
              </w:rPr>
              <w:t>312 d</w:t>
            </w:r>
          </w:p>
        </w:tc>
        <w:tc>
          <w:tcPr>
            <w:tcW w:w="471" w:type="pct"/>
            <w:tcBorders>
              <w:top w:val="nil"/>
              <w:left w:val="nil"/>
              <w:bottom w:val="nil"/>
              <w:right w:val="nil"/>
            </w:tcBorders>
          </w:tcPr>
          <w:p w14:paraId="564BBF19" w14:textId="741993EA"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2</w:t>
            </w:r>
            <w:r w:rsidR="00631CB5" w:rsidRPr="00782605">
              <w:rPr>
                <w:rFonts w:cs="Calibri"/>
                <w:color w:val="auto"/>
                <w:sz w:val="18"/>
                <w:szCs w:val="18"/>
              </w:rPr>
              <w:t>67</w:t>
            </w:r>
            <w:r w:rsidRPr="00782605">
              <w:rPr>
                <w:rFonts w:cs="Calibri"/>
                <w:color w:val="auto"/>
                <w:sz w:val="18"/>
                <w:szCs w:val="18"/>
              </w:rPr>
              <w:t xml:space="preserve"> d</w:t>
            </w:r>
          </w:p>
        </w:tc>
        <w:tc>
          <w:tcPr>
            <w:tcW w:w="444" w:type="pct"/>
            <w:tcBorders>
              <w:top w:val="nil"/>
              <w:left w:val="nil"/>
              <w:bottom w:val="nil"/>
              <w:right w:val="nil"/>
            </w:tcBorders>
          </w:tcPr>
          <w:p w14:paraId="32EEFEC5" w14:textId="51092B44" w:rsidR="002849E2" w:rsidRPr="00782605" w:rsidRDefault="00631CB5" w:rsidP="00D57552">
            <w:pPr>
              <w:spacing w:before="60" w:after="60" w:line="240" w:lineRule="auto"/>
              <w:jc w:val="center"/>
              <w:rPr>
                <w:rFonts w:cs="Calibri"/>
                <w:color w:val="auto"/>
                <w:sz w:val="18"/>
                <w:szCs w:val="18"/>
              </w:rPr>
            </w:pPr>
            <w:r w:rsidRPr="00782605">
              <w:rPr>
                <w:rFonts w:cs="Calibri"/>
                <w:color w:val="auto"/>
                <w:sz w:val="18"/>
                <w:szCs w:val="18"/>
              </w:rPr>
              <w:t>161</w:t>
            </w:r>
            <w:r w:rsidR="002849E2" w:rsidRPr="00782605">
              <w:rPr>
                <w:rFonts w:cs="Calibri"/>
                <w:color w:val="auto"/>
                <w:sz w:val="18"/>
                <w:szCs w:val="18"/>
              </w:rPr>
              <w:t xml:space="preserve"> d</w:t>
            </w:r>
          </w:p>
        </w:tc>
      </w:tr>
      <w:tr w:rsidR="00782605" w:rsidRPr="005E0213" w14:paraId="36D52912" w14:textId="77777777" w:rsidTr="00782605">
        <w:trPr>
          <w:trHeight w:val="340"/>
          <w:jc w:val="center"/>
        </w:trPr>
        <w:tc>
          <w:tcPr>
            <w:tcW w:w="496" w:type="pct"/>
            <w:tcBorders>
              <w:top w:val="nil"/>
              <w:left w:val="nil"/>
              <w:bottom w:val="single" w:sz="4" w:space="0" w:color="auto"/>
              <w:right w:val="nil"/>
            </w:tcBorders>
          </w:tcPr>
          <w:p w14:paraId="32FD4D04" w14:textId="7777777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2023-24</w:t>
            </w:r>
          </w:p>
        </w:tc>
        <w:tc>
          <w:tcPr>
            <w:tcW w:w="603" w:type="pct"/>
            <w:tcBorders>
              <w:top w:val="nil"/>
              <w:left w:val="nil"/>
              <w:bottom w:val="single" w:sz="4" w:space="0" w:color="auto"/>
              <w:right w:val="nil"/>
            </w:tcBorders>
          </w:tcPr>
          <w:p w14:paraId="3A806EEA" w14:textId="6C17EF26" w:rsidR="002849E2" w:rsidRPr="00782605" w:rsidRDefault="00EB3B8C" w:rsidP="00D57552">
            <w:pPr>
              <w:spacing w:before="60" w:after="60" w:line="240" w:lineRule="auto"/>
              <w:jc w:val="center"/>
              <w:rPr>
                <w:rFonts w:cs="Calibri"/>
                <w:color w:val="auto"/>
                <w:sz w:val="18"/>
                <w:szCs w:val="18"/>
              </w:rPr>
            </w:pPr>
            <w:r>
              <w:rPr>
                <w:rFonts w:cs="Calibri"/>
                <w:color w:val="auto"/>
                <w:sz w:val="18"/>
                <w:szCs w:val="18"/>
              </w:rPr>
              <w:t>29,000</w:t>
            </w:r>
          </w:p>
        </w:tc>
        <w:tc>
          <w:tcPr>
            <w:tcW w:w="707" w:type="pct"/>
            <w:tcBorders>
              <w:top w:val="nil"/>
              <w:left w:val="nil"/>
              <w:bottom w:val="single" w:sz="4" w:space="0" w:color="auto"/>
              <w:right w:val="nil"/>
            </w:tcBorders>
          </w:tcPr>
          <w:p w14:paraId="6C2BE664" w14:textId="7777777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5/09/2023</w:t>
            </w:r>
          </w:p>
        </w:tc>
        <w:tc>
          <w:tcPr>
            <w:tcW w:w="943" w:type="pct"/>
            <w:tcBorders>
              <w:top w:val="nil"/>
              <w:left w:val="nil"/>
              <w:bottom w:val="single" w:sz="4" w:space="0" w:color="auto"/>
              <w:right w:val="nil"/>
            </w:tcBorders>
          </w:tcPr>
          <w:p w14:paraId="6B326CEE" w14:textId="7777777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Late winter–early spring</w:t>
            </w:r>
          </w:p>
        </w:tc>
        <w:tc>
          <w:tcPr>
            <w:tcW w:w="472" w:type="pct"/>
            <w:tcBorders>
              <w:top w:val="nil"/>
              <w:left w:val="nil"/>
              <w:bottom w:val="single" w:sz="4" w:space="0" w:color="auto"/>
              <w:right w:val="nil"/>
            </w:tcBorders>
          </w:tcPr>
          <w:p w14:paraId="0889E82A" w14:textId="57C8ACD9" w:rsidR="002849E2" w:rsidRPr="00782605" w:rsidRDefault="00F061E0" w:rsidP="00D57552">
            <w:pPr>
              <w:spacing w:before="60" w:after="60" w:line="240" w:lineRule="auto"/>
              <w:jc w:val="center"/>
              <w:rPr>
                <w:rFonts w:cs="Calibri"/>
                <w:color w:val="auto"/>
                <w:sz w:val="18"/>
                <w:szCs w:val="18"/>
              </w:rPr>
            </w:pPr>
            <w:r w:rsidRPr="00782605">
              <w:rPr>
                <w:rFonts w:cs="Calibri"/>
                <w:color w:val="auto"/>
                <w:sz w:val="18"/>
                <w:szCs w:val="18"/>
              </w:rPr>
              <w:t>172</w:t>
            </w:r>
            <w:r w:rsidR="002849E2" w:rsidRPr="00782605">
              <w:rPr>
                <w:rFonts w:cs="Calibri"/>
                <w:color w:val="auto"/>
                <w:sz w:val="18"/>
                <w:szCs w:val="18"/>
              </w:rPr>
              <w:t xml:space="preserve"> d</w:t>
            </w:r>
          </w:p>
        </w:tc>
        <w:tc>
          <w:tcPr>
            <w:tcW w:w="393" w:type="pct"/>
            <w:tcBorders>
              <w:top w:val="nil"/>
              <w:left w:val="nil"/>
              <w:bottom w:val="single" w:sz="4" w:space="0" w:color="auto"/>
              <w:right w:val="nil"/>
            </w:tcBorders>
          </w:tcPr>
          <w:p w14:paraId="2D9C56EB" w14:textId="205710AE"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1</w:t>
            </w:r>
            <w:r w:rsidR="00F061E0" w:rsidRPr="00782605">
              <w:rPr>
                <w:rFonts w:cs="Calibri"/>
                <w:color w:val="auto"/>
                <w:sz w:val="18"/>
                <w:szCs w:val="18"/>
              </w:rPr>
              <w:t>66</w:t>
            </w:r>
            <w:r w:rsidRPr="00782605">
              <w:rPr>
                <w:rFonts w:cs="Calibri"/>
                <w:color w:val="auto"/>
                <w:sz w:val="18"/>
                <w:szCs w:val="18"/>
              </w:rPr>
              <w:t xml:space="preserve"> d</w:t>
            </w:r>
          </w:p>
        </w:tc>
        <w:tc>
          <w:tcPr>
            <w:tcW w:w="471" w:type="pct"/>
            <w:tcBorders>
              <w:top w:val="nil"/>
              <w:left w:val="nil"/>
              <w:bottom w:val="single" w:sz="4" w:space="0" w:color="auto"/>
              <w:right w:val="nil"/>
            </w:tcBorders>
          </w:tcPr>
          <w:p w14:paraId="0C6839EB" w14:textId="7C38A417" w:rsidR="002849E2" w:rsidRPr="00782605" w:rsidRDefault="00F061E0" w:rsidP="00D57552">
            <w:pPr>
              <w:spacing w:before="60" w:after="60" w:line="240" w:lineRule="auto"/>
              <w:jc w:val="center"/>
              <w:rPr>
                <w:rFonts w:cs="Calibri"/>
                <w:color w:val="auto"/>
                <w:sz w:val="18"/>
                <w:szCs w:val="18"/>
              </w:rPr>
            </w:pPr>
            <w:r w:rsidRPr="00782605">
              <w:rPr>
                <w:rFonts w:cs="Calibri"/>
                <w:color w:val="auto"/>
                <w:sz w:val="18"/>
                <w:szCs w:val="18"/>
              </w:rPr>
              <w:t>148 d</w:t>
            </w:r>
          </w:p>
        </w:tc>
        <w:tc>
          <w:tcPr>
            <w:tcW w:w="471" w:type="pct"/>
            <w:tcBorders>
              <w:top w:val="nil"/>
              <w:left w:val="nil"/>
              <w:bottom w:val="single" w:sz="4" w:space="0" w:color="auto"/>
              <w:right w:val="nil"/>
            </w:tcBorders>
          </w:tcPr>
          <w:p w14:paraId="61BF5008" w14:textId="598C98E7"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80 d</w:t>
            </w:r>
          </w:p>
        </w:tc>
        <w:tc>
          <w:tcPr>
            <w:tcW w:w="444" w:type="pct"/>
            <w:tcBorders>
              <w:top w:val="nil"/>
              <w:left w:val="nil"/>
              <w:bottom w:val="single" w:sz="4" w:space="0" w:color="auto"/>
              <w:right w:val="nil"/>
            </w:tcBorders>
          </w:tcPr>
          <w:p w14:paraId="036E3ADF" w14:textId="01D2C4D1" w:rsidR="002849E2" w:rsidRPr="00782605" w:rsidRDefault="002849E2" w:rsidP="00D57552">
            <w:pPr>
              <w:spacing w:before="60" w:after="60" w:line="240" w:lineRule="auto"/>
              <w:jc w:val="center"/>
              <w:rPr>
                <w:rFonts w:cs="Calibri"/>
                <w:color w:val="auto"/>
                <w:sz w:val="18"/>
                <w:szCs w:val="18"/>
              </w:rPr>
            </w:pPr>
            <w:r w:rsidRPr="00782605">
              <w:rPr>
                <w:rFonts w:cs="Calibri"/>
                <w:color w:val="auto"/>
                <w:sz w:val="18"/>
                <w:szCs w:val="18"/>
              </w:rPr>
              <w:t>38 d</w:t>
            </w:r>
          </w:p>
        </w:tc>
      </w:tr>
    </w:tbl>
    <w:p w14:paraId="2A9569E3" w14:textId="77777777" w:rsidR="00D06348" w:rsidRDefault="00D06348" w:rsidP="00D06348"/>
    <w:p w14:paraId="02BCD1F9" w14:textId="77777777" w:rsidR="00D06348" w:rsidRPr="00562320" w:rsidRDefault="00D06348" w:rsidP="00D06348">
      <w:pPr>
        <w:rPr>
          <w:b/>
          <w:bCs/>
          <w:i/>
          <w:iCs/>
        </w:rPr>
      </w:pPr>
      <w:r w:rsidRPr="00562320">
        <w:rPr>
          <w:b/>
          <w:bCs/>
          <w:i/>
          <w:iCs/>
        </w:rPr>
        <w:t>Restoring riverine hydraulics</w:t>
      </w:r>
    </w:p>
    <w:p w14:paraId="20CFE638" w14:textId="4F8A2535" w:rsidR="00D06348" w:rsidRPr="00562320" w:rsidRDefault="00D06348" w:rsidP="00D06348">
      <w:r w:rsidRPr="00562320">
        <w:t>Improving riverine hydraulics (e.g. water velocity and turbulence) is fundamental for ecological restoration in the LMR. Flows of &gt;20,000 ML/d can significantly improve hydraulic conditions, by transforming &gt;</w:t>
      </w:r>
      <w:r w:rsidR="006300AD">
        <w:t>6</w:t>
      </w:r>
      <w:r w:rsidRPr="00562320">
        <w:t>0% of a weir pool from lentic (slower flowing water, median velocities ≤0.3 m/s) to lotic habitat (faster flowing water, &gt;0.3 m/s) (</w:t>
      </w:r>
      <w:r w:rsidR="006F6A77">
        <w:rPr>
          <w:highlight w:val="yellow"/>
        </w:rPr>
        <w:fldChar w:fldCharType="begin"/>
      </w:r>
      <w:r w:rsidR="006F6A77">
        <w:instrText xml:space="preserve"> REF _Ref185589335 \h </w:instrText>
      </w:r>
      <w:r w:rsidR="006F6A77">
        <w:rPr>
          <w:highlight w:val="yellow"/>
        </w:rPr>
      </w:r>
      <w:r w:rsidR="006F6A77">
        <w:rPr>
          <w:highlight w:val="yellow"/>
        </w:rPr>
        <w:fldChar w:fldCharType="separate"/>
      </w:r>
      <w:r w:rsidR="00102828">
        <w:t xml:space="preserve">Figure </w:t>
      </w:r>
      <w:r w:rsidR="00102828">
        <w:rPr>
          <w:noProof/>
        </w:rPr>
        <w:t>11</w:t>
      </w:r>
      <w:r w:rsidR="006F6A77">
        <w:rPr>
          <w:highlight w:val="yellow"/>
        </w:rPr>
        <w:fldChar w:fldCharType="end"/>
      </w:r>
      <w:r w:rsidRPr="00562320">
        <w:t xml:space="preserve">). Restoring such hydrodynamic conditions will promote riverine ecological processes and support the rehabilitation of many declining biota that are adapted to a flowing environment in the LMR (Mallen-Cooper and Zampatti 2017). Pre-regulation, the LMR was characterised by lotic, riverine habitats, with water velocities ranging ~0.2–0.5 m/s, even at flows &lt;10,000 ML/d (Bice </w:t>
      </w:r>
      <w:r w:rsidRPr="00562320">
        <w:rPr>
          <w:i/>
          <w:iCs/>
        </w:rPr>
        <w:t>et al.</w:t>
      </w:r>
      <w:r w:rsidRPr="00562320">
        <w:t xml:space="preserve"> 2017). With limited volumes of environmental water, infrastructure management such as weir pool lowering could be considered to complement flows to achieve hydraulic restoration in this region. Modelling indicates a substantial hydrodynamic impact by weirs in the LMR, and the improvements in lotic habitat from weir pool lowering is </w:t>
      </w:r>
      <w:r w:rsidR="006D7C27" w:rsidRPr="006D7C27">
        <w:t>commensurate</w:t>
      </w:r>
      <w:r w:rsidRPr="00562320">
        <w:t xml:space="preserve"> with the size of lowering across multiple weir pools. A Weir Pool Operations Plan has been developed for Lock 1 to 6 (Muller and Creeper 2021) and small weir pool lowering within the operational range have been undertaken in recent years including </w:t>
      </w:r>
      <w:r>
        <w:t xml:space="preserve">2021-22 and 2023-24 </w:t>
      </w:r>
      <w:r w:rsidRPr="00562320">
        <w:t xml:space="preserve">(Appendix B).  </w:t>
      </w:r>
    </w:p>
    <w:p w14:paraId="3837B694" w14:textId="77777777" w:rsidR="005E2636" w:rsidRDefault="005E2636">
      <w:pPr>
        <w:spacing w:before="0" w:after="160" w:line="259" w:lineRule="auto"/>
        <w:jc w:val="left"/>
        <w:rPr>
          <w:b/>
          <w:bCs/>
          <w:i/>
          <w:iCs/>
        </w:rPr>
      </w:pPr>
      <w:r>
        <w:rPr>
          <w:b/>
          <w:bCs/>
          <w:i/>
          <w:iCs/>
        </w:rPr>
        <w:br w:type="page"/>
      </w:r>
    </w:p>
    <w:p w14:paraId="62BFC4FD" w14:textId="7B319540" w:rsidR="00D06348" w:rsidRPr="009F0999" w:rsidRDefault="00D06348" w:rsidP="00D06348">
      <w:pPr>
        <w:rPr>
          <w:b/>
          <w:bCs/>
          <w:i/>
          <w:iCs/>
        </w:rPr>
      </w:pPr>
      <w:r w:rsidRPr="009F0999">
        <w:rPr>
          <w:b/>
          <w:bCs/>
          <w:i/>
          <w:iCs/>
        </w:rPr>
        <w:lastRenderedPageBreak/>
        <w:t>Longitudinal and lateral connectivity</w:t>
      </w:r>
    </w:p>
    <w:p w14:paraId="71F51C29" w14:textId="2235CAE1" w:rsidR="00D06348" w:rsidRDefault="00D06348" w:rsidP="00D06348">
      <w:pPr>
        <w:rPr>
          <w:b/>
          <w:bCs/>
          <w:i/>
          <w:iCs/>
        </w:rPr>
      </w:pPr>
      <w:r w:rsidRPr="009F0999">
        <w:t xml:space="preserve">Overall, </w:t>
      </w:r>
      <w:r>
        <w:t>increased</w:t>
      </w:r>
      <w:r w:rsidRPr="009F0999">
        <w:t xml:space="preserve"> longitudinal and lateral connectivity will enhance productivity in the LMR through increased carbon and nutrient inputs and matter transport.</w:t>
      </w:r>
      <w:r>
        <w:t xml:space="preserve"> This was reflected by the high dissolved organic carbon and nutrient concentrations, and density and diversity of microinvertebrates observed in 2022-23, during the third highest flood on record.</w:t>
      </w:r>
      <w:r w:rsidRPr="009F0999">
        <w:t xml:space="preserve"> </w:t>
      </w:r>
      <w:r>
        <w:t>For below bankfull</w:t>
      </w:r>
      <w:r w:rsidRPr="00AB0723">
        <w:t xml:space="preserve"> flows</w:t>
      </w:r>
      <w:r>
        <w:t>,</w:t>
      </w:r>
      <w:r w:rsidRPr="00AB0723">
        <w:t xml:space="preserve"> increase</w:t>
      </w:r>
      <w:r>
        <w:t>s in flow</w:t>
      </w:r>
      <w:r w:rsidRPr="00AB0723">
        <w:t xml:space="preserve"> to 18,000</w:t>
      </w:r>
      <w:r>
        <w:t>–</w:t>
      </w:r>
      <w:r w:rsidRPr="00AB0723">
        <w:t>35,000</w:t>
      </w:r>
      <w:r>
        <w:t> </w:t>
      </w:r>
      <w:r w:rsidRPr="00AB0723">
        <w:t>ML/d</w:t>
      </w:r>
      <w:r>
        <w:t xml:space="preserve"> can result in</w:t>
      </w:r>
      <w:r w:rsidRPr="00AB0723">
        <w:t xml:space="preserve"> a step</w:t>
      </w:r>
      <w:r>
        <w:t>-</w:t>
      </w:r>
      <w:r w:rsidRPr="00AB0723">
        <w:t xml:space="preserve">change increase </w:t>
      </w:r>
      <w:r>
        <w:t>(+45–80%) in dissolved nutrients</w:t>
      </w:r>
      <w:r w:rsidRPr="00AB0723">
        <w:t xml:space="preserve"> due to interaction with </w:t>
      </w:r>
      <w:r w:rsidR="00917D00">
        <w:t xml:space="preserve">the littoral zone and </w:t>
      </w:r>
      <w:r w:rsidRPr="00AB0723">
        <w:t>low</w:t>
      </w:r>
      <w:r w:rsidR="00917D00">
        <w:t>-</w:t>
      </w:r>
      <w:r w:rsidRPr="00AB0723">
        <w:t xml:space="preserve">level floodplains. </w:t>
      </w:r>
      <w:r w:rsidRPr="009F0999">
        <w:t xml:space="preserve">Water delivery, in conjunction with weir pool manipulation, </w:t>
      </w:r>
      <w:r w:rsidR="00917D00">
        <w:t>can</w:t>
      </w:r>
      <w:r w:rsidR="00917D00" w:rsidRPr="009F0999">
        <w:t xml:space="preserve"> </w:t>
      </w:r>
      <w:r w:rsidRPr="009F0999">
        <w:t xml:space="preserve">promote </w:t>
      </w:r>
      <w:r w:rsidR="00917D00">
        <w:t>greater</w:t>
      </w:r>
      <w:r w:rsidRPr="009F0999">
        <w:t xml:space="preserve"> water level variability </w:t>
      </w:r>
      <w:r w:rsidR="00917D00">
        <w:t>and potentially enhance</w:t>
      </w:r>
      <w:r w:rsidRPr="009F0999">
        <w:t xml:space="preserve"> in-channel productivity</w:t>
      </w:r>
      <w:r w:rsidRPr="009F0999">
        <w:rPr>
          <w:szCs w:val="21"/>
          <w:lang w:eastAsia="en-AU"/>
        </w:rPr>
        <w:t xml:space="preserve">. </w:t>
      </w:r>
      <w:bookmarkStart w:id="580" w:name="_Hlk97111842"/>
      <w:r w:rsidRPr="009F0999">
        <w:rPr>
          <w:szCs w:val="21"/>
          <w:lang w:eastAsia="en-AU"/>
        </w:rPr>
        <w:t xml:space="preserve">Increasing water level variability may also improve </w:t>
      </w:r>
      <w:r w:rsidR="00FE4CD1">
        <w:rPr>
          <w:szCs w:val="21"/>
          <w:lang w:eastAsia="en-AU"/>
        </w:rPr>
        <w:t xml:space="preserve">abundance and diversity of </w:t>
      </w:r>
      <w:r w:rsidRPr="009F0999">
        <w:rPr>
          <w:szCs w:val="21"/>
          <w:lang w:eastAsia="en-AU"/>
        </w:rPr>
        <w:t xml:space="preserve">seed banks and thus the resilience of littoral vegetation, noting the seed bank is currently depauperate in the LMR (Ye </w:t>
      </w:r>
      <w:r w:rsidRPr="009F0999">
        <w:rPr>
          <w:i/>
          <w:iCs/>
          <w:szCs w:val="21"/>
          <w:lang w:eastAsia="en-AU"/>
        </w:rPr>
        <w:t>et al.</w:t>
      </w:r>
      <w:r w:rsidRPr="009F0999">
        <w:rPr>
          <w:szCs w:val="21"/>
          <w:lang w:eastAsia="en-AU"/>
        </w:rPr>
        <w:t xml:space="preserve"> 2022).</w:t>
      </w:r>
      <w:bookmarkEnd w:id="580"/>
      <w:r w:rsidRPr="009F0999">
        <w:rPr>
          <w:szCs w:val="21"/>
          <w:lang w:eastAsia="en-AU"/>
        </w:rPr>
        <w:t xml:space="preserve"> Furthermore, flow management to increase connection and inundation of littoral habitats, wetlands and floodplain, and provide return flows to the main channel, may enhance food subsidy for riverine species via mobilising microinvertebrates. </w:t>
      </w:r>
      <w:r w:rsidR="00917D00">
        <w:rPr>
          <w:szCs w:val="21"/>
          <w:lang w:eastAsia="en-AU"/>
        </w:rPr>
        <w:t>S</w:t>
      </w:r>
      <w:r w:rsidRPr="009F0999">
        <w:rPr>
          <w:szCs w:val="21"/>
          <w:lang w:eastAsia="en-AU"/>
        </w:rPr>
        <w:t xml:space="preserve">low flowing slackwaters in littoral and off-channel habitats provide a conducive environment for the reproduction of microcrustaceans, which have been reported as the main prey for large-bodied native fish larvae (e.g. Murray cod, golden perch). A flow regime that promotes the delivery of abundant prey during and following the reproductive season of these fish species, along with favourable hydraulic conditions, </w:t>
      </w:r>
      <w:r>
        <w:rPr>
          <w:szCs w:val="21"/>
          <w:lang w:eastAsia="en-AU"/>
        </w:rPr>
        <w:t>could support</w:t>
      </w:r>
      <w:r w:rsidRPr="009F0999">
        <w:rPr>
          <w:szCs w:val="21"/>
          <w:lang w:eastAsia="en-AU"/>
        </w:rPr>
        <w:t xml:space="preserve"> their recruitment. Furthermore, l</w:t>
      </w:r>
      <w:r w:rsidRPr="009F0999">
        <w:t xml:space="preserve">ongitudinal connectivity of river flow is important for the transport and dispersal of aquatic biota (e.g. microinvertebrates, larvae of flow-cued spawning fish) to and throughout the LMR, which can be supported by environmental water delivery. As demonstrated by LTIM and </w:t>
      </w:r>
      <w:r>
        <w:t>Flow-</w:t>
      </w:r>
      <w:r w:rsidRPr="009F0999">
        <w:t xml:space="preserve">MER, downstream transport of microinvertebrates increased species diversity and/or abundance in the LMR. These increases likely contributed to improved productivity and community resilience in the LMR, which is important for aquatic food webs. </w:t>
      </w:r>
    </w:p>
    <w:p w14:paraId="63465391" w14:textId="77777777" w:rsidR="00D06348" w:rsidRPr="009F0999" w:rsidRDefault="00D06348" w:rsidP="00D06348">
      <w:pPr>
        <w:rPr>
          <w:b/>
          <w:bCs/>
          <w:i/>
          <w:iCs/>
        </w:rPr>
      </w:pPr>
      <w:r w:rsidRPr="009F0999">
        <w:rPr>
          <w:b/>
          <w:bCs/>
          <w:i/>
          <w:iCs/>
        </w:rPr>
        <w:t>Flow integrity</w:t>
      </w:r>
    </w:p>
    <w:p w14:paraId="1C00D97D" w14:textId="77777777" w:rsidR="00D06348" w:rsidRPr="00B7457A" w:rsidRDefault="00D06348" w:rsidP="00D06348">
      <w:pPr>
        <w:rPr>
          <w:b/>
          <w:bCs/>
          <w:i/>
          <w:iCs/>
        </w:rPr>
      </w:pPr>
      <w:r w:rsidRPr="009F0999">
        <w:t>Managing environmental water releases across broad ‘riverscape’ scales is critical not only to achiev</w:t>
      </w:r>
      <w:r>
        <w:t>e</w:t>
      </w:r>
      <w:r w:rsidRPr="009F0999">
        <w:t xml:space="preserve"> desired flow volumes in the LMR, but also consider the effects on water quality and the transport of biota. Indeed, water quality (e.g. turbidity, DOC, the amount and form of nutrients) and entrained biota (e.g. plankton, fish larvae/juveniles) may vary from different sources of water (dependent on ecological processes occurring at those sources), therefore, influencing ecological outcomes (e.g. microinvertebrate assemblage composition, recruitment of golden perch or silver perch) in downstream ecosystems in the LMR. Consequently, </w:t>
      </w:r>
      <w:r w:rsidRPr="009F0999">
        <w:rPr>
          <w:rFonts w:cs="Arial"/>
          <w:szCs w:val="22"/>
        </w:rPr>
        <w:t>m</w:t>
      </w:r>
      <w:r w:rsidRPr="009F0999">
        <w:t xml:space="preserve">aintaining flow integrity </w:t>
      </w:r>
      <w:r w:rsidRPr="009F0999">
        <w:rPr>
          <w:szCs w:val="21"/>
        </w:rPr>
        <w:t xml:space="preserve">(i.e. flow characteristics including volume, water quality and constituents) </w:t>
      </w:r>
      <w:r w:rsidRPr="009F0999">
        <w:t xml:space="preserve">from upstream (e.g. Darling River or mid-Murray) to the LMR is important to support broad-scale ecological processes and promote </w:t>
      </w:r>
      <w:r w:rsidRPr="009F0999">
        <w:rPr>
          <w:bCs/>
        </w:rPr>
        <w:t xml:space="preserve">positive outcomes (e.g. improving productivity, supporting spawning and recruitment of flow-dependent fishes). In this regard, consideration for environmental flow management needs to include: (1) maintaining </w:t>
      </w:r>
      <w:r w:rsidRPr="009F0999">
        <w:t xml:space="preserve">hydrological integrity (i.e. magnitude, variability and source) of flow from upstream; and (2) the potential effects on water quality and biological attributes by river operations that re-route (e.g. through floodplains or wetlands) or fragment the flow (e.g. by diversions or water storages), which could lead to changes in </w:t>
      </w:r>
      <w:r w:rsidRPr="00B7457A">
        <w:t xml:space="preserve">ecological response and the structure and function of aquatic food webs. </w:t>
      </w:r>
    </w:p>
    <w:p w14:paraId="2B25FAA7" w14:textId="77777777" w:rsidR="00651FCC" w:rsidRDefault="00651FCC" w:rsidP="00D06348">
      <w:pPr>
        <w:rPr>
          <w:b/>
          <w:bCs/>
          <w:i/>
          <w:iCs/>
        </w:rPr>
      </w:pPr>
    </w:p>
    <w:p w14:paraId="67A454E4" w14:textId="53883354" w:rsidR="00D06348" w:rsidRPr="00B7457A" w:rsidRDefault="00D06348" w:rsidP="00D06348">
      <w:pPr>
        <w:rPr>
          <w:b/>
          <w:bCs/>
          <w:i/>
          <w:iCs/>
        </w:rPr>
      </w:pPr>
      <w:r w:rsidRPr="00B7457A">
        <w:rPr>
          <w:b/>
          <w:bCs/>
          <w:i/>
          <w:iCs/>
        </w:rPr>
        <w:lastRenderedPageBreak/>
        <w:t>Barrage flows</w:t>
      </w:r>
    </w:p>
    <w:p w14:paraId="49A0D468" w14:textId="0B61786B" w:rsidR="0017553E" w:rsidRPr="003C1531" w:rsidRDefault="00D06348" w:rsidP="00D06348">
      <w:pPr>
        <w:rPr>
          <w:szCs w:val="21"/>
        </w:rPr>
      </w:pPr>
      <w:r w:rsidRPr="00B7457A">
        <w:rPr>
          <w:szCs w:val="21"/>
        </w:rPr>
        <w:t>Commonwealth environmental water is pivotal</w:t>
      </w:r>
      <w:r>
        <w:rPr>
          <w:szCs w:val="21"/>
        </w:rPr>
        <w:t>, particularly during dry years,</w:t>
      </w:r>
      <w:r w:rsidRPr="00B7457A">
        <w:rPr>
          <w:szCs w:val="21"/>
        </w:rPr>
        <w:t xml:space="preserve"> in maintaining barrage flows and end-of-system connectivity to support a functioning river system and species’ life history processes (e.g. migration/recruitment of diadromous and estuarine-dependent fishes). Barrage flows increase salt export out of the Basin, contributing to the Basin Plan salt export objective/target</w:t>
      </w:r>
      <w:r>
        <w:rPr>
          <w:szCs w:val="21"/>
        </w:rPr>
        <w:t xml:space="preserve"> of two million tonnes per year</w:t>
      </w:r>
      <w:r w:rsidRPr="00B7457A">
        <w:rPr>
          <w:szCs w:val="21"/>
        </w:rPr>
        <w:t xml:space="preserve">. They also play an important role in reducing salt import from the ocean into the Coorong and reducing salt flux into the North and South lagoons. Environmental flow through the barrages is required every year for salt reduction in the Coorong and for maintenance of </w:t>
      </w:r>
      <w:r>
        <w:rPr>
          <w:szCs w:val="21"/>
        </w:rPr>
        <w:t xml:space="preserve">estuarine </w:t>
      </w:r>
      <w:r w:rsidRPr="00B7457A">
        <w:rPr>
          <w:szCs w:val="21"/>
        </w:rPr>
        <w:t xml:space="preserve">habitat. </w:t>
      </w:r>
      <w:r>
        <w:rPr>
          <w:szCs w:val="21"/>
        </w:rPr>
        <w:t>Under dry conditions, e</w:t>
      </w:r>
      <w:r w:rsidRPr="00B7457A">
        <w:rPr>
          <w:szCs w:val="21"/>
        </w:rPr>
        <w:t>ven one year without flow through the barrages results in millions of tonnes of salt entering the Coorong and a contraction of fish habitat (</w:t>
      </w:r>
      <w:r>
        <w:rPr>
          <w:szCs w:val="21"/>
        </w:rPr>
        <w:t xml:space="preserve">e.g. </w:t>
      </w:r>
      <w:r w:rsidR="00F90647">
        <w:rPr>
          <w:szCs w:val="21"/>
        </w:rPr>
        <w:t>22</w:t>
      </w:r>
      <w:r w:rsidRPr="00B7457A">
        <w:rPr>
          <w:szCs w:val="21"/>
        </w:rPr>
        <w:t xml:space="preserve">% </w:t>
      </w:r>
      <w:r>
        <w:rPr>
          <w:szCs w:val="21"/>
        </w:rPr>
        <w:t xml:space="preserve">modelled </w:t>
      </w:r>
      <w:r w:rsidRPr="00B7457A">
        <w:rPr>
          <w:szCs w:val="21"/>
        </w:rPr>
        <w:t>reduction of mulloway habitat in 2017-18</w:t>
      </w:r>
      <w:r w:rsidR="00F90647">
        <w:rPr>
          <w:szCs w:val="21"/>
        </w:rPr>
        <w:t xml:space="preserve"> and 2019-20</w:t>
      </w:r>
      <w:r w:rsidRPr="00B7457A">
        <w:rPr>
          <w:szCs w:val="21"/>
        </w:rPr>
        <w:t xml:space="preserve">). Consecutive years of environmental water delivery to this region is essential to support </w:t>
      </w:r>
      <w:r>
        <w:rPr>
          <w:i/>
          <w:iCs/>
          <w:szCs w:val="21"/>
        </w:rPr>
        <w:t>Ruppia tuberosa</w:t>
      </w:r>
      <w:r w:rsidRPr="00B7457A">
        <w:rPr>
          <w:szCs w:val="21"/>
        </w:rPr>
        <w:t xml:space="preserve"> recruitment and maintain ecosystem health. Without </w:t>
      </w:r>
      <w:r>
        <w:rPr>
          <w:szCs w:val="21"/>
        </w:rPr>
        <w:t xml:space="preserve">Commonwealth </w:t>
      </w:r>
      <w:r w:rsidRPr="00B7457A">
        <w:rPr>
          <w:szCs w:val="21"/>
        </w:rPr>
        <w:t>environmental water</w:t>
      </w:r>
      <w:r>
        <w:rPr>
          <w:szCs w:val="21"/>
        </w:rPr>
        <w:t xml:space="preserve"> from 2017-18,  </w:t>
      </w:r>
      <w:r w:rsidRPr="00B7457A">
        <w:rPr>
          <w:szCs w:val="21"/>
        </w:rPr>
        <w:t>extensive reductions of estuarine habitat (</w:t>
      </w:r>
      <w:r>
        <w:rPr>
          <w:szCs w:val="21"/>
        </w:rPr>
        <w:t>47</w:t>
      </w:r>
      <w:r w:rsidRPr="00B7457A">
        <w:rPr>
          <w:szCs w:val="21"/>
        </w:rPr>
        <w:t xml:space="preserve">% for </w:t>
      </w:r>
      <w:r>
        <w:rPr>
          <w:i/>
          <w:iCs/>
          <w:szCs w:val="21"/>
        </w:rPr>
        <w:t>R. tuberosa</w:t>
      </w:r>
      <w:r w:rsidRPr="00B7457A">
        <w:rPr>
          <w:szCs w:val="21"/>
        </w:rPr>
        <w:t xml:space="preserve"> (sexual life-cycle) and up to 5</w:t>
      </w:r>
      <w:r>
        <w:rPr>
          <w:szCs w:val="21"/>
        </w:rPr>
        <w:t>2</w:t>
      </w:r>
      <w:r w:rsidRPr="00B7457A">
        <w:rPr>
          <w:szCs w:val="21"/>
        </w:rPr>
        <w:t xml:space="preserve">% for fish) would have occurred </w:t>
      </w:r>
      <w:r>
        <w:rPr>
          <w:szCs w:val="21"/>
        </w:rPr>
        <w:t>in 2023-24 even after three consecutive years (2021–2024) of high unregulated flows with the 2022-23 being the largest flood year since 1956. This would have led</w:t>
      </w:r>
      <w:r w:rsidRPr="00B7457A">
        <w:rPr>
          <w:szCs w:val="21"/>
        </w:rPr>
        <w:t xml:space="preserve"> to a detrimental impact on the ecological functions and biodiversity in the Coorong. Barrage flows also reduce the risk of Murray Mouth closure. Our work </w:t>
      </w:r>
      <w:r>
        <w:rPr>
          <w:szCs w:val="21"/>
        </w:rPr>
        <w:t xml:space="preserve">reinforces </w:t>
      </w:r>
      <w:r w:rsidRPr="00B7457A">
        <w:rPr>
          <w:szCs w:val="21"/>
        </w:rPr>
        <w:t>the critical role of water for the environment to the maintenance and restoration of the Coorong ecosystem.</w:t>
      </w:r>
      <w:r w:rsidR="0017553E" w:rsidRPr="003C1531">
        <w:rPr>
          <w:szCs w:val="21"/>
        </w:rPr>
        <w:br w:type="page"/>
      </w:r>
    </w:p>
    <w:p w14:paraId="3588A677" w14:textId="7A0E3EBA" w:rsidR="000A65FC" w:rsidRDefault="000A65FC" w:rsidP="00106CC0">
      <w:pPr>
        <w:pStyle w:val="Heading1"/>
      </w:pPr>
      <w:bookmarkStart w:id="581" w:name="_Toc200467870"/>
      <w:r w:rsidRPr="00C757C7">
        <w:lastRenderedPageBreak/>
        <w:t>References</w:t>
      </w:r>
      <w:bookmarkEnd w:id="162"/>
      <w:bookmarkEnd w:id="581"/>
    </w:p>
    <w:p w14:paraId="1DCB00AC" w14:textId="77777777" w:rsidR="006F6A77" w:rsidRPr="0020787B" w:rsidRDefault="006F6A77" w:rsidP="006F6A77">
      <w:pPr>
        <w:rPr>
          <w:color w:val="auto"/>
          <w:lang w:val="en-US"/>
        </w:rPr>
      </w:pPr>
      <w:r w:rsidRPr="0020787B">
        <w:rPr>
          <w:color w:val="auto"/>
          <w:lang w:val="en-US"/>
        </w:rPr>
        <w:t xml:space="preserve">Abernethy, B. and Rutherfurd, I.D. (1998). Where along a river's length will vegetation most effectively stabilise stream banks? </w:t>
      </w:r>
      <w:r w:rsidRPr="0020787B">
        <w:rPr>
          <w:i/>
          <w:iCs/>
          <w:color w:val="auto"/>
          <w:lang w:val="en-US"/>
        </w:rPr>
        <w:t>Geomorphology</w:t>
      </w:r>
      <w:r w:rsidRPr="0020787B">
        <w:rPr>
          <w:color w:val="auto"/>
          <w:lang w:val="en-US"/>
        </w:rPr>
        <w:t xml:space="preserve"> </w:t>
      </w:r>
      <w:r w:rsidRPr="0020787B">
        <w:rPr>
          <w:b/>
          <w:bCs/>
          <w:color w:val="auto"/>
          <w:lang w:val="en-US"/>
        </w:rPr>
        <w:t>23</w:t>
      </w:r>
      <w:r w:rsidRPr="0020787B">
        <w:rPr>
          <w:color w:val="auto"/>
          <w:lang w:val="en-US"/>
        </w:rPr>
        <w:t>, 55–75.</w:t>
      </w:r>
    </w:p>
    <w:p w14:paraId="0FE5898C" w14:textId="77777777" w:rsidR="006F6A77" w:rsidRPr="0020787B" w:rsidRDefault="006F6A77" w:rsidP="006F6A77">
      <w:pPr>
        <w:rPr>
          <w:color w:val="auto"/>
        </w:rPr>
      </w:pPr>
      <w:r w:rsidRPr="0020787B">
        <w:rPr>
          <w:color w:val="auto"/>
        </w:rPr>
        <w:t xml:space="preserve">Adams, S.M. (1999). Ecological Role of Lipids in the Health and Success of Fish Populations. In: </w:t>
      </w:r>
      <w:r w:rsidRPr="0020787B">
        <w:rPr>
          <w:iCs/>
          <w:color w:val="auto"/>
        </w:rPr>
        <w:t>Lipids in Freshwater Ecosystems. Eds.</w:t>
      </w:r>
      <w:r w:rsidRPr="0020787B">
        <w:rPr>
          <w:color w:val="auto"/>
        </w:rPr>
        <w:t xml:space="preserve"> Arts, M.T. and Wainman, B.C. Springer New York: New York, NY.</w:t>
      </w:r>
    </w:p>
    <w:p w14:paraId="73DA8923" w14:textId="77777777" w:rsidR="006F6A77" w:rsidRPr="0020787B" w:rsidRDefault="006F6A77" w:rsidP="006F6A77">
      <w:pPr>
        <w:rPr>
          <w:color w:val="auto"/>
          <w:lang w:val="en-US"/>
        </w:rPr>
      </w:pPr>
      <w:r w:rsidRPr="0020787B">
        <w:rPr>
          <w:color w:val="auto"/>
          <w:lang w:val="en-US"/>
        </w:rPr>
        <w:t xml:space="preserve">Anderson, M.J. and Ter Braak, C.J.F. (2003). Permutation tests for multi-factorial analysis of variance. </w:t>
      </w:r>
      <w:r w:rsidRPr="0020787B">
        <w:rPr>
          <w:i/>
          <w:iCs/>
          <w:color w:val="auto"/>
          <w:lang w:val="en-US"/>
        </w:rPr>
        <w:t>Journal of Statistical Computation and Simulation</w:t>
      </w:r>
      <w:r w:rsidRPr="0020787B">
        <w:rPr>
          <w:color w:val="auto"/>
          <w:lang w:val="en-US"/>
        </w:rPr>
        <w:t xml:space="preserve"> </w:t>
      </w:r>
      <w:r w:rsidRPr="0020787B">
        <w:rPr>
          <w:b/>
          <w:bCs/>
          <w:color w:val="auto"/>
          <w:lang w:val="en-US"/>
        </w:rPr>
        <w:t>73</w:t>
      </w:r>
      <w:r w:rsidRPr="0020787B">
        <w:rPr>
          <w:color w:val="auto"/>
          <w:lang w:val="en-US"/>
        </w:rPr>
        <w:t>, 85–113.</w:t>
      </w:r>
    </w:p>
    <w:p w14:paraId="21CBF648" w14:textId="77777777" w:rsidR="006F6A77" w:rsidRPr="0020787B" w:rsidRDefault="006F6A77" w:rsidP="006F6A77">
      <w:pPr>
        <w:rPr>
          <w:color w:val="auto"/>
          <w:lang w:val="en-US"/>
        </w:rPr>
      </w:pPr>
      <w:r w:rsidRPr="0020787B">
        <w:rPr>
          <w:color w:val="auto"/>
          <w:lang w:val="en-US"/>
        </w:rPr>
        <w:t>Anderson, M.J., Gorley, R.N. and Clarke, K.R. (2008). PERMANOVA+ for PRIMER: guide to software and statistical methods. PRIMER-E, Plymouth, UK.</w:t>
      </w:r>
    </w:p>
    <w:p w14:paraId="28B3F7A8" w14:textId="77777777" w:rsidR="006F6A77" w:rsidRPr="0020787B" w:rsidRDefault="006F6A77" w:rsidP="006F6A77">
      <w:pPr>
        <w:rPr>
          <w:color w:val="auto"/>
          <w:lang w:val="en-US"/>
        </w:rPr>
      </w:pPr>
      <w:r w:rsidRPr="0020787B">
        <w:rPr>
          <w:color w:val="auto"/>
          <w:lang w:val="en-US"/>
        </w:rPr>
        <w:t xml:space="preserve">Bagstad, K.J., Stromberg, J.C. and Lite, S.J. (2005). Response of herbaceous riparian plants to rain and flooding on the San Pedro River, Arizona, USA. </w:t>
      </w:r>
      <w:r w:rsidRPr="0020787B">
        <w:rPr>
          <w:i/>
          <w:iCs/>
          <w:color w:val="auto"/>
          <w:lang w:val="en-US"/>
        </w:rPr>
        <w:t>Wetlands</w:t>
      </w:r>
      <w:r w:rsidRPr="0020787B">
        <w:rPr>
          <w:color w:val="auto"/>
          <w:lang w:val="en-US"/>
        </w:rPr>
        <w:t xml:space="preserve"> </w:t>
      </w:r>
      <w:r w:rsidRPr="0020787B">
        <w:rPr>
          <w:b/>
          <w:bCs/>
          <w:color w:val="auto"/>
          <w:lang w:val="en-US"/>
        </w:rPr>
        <w:t>25</w:t>
      </w:r>
      <w:r w:rsidRPr="0020787B">
        <w:rPr>
          <w:color w:val="auto"/>
          <w:lang w:val="en-US"/>
        </w:rPr>
        <w:t>, 210–223.</w:t>
      </w:r>
    </w:p>
    <w:p w14:paraId="1B30B728" w14:textId="77777777" w:rsidR="006F6A77" w:rsidRPr="0020787B" w:rsidRDefault="006F6A77" w:rsidP="006F6A77">
      <w:pPr>
        <w:rPr>
          <w:color w:val="auto"/>
        </w:rPr>
      </w:pPr>
      <w:r w:rsidRPr="0020787B">
        <w:rPr>
          <w:color w:val="auto"/>
        </w:rPr>
        <w:t xml:space="preserve">Baldwin, D.S., Colloff, M.J., Mitrovic, S.M., Bond, N.R. and Wolfenden, B. (2016). Restoring dissolved organic carbon subsidies from floodplains to lowland river food webs: a role for environmental flows? </w:t>
      </w:r>
      <w:r w:rsidRPr="0020787B">
        <w:rPr>
          <w:i/>
          <w:color w:val="auto"/>
        </w:rPr>
        <w:t>Marine and Freshwater Research</w:t>
      </w:r>
      <w:r w:rsidRPr="0020787B">
        <w:rPr>
          <w:color w:val="auto"/>
        </w:rPr>
        <w:t xml:space="preserve"> </w:t>
      </w:r>
      <w:r w:rsidRPr="0020787B">
        <w:rPr>
          <w:b/>
          <w:color w:val="auto"/>
        </w:rPr>
        <w:t>67</w:t>
      </w:r>
      <w:r w:rsidRPr="0020787B">
        <w:rPr>
          <w:color w:val="auto"/>
        </w:rPr>
        <w:t>, 1387–1399.</w:t>
      </w:r>
    </w:p>
    <w:p w14:paraId="36EF4C2E" w14:textId="77777777" w:rsidR="006F6A77" w:rsidRPr="0020787B" w:rsidRDefault="006F6A77" w:rsidP="006F6A77">
      <w:pPr>
        <w:rPr>
          <w:color w:val="auto"/>
        </w:rPr>
      </w:pPr>
      <w:r w:rsidRPr="0020787B">
        <w:rPr>
          <w:color w:val="auto"/>
        </w:rPr>
        <w:t xml:space="preserve">Baranyi, C., Hein, T., Holarek, C., Keckeis, S. and Schiemer, F. (2002). Zooplankton biomass and community structure in a Danube River floodplain system: effects of hydrology. </w:t>
      </w:r>
      <w:r w:rsidRPr="0020787B">
        <w:rPr>
          <w:i/>
          <w:color w:val="auto"/>
        </w:rPr>
        <w:t>Freshwater Biology</w:t>
      </w:r>
      <w:r w:rsidRPr="0020787B">
        <w:rPr>
          <w:color w:val="auto"/>
        </w:rPr>
        <w:t xml:space="preserve"> </w:t>
      </w:r>
      <w:r w:rsidRPr="0020787B">
        <w:rPr>
          <w:b/>
          <w:color w:val="auto"/>
        </w:rPr>
        <w:t>47</w:t>
      </w:r>
      <w:r w:rsidRPr="0020787B">
        <w:rPr>
          <w:color w:val="auto"/>
        </w:rPr>
        <w:t>, 473–482.</w:t>
      </w:r>
    </w:p>
    <w:p w14:paraId="154A419A" w14:textId="77777777" w:rsidR="006F6A77" w:rsidRPr="0020787B" w:rsidRDefault="006F6A77" w:rsidP="006F6A77">
      <w:pPr>
        <w:rPr>
          <w:color w:val="auto"/>
        </w:rPr>
      </w:pPr>
      <w:r w:rsidRPr="0020787B">
        <w:rPr>
          <w:color w:val="auto"/>
        </w:rPr>
        <w:t>Barker, W.R., Barker, R.M. Jessop, J.P. and Vonow, H.P. (2005). Census of South Australian Vascular Plants. 5.00 edition. Botanic Gardens of Adelaide and State Herbarium, Adelaide.</w:t>
      </w:r>
    </w:p>
    <w:p w14:paraId="5CC36FF5" w14:textId="77777777" w:rsidR="006F6A77" w:rsidRPr="0020787B" w:rsidRDefault="006F6A77" w:rsidP="006F6A77">
      <w:pPr>
        <w:rPr>
          <w:color w:val="auto"/>
        </w:rPr>
      </w:pPr>
      <w:r w:rsidRPr="0020787B">
        <w:rPr>
          <w:color w:val="auto"/>
        </w:rPr>
        <w:t xml:space="preserve">Basu, B.K. and Pick, F.R. (1996). Factors regulating phytoplankton and zooplankton biomass in temperate rivers. </w:t>
      </w:r>
      <w:r w:rsidRPr="0020787B">
        <w:rPr>
          <w:i/>
          <w:iCs/>
          <w:color w:val="auto"/>
        </w:rPr>
        <w:t>Limnology and Oceanography</w:t>
      </w:r>
      <w:r w:rsidRPr="0020787B">
        <w:rPr>
          <w:color w:val="auto"/>
        </w:rPr>
        <w:t xml:space="preserve"> </w:t>
      </w:r>
      <w:r w:rsidRPr="0020787B">
        <w:rPr>
          <w:b/>
          <w:bCs/>
          <w:color w:val="auto"/>
        </w:rPr>
        <w:t>41</w:t>
      </w:r>
      <w:r w:rsidRPr="0020787B">
        <w:rPr>
          <w:color w:val="auto"/>
        </w:rPr>
        <w:t>, 1572–1577.</w:t>
      </w:r>
    </w:p>
    <w:p w14:paraId="50AB00FD" w14:textId="77777777" w:rsidR="006F6A77" w:rsidRPr="0020787B" w:rsidRDefault="006F6A77" w:rsidP="006F6A77">
      <w:pPr>
        <w:rPr>
          <w:color w:val="auto"/>
        </w:rPr>
      </w:pPr>
      <w:r w:rsidRPr="0020787B">
        <w:rPr>
          <w:color w:val="auto"/>
        </w:rPr>
        <w:t xml:space="preserve">Baumgartner, L.J., Conallin, J., Wooden, I., Campbell, B., Gee, R., Robinson, W.A. and Mallen-Cooper, M. (2014). Using flow guilds of freshwater fish in an adaptive management framework to simplify environmental flow delivery for semi-arid riverine systems. </w:t>
      </w:r>
      <w:r w:rsidRPr="0020787B">
        <w:rPr>
          <w:i/>
          <w:iCs/>
          <w:color w:val="auto"/>
        </w:rPr>
        <w:t>Fish and Fisheries</w:t>
      </w:r>
      <w:r w:rsidRPr="0020787B">
        <w:rPr>
          <w:color w:val="auto"/>
        </w:rPr>
        <w:t xml:space="preserve"> </w:t>
      </w:r>
      <w:r w:rsidRPr="0020787B">
        <w:rPr>
          <w:b/>
          <w:bCs/>
          <w:color w:val="auto"/>
        </w:rPr>
        <w:t>15</w:t>
      </w:r>
      <w:r w:rsidRPr="0020787B">
        <w:rPr>
          <w:color w:val="auto"/>
        </w:rPr>
        <w:t>, 410–427.</w:t>
      </w:r>
    </w:p>
    <w:p w14:paraId="575321F0" w14:textId="56FE01EC" w:rsidR="00797166" w:rsidRPr="0020787B" w:rsidRDefault="00797166" w:rsidP="006F6A77">
      <w:pPr>
        <w:rPr>
          <w:color w:val="auto"/>
        </w:rPr>
      </w:pPr>
      <w:r w:rsidRPr="0020787B">
        <w:rPr>
          <w:color w:val="auto"/>
        </w:rPr>
        <w:t xml:space="preserve">Beardall, J. and Raven, J.A. (1990). Pathways and mechanisms of respiration in microalgae. </w:t>
      </w:r>
      <w:r w:rsidRPr="0020787B">
        <w:rPr>
          <w:i/>
          <w:color w:val="auto"/>
        </w:rPr>
        <w:t>Marine Microbial Food Webs</w:t>
      </w:r>
      <w:r w:rsidRPr="0020787B">
        <w:rPr>
          <w:color w:val="auto"/>
        </w:rPr>
        <w:t xml:space="preserve"> </w:t>
      </w:r>
      <w:r w:rsidRPr="0020787B">
        <w:rPr>
          <w:b/>
          <w:color w:val="auto"/>
        </w:rPr>
        <w:t>4</w:t>
      </w:r>
      <w:r w:rsidRPr="0020787B">
        <w:rPr>
          <w:color w:val="auto"/>
        </w:rPr>
        <w:t>, 7–30.</w:t>
      </w:r>
    </w:p>
    <w:p w14:paraId="4B51D4D5" w14:textId="02C193E3" w:rsidR="006F6A77" w:rsidRPr="0020787B" w:rsidRDefault="006F6A77" w:rsidP="006F6A77">
      <w:pPr>
        <w:rPr>
          <w:color w:val="auto"/>
          <w:lang w:val="en-US"/>
        </w:rPr>
      </w:pPr>
      <w:r w:rsidRPr="0020787B">
        <w:rPr>
          <w:color w:val="auto"/>
          <w:lang w:val="en-US"/>
        </w:rPr>
        <w:t xml:space="preserve">Beauchamp, V.B. and Stromberg, J.C. (2008). Changes to herbaceous plant communities on a regulated desert river. </w:t>
      </w:r>
      <w:r w:rsidRPr="0020787B">
        <w:rPr>
          <w:i/>
          <w:iCs/>
          <w:color w:val="auto"/>
          <w:lang w:val="en-US"/>
        </w:rPr>
        <w:t>River Research and Applications</w:t>
      </w:r>
      <w:r w:rsidRPr="0020787B">
        <w:rPr>
          <w:color w:val="auto"/>
          <w:lang w:val="en-US"/>
        </w:rPr>
        <w:t xml:space="preserve"> </w:t>
      </w:r>
      <w:r w:rsidRPr="0020787B">
        <w:rPr>
          <w:b/>
          <w:bCs/>
          <w:color w:val="auto"/>
          <w:lang w:val="en-US"/>
        </w:rPr>
        <w:t>24</w:t>
      </w:r>
      <w:r w:rsidRPr="0020787B">
        <w:rPr>
          <w:color w:val="auto"/>
          <w:lang w:val="en-US"/>
        </w:rPr>
        <w:t>, 754–770.</w:t>
      </w:r>
    </w:p>
    <w:p w14:paraId="59824DB2" w14:textId="77777777" w:rsidR="006F6A77" w:rsidRPr="0020787B" w:rsidRDefault="006F6A77" w:rsidP="006F6A77">
      <w:pPr>
        <w:rPr>
          <w:color w:val="auto"/>
        </w:rPr>
      </w:pPr>
      <w:r w:rsidRPr="0020787B">
        <w:rPr>
          <w:color w:val="auto"/>
        </w:rPr>
        <w:t xml:space="preserve">Berggren, M. and del Giorgio, P.A. (2015). Distinct patterns of microbial metabolism associated to riverine dissolved organic carbon of different source and quality. </w:t>
      </w:r>
      <w:r w:rsidRPr="0020787B">
        <w:rPr>
          <w:i/>
          <w:color w:val="auto"/>
        </w:rPr>
        <w:t>Journal of Geophysical Research: Biogeosciences</w:t>
      </w:r>
      <w:r w:rsidRPr="0020787B">
        <w:rPr>
          <w:color w:val="auto"/>
        </w:rPr>
        <w:t xml:space="preserve"> </w:t>
      </w:r>
      <w:r w:rsidRPr="0020787B">
        <w:rPr>
          <w:b/>
          <w:color w:val="auto"/>
        </w:rPr>
        <w:t>120</w:t>
      </w:r>
      <w:r w:rsidRPr="0020787B">
        <w:rPr>
          <w:color w:val="auto"/>
        </w:rPr>
        <w:t>, 989–999.</w:t>
      </w:r>
    </w:p>
    <w:p w14:paraId="76EB7C94" w14:textId="77777777" w:rsidR="006F6A77" w:rsidRPr="0020787B" w:rsidRDefault="006F6A77" w:rsidP="006F6A77">
      <w:pPr>
        <w:rPr>
          <w:color w:val="auto"/>
        </w:rPr>
      </w:pPr>
      <w:r w:rsidRPr="0020787B">
        <w:rPr>
          <w:color w:val="auto"/>
        </w:rPr>
        <w:t>Bice, C.M., Butler, G.L., Fanson, B., Harding, D., Hodges, K., Koster, W., Thiem, J.D., Woods, R. and Zampatti, B.P. (2021). Hydrology and movement of adult golden perch (</w:t>
      </w:r>
      <w:r w:rsidRPr="0020787B">
        <w:rPr>
          <w:i/>
          <w:iCs/>
          <w:color w:val="auto"/>
        </w:rPr>
        <w:t>Macquaria ambigua</w:t>
      </w:r>
      <w:r w:rsidRPr="0020787B">
        <w:rPr>
          <w:color w:val="auto"/>
        </w:rPr>
        <w:t>) in the Murray and Darling rivers determined by acoustic telemetry. South Australian Research and Development Institute (Aquatic Sciences), Adelaide. SARDI Publication No. F2021/000076-1. SARDI Research Report Series No. 1104. 66pp.</w:t>
      </w:r>
    </w:p>
    <w:p w14:paraId="43172E94" w14:textId="77777777" w:rsidR="006F6A77" w:rsidRPr="0020787B" w:rsidRDefault="006F6A77" w:rsidP="006F6A77">
      <w:pPr>
        <w:rPr>
          <w:color w:val="auto"/>
        </w:rPr>
      </w:pPr>
      <w:r w:rsidRPr="0020787B">
        <w:rPr>
          <w:color w:val="auto"/>
        </w:rPr>
        <w:lastRenderedPageBreak/>
        <w:t xml:space="preserve">Bice, C.M., Gehrig, S.L., Zampatti, B.P., Nicol, J.M., Wilson, P., Leigh, S.L. and Marsland, K. (2014). Flow-induced alterations to fish assemblages, habitat and fish-habitat associations in a regulated lowland river. </w:t>
      </w:r>
      <w:r w:rsidRPr="0020787B">
        <w:rPr>
          <w:i/>
          <w:color w:val="auto"/>
        </w:rPr>
        <w:t xml:space="preserve">Hydrobiologia </w:t>
      </w:r>
      <w:r w:rsidRPr="0020787B">
        <w:rPr>
          <w:b/>
          <w:color w:val="auto"/>
        </w:rPr>
        <w:t>722</w:t>
      </w:r>
      <w:r w:rsidRPr="0020787B">
        <w:rPr>
          <w:color w:val="auto"/>
        </w:rPr>
        <w:t>, 205–222.</w:t>
      </w:r>
    </w:p>
    <w:p w14:paraId="6B62C47F" w14:textId="77777777" w:rsidR="006F6A77" w:rsidRPr="0020787B" w:rsidRDefault="006F6A77" w:rsidP="006F6A77">
      <w:pPr>
        <w:rPr>
          <w:color w:val="auto"/>
        </w:rPr>
      </w:pPr>
      <w:r w:rsidRPr="0020787B">
        <w:rPr>
          <w:color w:val="auto"/>
        </w:rPr>
        <w:t>Bice, C.M, Giatas, G.C, Brewer, E.A., Catalano, S., Furst, D., Oliver, R., Revill, A.T., Shiel, R., Ye, Q. and Zampatti, B. (2023). Commonwealth Environmental Water Office Monitoring, Evaluation and Research Project: Lower Murray 2019–2022 Research Report: Diet and basal carbon sources of early life stage Murray cod in the Lower Murray River. A report prepared for the Commonwealth Environmental Water Office by the South Australian Research and Development Institute, Aquatic Sciences.</w:t>
      </w:r>
    </w:p>
    <w:p w14:paraId="47192915" w14:textId="77777777" w:rsidR="006F6A77" w:rsidRPr="0020787B" w:rsidRDefault="006F6A77" w:rsidP="006F6A77">
      <w:pPr>
        <w:rPr>
          <w:color w:val="auto"/>
        </w:rPr>
      </w:pPr>
      <w:r w:rsidRPr="0020787B">
        <w:rPr>
          <w:color w:val="auto"/>
        </w:rPr>
        <w:t xml:space="preserve">Bice, C.M., Gibbs, M.S., Kilsby, N.N., Mallen-Cooper, M. and Zampatti, B.P. (2017). Putting the “river” back into the lower River Murray: quantifying the hydraulic impact of river regulation to guide ecological restoration. </w:t>
      </w:r>
      <w:r w:rsidRPr="0020787B">
        <w:rPr>
          <w:i/>
          <w:color w:val="auto"/>
        </w:rPr>
        <w:t>Transactions of the Royal Society of South Australia</w:t>
      </w:r>
      <w:r w:rsidRPr="0020787B">
        <w:rPr>
          <w:color w:val="auto"/>
        </w:rPr>
        <w:t>, DOI: 10.1080/03721426.2017.1374909.</w:t>
      </w:r>
    </w:p>
    <w:p w14:paraId="2B49E8AA" w14:textId="77777777" w:rsidR="006F6A77" w:rsidRPr="0020787B" w:rsidRDefault="006F6A77" w:rsidP="006F6A77">
      <w:pPr>
        <w:rPr>
          <w:color w:val="auto"/>
        </w:rPr>
      </w:pPr>
      <w:r w:rsidRPr="0020787B">
        <w:rPr>
          <w:color w:val="auto"/>
        </w:rPr>
        <w:t>Bice, C.M., Wedderburn, S.D., Hammer, M.P., Ye, Q. and Zampatti, B.P. (2018). Fishes of the Lower Lakes and Coorong: A Summary of Life-History, Population Dynamics and Management. In: Natural History of The Coorong, Lower Lakes, and Murray Mouth Region (Yarluwar-Ruwe). Eds. Mosley, L., Ye, Q., Shepherd, S., Hemming, S. and Fitzpatrick, R. Royal Society of South Australia, University of Adelaide Press. Adelaide. pp 371–399.</w:t>
      </w:r>
    </w:p>
    <w:p w14:paraId="4D6F9A06" w14:textId="77777777" w:rsidR="006F6A77" w:rsidRPr="0020787B" w:rsidRDefault="006F6A77" w:rsidP="006F6A77">
      <w:pPr>
        <w:rPr>
          <w:color w:val="auto"/>
        </w:rPr>
      </w:pPr>
      <w:r w:rsidRPr="0020787B">
        <w:rPr>
          <w:color w:val="auto"/>
        </w:rPr>
        <w:t xml:space="preserve">Biggs, B.J.F., Nikora, V.I. and Snelder, T.H. (2005). Linking scales of flow variability to lotic ecosystem structure and function. </w:t>
      </w:r>
      <w:r w:rsidRPr="0020787B">
        <w:rPr>
          <w:i/>
          <w:color w:val="auto"/>
        </w:rPr>
        <w:t>Regulated Rivers: Research &amp; Management</w:t>
      </w:r>
      <w:r w:rsidRPr="0020787B">
        <w:rPr>
          <w:color w:val="auto"/>
        </w:rPr>
        <w:t xml:space="preserve"> </w:t>
      </w:r>
      <w:r w:rsidRPr="0020787B">
        <w:rPr>
          <w:b/>
          <w:color w:val="auto"/>
        </w:rPr>
        <w:t>21</w:t>
      </w:r>
      <w:r w:rsidRPr="0020787B">
        <w:rPr>
          <w:color w:val="auto"/>
        </w:rPr>
        <w:t>, 283–298.</w:t>
      </w:r>
    </w:p>
    <w:p w14:paraId="4D74B0F8" w14:textId="77777777" w:rsidR="006F6A77" w:rsidRPr="0020787B" w:rsidRDefault="006F6A77" w:rsidP="006F6A77">
      <w:pPr>
        <w:rPr>
          <w:color w:val="auto"/>
          <w:lang w:val="en-US"/>
        </w:rPr>
      </w:pPr>
      <w:r w:rsidRPr="0020787B">
        <w:rPr>
          <w:color w:val="auto"/>
          <w:lang w:val="en-US"/>
        </w:rPr>
        <w:t xml:space="preserve">Blanch, S.J., Ganf, G.G. and Walker, K.F. (1999). Tolerance of riverine plants to flooding and exposure by water regime. </w:t>
      </w:r>
      <w:r w:rsidRPr="0020787B">
        <w:rPr>
          <w:i/>
          <w:iCs/>
          <w:color w:val="auto"/>
          <w:lang w:val="en-US"/>
        </w:rPr>
        <w:t>Regulated Rivers: Research and Management</w:t>
      </w:r>
      <w:r w:rsidRPr="0020787B">
        <w:rPr>
          <w:color w:val="auto"/>
          <w:lang w:val="en-US"/>
        </w:rPr>
        <w:t xml:space="preserve"> </w:t>
      </w:r>
      <w:r w:rsidRPr="0020787B">
        <w:rPr>
          <w:b/>
          <w:bCs/>
          <w:color w:val="auto"/>
          <w:lang w:val="en-US"/>
        </w:rPr>
        <w:t>15</w:t>
      </w:r>
      <w:r w:rsidRPr="0020787B">
        <w:rPr>
          <w:color w:val="auto"/>
          <w:lang w:val="en-US"/>
        </w:rPr>
        <w:t>, 43–62.</w:t>
      </w:r>
    </w:p>
    <w:p w14:paraId="10B5FD4D" w14:textId="77777777" w:rsidR="006F6A77" w:rsidRPr="0020787B" w:rsidRDefault="006F6A77" w:rsidP="006F6A77">
      <w:pPr>
        <w:rPr>
          <w:color w:val="auto"/>
          <w:lang w:val="en-US"/>
        </w:rPr>
      </w:pPr>
      <w:r w:rsidRPr="0020787B">
        <w:rPr>
          <w:color w:val="auto"/>
          <w:lang w:val="en-US"/>
        </w:rPr>
        <w:t xml:space="preserve">Blanch, S.J., Walker, K.F. and Ganf, G.G. (2000). Water regimes and littoral plants in four weir pools of the River Murray, Australia. </w:t>
      </w:r>
      <w:r w:rsidRPr="0020787B">
        <w:rPr>
          <w:i/>
          <w:iCs/>
          <w:color w:val="auto"/>
          <w:lang w:val="en-US"/>
        </w:rPr>
        <w:t>Regulated Rivers Research and Management</w:t>
      </w:r>
      <w:r w:rsidRPr="0020787B">
        <w:rPr>
          <w:color w:val="auto"/>
          <w:lang w:val="en-US"/>
        </w:rPr>
        <w:t xml:space="preserve"> </w:t>
      </w:r>
      <w:r w:rsidRPr="0020787B">
        <w:rPr>
          <w:b/>
          <w:bCs/>
          <w:color w:val="auto"/>
          <w:lang w:val="en-US"/>
        </w:rPr>
        <w:t>16</w:t>
      </w:r>
      <w:r w:rsidRPr="0020787B">
        <w:rPr>
          <w:color w:val="auto"/>
          <w:lang w:val="en-US"/>
        </w:rPr>
        <w:t>, 445–456.</w:t>
      </w:r>
    </w:p>
    <w:p w14:paraId="30C33955" w14:textId="77777777" w:rsidR="006F6A77" w:rsidRPr="0020787B" w:rsidRDefault="006F6A77" w:rsidP="006F6A77">
      <w:pPr>
        <w:rPr>
          <w:color w:val="auto"/>
          <w:lang w:val="en-US"/>
        </w:rPr>
      </w:pPr>
      <w:r w:rsidRPr="0020787B">
        <w:rPr>
          <w:color w:val="auto"/>
          <w:lang w:val="en-US"/>
        </w:rPr>
        <w:t xml:space="preserve">Blom, C.W.P.M., Bogemann, G.M., Laan, P., Van Der Sman, A.J.M., Van De Steeg, H.M. and Voesenek, L.A.C.J. (1990). Adaptations to flooding in plants from river areas. </w:t>
      </w:r>
      <w:r w:rsidRPr="0020787B">
        <w:rPr>
          <w:i/>
          <w:iCs/>
          <w:color w:val="auto"/>
          <w:lang w:val="en-US"/>
        </w:rPr>
        <w:t>Aquatic Botany</w:t>
      </w:r>
      <w:r w:rsidRPr="0020787B">
        <w:rPr>
          <w:color w:val="auto"/>
          <w:lang w:val="en-US"/>
        </w:rPr>
        <w:t xml:space="preserve"> </w:t>
      </w:r>
      <w:r w:rsidRPr="0020787B">
        <w:rPr>
          <w:b/>
          <w:bCs/>
          <w:color w:val="auto"/>
          <w:lang w:val="en-US"/>
        </w:rPr>
        <w:t>38</w:t>
      </w:r>
      <w:r w:rsidRPr="0020787B">
        <w:rPr>
          <w:color w:val="auto"/>
          <w:lang w:val="en-US"/>
        </w:rPr>
        <w:t>, 29–48.</w:t>
      </w:r>
    </w:p>
    <w:p w14:paraId="4C7B3ADC" w14:textId="77777777" w:rsidR="006F6A77" w:rsidRPr="0020787B" w:rsidRDefault="006F6A77" w:rsidP="006F6A77">
      <w:pPr>
        <w:rPr>
          <w:color w:val="auto"/>
          <w:lang w:val="en-US"/>
        </w:rPr>
      </w:pPr>
      <w:r w:rsidRPr="0020787B">
        <w:rPr>
          <w:color w:val="auto"/>
          <w:lang w:val="en-US"/>
        </w:rPr>
        <w:t xml:space="preserve">Borin, M. and Salvato, M. (2012). Effects of five macrophytes on nitrogen remediation and mass balance in wetland mesocosms. </w:t>
      </w:r>
      <w:r w:rsidRPr="0020787B">
        <w:rPr>
          <w:i/>
          <w:iCs/>
          <w:color w:val="auto"/>
          <w:lang w:val="en-US"/>
        </w:rPr>
        <w:t xml:space="preserve">Ecological Engineering </w:t>
      </w:r>
      <w:r w:rsidRPr="0020787B">
        <w:rPr>
          <w:b/>
          <w:bCs/>
          <w:color w:val="auto"/>
          <w:lang w:val="en-US"/>
        </w:rPr>
        <w:t>46</w:t>
      </w:r>
      <w:r w:rsidRPr="0020787B">
        <w:rPr>
          <w:color w:val="auto"/>
          <w:lang w:val="en-US"/>
        </w:rPr>
        <w:t>, 34–42.</w:t>
      </w:r>
    </w:p>
    <w:p w14:paraId="2E8DE09E" w14:textId="77777777" w:rsidR="006F6A77" w:rsidRPr="0020787B" w:rsidRDefault="006F6A77" w:rsidP="006F6A77">
      <w:pPr>
        <w:rPr>
          <w:color w:val="auto"/>
        </w:rPr>
      </w:pPr>
      <w:r w:rsidRPr="0020787B">
        <w:rPr>
          <w:color w:val="auto"/>
        </w:rPr>
        <w:t xml:space="preserve">Bormans, M., Maier, H., Burch, M. and Baker, P. (1998). Temperature stratification in the lower River Murray, Australia: implication for cyanobacterial bloom development. </w:t>
      </w:r>
      <w:r w:rsidRPr="0020787B">
        <w:rPr>
          <w:i/>
          <w:iCs/>
          <w:color w:val="auto"/>
        </w:rPr>
        <w:t>Marine and Freshwater Research</w:t>
      </w:r>
      <w:r w:rsidRPr="0020787B">
        <w:rPr>
          <w:color w:val="auto"/>
        </w:rPr>
        <w:t xml:space="preserve"> </w:t>
      </w:r>
      <w:r w:rsidRPr="0020787B">
        <w:rPr>
          <w:b/>
          <w:bCs/>
          <w:color w:val="auto"/>
        </w:rPr>
        <w:t>48</w:t>
      </w:r>
      <w:r w:rsidRPr="0020787B">
        <w:rPr>
          <w:color w:val="auto"/>
        </w:rPr>
        <w:t>, 647–654.</w:t>
      </w:r>
    </w:p>
    <w:p w14:paraId="13EEC6F2" w14:textId="77777777" w:rsidR="006F6A77" w:rsidRPr="0020787B" w:rsidRDefault="006F6A77" w:rsidP="006F6A77">
      <w:pPr>
        <w:rPr>
          <w:color w:val="auto"/>
          <w:lang w:val="en-US"/>
        </w:rPr>
      </w:pPr>
      <w:r w:rsidRPr="0020787B">
        <w:rPr>
          <w:color w:val="auto"/>
          <w:lang w:val="en-US"/>
        </w:rPr>
        <w:t xml:space="preserve">Boulton, A.J. and Lloyd L.N. (1992). Flooding frequency and invertebrate emergence from dry floodplain sediments of the River Murray, Australia. </w:t>
      </w:r>
      <w:r w:rsidRPr="0020787B">
        <w:rPr>
          <w:i/>
          <w:color w:val="auto"/>
          <w:lang w:val="en-US"/>
        </w:rPr>
        <w:t>Regulated Rivers: Research &amp; Management</w:t>
      </w:r>
      <w:r w:rsidRPr="0020787B">
        <w:rPr>
          <w:color w:val="auto"/>
          <w:lang w:val="en-US"/>
        </w:rPr>
        <w:t xml:space="preserve"> </w:t>
      </w:r>
      <w:r w:rsidRPr="0020787B">
        <w:rPr>
          <w:b/>
          <w:color w:val="auto"/>
          <w:lang w:val="en-US"/>
        </w:rPr>
        <w:t>7</w:t>
      </w:r>
      <w:r w:rsidRPr="0020787B">
        <w:rPr>
          <w:color w:val="auto"/>
          <w:lang w:val="en-US"/>
        </w:rPr>
        <w:t>, 137–151.</w:t>
      </w:r>
    </w:p>
    <w:p w14:paraId="4A52F892" w14:textId="77777777" w:rsidR="006F6A77" w:rsidRPr="0020787B" w:rsidRDefault="006F6A77" w:rsidP="006F6A77">
      <w:pPr>
        <w:rPr>
          <w:color w:val="auto"/>
          <w:lang w:val="en-US"/>
        </w:rPr>
      </w:pPr>
      <w:r w:rsidRPr="0020787B">
        <w:rPr>
          <w:color w:val="auto"/>
          <w:lang w:val="en-US"/>
        </w:rPr>
        <w:t xml:space="preserve">Bray, J.R. and Curtis, J.T. (1957). An ordination of the upland forest communities of southern Wisconsin. </w:t>
      </w:r>
      <w:r w:rsidRPr="0020787B">
        <w:rPr>
          <w:i/>
          <w:iCs/>
          <w:color w:val="auto"/>
          <w:lang w:val="en-US"/>
        </w:rPr>
        <w:t>Ecological Monographs</w:t>
      </w:r>
      <w:r w:rsidRPr="0020787B">
        <w:rPr>
          <w:color w:val="auto"/>
          <w:lang w:val="en-US"/>
        </w:rPr>
        <w:t xml:space="preserve"> </w:t>
      </w:r>
      <w:r w:rsidRPr="0020787B">
        <w:rPr>
          <w:b/>
          <w:bCs/>
          <w:color w:val="auto"/>
          <w:lang w:val="en-US"/>
        </w:rPr>
        <w:t>27</w:t>
      </w:r>
      <w:r w:rsidRPr="0020787B">
        <w:rPr>
          <w:color w:val="auto"/>
          <w:lang w:val="en-US"/>
        </w:rPr>
        <w:t>, 325–349.</w:t>
      </w:r>
    </w:p>
    <w:p w14:paraId="6C16DDE4" w14:textId="77777777" w:rsidR="006F6A77" w:rsidRPr="0020787B" w:rsidRDefault="006F6A77" w:rsidP="006F6A77">
      <w:pPr>
        <w:rPr>
          <w:color w:val="auto"/>
          <w:lang w:val="en-US"/>
        </w:rPr>
      </w:pPr>
      <w:r w:rsidRPr="0020787B">
        <w:rPr>
          <w:color w:val="auto"/>
          <w:lang w:val="en-US"/>
        </w:rPr>
        <w:t xml:space="preserve">Brock, M.A. (1981). The ecology of halophytes in the south-east of South Australia. </w:t>
      </w:r>
      <w:r w:rsidRPr="0020787B">
        <w:rPr>
          <w:i/>
          <w:iCs/>
          <w:color w:val="auto"/>
          <w:lang w:val="en-US"/>
        </w:rPr>
        <w:t>Hydrobiologia</w:t>
      </w:r>
      <w:r w:rsidRPr="0020787B">
        <w:rPr>
          <w:color w:val="auto"/>
          <w:lang w:val="en-US"/>
        </w:rPr>
        <w:t xml:space="preserve"> </w:t>
      </w:r>
      <w:r w:rsidRPr="0020787B">
        <w:rPr>
          <w:b/>
          <w:bCs/>
          <w:color w:val="auto"/>
          <w:lang w:val="en-US"/>
        </w:rPr>
        <w:t>81</w:t>
      </w:r>
      <w:r w:rsidRPr="0020787B">
        <w:rPr>
          <w:color w:val="auto"/>
          <w:lang w:val="en-US"/>
        </w:rPr>
        <w:t xml:space="preserve">, 23–32. </w:t>
      </w:r>
    </w:p>
    <w:p w14:paraId="444B6066" w14:textId="77777777" w:rsidR="006F6A77" w:rsidRPr="0020787B" w:rsidRDefault="006F6A77" w:rsidP="006F6A77">
      <w:pPr>
        <w:rPr>
          <w:color w:val="auto"/>
          <w:lang w:val="en-US"/>
        </w:rPr>
      </w:pPr>
      <w:r w:rsidRPr="0020787B">
        <w:rPr>
          <w:color w:val="auto"/>
          <w:lang w:val="en-US"/>
        </w:rPr>
        <w:lastRenderedPageBreak/>
        <w:t>Brock, M.A. and Casanova, M.T. (1997). Plant life at the edge of wetlands: ecological responses to wetting and drying patterns. In Klomp, N. and Lunt, I. (eds), Frontiers in Ecology: Building the Links. pp. 181–192. Elsevier Science, Oxford.</w:t>
      </w:r>
    </w:p>
    <w:p w14:paraId="1ABE0A8A" w14:textId="77777777" w:rsidR="006F6A77" w:rsidRPr="0020787B" w:rsidRDefault="006F6A77" w:rsidP="006F6A77">
      <w:pPr>
        <w:rPr>
          <w:color w:val="auto"/>
          <w:lang w:val="en-US"/>
        </w:rPr>
      </w:pPr>
      <w:r w:rsidRPr="0020787B">
        <w:rPr>
          <w:color w:val="auto"/>
          <w:lang w:val="en-US"/>
        </w:rPr>
        <w:t xml:space="preserve">Brookes, J.D., Huang, P., Thai, S.Y., Gibbs, M.S., Ye, Q., Aldridge, K.T., Busch, B. and Hipsey, M. (2022). Environmental Flows to estuaries and coastal lagoons shape the salinity gradient and generate suitable fish habitat: Predictions for the Coorong Australia. </w:t>
      </w:r>
      <w:r w:rsidRPr="0020787B">
        <w:rPr>
          <w:i/>
          <w:iCs/>
          <w:color w:val="auto"/>
          <w:lang w:val="en-US"/>
        </w:rPr>
        <w:t>Frontiers in Environmental Science</w:t>
      </w:r>
      <w:r w:rsidRPr="0020787B">
        <w:rPr>
          <w:color w:val="auto"/>
          <w:lang w:val="en-US"/>
        </w:rPr>
        <w:t xml:space="preserve"> </w:t>
      </w:r>
      <w:r w:rsidRPr="0020787B">
        <w:rPr>
          <w:b/>
          <w:bCs/>
          <w:color w:val="auto"/>
          <w:lang w:val="en-US"/>
        </w:rPr>
        <w:t>10</w:t>
      </w:r>
      <w:r w:rsidRPr="0020787B">
        <w:rPr>
          <w:color w:val="auto"/>
          <w:lang w:val="en-US"/>
        </w:rPr>
        <w:t>, 20. doi.org/10.3389/fenvs.2022.796623.</w:t>
      </w:r>
    </w:p>
    <w:p w14:paraId="07A70FAD" w14:textId="77777777" w:rsidR="006F6A77" w:rsidRPr="0020787B" w:rsidRDefault="006F6A77" w:rsidP="006F6A77">
      <w:pPr>
        <w:rPr>
          <w:color w:val="auto"/>
          <w:lang w:val="en-US"/>
        </w:rPr>
      </w:pPr>
      <w:r w:rsidRPr="0020787B">
        <w:rPr>
          <w:color w:val="auto"/>
          <w:lang w:val="en-US"/>
        </w:rPr>
        <w:t>Brookes, J.D., Lamontagne, S., Aldridge, K.T., Benger, S., Bissett, A., Bucater, L., Cheshire, A., Cook, P.L.M., Deegan, B.M., Dittmann, S., Fairweather, P.G., Fernandes, M.B., Ford, P.W., Geddes, M.C., Gillanders, B.M., Grigg, N.J., Haese, R.R., Krull, E., Langley, R.A., Lester, R.F., Loo, M., Munro, A.R., Noell, C.J., Nayar, S., Paton, D.C., Revill, A.T., Rogers, D.J., Rolston, A.N., Sharma, S.K., Short, D.A., Tanner, J.E., Webster, I.T., Wellmann, N.R. and Ye, Q. (2009). An Ecosystem Assessment Framework to Guide Management of the Coorong. Final Report of the CLLAMMecology Research Cluster. CSIRO: Water for a Healthy Country National Research Flagship, Canberra.</w:t>
      </w:r>
    </w:p>
    <w:p w14:paraId="2F111486" w14:textId="436009E0" w:rsidR="006F6A77" w:rsidRPr="0020787B" w:rsidRDefault="006F6A77" w:rsidP="006F6A77">
      <w:pPr>
        <w:rPr>
          <w:color w:val="auto"/>
          <w:lang w:val="en-US"/>
        </w:rPr>
      </w:pPr>
      <w:r w:rsidRPr="0020787B">
        <w:rPr>
          <w:color w:val="auto"/>
          <w:lang w:val="en-US"/>
        </w:rPr>
        <w:t>Brown</w:t>
      </w:r>
      <w:r w:rsidR="00E202A0" w:rsidRPr="0020787B">
        <w:rPr>
          <w:color w:val="auto"/>
          <w:lang w:val="en-US"/>
        </w:rPr>
        <w:t>, P.</w:t>
      </w:r>
      <w:r w:rsidRPr="0020787B">
        <w:rPr>
          <w:color w:val="auto"/>
          <w:lang w:val="en-US"/>
        </w:rPr>
        <w:t xml:space="preserve"> and Wooden</w:t>
      </w:r>
      <w:r w:rsidR="00E202A0" w:rsidRPr="0020787B">
        <w:rPr>
          <w:color w:val="auto"/>
          <w:lang w:val="en-US"/>
        </w:rPr>
        <w:t>, I.</w:t>
      </w:r>
      <w:r w:rsidRPr="0020787B">
        <w:rPr>
          <w:color w:val="auto"/>
          <w:lang w:val="en-US"/>
        </w:rPr>
        <w:t xml:space="preserve"> </w:t>
      </w:r>
      <w:r w:rsidR="00E202A0" w:rsidRPr="0020787B">
        <w:rPr>
          <w:color w:val="auto"/>
          <w:lang w:val="en-US"/>
        </w:rPr>
        <w:t>(</w:t>
      </w:r>
      <w:r w:rsidRPr="0020787B">
        <w:rPr>
          <w:color w:val="auto"/>
          <w:lang w:val="en-US"/>
        </w:rPr>
        <w:t>2007</w:t>
      </w:r>
      <w:r w:rsidR="00E202A0" w:rsidRPr="0020787B">
        <w:rPr>
          <w:color w:val="auto"/>
          <w:lang w:val="en-US"/>
        </w:rPr>
        <w:t>). Age at first increment formation and validation of daily growth increments in golden perch (</w:t>
      </w:r>
      <w:r w:rsidR="00E202A0" w:rsidRPr="0020787B">
        <w:rPr>
          <w:i/>
          <w:iCs/>
          <w:color w:val="auto"/>
          <w:lang w:val="en-US"/>
        </w:rPr>
        <w:t>Macquaria ambigua</w:t>
      </w:r>
      <w:r w:rsidR="00E202A0" w:rsidRPr="0020787B">
        <w:rPr>
          <w:color w:val="auto"/>
          <w:lang w:val="en-US"/>
        </w:rPr>
        <w:t xml:space="preserve">: Percichthyidae) otoliths. </w:t>
      </w:r>
      <w:r w:rsidR="00E202A0" w:rsidRPr="0020787B">
        <w:rPr>
          <w:i/>
          <w:iCs/>
          <w:color w:val="auto"/>
          <w:lang w:val="en-US"/>
        </w:rPr>
        <w:t>New Zealand Journal of Marine and Freshwater Research</w:t>
      </w:r>
      <w:r w:rsidR="00E202A0" w:rsidRPr="0020787B">
        <w:rPr>
          <w:color w:val="auto"/>
          <w:lang w:val="en-US"/>
        </w:rPr>
        <w:t xml:space="preserve"> </w:t>
      </w:r>
      <w:r w:rsidR="00E202A0" w:rsidRPr="0020787B">
        <w:rPr>
          <w:b/>
          <w:bCs/>
          <w:color w:val="auto"/>
          <w:lang w:val="en-US"/>
        </w:rPr>
        <w:t>47</w:t>
      </w:r>
      <w:r w:rsidR="00E202A0" w:rsidRPr="0020787B">
        <w:rPr>
          <w:color w:val="auto"/>
          <w:lang w:val="en-US"/>
        </w:rPr>
        <w:t>, 157–161.</w:t>
      </w:r>
    </w:p>
    <w:p w14:paraId="3D4D26C1" w14:textId="77777777" w:rsidR="006F6A77" w:rsidRPr="0020787B" w:rsidRDefault="006F6A77" w:rsidP="006F6A77">
      <w:pPr>
        <w:rPr>
          <w:color w:val="auto"/>
          <w:lang w:val="en-US"/>
        </w:rPr>
      </w:pPr>
      <w:r w:rsidRPr="0020787B">
        <w:rPr>
          <w:color w:val="auto"/>
          <w:lang w:val="en-US"/>
        </w:rPr>
        <w:t xml:space="preserve">Bunn, S. and Arthington, A.H. (2002). Basic principles and ecological consequences of altered flow regimes for aquatic biodiversity. </w:t>
      </w:r>
      <w:r w:rsidRPr="0020787B">
        <w:rPr>
          <w:i/>
          <w:color w:val="auto"/>
          <w:lang w:val="en-US"/>
        </w:rPr>
        <w:t>Environmental Management</w:t>
      </w:r>
      <w:r w:rsidRPr="0020787B">
        <w:rPr>
          <w:color w:val="auto"/>
          <w:lang w:val="en-US"/>
        </w:rPr>
        <w:t xml:space="preserve"> </w:t>
      </w:r>
      <w:r w:rsidRPr="0020787B">
        <w:rPr>
          <w:b/>
          <w:color w:val="auto"/>
          <w:lang w:val="en-US"/>
        </w:rPr>
        <w:t>30</w:t>
      </w:r>
      <w:r w:rsidRPr="0020787B">
        <w:rPr>
          <w:color w:val="auto"/>
          <w:lang w:val="en-US"/>
        </w:rPr>
        <w:t>, 492–507.</w:t>
      </w:r>
    </w:p>
    <w:p w14:paraId="53D49E4B" w14:textId="77777777" w:rsidR="006F6A77" w:rsidRPr="0020787B" w:rsidRDefault="006F6A77" w:rsidP="006F6A77">
      <w:pPr>
        <w:rPr>
          <w:bCs/>
          <w:color w:val="auto"/>
        </w:rPr>
      </w:pPr>
      <w:r w:rsidRPr="0020787B">
        <w:rPr>
          <w:bCs/>
          <w:color w:val="auto"/>
        </w:rPr>
        <w:t xml:space="preserve">Bureau of Meteorology (2025). Climate averages for Renmark. </w:t>
      </w:r>
      <w:hyperlink r:id="rId143" w:history="1">
        <w:r w:rsidRPr="0020787B">
          <w:rPr>
            <w:rStyle w:val="Hyperlink"/>
            <w:rFonts w:eastAsiaTheme="majorEastAsia"/>
            <w:bCs/>
            <w:color w:val="auto"/>
          </w:rPr>
          <w:t>http://www.bom.gov.au/climate/averages/tables/cw_024048.shtml</w:t>
        </w:r>
      </w:hyperlink>
    </w:p>
    <w:p w14:paraId="1EC97778" w14:textId="77777777" w:rsidR="006F6A77" w:rsidRPr="0020787B" w:rsidRDefault="006F6A77" w:rsidP="006F6A77">
      <w:pPr>
        <w:rPr>
          <w:color w:val="auto"/>
          <w:lang w:val="en-US"/>
        </w:rPr>
      </w:pPr>
      <w:r w:rsidRPr="0020787B">
        <w:rPr>
          <w:color w:val="auto"/>
          <w:lang w:val="en-US"/>
        </w:rPr>
        <w:t>Burnham, K.P. and Anderson, D.R. (2002). Model selection and multimodel inference: a practical information-theoretic approach. Springer-Verlag, New York.</w:t>
      </w:r>
    </w:p>
    <w:p w14:paraId="31F8F05D" w14:textId="77777777" w:rsidR="006F6A77" w:rsidRPr="0020787B" w:rsidRDefault="006F6A77" w:rsidP="006F6A77">
      <w:pPr>
        <w:rPr>
          <w:color w:val="auto"/>
          <w:lang w:val="en-US"/>
        </w:rPr>
      </w:pPr>
      <w:r w:rsidRPr="0020787B">
        <w:rPr>
          <w:color w:val="auto"/>
          <w:lang w:val="en-US"/>
        </w:rPr>
        <w:t xml:space="preserve">Capon, S.J. (2007). Effects of flooding on seedling emergence from the soil seed bank of a large desert floodplain. </w:t>
      </w:r>
      <w:r w:rsidRPr="0020787B">
        <w:rPr>
          <w:i/>
          <w:iCs/>
          <w:color w:val="auto"/>
          <w:lang w:val="en-US"/>
        </w:rPr>
        <w:t xml:space="preserve">Wetlands </w:t>
      </w:r>
      <w:r w:rsidRPr="0020787B">
        <w:rPr>
          <w:b/>
          <w:bCs/>
          <w:color w:val="auto"/>
          <w:lang w:val="en-US"/>
        </w:rPr>
        <w:t>27</w:t>
      </w:r>
      <w:r w:rsidRPr="0020787B">
        <w:rPr>
          <w:color w:val="auto"/>
          <w:lang w:val="en-US"/>
        </w:rPr>
        <w:t>, 904–914.</w:t>
      </w:r>
    </w:p>
    <w:p w14:paraId="3629FB59" w14:textId="77777777" w:rsidR="006F6A77" w:rsidRPr="0020787B" w:rsidRDefault="006F6A77" w:rsidP="006F6A77">
      <w:pPr>
        <w:rPr>
          <w:color w:val="auto"/>
          <w:lang w:val="en-US"/>
        </w:rPr>
      </w:pPr>
      <w:r w:rsidRPr="0020787B">
        <w:rPr>
          <w:color w:val="auto"/>
          <w:lang w:val="en-US"/>
        </w:rPr>
        <w:t xml:space="preserve">Casanova, M.T. (2011). Using water plant functional groups to investigate environmental water requirements. </w:t>
      </w:r>
      <w:r w:rsidRPr="0020787B">
        <w:rPr>
          <w:i/>
          <w:iCs/>
          <w:color w:val="auto"/>
          <w:lang w:val="en-US"/>
        </w:rPr>
        <w:t>Freshwater Biology</w:t>
      </w:r>
      <w:r w:rsidRPr="0020787B">
        <w:rPr>
          <w:color w:val="auto"/>
          <w:lang w:val="en-US"/>
        </w:rPr>
        <w:t xml:space="preserve"> </w:t>
      </w:r>
      <w:r w:rsidRPr="0020787B">
        <w:rPr>
          <w:b/>
          <w:bCs/>
          <w:color w:val="auto"/>
          <w:lang w:val="en-US"/>
        </w:rPr>
        <w:t>56</w:t>
      </w:r>
      <w:r w:rsidRPr="0020787B">
        <w:rPr>
          <w:color w:val="auto"/>
          <w:lang w:val="en-US"/>
        </w:rPr>
        <w:t>, 2637–2652.</w:t>
      </w:r>
    </w:p>
    <w:p w14:paraId="039C5DD4" w14:textId="77777777" w:rsidR="006F6A77" w:rsidRPr="0020787B" w:rsidRDefault="006F6A77" w:rsidP="006F6A77">
      <w:pPr>
        <w:rPr>
          <w:color w:val="auto"/>
          <w:lang w:val="en-US"/>
        </w:rPr>
      </w:pPr>
      <w:r w:rsidRPr="0020787B">
        <w:rPr>
          <w:color w:val="auto"/>
          <w:lang w:val="en-US"/>
        </w:rPr>
        <w:t>Centre for Australian National Biodiversity Research and Council of Heads of Australasian Herbaria (2025). Australian Plant Census, IBIS database, http://www.chah.gov.au/apc/index.html.</w:t>
      </w:r>
    </w:p>
    <w:p w14:paraId="20C82EFC" w14:textId="77777777" w:rsidR="006F6A77" w:rsidRPr="0020787B" w:rsidRDefault="006F6A77" w:rsidP="006F6A77">
      <w:pPr>
        <w:rPr>
          <w:color w:val="auto"/>
          <w:lang w:val="en-US"/>
        </w:rPr>
      </w:pPr>
      <w:r w:rsidRPr="0020787B">
        <w:rPr>
          <w:color w:val="auto"/>
          <w:lang w:val="en-US"/>
        </w:rPr>
        <w:t xml:space="preserve">Chen, Y., Colloff, M.J., Lukasiewicz, A. and Pittock, J. (2021). A trickle, not a flood: environmental watering in the Murray–Darling Basin, Australia. </w:t>
      </w:r>
      <w:r w:rsidRPr="0020787B">
        <w:rPr>
          <w:i/>
          <w:iCs/>
          <w:color w:val="auto"/>
          <w:lang w:val="en-US"/>
        </w:rPr>
        <w:t xml:space="preserve">Marine and Freshwater Research </w:t>
      </w:r>
      <w:r w:rsidRPr="0020787B">
        <w:rPr>
          <w:b/>
          <w:bCs/>
          <w:color w:val="auto"/>
          <w:lang w:val="en-US"/>
        </w:rPr>
        <w:t>72</w:t>
      </w:r>
      <w:r w:rsidRPr="0020787B">
        <w:rPr>
          <w:color w:val="auto"/>
          <w:lang w:val="en-US"/>
        </w:rPr>
        <w:t>, 601–619.</w:t>
      </w:r>
    </w:p>
    <w:p w14:paraId="3ABF5064" w14:textId="77777777" w:rsidR="006F6A77" w:rsidRPr="0020787B" w:rsidRDefault="006F6A77" w:rsidP="006F6A77">
      <w:pPr>
        <w:rPr>
          <w:color w:val="auto"/>
          <w:lang w:val="en-US"/>
        </w:rPr>
      </w:pPr>
      <w:r w:rsidRPr="0020787B">
        <w:rPr>
          <w:color w:val="auto"/>
          <w:lang w:val="en-US"/>
        </w:rPr>
        <w:t xml:space="preserve">Chilton, D., Hamilton, D.P., Nagelkerken, I., Cook, P., Hipsey, M.R., Reid, R., Sheaves, M., Waltham, N.J. and Brookes, J.D. (2021). Environmental Flow requirements of estuaries: providing resilience to current and future climate change and direct anthropogenic changes. </w:t>
      </w:r>
      <w:r w:rsidRPr="0020787B">
        <w:rPr>
          <w:i/>
          <w:iCs/>
          <w:color w:val="auto"/>
          <w:lang w:val="en-US"/>
        </w:rPr>
        <w:t>Frontiers in Environmental Science</w:t>
      </w:r>
      <w:r w:rsidRPr="0020787B">
        <w:rPr>
          <w:color w:val="auto"/>
          <w:lang w:val="en-US"/>
        </w:rPr>
        <w:t xml:space="preserve"> </w:t>
      </w:r>
      <w:r w:rsidRPr="0020787B">
        <w:rPr>
          <w:b/>
          <w:bCs/>
          <w:color w:val="auto"/>
          <w:lang w:val="en-US"/>
        </w:rPr>
        <w:t>9</w:t>
      </w:r>
      <w:r w:rsidRPr="0020787B">
        <w:rPr>
          <w:color w:val="auto"/>
          <w:lang w:val="en-US"/>
        </w:rPr>
        <w:t>, 764218. doi: 10.3389/fenvs.2021.764218.</w:t>
      </w:r>
    </w:p>
    <w:p w14:paraId="587BD3CF" w14:textId="77777777" w:rsidR="006F6A77" w:rsidRPr="0020787B" w:rsidRDefault="006F6A77" w:rsidP="006F6A77">
      <w:pPr>
        <w:rPr>
          <w:color w:val="auto"/>
          <w:lang w:val="en-US"/>
        </w:rPr>
      </w:pPr>
      <w:r w:rsidRPr="0020787B">
        <w:rPr>
          <w:color w:val="auto"/>
          <w:lang w:val="en-US"/>
        </w:rPr>
        <w:t>Chow, V.T., Maidment, D.R. and Mays, L.W. (1988). Applied Hydrology. McGraw Hill International Editions, Singapore.</w:t>
      </w:r>
    </w:p>
    <w:p w14:paraId="217990FB" w14:textId="77777777" w:rsidR="006F6A77" w:rsidRPr="0020787B" w:rsidRDefault="006F6A77" w:rsidP="006F6A77">
      <w:pPr>
        <w:rPr>
          <w:color w:val="auto"/>
          <w:lang w:val="en-US"/>
        </w:rPr>
      </w:pPr>
      <w:r w:rsidRPr="0020787B">
        <w:rPr>
          <w:color w:val="auto"/>
          <w:lang w:val="en-US"/>
        </w:rPr>
        <w:t>Clarke, K.R. and Gorley, R.N. (2015). PRIMER Version 7.0.12: User Manual/Tutorial, p. 296, PRIMER-E, Plymouth.</w:t>
      </w:r>
    </w:p>
    <w:p w14:paraId="4FBBAC6C" w14:textId="77777777" w:rsidR="006F6A77" w:rsidRPr="0020787B" w:rsidRDefault="006F6A77" w:rsidP="006F6A77">
      <w:pPr>
        <w:rPr>
          <w:color w:val="auto"/>
          <w:lang w:val="en-US"/>
        </w:rPr>
      </w:pPr>
      <w:r w:rsidRPr="0020787B">
        <w:rPr>
          <w:color w:val="auto"/>
          <w:lang w:val="en-US"/>
        </w:rPr>
        <w:lastRenderedPageBreak/>
        <w:t xml:space="preserve">Collier, C., van Dijk, K.-J., Erftemeijer, P., Foster, N., Hipsey, M., O'Loughlin, E., Ticli, K. and Waycott, M. (2017). Optimising Coorong </w:t>
      </w:r>
      <w:r w:rsidRPr="0020787B">
        <w:rPr>
          <w:i/>
          <w:iCs/>
          <w:color w:val="auto"/>
          <w:lang w:val="en-US"/>
        </w:rPr>
        <w:t>Ruppia</w:t>
      </w:r>
      <w:r w:rsidRPr="0020787B">
        <w:rPr>
          <w:color w:val="auto"/>
          <w:lang w:val="en-US"/>
        </w:rPr>
        <w:t xml:space="preserve"> habitat: Strategies to improve habitat conditions for </w:t>
      </w:r>
      <w:r w:rsidRPr="0020787B">
        <w:rPr>
          <w:i/>
          <w:iCs/>
          <w:color w:val="auto"/>
          <w:lang w:val="en-US"/>
        </w:rPr>
        <w:t>Ruppia tuberosa</w:t>
      </w:r>
      <w:r w:rsidRPr="0020787B">
        <w:rPr>
          <w:color w:val="auto"/>
          <w:lang w:val="en-US"/>
        </w:rPr>
        <w:t xml:space="preserve"> in the Coorong (South Australia) based on literature review, manipulative experiments and predictive modelling. In: Waycott, M. (Ed.), Reports to Department of Environment and Natural Resources (DEWNR). The University of Adelaide, School of Biological Sciences, Adelaide, South Australia, p. 169 pp.</w:t>
      </w:r>
    </w:p>
    <w:p w14:paraId="6DD290C2" w14:textId="77777777" w:rsidR="006F6A77" w:rsidRPr="0020787B" w:rsidRDefault="006F6A77" w:rsidP="006F6A77">
      <w:pPr>
        <w:rPr>
          <w:color w:val="auto"/>
        </w:rPr>
      </w:pPr>
      <w:r w:rsidRPr="0020787B">
        <w:rPr>
          <w:color w:val="auto"/>
        </w:rPr>
        <w:t>Cooling, M.P., Lloyd, L.N. and Walker, K.F. (2010). SA River Murray Weir Operating Strategy. Lloyd Environmental report to the SA Murray-Darling Basin NRM Board, Syndal, Victoria.</w:t>
      </w:r>
    </w:p>
    <w:p w14:paraId="42086766" w14:textId="77777777" w:rsidR="006F6A77" w:rsidRPr="0020787B" w:rsidRDefault="006F6A77" w:rsidP="006F6A77">
      <w:pPr>
        <w:rPr>
          <w:color w:val="auto"/>
        </w:rPr>
      </w:pPr>
      <w:r w:rsidRPr="0020787B">
        <w:rPr>
          <w:color w:val="auto"/>
        </w:rPr>
        <w:t>Cooper, S.D. and Goldman C.R. (1980). Opossum shrimp (</w:t>
      </w:r>
      <w:r w:rsidRPr="0020787B">
        <w:rPr>
          <w:i/>
          <w:color w:val="auto"/>
        </w:rPr>
        <w:t>Mysis relicta</w:t>
      </w:r>
      <w:r w:rsidRPr="0020787B">
        <w:rPr>
          <w:color w:val="auto"/>
        </w:rPr>
        <w:t xml:space="preserve">) predation on zooplankton. </w:t>
      </w:r>
      <w:r w:rsidRPr="0020787B">
        <w:rPr>
          <w:i/>
          <w:color w:val="auto"/>
        </w:rPr>
        <w:t>Canadian Journal of Fisheries and Aquatic Sciences</w:t>
      </w:r>
      <w:r w:rsidRPr="0020787B">
        <w:rPr>
          <w:color w:val="auto"/>
        </w:rPr>
        <w:t xml:space="preserve"> </w:t>
      </w:r>
      <w:r w:rsidRPr="0020787B">
        <w:rPr>
          <w:b/>
          <w:color w:val="auto"/>
        </w:rPr>
        <w:t>37</w:t>
      </w:r>
      <w:r w:rsidRPr="0020787B">
        <w:rPr>
          <w:color w:val="auto"/>
        </w:rPr>
        <w:t>, 909–919.</w:t>
      </w:r>
    </w:p>
    <w:p w14:paraId="577396E2" w14:textId="77777777" w:rsidR="006F6A77" w:rsidRPr="0020787B" w:rsidRDefault="006F6A77" w:rsidP="006F6A77">
      <w:pPr>
        <w:rPr>
          <w:color w:val="auto"/>
          <w:lang w:val="en-US"/>
        </w:rPr>
      </w:pPr>
      <w:r w:rsidRPr="0020787B">
        <w:rPr>
          <w:color w:val="auto"/>
          <w:lang w:val="en-US"/>
        </w:rPr>
        <w:t>Cunningham, G.M., Mulham, W.E., Milthorpe, P.L. and Leigh, J.H. (1992). Plants of Western New South Wales. 1 edn. CSIRO Publishing, Collingwood.</w:t>
      </w:r>
    </w:p>
    <w:p w14:paraId="08704C59" w14:textId="77777777" w:rsidR="006F6A77" w:rsidRPr="0020787B" w:rsidRDefault="006F6A77" w:rsidP="006F6A77">
      <w:pPr>
        <w:rPr>
          <w:color w:val="auto"/>
        </w:rPr>
      </w:pPr>
      <w:r w:rsidRPr="0020787B">
        <w:rPr>
          <w:color w:val="auto"/>
        </w:rPr>
        <w:t xml:space="preserve">Davis, T.L.O. (1977). Reproductive biology of the freshwater catfish, </w:t>
      </w:r>
      <w:r w:rsidRPr="0020787B">
        <w:rPr>
          <w:i/>
          <w:color w:val="auto"/>
        </w:rPr>
        <w:t>Tandanus tandanus</w:t>
      </w:r>
      <w:r w:rsidRPr="0020787B">
        <w:rPr>
          <w:color w:val="auto"/>
        </w:rPr>
        <w:t xml:space="preserve"> Mitchell, in the Gwydir River, Australia. II. Gonadal cycle and fecundity. </w:t>
      </w:r>
      <w:r w:rsidRPr="0020787B">
        <w:rPr>
          <w:i/>
          <w:color w:val="auto"/>
        </w:rPr>
        <w:t xml:space="preserve">Australian Journal of Marine and Freshwater Research </w:t>
      </w:r>
      <w:r w:rsidRPr="0020787B">
        <w:rPr>
          <w:b/>
          <w:color w:val="auto"/>
        </w:rPr>
        <w:t>28</w:t>
      </w:r>
      <w:r w:rsidRPr="0020787B">
        <w:rPr>
          <w:color w:val="auto"/>
        </w:rPr>
        <w:t>, 159–169.</w:t>
      </w:r>
    </w:p>
    <w:p w14:paraId="572DA98E" w14:textId="77777777" w:rsidR="006F6A77" w:rsidRPr="0020787B" w:rsidRDefault="006F6A77" w:rsidP="006F6A77">
      <w:pPr>
        <w:rPr>
          <w:color w:val="auto"/>
        </w:rPr>
      </w:pPr>
      <w:r w:rsidRPr="0020787B">
        <w:rPr>
          <w:color w:val="auto"/>
        </w:rPr>
        <w:t>Department for Environment and Water (2020a). Long-term environmental watering plan for the South Australian River Murray water resource plan area. November 2020.</w:t>
      </w:r>
    </w:p>
    <w:p w14:paraId="0DCE8168" w14:textId="77777777" w:rsidR="006F6A77" w:rsidRPr="0020787B" w:rsidRDefault="006F6A77" w:rsidP="006F6A77">
      <w:pPr>
        <w:rPr>
          <w:color w:val="auto"/>
          <w:lang w:val="en-US"/>
        </w:rPr>
      </w:pPr>
      <w:r w:rsidRPr="0020787B">
        <w:rPr>
          <w:color w:val="auto"/>
          <w:lang w:val="en-US"/>
        </w:rPr>
        <w:t>Department for Environment and Water (2020b). South Australian River Murray Basin Plan Environmental Outcome Evaluation: SA Channel and Floodplain Priority Environmental Assets, DEW Technical report 2020/19. Government of South Australia, Department for Environment and Water, Adelaide.</w:t>
      </w:r>
    </w:p>
    <w:p w14:paraId="46473DEF" w14:textId="77777777" w:rsidR="006F6A77" w:rsidRPr="0020787B" w:rsidRDefault="006F6A77" w:rsidP="006F6A77">
      <w:pPr>
        <w:rPr>
          <w:color w:val="auto"/>
          <w:lang w:val="en-US"/>
        </w:rPr>
      </w:pPr>
      <w:r w:rsidRPr="0020787B">
        <w:rPr>
          <w:color w:val="auto"/>
          <w:lang w:val="en-US"/>
        </w:rPr>
        <w:t>Department for Environment and Water (2024). South Australian River Murray Water for the Environment Report 2022-23. Government of South Australia, Department for Environment and Water, Adelaide.</w:t>
      </w:r>
    </w:p>
    <w:p w14:paraId="361FDAC8" w14:textId="77777777" w:rsidR="006F6A77" w:rsidRPr="0020787B" w:rsidRDefault="006F6A77" w:rsidP="006F6A77">
      <w:pPr>
        <w:rPr>
          <w:color w:val="auto"/>
          <w:lang w:val="en-US"/>
        </w:rPr>
      </w:pPr>
      <w:r w:rsidRPr="0020787B">
        <w:rPr>
          <w:color w:val="auto"/>
          <w:lang w:val="it-IT"/>
        </w:rPr>
        <w:t xml:space="preserve">Dickopp, J., Kazda, M., Cizkova, H. (2011). </w:t>
      </w:r>
      <w:r w:rsidRPr="0020787B">
        <w:rPr>
          <w:color w:val="auto"/>
          <w:lang w:val="en-US"/>
        </w:rPr>
        <w:t xml:space="preserve">Differences in rhizome aeration of </w:t>
      </w:r>
      <w:r w:rsidRPr="0020787B">
        <w:rPr>
          <w:i/>
          <w:iCs/>
          <w:color w:val="auto"/>
          <w:lang w:val="en-US"/>
        </w:rPr>
        <w:t>Phragmites australis</w:t>
      </w:r>
      <w:r w:rsidRPr="0020787B">
        <w:rPr>
          <w:color w:val="auto"/>
          <w:lang w:val="en-US"/>
        </w:rPr>
        <w:t xml:space="preserve"> in a constructed wetland. </w:t>
      </w:r>
      <w:r w:rsidRPr="0020787B">
        <w:rPr>
          <w:i/>
          <w:iCs/>
          <w:color w:val="auto"/>
          <w:lang w:val="en-US"/>
        </w:rPr>
        <w:t>Ecological Engineering</w:t>
      </w:r>
      <w:r w:rsidRPr="0020787B">
        <w:rPr>
          <w:color w:val="auto"/>
          <w:lang w:val="en-US"/>
        </w:rPr>
        <w:t xml:space="preserve"> </w:t>
      </w:r>
      <w:r w:rsidRPr="0020787B">
        <w:rPr>
          <w:b/>
          <w:bCs/>
          <w:color w:val="auto"/>
          <w:lang w:val="en-US"/>
        </w:rPr>
        <w:t>37</w:t>
      </w:r>
      <w:r w:rsidRPr="0020787B">
        <w:rPr>
          <w:color w:val="auto"/>
          <w:lang w:val="en-US"/>
        </w:rPr>
        <w:t xml:space="preserve"> 1647–1653.</w:t>
      </w:r>
    </w:p>
    <w:p w14:paraId="7F190624" w14:textId="77777777" w:rsidR="006F6A77" w:rsidRPr="0020787B" w:rsidRDefault="006F6A77" w:rsidP="006F6A77">
      <w:pPr>
        <w:rPr>
          <w:color w:val="auto"/>
          <w:lang w:val="en-US"/>
        </w:rPr>
      </w:pPr>
      <w:r w:rsidRPr="0020787B">
        <w:rPr>
          <w:color w:val="auto"/>
          <w:lang w:val="en-US"/>
        </w:rPr>
        <w:t xml:space="preserve">Dufrene, M. and Legendre, P. (1997). Species assemblages and indicator species: the need for a flexible asymmetrical approach. </w:t>
      </w:r>
      <w:r w:rsidRPr="0020787B">
        <w:rPr>
          <w:i/>
          <w:iCs/>
          <w:color w:val="auto"/>
          <w:lang w:val="en-US"/>
        </w:rPr>
        <w:t>Ecological Monographs</w:t>
      </w:r>
      <w:r w:rsidRPr="0020787B">
        <w:rPr>
          <w:color w:val="auto"/>
          <w:lang w:val="en-US"/>
        </w:rPr>
        <w:t xml:space="preserve"> </w:t>
      </w:r>
      <w:r w:rsidRPr="0020787B">
        <w:rPr>
          <w:b/>
          <w:bCs/>
          <w:color w:val="auto"/>
          <w:lang w:val="en-US"/>
        </w:rPr>
        <w:t>67</w:t>
      </w:r>
      <w:r w:rsidRPr="0020787B">
        <w:rPr>
          <w:color w:val="auto"/>
          <w:lang w:val="en-US"/>
        </w:rPr>
        <w:t>, 345–366.</w:t>
      </w:r>
    </w:p>
    <w:p w14:paraId="7E0D8AF6" w14:textId="77777777" w:rsidR="006F6A77" w:rsidRPr="0020787B" w:rsidRDefault="006F6A77" w:rsidP="006F6A77">
      <w:pPr>
        <w:rPr>
          <w:noProof/>
          <w:color w:val="auto"/>
        </w:rPr>
      </w:pPr>
      <w:r w:rsidRPr="0020787B">
        <w:rPr>
          <w:noProof/>
          <w:color w:val="auto"/>
        </w:rPr>
        <w:t>Dyer, F., Broadhurst, B., Tschierschke, A., Thiem, J., Thompson, R., Bowen, S., Asmus, M., Brandis, K., Lyons, M., Spencer, J., Callaghan, D., Driver, P. and Lenehan, J. (2017). Commonwealth Environmental Water Office Long Term Intervention Monitoring Project: Lower Lachlan river system Selected Area 2016-17 Monitoring and Evaluation Report. Commonwealth of Australia, 2017.</w:t>
      </w:r>
    </w:p>
    <w:p w14:paraId="6898F12E" w14:textId="77777777" w:rsidR="006F6A77" w:rsidRPr="0020787B" w:rsidRDefault="006F6A77" w:rsidP="006F6A77">
      <w:pPr>
        <w:rPr>
          <w:color w:val="auto"/>
          <w:lang w:val="en-US"/>
        </w:rPr>
      </w:pPr>
      <w:r w:rsidRPr="0020787B">
        <w:rPr>
          <w:color w:val="auto"/>
          <w:lang w:val="en-US"/>
        </w:rPr>
        <w:t xml:space="preserve">Froend, R.H. and McComb, A.J. (1994). Distribution, productivity and reproductive phenology of emergent macrophytes in relation to water regimes at wetlands of south-western Australia. </w:t>
      </w:r>
      <w:r w:rsidRPr="0020787B">
        <w:rPr>
          <w:i/>
          <w:iCs/>
          <w:color w:val="auto"/>
          <w:lang w:val="en-US"/>
        </w:rPr>
        <w:t xml:space="preserve">Australian Journal of Marine and Freshwater Research </w:t>
      </w:r>
      <w:r w:rsidRPr="0020787B">
        <w:rPr>
          <w:b/>
          <w:bCs/>
          <w:color w:val="auto"/>
          <w:lang w:val="en-US"/>
        </w:rPr>
        <w:t>45</w:t>
      </w:r>
      <w:r w:rsidRPr="0020787B">
        <w:rPr>
          <w:color w:val="auto"/>
          <w:lang w:val="en-US"/>
        </w:rPr>
        <w:t>, 1491–1508.</w:t>
      </w:r>
    </w:p>
    <w:p w14:paraId="4E696E9E" w14:textId="77777777" w:rsidR="006F6A77" w:rsidRPr="0020787B" w:rsidRDefault="006F6A77" w:rsidP="006F6A77">
      <w:pPr>
        <w:rPr>
          <w:noProof/>
          <w:color w:val="auto"/>
        </w:rPr>
      </w:pPr>
      <w:r w:rsidRPr="0020787B">
        <w:rPr>
          <w:noProof/>
          <w:color w:val="auto"/>
        </w:rPr>
        <w:t>Furst, D. (2020). The influence of weir pool raising on microinvertebrate communities in the lower Murray River at Lock 2 in spring 2019. A report to the Department for Environment and Water.</w:t>
      </w:r>
    </w:p>
    <w:p w14:paraId="3DC5755F" w14:textId="77777777" w:rsidR="006F6A77" w:rsidRPr="0020787B" w:rsidRDefault="006F6A77" w:rsidP="006F6A77">
      <w:pPr>
        <w:rPr>
          <w:noProof/>
          <w:color w:val="auto"/>
        </w:rPr>
      </w:pPr>
      <w:r w:rsidRPr="0020787B">
        <w:rPr>
          <w:noProof/>
          <w:color w:val="auto"/>
        </w:rPr>
        <w:t>Furst, D., Aldridge, K., Bice, C., Zampatti, B. and Ye, Q. (2018).  Ecological response to the Lake Victoria bypass trial 2015–2017. Report to the Commonwealth Environmental Water Office, Canberra.</w:t>
      </w:r>
    </w:p>
    <w:p w14:paraId="5B348C69" w14:textId="77777777" w:rsidR="006F6A77" w:rsidRPr="0020787B" w:rsidRDefault="006F6A77" w:rsidP="006F6A77">
      <w:pPr>
        <w:rPr>
          <w:noProof/>
          <w:color w:val="auto"/>
        </w:rPr>
      </w:pPr>
      <w:r w:rsidRPr="0020787B">
        <w:rPr>
          <w:noProof/>
          <w:color w:val="auto"/>
        </w:rPr>
        <w:lastRenderedPageBreak/>
        <w:t>Furst, D., Ye, Q., Bice, C., McInerny, P., Biswas, T., Rees, G. and Watts, R. (2020).  Zooplankton response to a multi-site environmental watering event during spring 2019 in the River Murray. A report to the Commonwealth Environmental Water Office, Canberra. Project number: CEWO- 2000007157.</w:t>
      </w:r>
    </w:p>
    <w:p w14:paraId="09FB7C41" w14:textId="77777777" w:rsidR="006F6A77" w:rsidRPr="0020787B" w:rsidRDefault="006F6A77" w:rsidP="006F6A77">
      <w:pPr>
        <w:rPr>
          <w:color w:val="auto"/>
          <w:lang w:val="en-US"/>
        </w:rPr>
      </w:pPr>
      <w:r w:rsidRPr="0020787B">
        <w:rPr>
          <w:color w:val="auto"/>
          <w:lang w:val="en-US"/>
        </w:rPr>
        <w:t xml:space="preserve">Gawne, B., Hale, J., Butcher, R., Brooks, S., Roots, J., Cottingham, P., Stewardson, M. and Everingham, P. (2014). Commonwealth Environmental Water Office Long Term Intervention Monitoring Project: Evaluation Plan. Final Report prepared for the Commonwealth Environmental Water Office by The Murray–Darling Freshwater Research Centre. MDFRC Publication 29/2014. </w:t>
      </w:r>
    </w:p>
    <w:p w14:paraId="0FDA7081" w14:textId="77777777" w:rsidR="006F6A77" w:rsidRPr="0020787B" w:rsidRDefault="006F6A77" w:rsidP="006F6A77">
      <w:pPr>
        <w:rPr>
          <w:color w:val="auto"/>
          <w:lang w:val="en-US"/>
        </w:rPr>
      </w:pPr>
      <w:r w:rsidRPr="0020787B">
        <w:rPr>
          <w:color w:val="auto"/>
          <w:lang w:val="en-US"/>
        </w:rPr>
        <w:t>Gehrig, S.L., Frahn, K.A. and Nicol, J.M. (2016). Monitoring the response of littoral and floodplain vegetation and soil moisture flux to weir pool raising – 2015. South Australian Research and Development Institute (Aquatic Sciences), Adelaide. SARDI Publication No. F2015/000390-2.</w:t>
      </w:r>
    </w:p>
    <w:p w14:paraId="4A1AC2C1" w14:textId="77777777" w:rsidR="006F6A77" w:rsidRPr="0020787B" w:rsidRDefault="006F6A77" w:rsidP="006F6A77">
      <w:pPr>
        <w:rPr>
          <w:color w:val="auto"/>
          <w:lang w:val="en-US"/>
        </w:rPr>
      </w:pPr>
      <w:r w:rsidRPr="0020787B">
        <w:rPr>
          <w:color w:val="auto"/>
          <w:lang w:val="en-US"/>
        </w:rPr>
        <w:t>Giatas, G., Catalano, S., Dittmann, S., Ye, Q., Jackson, M., Mott, R. and Markos, K. (2022). Primary food resources for key waterbird and benthic fish in the Coorong. Goyder Institute for Water Research Technical Report Series No. 22/02.</w:t>
      </w:r>
    </w:p>
    <w:p w14:paraId="7FAE414C" w14:textId="77777777" w:rsidR="006F6A77" w:rsidRPr="0020787B" w:rsidRDefault="006F6A77" w:rsidP="006F6A77">
      <w:pPr>
        <w:rPr>
          <w:color w:val="auto"/>
          <w:lang w:val="en-US"/>
        </w:rPr>
      </w:pPr>
      <w:r w:rsidRPr="0020787B">
        <w:rPr>
          <w:color w:val="auto"/>
          <w:lang w:val="en-US"/>
        </w:rPr>
        <w:t>Gibbs, M.S., Bice, C., Brookes, J., Furst, D., Gao, L., Joehnk, K. Marklund, M. Nicol, J. Zampatti, B. and Wallace, T. (2020). Ecological connectivity of the River Murray: Managing ecological outcomes and water quality risks through integrated river management. Goyder Institute for Water Research Technical Report Series No. 20/03.</w:t>
      </w:r>
    </w:p>
    <w:p w14:paraId="5B0C02FC" w14:textId="77777777" w:rsidR="006F6A77" w:rsidRPr="0020787B" w:rsidRDefault="006F6A77" w:rsidP="006F6A77">
      <w:pPr>
        <w:rPr>
          <w:color w:val="auto"/>
          <w:lang w:val="en-US"/>
        </w:rPr>
      </w:pPr>
      <w:r w:rsidRPr="0020787B">
        <w:rPr>
          <w:color w:val="auto"/>
          <w:lang w:val="en-US"/>
        </w:rPr>
        <w:t xml:space="preserve">Gibbs, M., Bice, C., Furst, D., Gao, L., Joehnk, K., McCullough, D., Montazeri, M., Nicol, J., Smart, J., Wallace, T., Zampatti, B. and Brookes, J. (2023). Using hydraulics to evaluate ecological benefits, risks, and trade-offs from engineered flooding. </w:t>
      </w:r>
      <w:r w:rsidRPr="0020787B">
        <w:rPr>
          <w:i/>
          <w:iCs/>
          <w:color w:val="auto"/>
          <w:lang w:val="en-US"/>
        </w:rPr>
        <w:t>Hydrological Processes</w:t>
      </w:r>
      <w:r w:rsidRPr="0020787B">
        <w:rPr>
          <w:color w:val="auto"/>
          <w:lang w:val="en-US"/>
        </w:rPr>
        <w:t xml:space="preserve"> </w:t>
      </w:r>
      <w:r w:rsidRPr="0020787B">
        <w:rPr>
          <w:b/>
          <w:bCs/>
          <w:color w:val="auto"/>
          <w:lang w:val="en-US"/>
        </w:rPr>
        <w:t>37</w:t>
      </w:r>
      <w:r w:rsidRPr="0020787B">
        <w:rPr>
          <w:color w:val="auto"/>
          <w:lang w:val="en-US"/>
        </w:rPr>
        <w:t>, e15024.</w:t>
      </w:r>
      <w:r w:rsidRPr="0020787B">
        <w:rPr>
          <w:color w:val="auto"/>
        </w:rPr>
        <w:t xml:space="preserve"> </w:t>
      </w:r>
    </w:p>
    <w:p w14:paraId="76DB597B" w14:textId="77777777" w:rsidR="006F6A77" w:rsidRPr="0020787B" w:rsidRDefault="006F6A77" w:rsidP="006F6A77">
      <w:pPr>
        <w:rPr>
          <w:color w:val="auto"/>
          <w:lang w:val="en-US"/>
        </w:rPr>
      </w:pPr>
      <w:r w:rsidRPr="0020787B">
        <w:rPr>
          <w:color w:val="auto"/>
          <w:lang w:val="en-US"/>
        </w:rPr>
        <w:t xml:space="preserve">Grace, M.R., Giling, D.P., Hladyz, S., Caron, V., Thompson, R.M. and Mac Nally, R. (2015). Fast processing of diel oxygen curves: estimating stream metabolism with BASE (Bayesian Single-station Estimation). </w:t>
      </w:r>
      <w:r w:rsidRPr="0020787B">
        <w:rPr>
          <w:i/>
          <w:color w:val="auto"/>
          <w:lang w:val="en-US"/>
        </w:rPr>
        <w:t>Limnology &amp; Oceanography: Methods</w:t>
      </w:r>
      <w:r w:rsidRPr="0020787B">
        <w:rPr>
          <w:color w:val="auto"/>
          <w:lang w:val="en-US"/>
        </w:rPr>
        <w:t xml:space="preserve"> </w:t>
      </w:r>
      <w:r w:rsidRPr="0020787B">
        <w:rPr>
          <w:b/>
          <w:color w:val="auto"/>
          <w:lang w:val="en-US"/>
        </w:rPr>
        <w:t>13</w:t>
      </w:r>
      <w:r w:rsidRPr="0020787B">
        <w:rPr>
          <w:color w:val="auto"/>
          <w:lang w:val="en-US"/>
        </w:rPr>
        <w:t>, 103–114.</w:t>
      </w:r>
    </w:p>
    <w:p w14:paraId="5804BF04" w14:textId="77777777" w:rsidR="006F6A77" w:rsidRPr="0020787B" w:rsidRDefault="006F6A77" w:rsidP="006F6A77">
      <w:pPr>
        <w:rPr>
          <w:color w:val="auto"/>
          <w:lang w:val="en-US"/>
        </w:rPr>
      </w:pPr>
      <w:r w:rsidRPr="0020787B">
        <w:rPr>
          <w:color w:val="auto"/>
          <w:lang w:val="en-US"/>
        </w:rPr>
        <w:t xml:space="preserve">Graeber, D., Poulsen, J.R., Heinz, M., Rasmussen, J.J., Zak, D., Gücker, B., Kronvang, B. and Kamjunke, N. (2018). Going with the flow: Planktonic processing of dissolved organic carbon in streams. </w:t>
      </w:r>
      <w:r w:rsidRPr="0020787B">
        <w:rPr>
          <w:i/>
          <w:color w:val="auto"/>
          <w:lang w:val="en-US"/>
        </w:rPr>
        <w:t>Science of The Total Environment</w:t>
      </w:r>
      <w:r w:rsidRPr="0020787B">
        <w:rPr>
          <w:color w:val="auto"/>
          <w:lang w:val="en-US"/>
        </w:rPr>
        <w:t xml:space="preserve"> </w:t>
      </w:r>
      <w:r w:rsidRPr="0020787B">
        <w:rPr>
          <w:b/>
          <w:color w:val="auto"/>
          <w:lang w:val="en-US"/>
        </w:rPr>
        <w:t>625</w:t>
      </w:r>
      <w:r w:rsidRPr="0020787B">
        <w:rPr>
          <w:color w:val="auto"/>
          <w:lang w:val="en-US"/>
        </w:rPr>
        <w:t>, 519–530.</w:t>
      </w:r>
    </w:p>
    <w:p w14:paraId="4920D5B1" w14:textId="77777777" w:rsidR="006F6A77" w:rsidRPr="0020787B" w:rsidRDefault="006F6A77" w:rsidP="006F6A77">
      <w:pPr>
        <w:rPr>
          <w:color w:val="auto"/>
          <w:lang w:val="en-US"/>
        </w:rPr>
      </w:pPr>
      <w:r w:rsidRPr="0020787B">
        <w:rPr>
          <w:color w:val="auto"/>
          <w:lang w:val="en-US"/>
        </w:rPr>
        <w:t xml:space="preserve">Grill, G., Lehner, B., Thieme, M., Geenen, B., Tickner, D., Antonelli, F., Babu, S., Borrelli, P., Cheng, L., Crochetiere, H., Ehalt Macedo, H., Filgueiras, R., Goichot, M., Higgins, J., Hogan, Z., Lip, B., McClain, M. E., Meng, J., Mulligan, M., Nilsson, C., Olden, J.D., Opperman, J.J., Petry, P., Liermann, C. R., Sa´enz, L., Salinas-Rodrı´guez, S., Schelle, P., Schmitt, R.J.P., Snider, J., Tan, F., Tockner, K., Valdujo, P.H., van Soesbergen, A. and Zarfl, S.C. (2019). Mapping the world’s free flowing rivers. </w:t>
      </w:r>
      <w:r w:rsidRPr="0020787B">
        <w:rPr>
          <w:i/>
          <w:iCs/>
          <w:color w:val="auto"/>
          <w:lang w:val="en-US"/>
        </w:rPr>
        <w:t>Nature</w:t>
      </w:r>
      <w:r w:rsidRPr="0020787B">
        <w:rPr>
          <w:color w:val="auto"/>
          <w:lang w:val="en-US"/>
        </w:rPr>
        <w:t xml:space="preserve"> </w:t>
      </w:r>
      <w:r w:rsidRPr="0020787B">
        <w:rPr>
          <w:b/>
          <w:bCs/>
          <w:color w:val="auto"/>
          <w:lang w:val="en-US"/>
        </w:rPr>
        <w:t>569</w:t>
      </w:r>
      <w:r w:rsidRPr="0020787B">
        <w:rPr>
          <w:color w:val="auto"/>
          <w:lang w:val="en-US"/>
        </w:rPr>
        <w:t>, 215–221.</w:t>
      </w:r>
    </w:p>
    <w:p w14:paraId="0BB2CDF5" w14:textId="77777777" w:rsidR="006F6A77" w:rsidRPr="0020787B" w:rsidRDefault="006F6A77" w:rsidP="006F6A77">
      <w:pPr>
        <w:rPr>
          <w:color w:val="auto"/>
          <w:lang w:val="en-US"/>
        </w:rPr>
      </w:pPr>
      <w:r w:rsidRPr="0020787B">
        <w:rPr>
          <w:color w:val="auto"/>
          <w:lang w:val="en-US"/>
        </w:rPr>
        <w:t>Grime, J.P. (1979). Plant Strategies and Vegetation Processes, John Wiley and Sons Ltd, Chichester.</w:t>
      </w:r>
    </w:p>
    <w:p w14:paraId="6593DDA2" w14:textId="77777777" w:rsidR="006F6A77" w:rsidRPr="0020787B" w:rsidRDefault="006F6A77" w:rsidP="006F6A77">
      <w:pPr>
        <w:rPr>
          <w:color w:val="auto"/>
          <w:lang w:val="en-US"/>
        </w:rPr>
      </w:pPr>
      <w:r w:rsidRPr="0020787B">
        <w:rPr>
          <w:color w:val="auto"/>
          <w:lang w:val="en-US"/>
        </w:rPr>
        <w:t>Hale, J., Stoffels, R., Butcher, R., Shackleton, M., Brooks, S. and Gawne, B. (2014). Commonwealth Environmental Water Office Long Term Intervention Monitoring Project – Standard Methods. Final Report prepared for the Commonwealth Environmental Water Office by The Murray-Darling Freshwater Research Centre. Murray-Darling Freshwater Research Centre, MDFRC Publication 29.2/2014.</w:t>
      </w:r>
    </w:p>
    <w:p w14:paraId="74AA8171" w14:textId="77777777" w:rsidR="006F6A77" w:rsidRPr="0020787B" w:rsidRDefault="006F6A77" w:rsidP="006F6A77">
      <w:pPr>
        <w:rPr>
          <w:color w:val="auto"/>
        </w:rPr>
      </w:pPr>
      <w:r w:rsidRPr="0020787B">
        <w:rPr>
          <w:color w:val="auto"/>
        </w:rPr>
        <w:lastRenderedPageBreak/>
        <w:t xml:space="preserve">Heinle, D.R. (1969). Temperature and zooplankton. </w:t>
      </w:r>
      <w:r w:rsidRPr="0020787B">
        <w:rPr>
          <w:i/>
          <w:iCs/>
          <w:color w:val="auto"/>
        </w:rPr>
        <w:t>Chesapeake Science</w:t>
      </w:r>
      <w:r w:rsidRPr="0020787B">
        <w:rPr>
          <w:color w:val="auto"/>
        </w:rPr>
        <w:t xml:space="preserve"> </w:t>
      </w:r>
      <w:r w:rsidRPr="0020787B">
        <w:rPr>
          <w:b/>
          <w:bCs/>
          <w:color w:val="auto"/>
        </w:rPr>
        <w:t>10</w:t>
      </w:r>
      <w:r w:rsidRPr="0020787B">
        <w:rPr>
          <w:color w:val="auto"/>
        </w:rPr>
        <w:t>, 186–209.</w:t>
      </w:r>
    </w:p>
    <w:p w14:paraId="4C34B3FA" w14:textId="77777777" w:rsidR="006F6A77" w:rsidRPr="0020787B" w:rsidRDefault="006F6A77" w:rsidP="006F6A77">
      <w:pPr>
        <w:rPr>
          <w:color w:val="auto"/>
        </w:rPr>
      </w:pPr>
      <w:r w:rsidRPr="0020787B">
        <w:rPr>
          <w:color w:val="auto"/>
        </w:rPr>
        <w:t xml:space="preserve">Herczeg, A.L., Dogramaci, S.S. and Leaney, F.W.J. (2001). Origin of dissolved salts in a large, semi-arid groundwater system: Murray Basin, Australia. </w:t>
      </w:r>
      <w:r w:rsidRPr="0020787B">
        <w:rPr>
          <w:i/>
          <w:color w:val="auto"/>
        </w:rPr>
        <w:t>Marine and Freshwater Research</w:t>
      </w:r>
      <w:r w:rsidRPr="0020787B">
        <w:rPr>
          <w:color w:val="auto"/>
        </w:rPr>
        <w:t xml:space="preserve"> </w:t>
      </w:r>
      <w:r w:rsidRPr="0020787B">
        <w:rPr>
          <w:b/>
          <w:color w:val="auto"/>
        </w:rPr>
        <w:t>52</w:t>
      </w:r>
      <w:r w:rsidRPr="0020787B">
        <w:rPr>
          <w:color w:val="auto"/>
        </w:rPr>
        <w:t>, 41–51.</w:t>
      </w:r>
    </w:p>
    <w:p w14:paraId="1CE95544" w14:textId="7CAD4970" w:rsidR="006F6A77" w:rsidRPr="0020787B" w:rsidRDefault="006F6A77" w:rsidP="006F6A77">
      <w:pPr>
        <w:rPr>
          <w:color w:val="auto"/>
        </w:rPr>
      </w:pPr>
      <w:bookmarkStart w:id="582" w:name="_Hlk127956156"/>
      <w:r w:rsidRPr="0020787B">
        <w:rPr>
          <w:color w:val="auto"/>
        </w:rPr>
        <w:t>Hipsey, M.R., Huang, P., Zhai, S., Busch, B.</w:t>
      </w:r>
      <w:r w:rsidR="00797166" w:rsidRPr="0020787B">
        <w:rPr>
          <w:color w:val="auto"/>
        </w:rPr>
        <w:t>,</w:t>
      </w:r>
      <w:r w:rsidRPr="0020787B">
        <w:rPr>
          <w:color w:val="auto"/>
        </w:rPr>
        <w:t xml:space="preserve"> Paraska, D. and Sims, C. (2022). The Coorong Dynamics Model. Available from frmics.github.io/cdm-science/index.html.</w:t>
      </w:r>
    </w:p>
    <w:bookmarkEnd w:id="582"/>
    <w:p w14:paraId="227AC73F" w14:textId="77777777" w:rsidR="002A4B7E" w:rsidRPr="0020787B" w:rsidRDefault="002A4B7E" w:rsidP="002A4B7E">
      <w:pPr>
        <w:rPr>
          <w:color w:val="auto"/>
        </w:rPr>
      </w:pPr>
      <w:r w:rsidRPr="0020787B">
        <w:rPr>
          <w:color w:val="auto"/>
        </w:rPr>
        <w:t xml:space="preserve">Hladyz, S., Baumgartner, L., Bice, C., Broadhurst, B., Butler, G., Fanson, B., Giatas, G., Koster, W., Lyon, J., McCasker, N., Stocks, J., Stuart, I., Thiem, J., Tonkin, Z., Ye, Q., Yen, J. and Zampatti, B. (2024). Basin-scale evaluation of 2022–23 Commonwealth environmental water: Fish. Flow-MER Program. Commonwealth Environmental Water Holder, Department of Climate Change, Energy, the Environment and Water, Australia. </w:t>
      </w:r>
    </w:p>
    <w:p w14:paraId="3E78C435" w14:textId="77777777" w:rsidR="006F6A77" w:rsidRPr="0020787B" w:rsidRDefault="006F6A77" w:rsidP="006F6A77">
      <w:pPr>
        <w:rPr>
          <w:color w:val="auto"/>
        </w:rPr>
      </w:pPr>
      <w:r w:rsidRPr="0020787B">
        <w:rPr>
          <w:color w:val="auto"/>
        </w:rPr>
        <w:t>Hladyz, S., Baumgartner, L., Bice, C., Butler, G., Fanson, B., Giatas, G., Koster, W., Lyon, J., Stuart, I., Thiem, J., Tonkin, Z., Ye, Q., Yen, J. and Zampatti, B. (2021). Basin-scale evaluation of 2019-20 Commonwealth environmental water: Fish. Flow-MER Program. Commonwealth Environmental Water Office (CEWO): Monitoring, Evaluation and Research Program, Department of Agriculture, Water and the Environment, Australia. 106pp.</w:t>
      </w:r>
    </w:p>
    <w:p w14:paraId="18186BCE" w14:textId="77777777" w:rsidR="002A4B7E" w:rsidRPr="0020787B" w:rsidRDefault="002A4B7E" w:rsidP="002A4B7E">
      <w:pPr>
        <w:rPr>
          <w:color w:val="auto"/>
        </w:rPr>
      </w:pPr>
      <w:r w:rsidRPr="0020787B">
        <w:rPr>
          <w:color w:val="auto"/>
        </w:rPr>
        <w:t>Huang, P., Mosley, L., Brookes, J. D., Sims, C., Waycott, M., Paraska, D., Zhai, S.Y. &amp; Hipsey, M.R. (2024). Hydrologic versus biogeochemical control of nutrient dynamics in a shallow hypersaline coastal lagoon: Insight from a coupled hydrodynamic</w:t>
      </w:r>
      <w:r w:rsidRPr="0020787B">
        <w:rPr>
          <w:rFonts w:ascii="Cambria Math" w:hAnsi="Cambria Math" w:cs="Cambria Math"/>
          <w:color w:val="auto"/>
        </w:rPr>
        <w:t>‐</w:t>
      </w:r>
      <w:r w:rsidRPr="0020787B">
        <w:rPr>
          <w:color w:val="auto"/>
        </w:rPr>
        <w:t xml:space="preserve">water quality model. </w:t>
      </w:r>
      <w:r w:rsidRPr="0020787B">
        <w:rPr>
          <w:i/>
          <w:iCs/>
          <w:color w:val="auto"/>
        </w:rPr>
        <w:t>Journal of Geophysical Research: Biogeosciences</w:t>
      </w:r>
      <w:r w:rsidRPr="0020787B">
        <w:rPr>
          <w:color w:val="auto"/>
        </w:rPr>
        <w:t xml:space="preserve">, </w:t>
      </w:r>
      <w:r w:rsidRPr="0020787B">
        <w:rPr>
          <w:b/>
          <w:bCs/>
          <w:color w:val="auto"/>
        </w:rPr>
        <w:t>129</w:t>
      </w:r>
      <w:r w:rsidRPr="0020787B">
        <w:rPr>
          <w:color w:val="auto"/>
        </w:rPr>
        <w:t xml:space="preserve">, e2023JG007497. </w:t>
      </w:r>
    </w:p>
    <w:p w14:paraId="7D58009A" w14:textId="55A0A9C2" w:rsidR="008B0233" w:rsidRPr="0020787B" w:rsidRDefault="008B0233" w:rsidP="006F6A77">
      <w:pPr>
        <w:rPr>
          <w:color w:val="auto"/>
        </w:rPr>
      </w:pPr>
      <w:r w:rsidRPr="0020787B">
        <w:rPr>
          <w:color w:val="auto"/>
        </w:rPr>
        <w:t>Huang, J., Welsh, D., Erler, D., Ferguson, A., Brookes, J., Keneally, C., Chilton, D., Dittmann, S., Lam-Gordillo, O., Southgate, M., Simpson, S. and Mosley, L.M. (2022). Coorong nutrient cycling and fluxes. Goyder Institute for Water Research Technical Report Series No. 22/07.</w:t>
      </w:r>
    </w:p>
    <w:p w14:paraId="6ED7DB87" w14:textId="77777777" w:rsidR="006F6A77" w:rsidRPr="0020787B" w:rsidRDefault="006F6A77" w:rsidP="006F6A77">
      <w:pPr>
        <w:rPr>
          <w:color w:val="auto"/>
        </w:rPr>
      </w:pPr>
      <w:r w:rsidRPr="0020787B">
        <w:rPr>
          <w:color w:val="auto"/>
        </w:rPr>
        <w:t xml:space="preserve">Humphries, P. (2005). Spawning time and early life history of Murray cod, </w:t>
      </w:r>
      <w:r w:rsidRPr="0020787B">
        <w:rPr>
          <w:i/>
          <w:iCs/>
          <w:color w:val="auto"/>
        </w:rPr>
        <w:t>Maccullochella peelii peelii</w:t>
      </w:r>
      <w:r w:rsidRPr="0020787B">
        <w:rPr>
          <w:color w:val="auto"/>
        </w:rPr>
        <w:t xml:space="preserve"> (Mitchell) in an Australian river. </w:t>
      </w:r>
      <w:r w:rsidRPr="0020787B">
        <w:rPr>
          <w:i/>
          <w:iCs/>
          <w:color w:val="auto"/>
        </w:rPr>
        <w:t>Environmental Biology of Fishes</w:t>
      </w:r>
      <w:r w:rsidRPr="0020787B">
        <w:rPr>
          <w:color w:val="auto"/>
        </w:rPr>
        <w:t xml:space="preserve"> </w:t>
      </w:r>
      <w:r w:rsidRPr="0020787B">
        <w:rPr>
          <w:b/>
          <w:bCs/>
          <w:color w:val="auto"/>
        </w:rPr>
        <w:t>72</w:t>
      </w:r>
      <w:r w:rsidRPr="0020787B">
        <w:rPr>
          <w:color w:val="auto"/>
        </w:rPr>
        <w:t>, 393–407.</w:t>
      </w:r>
    </w:p>
    <w:p w14:paraId="6A0DC2AD" w14:textId="77777777" w:rsidR="006F6A77" w:rsidRPr="0020787B" w:rsidRDefault="006F6A77" w:rsidP="006F6A77">
      <w:pPr>
        <w:rPr>
          <w:color w:val="auto"/>
        </w:rPr>
      </w:pPr>
      <w:r w:rsidRPr="0020787B">
        <w:rPr>
          <w:color w:val="auto"/>
        </w:rPr>
        <w:t>Ingram, B.A., Ho, H.H., Turchini, G.M. and Holland, M. (2012). Gamete quality and spawning in captive Murray cod broodstock. Fisheries Victoria Research Report Series No. 58.</w:t>
      </w:r>
    </w:p>
    <w:p w14:paraId="2CF251C6" w14:textId="77777777" w:rsidR="006F6A77" w:rsidRPr="0020787B" w:rsidRDefault="006F6A77" w:rsidP="006F6A77">
      <w:pPr>
        <w:rPr>
          <w:color w:val="auto"/>
          <w:lang w:val="en-US"/>
        </w:rPr>
      </w:pPr>
      <w:r w:rsidRPr="0020787B">
        <w:rPr>
          <w:color w:val="auto"/>
          <w:lang w:val="en-US"/>
        </w:rPr>
        <w:t xml:space="preserve">Jansen, A and Robertson, A.I. (2001). Riparian bird communities in relation to land management practices in floodplain woodlands of south-eastern Australia. </w:t>
      </w:r>
      <w:r w:rsidRPr="0020787B">
        <w:rPr>
          <w:i/>
          <w:iCs/>
          <w:color w:val="auto"/>
          <w:lang w:val="en-US"/>
        </w:rPr>
        <w:t>Biological Conservation</w:t>
      </w:r>
      <w:r w:rsidRPr="0020787B">
        <w:rPr>
          <w:b/>
          <w:bCs/>
          <w:color w:val="auto"/>
          <w:lang w:val="en-US"/>
        </w:rPr>
        <w:t xml:space="preserve"> 100, </w:t>
      </w:r>
      <w:r w:rsidRPr="0020787B">
        <w:rPr>
          <w:color w:val="auto"/>
          <w:lang w:val="en-US"/>
        </w:rPr>
        <w:t>173-185</w:t>
      </w:r>
      <w:r w:rsidRPr="0020787B">
        <w:rPr>
          <w:b/>
          <w:bCs/>
          <w:color w:val="auto"/>
          <w:lang w:val="en-US"/>
        </w:rPr>
        <w:t>.</w:t>
      </w:r>
    </w:p>
    <w:p w14:paraId="150C95A9" w14:textId="2F202953" w:rsidR="008B0233" w:rsidRPr="0020787B" w:rsidRDefault="008B0233" w:rsidP="006F6A77">
      <w:pPr>
        <w:rPr>
          <w:color w:val="auto"/>
          <w:lang w:val="en-US"/>
        </w:rPr>
      </w:pPr>
      <w:r w:rsidRPr="0020787B">
        <w:rPr>
          <w:color w:val="auto"/>
          <w:lang w:val="en-US"/>
        </w:rPr>
        <w:t>Jessop, J.P. and Toelken, H.R. (1986). The Flora of South Australia, Government of South Australia Printer, Adelaide.</w:t>
      </w:r>
    </w:p>
    <w:p w14:paraId="6737D41F" w14:textId="0C1ECF8A" w:rsidR="006F6A77" w:rsidRPr="0020787B" w:rsidRDefault="006F6A77" w:rsidP="006F6A77">
      <w:pPr>
        <w:rPr>
          <w:color w:val="auto"/>
          <w:lang w:val="en-US"/>
        </w:rPr>
      </w:pPr>
      <w:r w:rsidRPr="0020787B">
        <w:rPr>
          <w:color w:val="auto"/>
          <w:lang w:val="en-US"/>
        </w:rPr>
        <w:t>Jessop, J., Dashorst, G.R.M. and James, F.R. (2006). Grasses of South Australia. An illustrated guide to the native and naturalised species, Wakefield Press, Adelaide.</w:t>
      </w:r>
    </w:p>
    <w:p w14:paraId="7A796D44" w14:textId="77777777" w:rsidR="006F6A77" w:rsidRPr="0020787B" w:rsidRDefault="006F6A77" w:rsidP="006F6A77">
      <w:pPr>
        <w:rPr>
          <w:color w:val="auto"/>
        </w:rPr>
      </w:pPr>
      <w:r w:rsidRPr="0020787B">
        <w:rPr>
          <w:color w:val="auto"/>
        </w:rPr>
        <w:t xml:space="preserve">Junk, W.J., Bayley, P.B. and Sparks, R.E. (1989). The flood pulse concept in river-floodplain systems. </w:t>
      </w:r>
      <w:r w:rsidRPr="0020787B">
        <w:rPr>
          <w:i/>
          <w:color w:val="auto"/>
        </w:rPr>
        <w:t>Canadian Special Publication of Fisheries and Aquatic Sciences</w:t>
      </w:r>
      <w:r w:rsidRPr="0020787B">
        <w:rPr>
          <w:color w:val="auto"/>
        </w:rPr>
        <w:t xml:space="preserve"> </w:t>
      </w:r>
      <w:r w:rsidRPr="0020787B">
        <w:rPr>
          <w:b/>
          <w:color w:val="auto"/>
        </w:rPr>
        <w:t>106</w:t>
      </w:r>
      <w:r w:rsidRPr="0020787B">
        <w:rPr>
          <w:color w:val="auto"/>
        </w:rPr>
        <w:t>, 110–127.</w:t>
      </w:r>
    </w:p>
    <w:p w14:paraId="1F61BE85" w14:textId="77777777" w:rsidR="006F6A77" w:rsidRPr="0020787B" w:rsidRDefault="006F6A77" w:rsidP="006F6A77">
      <w:pPr>
        <w:rPr>
          <w:color w:val="auto"/>
          <w:lang w:val="en-US"/>
        </w:rPr>
      </w:pPr>
      <w:r w:rsidRPr="0020787B">
        <w:rPr>
          <w:color w:val="auto"/>
          <w:lang w:val="en-US"/>
        </w:rPr>
        <w:t xml:space="preserve">Kapa, M. M and Clarkson, B. D. (2009). Biological flora of New Zealand 11. Eleocharis sphacelate, kuta, paopao, bamboo spike sedge. </w:t>
      </w:r>
      <w:r w:rsidRPr="0020787B">
        <w:rPr>
          <w:i/>
          <w:iCs/>
          <w:color w:val="auto"/>
          <w:lang w:val="en-US"/>
        </w:rPr>
        <w:t>New Zealand Journal of Botany</w:t>
      </w:r>
      <w:r w:rsidRPr="0020787B">
        <w:rPr>
          <w:color w:val="auto"/>
          <w:lang w:val="en-US"/>
        </w:rPr>
        <w:t xml:space="preserve"> </w:t>
      </w:r>
      <w:r w:rsidRPr="0020787B">
        <w:rPr>
          <w:b/>
          <w:bCs/>
          <w:color w:val="auto"/>
          <w:lang w:val="en-US"/>
        </w:rPr>
        <w:t>47</w:t>
      </w:r>
      <w:r w:rsidRPr="0020787B">
        <w:rPr>
          <w:color w:val="auto"/>
          <w:lang w:val="en-US"/>
        </w:rPr>
        <w:t>, 43-52.</w:t>
      </w:r>
    </w:p>
    <w:p w14:paraId="03D6AEB1" w14:textId="77777777" w:rsidR="006F6A77" w:rsidRPr="0020787B" w:rsidRDefault="006F6A77" w:rsidP="006F6A77">
      <w:pPr>
        <w:rPr>
          <w:color w:val="auto"/>
        </w:rPr>
      </w:pPr>
      <w:r w:rsidRPr="0020787B">
        <w:rPr>
          <w:color w:val="auto"/>
        </w:rPr>
        <w:lastRenderedPageBreak/>
        <w:t xml:space="preserve">Kim, D.H., Aldridge, K.T., Brookes, J.D. and Ganf, G. (2013). The effect of salinity on the germination of </w:t>
      </w:r>
      <w:r w:rsidRPr="0020787B">
        <w:rPr>
          <w:i/>
          <w:iCs/>
          <w:color w:val="auto"/>
        </w:rPr>
        <w:t>Ruppia tuberosa</w:t>
      </w:r>
      <w:r w:rsidRPr="0020787B">
        <w:rPr>
          <w:color w:val="auto"/>
        </w:rPr>
        <w:t xml:space="preserve"> and </w:t>
      </w:r>
      <w:r w:rsidRPr="0020787B">
        <w:rPr>
          <w:i/>
          <w:iCs/>
          <w:color w:val="auto"/>
        </w:rPr>
        <w:t>Ruppia megacarpa</w:t>
      </w:r>
      <w:r w:rsidRPr="0020787B">
        <w:rPr>
          <w:color w:val="auto"/>
        </w:rPr>
        <w:t xml:space="preserve"> and implications for the Coorong: A coastal lagoon of southern Australia. </w:t>
      </w:r>
      <w:r w:rsidRPr="0020787B">
        <w:rPr>
          <w:i/>
          <w:iCs/>
          <w:color w:val="auto"/>
        </w:rPr>
        <w:t>Aquatic Botany</w:t>
      </w:r>
      <w:r w:rsidRPr="0020787B">
        <w:rPr>
          <w:color w:val="auto"/>
        </w:rPr>
        <w:t xml:space="preserve"> </w:t>
      </w:r>
      <w:r w:rsidRPr="0020787B">
        <w:rPr>
          <w:b/>
          <w:bCs/>
          <w:color w:val="auto"/>
        </w:rPr>
        <w:t>111</w:t>
      </w:r>
      <w:r w:rsidRPr="0020787B">
        <w:rPr>
          <w:color w:val="auto"/>
        </w:rPr>
        <w:t>, 81–88.</w:t>
      </w:r>
    </w:p>
    <w:p w14:paraId="5DF85C85" w14:textId="77777777" w:rsidR="006F6A77" w:rsidRPr="0020787B" w:rsidRDefault="006F6A77" w:rsidP="006F6A77">
      <w:pPr>
        <w:rPr>
          <w:color w:val="auto"/>
        </w:rPr>
      </w:pPr>
      <w:r w:rsidRPr="0020787B">
        <w:rPr>
          <w:color w:val="auto"/>
        </w:rPr>
        <w:t xml:space="preserve">Kingsford, R.T. (2000). Ecological impacts of dams, water diversions and river management on floodplain wetlands in Australia. </w:t>
      </w:r>
      <w:r w:rsidRPr="0020787B">
        <w:rPr>
          <w:i/>
          <w:color w:val="auto"/>
        </w:rPr>
        <w:t>Austral Ecology</w:t>
      </w:r>
      <w:r w:rsidRPr="0020787B">
        <w:rPr>
          <w:color w:val="auto"/>
        </w:rPr>
        <w:t xml:space="preserve"> </w:t>
      </w:r>
      <w:r w:rsidRPr="0020787B">
        <w:rPr>
          <w:b/>
          <w:color w:val="auto"/>
        </w:rPr>
        <w:t>25</w:t>
      </w:r>
      <w:r w:rsidRPr="0020787B">
        <w:rPr>
          <w:color w:val="auto"/>
        </w:rPr>
        <w:t>, 109–127.</w:t>
      </w:r>
    </w:p>
    <w:p w14:paraId="1C023834" w14:textId="77777777" w:rsidR="006F6A77" w:rsidRPr="0020787B" w:rsidRDefault="006F6A77" w:rsidP="006F6A77">
      <w:pPr>
        <w:rPr>
          <w:color w:val="auto"/>
        </w:rPr>
      </w:pPr>
      <w:r w:rsidRPr="0020787B">
        <w:rPr>
          <w:color w:val="auto"/>
        </w:rPr>
        <w:t xml:space="preserve">Koehn, J.D. (2009). Multi-scale habitat selection by Murray cod </w:t>
      </w:r>
      <w:r w:rsidRPr="0020787B">
        <w:rPr>
          <w:i/>
          <w:iCs/>
          <w:color w:val="auto"/>
        </w:rPr>
        <w:t>Maccullochella peelii peelii</w:t>
      </w:r>
      <w:r w:rsidRPr="0020787B">
        <w:rPr>
          <w:color w:val="auto"/>
        </w:rPr>
        <w:t xml:space="preserve"> in two lowland rivers. </w:t>
      </w:r>
      <w:r w:rsidRPr="0020787B">
        <w:rPr>
          <w:i/>
          <w:iCs/>
          <w:color w:val="auto"/>
        </w:rPr>
        <w:t>Journal of Fish Biology</w:t>
      </w:r>
      <w:r w:rsidRPr="0020787B">
        <w:rPr>
          <w:color w:val="auto"/>
        </w:rPr>
        <w:t xml:space="preserve"> </w:t>
      </w:r>
      <w:r w:rsidRPr="0020787B">
        <w:rPr>
          <w:b/>
          <w:bCs/>
          <w:color w:val="auto"/>
        </w:rPr>
        <w:t>75</w:t>
      </w:r>
      <w:r w:rsidRPr="0020787B">
        <w:rPr>
          <w:color w:val="auto"/>
        </w:rPr>
        <w:t>, 113–129.</w:t>
      </w:r>
    </w:p>
    <w:p w14:paraId="1C32ED39" w14:textId="77777777" w:rsidR="006F6A77" w:rsidRPr="0020787B" w:rsidRDefault="006F6A77" w:rsidP="006F6A77">
      <w:pPr>
        <w:rPr>
          <w:color w:val="auto"/>
        </w:rPr>
      </w:pPr>
      <w:r w:rsidRPr="0020787B">
        <w:rPr>
          <w:color w:val="auto"/>
        </w:rPr>
        <w:t xml:space="preserve">Koehn, J. D., Balcombe, S. R., Baumgartner, L. J., Bice, C. M., Burndred, K., Ellis, I., Koster, W. M., Lintermans, M., Pearce, L., Sharpe, C., Stuart, I., and Todd, C. (2020a). What is needed to restore native fishes in the Murray–Darling Basin? </w:t>
      </w:r>
      <w:r w:rsidRPr="0020787B">
        <w:rPr>
          <w:i/>
          <w:iCs/>
          <w:color w:val="auto"/>
        </w:rPr>
        <w:t>Marine and Freshwater Research</w:t>
      </w:r>
      <w:r w:rsidRPr="0020787B">
        <w:rPr>
          <w:color w:val="auto"/>
        </w:rPr>
        <w:t xml:space="preserve"> </w:t>
      </w:r>
      <w:r w:rsidRPr="0020787B">
        <w:rPr>
          <w:b/>
          <w:bCs/>
          <w:color w:val="auto"/>
        </w:rPr>
        <w:t>71</w:t>
      </w:r>
      <w:r w:rsidRPr="0020787B">
        <w:rPr>
          <w:color w:val="auto"/>
        </w:rPr>
        <w:t>, 1464–1468. doi:10.1071/MF20248.</w:t>
      </w:r>
    </w:p>
    <w:p w14:paraId="68C35E60" w14:textId="77777777" w:rsidR="006F6A77" w:rsidRPr="0020787B" w:rsidRDefault="006F6A77" w:rsidP="006F6A77">
      <w:pPr>
        <w:rPr>
          <w:color w:val="auto"/>
        </w:rPr>
      </w:pPr>
      <w:r w:rsidRPr="0020787B">
        <w:rPr>
          <w:color w:val="auto"/>
        </w:rPr>
        <w:t xml:space="preserve">Koehn, J.D., King, A.J., Beesley, L., Copeland, C., Zampatti, B.P. and Mallen-Cooper, M. (2014). Flows for native fish in the Murray–Darling Basin: lessons and considerations for future management. </w:t>
      </w:r>
      <w:r w:rsidRPr="0020787B">
        <w:rPr>
          <w:i/>
          <w:color w:val="auto"/>
        </w:rPr>
        <w:t>Ecological Management and Restoration</w:t>
      </w:r>
      <w:r w:rsidRPr="0020787B">
        <w:rPr>
          <w:color w:val="auto"/>
        </w:rPr>
        <w:t xml:space="preserve"> </w:t>
      </w:r>
      <w:r w:rsidRPr="0020787B">
        <w:rPr>
          <w:b/>
          <w:color w:val="auto"/>
        </w:rPr>
        <w:t>15</w:t>
      </w:r>
      <w:r w:rsidRPr="0020787B">
        <w:rPr>
          <w:color w:val="auto"/>
        </w:rPr>
        <w:t>, 40–50.</w:t>
      </w:r>
    </w:p>
    <w:p w14:paraId="2A086B55" w14:textId="77777777" w:rsidR="006F6A77" w:rsidRPr="0020787B" w:rsidRDefault="006F6A77" w:rsidP="006F6A77">
      <w:pPr>
        <w:rPr>
          <w:color w:val="auto"/>
        </w:rPr>
      </w:pPr>
      <w:r w:rsidRPr="0020787B">
        <w:rPr>
          <w:color w:val="auto"/>
        </w:rPr>
        <w:t xml:space="preserve">Koehn, J.D., Raymond, S.A., Stuart, I., Todd, C.R., Balcombe, S.R., Zampatti, B.P., Bamford, H., Ingram, B.A., Bice, C., Burndred, K., Butler, G., Baumgartner, L., Clunie, P., Ellis, I., Forbes, J., Hutchison, M., Koster, W., Lintermans, M., Lyon, J.P., Mallen-Cooper, M., McLellan, M., Pearce, L., Ryall, J., Sharpe, C., Stoessel, D.J., Thiem, J.D., Tonkin, Z., Townsend, A., and Ye, Q. (2020b). A compendium of ecological knowledge for restoration of freshwater fishes in the Murray– Darling Basin. </w:t>
      </w:r>
      <w:r w:rsidRPr="0020787B">
        <w:rPr>
          <w:i/>
          <w:iCs/>
          <w:color w:val="auto"/>
        </w:rPr>
        <w:t>Marine and Freshwater Research</w:t>
      </w:r>
      <w:r w:rsidRPr="0020787B">
        <w:rPr>
          <w:color w:val="auto"/>
        </w:rPr>
        <w:t xml:space="preserve"> </w:t>
      </w:r>
      <w:r w:rsidRPr="0020787B">
        <w:rPr>
          <w:b/>
          <w:bCs/>
          <w:color w:val="auto"/>
        </w:rPr>
        <w:t>71</w:t>
      </w:r>
      <w:r w:rsidRPr="0020787B">
        <w:rPr>
          <w:color w:val="auto"/>
        </w:rPr>
        <w:t>, 1391–1463. doi:10.1071/MF20127.</w:t>
      </w:r>
    </w:p>
    <w:p w14:paraId="7CB036C7" w14:textId="77777777" w:rsidR="00E202A0" w:rsidRPr="0020787B" w:rsidRDefault="00E202A0" w:rsidP="00E202A0">
      <w:pPr>
        <w:rPr>
          <w:lang w:val="en-US"/>
        </w:rPr>
      </w:pPr>
      <w:r w:rsidRPr="0020787B">
        <w:rPr>
          <w:lang w:val="en-US"/>
        </w:rPr>
        <w:t xml:space="preserve">Lake, J.S. (1967). Rearing experiments with five species of Australian freshwater fishes. II. Morphogenesis and ontogeny. </w:t>
      </w:r>
      <w:r w:rsidRPr="0020787B">
        <w:rPr>
          <w:i/>
          <w:lang w:val="en-US"/>
        </w:rPr>
        <w:t>Australian Journal of Marine and Freshwater Research</w:t>
      </w:r>
      <w:r w:rsidRPr="0020787B">
        <w:rPr>
          <w:lang w:val="en-US"/>
        </w:rPr>
        <w:t xml:space="preserve"> </w:t>
      </w:r>
      <w:r w:rsidRPr="0020787B">
        <w:rPr>
          <w:b/>
          <w:lang w:val="en-US"/>
        </w:rPr>
        <w:t>18</w:t>
      </w:r>
      <w:r w:rsidRPr="0020787B">
        <w:rPr>
          <w:lang w:val="en-US"/>
        </w:rPr>
        <w:t>,155-173.</w:t>
      </w:r>
    </w:p>
    <w:p w14:paraId="4A75BAFC" w14:textId="77777777" w:rsidR="006F6A77" w:rsidRPr="0020787B" w:rsidRDefault="006F6A77" w:rsidP="006F6A77">
      <w:pPr>
        <w:rPr>
          <w:color w:val="auto"/>
        </w:rPr>
      </w:pPr>
      <w:r w:rsidRPr="0020787B">
        <w:rPr>
          <w:color w:val="auto"/>
        </w:rPr>
        <w:t xml:space="preserve">Leck, M.A. and Brock, M.A. (2000) Ecological and evolutionary trends in wetlands: evidence from seeds and seed banks in New South Wales, Australia and New Jersey, USA. </w:t>
      </w:r>
      <w:r w:rsidRPr="0020787B">
        <w:rPr>
          <w:i/>
          <w:iCs/>
          <w:color w:val="auto"/>
        </w:rPr>
        <w:t>Plant Species Biology</w:t>
      </w:r>
      <w:r w:rsidRPr="0020787B">
        <w:rPr>
          <w:color w:val="auto"/>
        </w:rPr>
        <w:t xml:space="preserve"> </w:t>
      </w:r>
      <w:r w:rsidRPr="0020787B">
        <w:rPr>
          <w:b/>
          <w:bCs/>
          <w:color w:val="auto"/>
        </w:rPr>
        <w:t>15</w:t>
      </w:r>
      <w:r w:rsidRPr="0020787B">
        <w:rPr>
          <w:color w:val="auto"/>
        </w:rPr>
        <w:t>, 97–112.</w:t>
      </w:r>
    </w:p>
    <w:p w14:paraId="2193287F" w14:textId="77777777" w:rsidR="006F6A77" w:rsidRPr="0020787B" w:rsidRDefault="006F6A77" w:rsidP="006F6A77">
      <w:pPr>
        <w:rPr>
          <w:color w:val="auto"/>
        </w:rPr>
      </w:pPr>
      <w:r w:rsidRPr="0020787B">
        <w:rPr>
          <w:color w:val="auto"/>
        </w:rPr>
        <w:t xml:space="preserve">Leigh, C., Sheldon, F., Kingsford, R.T. and Arthington, A.H. (2010). Sequential floods drive ‘booms’ and wetland persistence in dryland rivers: a synthesis. </w:t>
      </w:r>
      <w:r w:rsidRPr="0020787B">
        <w:rPr>
          <w:i/>
          <w:iCs/>
          <w:color w:val="auto"/>
        </w:rPr>
        <w:t>Marine and Freshwater Research</w:t>
      </w:r>
      <w:r w:rsidRPr="0020787B">
        <w:rPr>
          <w:color w:val="auto"/>
        </w:rPr>
        <w:t xml:space="preserve"> </w:t>
      </w:r>
      <w:r w:rsidRPr="0020787B">
        <w:rPr>
          <w:b/>
          <w:bCs/>
          <w:color w:val="auto"/>
        </w:rPr>
        <w:t>61</w:t>
      </w:r>
      <w:r w:rsidRPr="0020787B">
        <w:rPr>
          <w:color w:val="auto"/>
        </w:rPr>
        <w:t>, 896–908.</w:t>
      </w:r>
    </w:p>
    <w:p w14:paraId="25854689" w14:textId="77777777" w:rsidR="006F6A77" w:rsidRPr="0020787B" w:rsidRDefault="006F6A77" w:rsidP="006F6A77">
      <w:pPr>
        <w:rPr>
          <w:color w:val="auto"/>
          <w:lang w:val="en-US"/>
        </w:rPr>
      </w:pPr>
      <w:r w:rsidRPr="0020787B">
        <w:rPr>
          <w:color w:val="auto"/>
          <w:lang w:val="en-US"/>
        </w:rPr>
        <w:t xml:space="preserve">Li, E.H., Li, W., Wang, X.L., Xue, H.P. and Xiao, F. (2010). Experiment of emergent macrophytes growing in contaminated sludge: implication for sediment purification and lake restoration. </w:t>
      </w:r>
      <w:r w:rsidRPr="0020787B">
        <w:rPr>
          <w:i/>
          <w:iCs/>
          <w:color w:val="auto"/>
          <w:lang w:val="en-US"/>
        </w:rPr>
        <w:t>Ecological Engineering</w:t>
      </w:r>
      <w:r w:rsidRPr="0020787B">
        <w:rPr>
          <w:color w:val="auto"/>
          <w:lang w:val="en-US"/>
        </w:rPr>
        <w:t xml:space="preserve"> </w:t>
      </w:r>
      <w:r w:rsidRPr="0020787B">
        <w:rPr>
          <w:b/>
          <w:bCs/>
          <w:color w:val="auto"/>
          <w:lang w:val="en-US"/>
        </w:rPr>
        <w:t>36</w:t>
      </w:r>
      <w:r w:rsidRPr="0020787B">
        <w:rPr>
          <w:color w:val="auto"/>
          <w:lang w:val="en-US"/>
        </w:rPr>
        <w:t>, 427–434.</w:t>
      </w:r>
    </w:p>
    <w:p w14:paraId="6090E4DD" w14:textId="77777777" w:rsidR="00B6748C" w:rsidRPr="0020787B" w:rsidRDefault="006F6A77" w:rsidP="00D13732">
      <w:pPr>
        <w:rPr>
          <w:color w:val="auto"/>
        </w:rPr>
      </w:pPr>
      <w:r w:rsidRPr="0020787B">
        <w:rPr>
          <w:color w:val="auto"/>
        </w:rPr>
        <w:t>Lintermans, M. and Phillips, B. (2005). Management of Murray Cod in the Murray-Darling Basin (pp. 64–69). Australia: Murray-Darling Basin Commission.</w:t>
      </w:r>
      <w:r w:rsidR="00B6748C" w:rsidRPr="0020787B">
        <w:rPr>
          <w:color w:val="auto"/>
        </w:rPr>
        <w:t xml:space="preserve"> </w:t>
      </w:r>
    </w:p>
    <w:p w14:paraId="6AC5B64C" w14:textId="2101E3E7" w:rsidR="00D13732" w:rsidRPr="0020787B" w:rsidRDefault="00D13732" w:rsidP="00D13732">
      <w:pPr>
        <w:rPr>
          <w:color w:val="auto"/>
        </w:rPr>
      </w:pPr>
      <w:r w:rsidRPr="0020787B">
        <w:rPr>
          <w:color w:val="auto"/>
        </w:rPr>
        <w:t xml:space="preserve">Maheshwari, B.L., Walker, K.F. and McMahon, T.A. (1995). Effects of regulation on the flow regime of the Murray River, Australia. </w:t>
      </w:r>
      <w:r w:rsidRPr="0020787B">
        <w:rPr>
          <w:i/>
          <w:color w:val="auto"/>
        </w:rPr>
        <w:t>Regulated Rivers: Research and Management</w:t>
      </w:r>
      <w:r w:rsidRPr="0020787B">
        <w:rPr>
          <w:color w:val="auto"/>
        </w:rPr>
        <w:t xml:space="preserve"> </w:t>
      </w:r>
      <w:r w:rsidRPr="0020787B">
        <w:rPr>
          <w:b/>
          <w:color w:val="auto"/>
        </w:rPr>
        <w:t>10</w:t>
      </w:r>
      <w:r w:rsidRPr="0020787B">
        <w:rPr>
          <w:color w:val="auto"/>
        </w:rPr>
        <w:t>, 15–38.</w:t>
      </w:r>
    </w:p>
    <w:p w14:paraId="3DEF8077" w14:textId="77777777" w:rsidR="00D13732" w:rsidRPr="0020787B" w:rsidRDefault="00D13732" w:rsidP="00D13732">
      <w:pPr>
        <w:rPr>
          <w:bCs/>
          <w:color w:val="auto"/>
        </w:rPr>
      </w:pPr>
      <w:r w:rsidRPr="0020787B">
        <w:rPr>
          <w:bCs/>
          <w:color w:val="auto"/>
        </w:rPr>
        <w:t xml:space="preserve">Mallen-Cooper, M. and Stuart, I.G. (2003). Age, growth and non-flood recruitment of two potamodromous fishes in a large semi-arid/temperate river system. </w:t>
      </w:r>
      <w:r w:rsidRPr="0020787B">
        <w:rPr>
          <w:bCs/>
          <w:i/>
          <w:color w:val="auto"/>
        </w:rPr>
        <w:t>River Research and Applications</w:t>
      </w:r>
      <w:r w:rsidRPr="0020787B">
        <w:rPr>
          <w:bCs/>
          <w:color w:val="auto"/>
        </w:rPr>
        <w:t xml:space="preserve"> </w:t>
      </w:r>
      <w:r w:rsidRPr="0020787B">
        <w:rPr>
          <w:b/>
          <w:bCs/>
          <w:color w:val="auto"/>
        </w:rPr>
        <w:t>19</w:t>
      </w:r>
      <w:r w:rsidRPr="0020787B">
        <w:rPr>
          <w:bCs/>
          <w:color w:val="auto"/>
        </w:rPr>
        <w:t>, 697–719.</w:t>
      </w:r>
    </w:p>
    <w:p w14:paraId="28201CA4" w14:textId="77777777" w:rsidR="00D13732" w:rsidRPr="0020787B" w:rsidRDefault="00D13732" w:rsidP="00D13732">
      <w:pPr>
        <w:rPr>
          <w:bCs/>
          <w:color w:val="auto"/>
        </w:rPr>
      </w:pPr>
      <w:r w:rsidRPr="0020787B">
        <w:rPr>
          <w:bCs/>
          <w:color w:val="auto"/>
        </w:rPr>
        <w:lastRenderedPageBreak/>
        <w:t xml:space="preserve">Mallen-Cooper, M. and Zampatti, B.P. (2018). History, hydrology and hydraulics: Rethinking the ecological management of large rivers. </w:t>
      </w:r>
      <w:r w:rsidRPr="0020787B">
        <w:rPr>
          <w:bCs/>
          <w:i/>
          <w:color w:val="auto"/>
        </w:rPr>
        <w:t>Ecohydrology</w:t>
      </w:r>
      <w:r w:rsidRPr="0020787B">
        <w:rPr>
          <w:bCs/>
          <w:color w:val="auto"/>
        </w:rPr>
        <w:t xml:space="preserve"> </w:t>
      </w:r>
      <w:r w:rsidRPr="0020787B">
        <w:rPr>
          <w:b/>
          <w:bCs/>
          <w:color w:val="auto"/>
        </w:rPr>
        <w:t>11</w:t>
      </w:r>
      <w:r w:rsidRPr="0020787B">
        <w:rPr>
          <w:bCs/>
          <w:color w:val="auto"/>
        </w:rPr>
        <w:t xml:space="preserve">, e1965 </w:t>
      </w:r>
      <w:hyperlink r:id="rId144" w:history="1">
        <w:r w:rsidRPr="0020787B">
          <w:rPr>
            <w:rStyle w:val="Hyperlink"/>
            <w:rFonts w:eastAsiaTheme="majorEastAsia"/>
            <w:bCs/>
            <w:color w:val="auto"/>
          </w:rPr>
          <w:t>https://doi</w:t>
        </w:r>
      </w:hyperlink>
      <w:r w:rsidRPr="0020787B">
        <w:rPr>
          <w:bCs/>
          <w:color w:val="auto"/>
        </w:rPr>
        <w:t>.org/10.1002/eco.1965.</w:t>
      </w:r>
    </w:p>
    <w:p w14:paraId="04EFCAAB" w14:textId="4C675AAF" w:rsidR="006F6A77" w:rsidRPr="0020787B" w:rsidRDefault="00D13732" w:rsidP="006F6A77">
      <w:pPr>
        <w:rPr>
          <w:bCs/>
          <w:color w:val="auto"/>
        </w:rPr>
      </w:pPr>
      <w:r w:rsidRPr="0020787B">
        <w:rPr>
          <w:bCs/>
          <w:color w:val="auto"/>
        </w:rPr>
        <w:t xml:space="preserve">Marra, J. and Barber, R.T. (2004). Phytoplankton and heterotrophic respiration in the surface layer of the ocean. </w:t>
      </w:r>
      <w:r w:rsidRPr="0020787B">
        <w:rPr>
          <w:bCs/>
          <w:i/>
          <w:color w:val="auto"/>
        </w:rPr>
        <w:t>Geophysical Research Letters</w:t>
      </w:r>
      <w:r w:rsidRPr="0020787B">
        <w:rPr>
          <w:bCs/>
          <w:color w:val="auto"/>
        </w:rPr>
        <w:t xml:space="preserve"> </w:t>
      </w:r>
      <w:r w:rsidRPr="0020787B">
        <w:rPr>
          <w:b/>
          <w:bCs/>
          <w:color w:val="auto"/>
        </w:rPr>
        <w:t>31</w:t>
      </w:r>
      <w:r w:rsidRPr="0020787B">
        <w:rPr>
          <w:bCs/>
          <w:color w:val="auto"/>
        </w:rPr>
        <w:t>. Doi:10.1029/2004GL019664.</w:t>
      </w:r>
    </w:p>
    <w:p w14:paraId="7E3EADE0" w14:textId="77777777" w:rsidR="006F6A77" w:rsidRPr="0020787B" w:rsidRDefault="006F6A77" w:rsidP="006F6A77">
      <w:pPr>
        <w:rPr>
          <w:color w:val="auto"/>
          <w:lang w:val="en-US"/>
        </w:rPr>
      </w:pPr>
      <w:r w:rsidRPr="0020787B">
        <w:rPr>
          <w:color w:val="auto"/>
          <w:lang w:val="en-US"/>
        </w:rPr>
        <w:t>McCune, B. and Mefford, M.J. (2006). PC-ORD. Multivariate Analysis of Ecological Data, Version 5.12, MjM Software Design, Glenden Beach, Oregon, USA.</w:t>
      </w:r>
    </w:p>
    <w:p w14:paraId="45A16D93" w14:textId="77777777" w:rsidR="006F6A77" w:rsidRPr="0020787B" w:rsidRDefault="006F6A77" w:rsidP="006F6A77">
      <w:pPr>
        <w:rPr>
          <w:color w:val="auto"/>
          <w:lang w:val="en-US"/>
        </w:rPr>
      </w:pPr>
      <w:r w:rsidRPr="0020787B">
        <w:rPr>
          <w:color w:val="auto"/>
          <w:lang w:val="en-US"/>
        </w:rPr>
        <w:t>McCune, B., Grace, J.B. and Urban, D.L. (2002). Analysis of Ecological Communities, MjM Software Design, Gleneden Beach, Oregon.</w:t>
      </w:r>
    </w:p>
    <w:p w14:paraId="5CF57C57" w14:textId="77777777" w:rsidR="006F6A77" w:rsidRPr="0020787B" w:rsidRDefault="006F6A77" w:rsidP="006F6A77">
      <w:pPr>
        <w:rPr>
          <w:bCs/>
          <w:color w:val="auto"/>
        </w:rPr>
      </w:pPr>
      <w:r w:rsidRPr="0020787B">
        <w:rPr>
          <w:bCs/>
          <w:color w:val="auto"/>
        </w:rPr>
        <w:t xml:space="preserve">McGinness, H.M. and Arthur, A.D. (2011). Carbon dynamics during flood events in a lowland river: the importance of anabranches. </w:t>
      </w:r>
      <w:r w:rsidRPr="0020787B">
        <w:rPr>
          <w:bCs/>
          <w:i/>
          <w:iCs/>
          <w:color w:val="auto"/>
        </w:rPr>
        <w:t>Freshwater Biology</w:t>
      </w:r>
      <w:r w:rsidRPr="0020787B">
        <w:rPr>
          <w:bCs/>
          <w:color w:val="auto"/>
        </w:rPr>
        <w:t xml:space="preserve"> </w:t>
      </w:r>
      <w:r w:rsidRPr="0020787B">
        <w:rPr>
          <w:b/>
          <w:color w:val="auto"/>
        </w:rPr>
        <w:t>56</w:t>
      </w:r>
      <w:r w:rsidRPr="0020787B">
        <w:rPr>
          <w:bCs/>
          <w:color w:val="auto"/>
        </w:rPr>
        <w:t>, 1593–1605.</w:t>
      </w:r>
    </w:p>
    <w:p w14:paraId="67606C1D" w14:textId="498D2131" w:rsidR="008B0233" w:rsidRPr="0020787B" w:rsidRDefault="008B0233" w:rsidP="006F6A77">
      <w:pPr>
        <w:rPr>
          <w:bCs/>
          <w:color w:val="auto"/>
        </w:rPr>
      </w:pPr>
      <w:r w:rsidRPr="0020787B">
        <w:rPr>
          <w:bCs/>
          <w:color w:val="auto"/>
        </w:rPr>
        <w:t>McNeil, D.G., Westergaard, S., Cheshire, K.J.M., Noell, C.J. and Ye, Q. (2013). Effects of hypersaline conditions upon six estuarine fish species from the Coorong and Murray Mouth. South Australian Research and Development Institute (Aquatic Sciences), Adelaide. SARDI Publication No. F2009/000014-4. SARDI Research Report Series No. 700. 27pp.</w:t>
      </w:r>
    </w:p>
    <w:p w14:paraId="139C3C80" w14:textId="77777777" w:rsidR="006F6A77" w:rsidRPr="0020787B" w:rsidRDefault="006F6A77" w:rsidP="006F6A77">
      <w:pPr>
        <w:rPr>
          <w:bCs/>
          <w:color w:val="auto"/>
        </w:rPr>
      </w:pPr>
      <w:r w:rsidRPr="0020787B">
        <w:rPr>
          <w:bCs/>
          <w:color w:val="auto"/>
        </w:rPr>
        <w:t>Mosley, L.M., Brookes, J., Dittmann, S., Huang, L., Lam-Gordillo, O., Priestley, S., Simpson, S., Welsh, D., and Waycott, M. (2022). A scientific evaluation to inform nutrient removal options for the Coorong. Goyder Institute for Water Research Technical Report Series No. 22/06.</w:t>
      </w:r>
    </w:p>
    <w:p w14:paraId="6BC9AA60" w14:textId="77777777" w:rsidR="006F6A77" w:rsidRPr="0020787B" w:rsidRDefault="006F6A77" w:rsidP="006F6A77">
      <w:pPr>
        <w:rPr>
          <w:bCs/>
          <w:color w:val="auto"/>
        </w:rPr>
      </w:pPr>
      <w:r w:rsidRPr="0020787B">
        <w:rPr>
          <w:bCs/>
          <w:color w:val="auto"/>
        </w:rPr>
        <w:t>Muller K.L. and Creeper N.L. (2021). Weir Pool Operations Plan for River Murray Locks 6 to 1. Part Two: Operating Plan for Locks 6 to 1. A report for Department of Environment and Water, Government of South Australia, Adelaide SA 5000.</w:t>
      </w:r>
    </w:p>
    <w:p w14:paraId="329A27B3" w14:textId="77777777" w:rsidR="006F6A77" w:rsidRPr="0020787B" w:rsidRDefault="006F6A77" w:rsidP="006F6A77">
      <w:pPr>
        <w:rPr>
          <w:bCs/>
          <w:color w:val="auto"/>
        </w:rPr>
      </w:pPr>
      <w:r w:rsidRPr="0020787B">
        <w:rPr>
          <w:bCs/>
          <w:color w:val="auto"/>
        </w:rPr>
        <w:t>Murray–Darling Basin Authority (2011). The proposed “environmentally sustainable level of take” for surface water of the Murray-Darling Basin: Methods and outcomes. MDBA Publication No. 226/11, Murray Darling Basin Authority, Canberra.</w:t>
      </w:r>
    </w:p>
    <w:p w14:paraId="5EF1DD8F" w14:textId="77777777" w:rsidR="006F6A77" w:rsidRPr="0020787B" w:rsidRDefault="006F6A77" w:rsidP="006F6A77">
      <w:pPr>
        <w:rPr>
          <w:bCs/>
          <w:color w:val="auto"/>
        </w:rPr>
      </w:pPr>
      <w:r w:rsidRPr="0020787B">
        <w:rPr>
          <w:bCs/>
          <w:color w:val="auto"/>
        </w:rPr>
        <w:t>Murray–Darling Basin Authority (2012a). Basin Plan. Murray–Darling Basin Authority, Canberra.</w:t>
      </w:r>
    </w:p>
    <w:p w14:paraId="7FCDA77D" w14:textId="77777777" w:rsidR="006F6A77" w:rsidRPr="0020787B" w:rsidRDefault="006F6A77" w:rsidP="006F6A77">
      <w:pPr>
        <w:rPr>
          <w:bCs/>
          <w:color w:val="auto"/>
        </w:rPr>
      </w:pPr>
      <w:r w:rsidRPr="0020787B">
        <w:rPr>
          <w:bCs/>
          <w:color w:val="auto"/>
        </w:rPr>
        <w:t>Murray-Darling Basin Authority (2012b). Hydrologic modelling to inform the proposed Basin Plan - methods and results, MDBA publication no: 17/12, Murray-Darling Basin Authority, Canberra.</w:t>
      </w:r>
    </w:p>
    <w:p w14:paraId="0F9F5FDF" w14:textId="77777777" w:rsidR="006F6A77" w:rsidRPr="0020787B" w:rsidRDefault="006F6A77" w:rsidP="006F6A77">
      <w:pPr>
        <w:rPr>
          <w:bCs/>
          <w:color w:val="auto"/>
        </w:rPr>
      </w:pPr>
      <w:r w:rsidRPr="0020787B">
        <w:rPr>
          <w:bCs/>
          <w:color w:val="auto"/>
        </w:rPr>
        <w:t>Murray-Darling Basin Authority (2025). Basin-wide environmental watering strategy, Murray</w:t>
      </w:r>
      <w:r w:rsidRPr="0020787B">
        <w:rPr>
          <w:rFonts w:ascii="Arial" w:hAnsi="Arial" w:cs="Arial"/>
          <w:bCs/>
          <w:color w:val="auto"/>
        </w:rPr>
        <w:t>‒</w:t>
      </w:r>
      <w:r w:rsidRPr="0020787B">
        <w:rPr>
          <w:bCs/>
          <w:color w:val="auto"/>
        </w:rPr>
        <w:t>Darling Basin Authority Canberra, 2024.</w:t>
      </w:r>
    </w:p>
    <w:p w14:paraId="702DB26B" w14:textId="77777777" w:rsidR="006F6A77" w:rsidRPr="0020787B" w:rsidRDefault="006F6A77" w:rsidP="006F6A77">
      <w:pPr>
        <w:rPr>
          <w:bCs/>
          <w:color w:val="auto"/>
        </w:rPr>
      </w:pPr>
      <w:r w:rsidRPr="0020787B">
        <w:rPr>
          <w:bCs/>
          <w:color w:val="auto"/>
        </w:rPr>
        <w:t>Murray–Darling Basin Commission (2006). The River Murray channel icon site environmental management plan. Murray–Darling Basin Commission, Canberra.</w:t>
      </w:r>
    </w:p>
    <w:p w14:paraId="2422ACDB" w14:textId="77777777" w:rsidR="006F6A77" w:rsidRPr="0020787B" w:rsidRDefault="006F6A77" w:rsidP="006F6A77">
      <w:pPr>
        <w:rPr>
          <w:color w:val="auto"/>
        </w:rPr>
      </w:pPr>
      <w:r w:rsidRPr="0020787B">
        <w:rPr>
          <w:color w:val="auto"/>
        </w:rPr>
        <w:t xml:space="preserve">Narum, S.R. (2006). Beyond Bonferroni: Less conservative analyses for conservation genetics. </w:t>
      </w:r>
      <w:r w:rsidRPr="0020787B">
        <w:rPr>
          <w:i/>
          <w:color w:val="auto"/>
        </w:rPr>
        <w:t>Conservation Genetics</w:t>
      </w:r>
      <w:r w:rsidRPr="0020787B">
        <w:rPr>
          <w:color w:val="auto"/>
        </w:rPr>
        <w:t xml:space="preserve"> </w:t>
      </w:r>
      <w:r w:rsidRPr="0020787B">
        <w:rPr>
          <w:b/>
          <w:color w:val="auto"/>
        </w:rPr>
        <w:t>7</w:t>
      </w:r>
      <w:r w:rsidRPr="0020787B">
        <w:rPr>
          <w:color w:val="auto"/>
        </w:rPr>
        <w:t>, 783–787.</w:t>
      </w:r>
    </w:p>
    <w:p w14:paraId="614E1C4E" w14:textId="77777777" w:rsidR="006F6A77" w:rsidRPr="0020787B" w:rsidRDefault="006F6A77" w:rsidP="006F6A77">
      <w:pPr>
        <w:rPr>
          <w:color w:val="auto"/>
          <w:lang w:val="en-US"/>
        </w:rPr>
      </w:pPr>
      <w:r w:rsidRPr="0020787B">
        <w:rPr>
          <w:color w:val="auto"/>
          <w:lang w:val="en-US"/>
        </w:rPr>
        <w:t>Nicol, J.M. (2004) Vegetation Dynamics of the Menindee Lakes with Reference to the Seed Bank. PhD, The University of Adelaide, Adelaide.</w:t>
      </w:r>
    </w:p>
    <w:p w14:paraId="0CA0D8DF" w14:textId="77777777" w:rsidR="006F6A77" w:rsidRPr="0020787B" w:rsidRDefault="006F6A77" w:rsidP="006F6A77">
      <w:pPr>
        <w:rPr>
          <w:color w:val="auto"/>
          <w:lang w:val="en-US"/>
        </w:rPr>
      </w:pPr>
      <w:r w:rsidRPr="0020787B">
        <w:rPr>
          <w:color w:val="auto"/>
          <w:lang w:val="en-US"/>
        </w:rPr>
        <w:lastRenderedPageBreak/>
        <w:t>Nicol, J.M., Frahn, K.A., Fredberg, J.F., Gehrig, S.L., Marsland, K.B. and Weedon, J.T. (2018a). Chowilla Icon Site – Floodplain Vegetation Monitoring 2018 Interim Report, p. 70, South Australian Research and Development Institute (Aquatic Sciences), Adelaide.</w:t>
      </w:r>
    </w:p>
    <w:p w14:paraId="11AC9225" w14:textId="77777777" w:rsidR="006F6A77" w:rsidRPr="0020787B" w:rsidRDefault="006F6A77" w:rsidP="006F6A77">
      <w:pPr>
        <w:rPr>
          <w:color w:val="auto"/>
          <w:lang w:val="en-US"/>
        </w:rPr>
      </w:pPr>
      <w:r w:rsidRPr="0020787B">
        <w:rPr>
          <w:color w:val="auto"/>
          <w:lang w:val="en-US"/>
        </w:rPr>
        <w:t xml:space="preserve">Nicol, J.M., Ganf, G.G. and Pelton, G.A. (2003). Seed banks of a southern Australian wetland: the influence of water regime on final species composition. </w:t>
      </w:r>
      <w:r w:rsidRPr="0020787B">
        <w:rPr>
          <w:i/>
          <w:iCs/>
          <w:color w:val="auto"/>
          <w:lang w:val="en-US"/>
        </w:rPr>
        <w:t>Plant Ecology</w:t>
      </w:r>
      <w:r w:rsidRPr="0020787B">
        <w:rPr>
          <w:color w:val="auto"/>
          <w:lang w:val="en-US"/>
        </w:rPr>
        <w:t xml:space="preserve"> </w:t>
      </w:r>
      <w:r w:rsidRPr="0020787B">
        <w:rPr>
          <w:b/>
          <w:bCs/>
          <w:color w:val="auto"/>
          <w:lang w:val="en-US"/>
        </w:rPr>
        <w:t>168</w:t>
      </w:r>
      <w:r w:rsidRPr="0020787B">
        <w:rPr>
          <w:color w:val="auto"/>
          <w:lang w:val="en-US"/>
        </w:rPr>
        <w:t>, 191-205.</w:t>
      </w:r>
    </w:p>
    <w:p w14:paraId="246F5296" w14:textId="77777777" w:rsidR="006F6A77" w:rsidRPr="0020787B" w:rsidRDefault="006F6A77" w:rsidP="006F6A77">
      <w:pPr>
        <w:rPr>
          <w:color w:val="auto"/>
          <w:lang w:val="en-US"/>
        </w:rPr>
      </w:pPr>
      <w:r w:rsidRPr="0020787B">
        <w:rPr>
          <w:color w:val="auto"/>
          <w:lang w:val="en-US"/>
        </w:rPr>
        <w:t xml:space="preserve">Nicol, J.M., Ganf, G.G., Walker, K.F. and Gawne, B. (2018b). Response of three arid zone floodplain plant species to inundation. </w:t>
      </w:r>
      <w:r w:rsidRPr="0020787B">
        <w:rPr>
          <w:i/>
          <w:iCs/>
          <w:color w:val="auto"/>
          <w:lang w:val="en-US"/>
        </w:rPr>
        <w:t>Plant Ecology</w:t>
      </w:r>
      <w:r w:rsidRPr="0020787B">
        <w:rPr>
          <w:color w:val="auto"/>
          <w:lang w:val="en-US"/>
        </w:rPr>
        <w:t xml:space="preserve"> </w:t>
      </w:r>
      <w:r w:rsidRPr="0020787B">
        <w:rPr>
          <w:b/>
          <w:bCs/>
          <w:color w:val="auto"/>
          <w:lang w:val="en-US"/>
        </w:rPr>
        <w:t>219</w:t>
      </w:r>
      <w:r w:rsidRPr="0020787B">
        <w:rPr>
          <w:color w:val="auto"/>
          <w:lang w:val="en-US"/>
        </w:rPr>
        <w:t>, 57-67.</w:t>
      </w:r>
    </w:p>
    <w:p w14:paraId="5DC0005C" w14:textId="77777777" w:rsidR="006F6A77" w:rsidRPr="0020787B" w:rsidRDefault="006F6A77" w:rsidP="006F6A77">
      <w:pPr>
        <w:rPr>
          <w:color w:val="auto"/>
          <w:lang w:val="en-US"/>
        </w:rPr>
      </w:pPr>
      <w:r w:rsidRPr="0020787B">
        <w:rPr>
          <w:color w:val="auto"/>
          <w:lang w:val="en-US"/>
        </w:rPr>
        <w:t>Nicol, J.M., Marsland, K.B. and Weedon, J.T. (2010). Understorey vegetation monitoring of Chowilla environmental watering sites 2004-08, p. 87, South Australian Research and Development Institute, Adelaide.</w:t>
      </w:r>
    </w:p>
    <w:p w14:paraId="29DAA848" w14:textId="77777777" w:rsidR="006F6A77" w:rsidRPr="0020787B" w:rsidRDefault="006F6A77" w:rsidP="006F6A77">
      <w:pPr>
        <w:rPr>
          <w:color w:val="auto"/>
          <w:lang w:val="en-US"/>
        </w:rPr>
      </w:pPr>
      <w:r w:rsidRPr="0020787B">
        <w:rPr>
          <w:color w:val="auto"/>
          <w:lang w:val="it-IT"/>
        </w:rPr>
        <w:t xml:space="preserve">Obertegger, U., Flaim, G., Braioni, M., Sommaruga, R., Corradini, F. and Borsato, A. (2007). </w:t>
      </w:r>
      <w:r w:rsidRPr="0020787B">
        <w:rPr>
          <w:color w:val="auto"/>
          <w:lang w:val="en-US"/>
        </w:rPr>
        <w:t xml:space="preserve">Water residence time as a driving force of zooplankton structure and succession. </w:t>
      </w:r>
      <w:r w:rsidRPr="0020787B">
        <w:rPr>
          <w:i/>
          <w:iCs/>
          <w:color w:val="auto"/>
          <w:lang w:val="en-US"/>
        </w:rPr>
        <w:t>Aquatic Sciences - Research Across Boundaries</w:t>
      </w:r>
      <w:r w:rsidRPr="0020787B">
        <w:rPr>
          <w:color w:val="auto"/>
          <w:lang w:val="en-US"/>
        </w:rPr>
        <w:t xml:space="preserve"> </w:t>
      </w:r>
      <w:r w:rsidRPr="0020787B">
        <w:rPr>
          <w:b/>
          <w:bCs/>
          <w:color w:val="auto"/>
          <w:lang w:val="en-US"/>
        </w:rPr>
        <w:t>69</w:t>
      </w:r>
      <w:r w:rsidRPr="0020787B">
        <w:rPr>
          <w:color w:val="auto"/>
          <w:lang w:val="en-US"/>
        </w:rPr>
        <w:t>, 575–583.</w:t>
      </w:r>
    </w:p>
    <w:p w14:paraId="4476AA59" w14:textId="77777777" w:rsidR="006F6A77" w:rsidRPr="0020787B" w:rsidRDefault="006F6A77" w:rsidP="006F6A77">
      <w:pPr>
        <w:rPr>
          <w:color w:val="auto"/>
        </w:rPr>
      </w:pPr>
      <w:r w:rsidRPr="0020787B">
        <w:rPr>
          <w:color w:val="auto"/>
        </w:rPr>
        <w:t xml:space="preserve">Odum, H.T. (1956). Primary production in flowing waters. </w:t>
      </w:r>
      <w:r w:rsidRPr="0020787B">
        <w:rPr>
          <w:i/>
          <w:color w:val="auto"/>
        </w:rPr>
        <w:t>Limnology and Oceanography</w:t>
      </w:r>
      <w:r w:rsidRPr="0020787B">
        <w:rPr>
          <w:color w:val="auto"/>
        </w:rPr>
        <w:t xml:space="preserve"> </w:t>
      </w:r>
      <w:r w:rsidRPr="0020787B">
        <w:rPr>
          <w:b/>
          <w:color w:val="auto"/>
        </w:rPr>
        <w:t>1</w:t>
      </w:r>
      <w:r w:rsidRPr="0020787B">
        <w:rPr>
          <w:color w:val="auto"/>
        </w:rPr>
        <w:t>, 102–117.</w:t>
      </w:r>
    </w:p>
    <w:p w14:paraId="1771EA28" w14:textId="77777777" w:rsidR="006F6A77" w:rsidRPr="0020787B" w:rsidRDefault="006F6A77" w:rsidP="006F6A77">
      <w:pPr>
        <w:rPr>
          <w:color w:val="auto"/>
        </w:rPr>
      </w:pPr>
      <w:r w:rsidRPr="0020787B">
        <w:rPr>
          <w:color w:val="auto"/>
        </w:rPr>
        <w:t>Oliver, R.L. and Lorenz, Z. (2010). Flow and metabolic activity in the channel of the Murray River. In: Ecosystem Response Modelling in the Murray-Darling Basin. Eds. N. Saintilan and I. Overton, CSIRO Publishing: 267–280.</w:t>
      </w:r>
    </w:p>
    <w:p w14:paraId="0830C17F" w14:textId="77777777" w:rsidR="006F6A77" w:rsidRPr="0020787B" w:rsidRDefault="006F6A77" w:rsidP="006F6A77">
      <w:pPr>
        <w:rPr>
          <w:color w:val="auto"/>
        </w:rPr>
      </w:pPr>
      <w:r w:rsidRPr="0020787B">
        <w:rPr>
          <w:color w:val="auto"/>
        </w:rPr>
        <w:t xml:space="preserve">Oliver, R. L. and Merrick, C. (2006). Partitioning of river metabolism identifies phytoplankton as a major contributor in the regulated Murray River (Australia). </w:t>
      </w:r>
      <w:r w:rsidRPr="0020787B">
        <w:rPr>
          <w:i/>
          <w:color w:val="auto"/>
        </w:rPr>
        <w:t>Freshwater Biology</w:t>
      </w:r>
      <w:r w:rsidRPr="0020787B">
        <w:rPr>
          <w:color w:val="auto"/>
        </w:rPr>
        <w:t xml:space="preserve"> </w:t>
      </w:r>
      <w:r w:rsidRPr="0020787B">
        <w:rPr>
          <w:b/>
          <w:color w:val="auto"/>
        </w:rPr>
        <w:t>51</w:t>
      </w:r>
      <w:r w:rsidRPr="0020787B">
        <w:rPr>
          <w:color w:val="auto"/>
        </w:rPr>
        <w:t>, 1131–1148.</w:t>
      </w:r>
    </w:p>
    <w:p w14:paraId="517BEB1E" w14:textId="77777777" w:rsidR="006F6A77" w:rsidRPr="0020787B" w:rsidRDefault="006F6A77" w:rsidP="006F6A77">
      <w:pPr>
        <w:rPr>
          <w:i/>
          <w:iCs/>
          <w:color w:val="auto"/>
        </w:rPr>
      </w:pPr>
      <w:r w:rsidRPr="0020787B">
        <w:rPr>
          <w:color w:val="auto"/>
        </w:rPr>
        <w:t>Olsen, Y.  (1999).  Lipids and essential fatty acids in aquatic food webs: what can freshwater ecologists learn from mariculture? In: Arts, M.T., Wainman, B.C. (eds) Lipids in Freshwater Ecosystems. Springer, New York, NY.</w:t>
      </w:r>
      <w:r w:rsidRPr="0020787B">
        <w:rPr>
          <w:i/>
          <w:iCs/>
          <w:color w:val="auto"/>
        </w:rPr>
        <w:t xml:space="preserve"> </w:t>
      </w:r>
    </w:p>
    <w:p w14:paraId="19F7D0C4" w14:textId="77777777" w:rsidR="006F6A77" w:rsidRPr="0020787B" w:rsidRDefault="006F6A77" w:rsidP="006F6A77">
      <w:pPr>
        <w:rPr>
          <w:color w:val="auto"/>
          <w:lang w:val="en-US"/>
        </w:rPr>
      </w:pPr>
      <w:r w:rsidRPr="0020787B">
        <w:rPr>
          <w:color w:val="auto"/>
          <w:lang w:val="en-US"/>
        </w:rPr>
        <w:t>Papas, P. (2007). Effect of macrophytes on aquatic invertebrates – a literature review, p. 21, Arthur Rylah Institute for Environmental Research, Department of Sustainability and Environment and Melbourne Water, Melbourne.</w:t>
      </w:r>
    </w:p>
    <w:p w14:paraId="5310B423" w14:textId="77777777" w:rsidR="006F6A77" w:rsidRPr="0020787B" w:rsidRDefault="006F6A77" w:rsidP="006F6A77">
      <w:pPr>
        <w:rPr>
          <w:color w:val="auto"/>
          <w:lang w:val="en-US"/>
        </w:rPr>
      </w:pPr>
      <w:r w:rsidRPr="0020787B">
        <w:rPr>
          <w:color w:val="auto"/>
          <w:lang w:val="en-US"/>
        </w:rPr>
        <w:t xml:space="preserve">Pettit, N.E. and Froend, R.H. (2001). Variability in flood disturbance and the impact on riparian tree recruitment in two contrasting river systems. </w:t>
      </w:r>
      <w:r w:rsidRPr="0020787B">
        <w:rPr>
          <w:i/>
          <w:iCs/>
          <w:color w:val="auto"/>
          <w:lang w:val="en-US"/>
        </w:rPr>
        <w:t>Wetlands Ecology and Management</w:t>
      </w:r>
      <w:r w:rsidRPr="0020787B">
        <w:rPr>
          <w:color w:val="auto"/>
          <w:lang w:val="en-US"/>
        </w:rPr>
        <w:t xml:space="preserve"> </w:t>
      </w:r>
      <w:r w:rsidRPr="0020787B">
        <w:rPr>
          <w:b/>
          <w:bCs/>
          <w:color w:val="auto"/>
          <w:lang w:val="en-US"/>
        </w:rPr>
        <w:t>9</w:t>
      </w:r>
      <w:r w:rsidRPr="0020787B">
        <w:rPr>
          <w:color w:val="auto"/>
          <w:lang w:val="en-US"/>
        </w:rPr>
        <w:t>, 13–25.</w:t>
      </w:r>
    </w:p>
    <w:p w14:paraId="42DB80C0" w14:textId="77777777" w:rsidR="006F6A77" w:rsidRPr="0020787B" w:rsidRDefault="006F6A77" w:rsidP="006F6A77">
      <w:pPr>
        <w:rPr>
          <w:color w:val="auto"/>
          <w:lang w:val="en-US"/>
        </w:rPr>
      </w:pPr>
      <w:r w:rsidRPr="0020787B">
        <w:rPr>
          <w:color w:val="auto"/>
          <w:lang w:val="en-US"/>
        </w:rPr>
        <w:t>Phillips, W. and Muller, K. (2006). Ecological character of the Coorong, Lakes Alexandrina and Albert Wetland of International Importance. South Australian Department for Environment and Heritage.</w:t>
      </w:r>
    </w:p>
    <w:p w14:paraId="79E71E03" w14:textId="77777777" w:rsidR="006F6A77" w:rsidRPr="0020787B" w:rsidRDefault="006F6A77" w:rsidP="006F6A77">
      <w:pPr>
        <w:rPr>
          <w:color w:val="auto"/>
        </w:rPr>
      </w:pPr>
      <w:r w:rsidRPr="0020787B">
        <w:rPr>
          <w:color w:val="auto"/>
        </w:rPr>
        <w:t xml:space="preserve">Poff, N.L., Allan, J.D., Bain, M.B., Karr, J.R., Prestegaard, K.L., Richter, B.D., Sparks, R.E. and Stromberg, J.C. (1997). The natural flow regime: A paradigm for river conservation and restoration </w:t>
      </w:r>
      <w:r w:rsidRPr="0020787B">
        <w:rPr>
          <w:i/>
          <w:color w:val="auto"/>
        </w:rPr>
        <w:t>BioScience</w:t>
      </w:r>
      <w:r w:rsidRPr="0020787B">
        <w:rPr>
          <w:color w:val="auto"/>
        </w:rPr>
        <w:t xml:space="preserve"> </w:t>
      </w:r>
      <w:r w:rsidRPr="0020787B">
        <w:rPr>
          <w:b/>
          <w:color w:val="auto"/>
        </w:rPr>
        <w:t>47</w:t>
      </w:r>
      <w:r w:rsidRPr="0020787B">
        <w:rPr>
          <w:color w:val="auto"/>
        </w:rPr>
        <w:t>, 769–784.</w:t>
      </w:r>
    </w:p>
    <w:p w14:paraId="3277583F" w14:textId="77777777" w:rsidR="006F6A77" w:rsidRPr="0020787B" w:rsidRDefault="006F6A77" w:rsidP="006F6A77">
      <w:pPr>
        <w:rPr>
          <w:color w:val="auto"/>
        </w:rPr>
      </w:pPr>
      <w:r w:rsidRPr="0020787B">
        <w:rPr>
          <w:color w:val="auto"/>
        </w:rPr>
        <w:t>Priestley, S., Mosley, L., Farkas, J., Tyler, J., Shao, Y., Shanafield, M., Banks, E., Wong, W.W., and Leyden, E. (2022). Sources and transport of nutrients in the Coorong. Goyder Institute for Water Research Technical Report Series No. 22/01.</w:t>
      </w:r>
    </w:p>
    <w:p w14:paraId="278125CE" w14:textId="77777777" w:rsidR="006F6A77" w:rsidRPr="0020787B" w:rsidRDefault="006F6A77" w:rsidP="006F6A77">
      <w:pPr>
        <w:rPr>
          <w:color w:val="auto"/>
          <w:lang w:val="en-US"/>
        </w:rPr>
      </w:pPr>
      <w:r w:rsidRPr="0020787B">
        <w:rPr>
          <w:color w:val="auto"/>
          <w:lang w:val="en-US"/>
        </w:rPr>
        <w:lastRenderedPageBreak/>
        <w:t xml:space="preserve">Puckridge, J.T., Sheldon, F., Walker, K.F. and Boulton, A.J. (1998). Flow variability and the ecology of large rivers. </w:t>
      </w:r>
      <w:r w:rsidRPr="0020787B">
        <w:rPr>
          <w:i/>
          <w:iCs/>
          <w:color w:val="auto"/>
          <w:lang w:val="en-US"/>
        </w:rPr>
        <w:t>Marine and Freshwater Research</w:t>
      </w:r>
      <w:r w:rsidRPr="0020787B">
        <w:rPr>
          <w:color w:val="auto"/>
          <w:lang w:val="en-US"/>
        </w:rPr>
        <w:t xml:space="preserve"> </w:t>
      </w:r>
      <w:r w:rsidRPr="0020787B">
        <w:rPr>
          <w:b/>
          <w:bCs/>
          <w:color w:val="auto"/>
          <w:lang w:val="en-US"/>
        </w:rPr>
        <w:t>49</w:t>
      </w:r>
      <w:r w:rsidRPr="0020787B">
        <w:rPr>
          <w:color w:val="auto"/>
          <w:lang w:val="en-US"/>
        </w:rPr>
        <w:t>, 55–72.</w:t>
      </w:r>
    </w:p>
    <w:p w14:paraId="20941D2A" w14:textId="77777777" w:rsidR="006F6A77" w:rsidRPr="0020787B" w:rsidRDefault="006F6A77" w:rsidP="006F6A77">
      <w:pPr>
        <w:rPr>
          <w:color w:val="auto"/>
          <w:lang w:val="en-US"/>
        </w:rPr>
      </w:pPr>
      <w:r w:rsidRPr="0020787B">
        <w:rPr>
          <w:color w:val="auto"/>
          <w:lang w:val="en-US"/>
        </w:rPr>
        <w:t xml:space="preserve">Puckridge, J.T., Walker, K.F. and Costelloe, J.F. (2000). Hydrological persistence and the ecology of dryland rivers. </w:t>
      </w:r>
      <w:r w:rsidRPr="0020787B">
        <w:rPr>
          <w:i/>
          <w:iCs/>
          <w:color w:val="auto"/>
          <w:lang w:val="en-US"/>
        </w:rPr>
        <w:t>Regulated Rivers Research and Management</w:t>
      </w:r>
      <w:r w:rsidRPr="0020787B">
        <w:rPr>
          <w:color w:val="auto"/>
          <w:lang w:val="en-US"/>
        </w:rPr>
        <w:t xml:space="preserve"> </w:t>
      </w:r>
      <w:r w:rsidRPr="0020787B">
        <w:rPr>
          <w:b/>
          <w:bCs/>
          <w:color w:val="auto"/>
          <w:lang w:val="en-US"/>
        </w:rPr>
        <w:t>16</w:t>
      </w:r>
      <w:r w:rsidRPr="0020787B">
        <w:rPr>
          <w:color w:val="auto"/>
          <w:lang w:val="en-US"/>
        </w:rPr>
        <w:t>, 385–402.</w:t>
      </w:r>
    </w:p>
    <w:p w14:paraId="6D2F991D" w14:textId="77777777" w:rsidR="006F6A77" w:rsidRPr="0020787B" w:rsidRDefault="006F6A77" w:rsidP="006F6A77">
      <w:pPr>
        <w:rPr>
          <w:color w:val="auto"/>
        </w:rPr>
      </w:pPr>
      <w:r w:rsidRPr="0020787B">
        <w:rPr>
          <w:color w:val="auto"/>
        </w:rPr>
        <w:t>Rees, G.N., Biswas, T.K., Gilling, D., Watts, R.J., Liu, X., Oliver, R., Pengelly, J., Zygmunt, L., Ye, Q., McInerney, P., Thompson, R., Malthus, T. and Joehnk, K. (2021). River Murray Channel Productivity Monitoring 2020. CSIRO Land &amp; Water, Canberra, ACT 2601</w:t>
      </w:r>
    </w:p>
    <w:p w14:paraId="5611EAF7" w14:textId="77777777" w:rsidR="006F6A77" w:rsidRPr="0020787B" w:rsidRDefault="006F6A77" w:rsidP="006F6A77">
      <w:pPr>
        <w:rPr>
          <w:color w:val="auto"/>
        </w:rPr>
      </w:pPr>
      <w:r w:rsidRPr="0020787B">
        <w:rPr>
          <w:color w:val="auto"/>
        </w:rPr>
        <w:t>Reynolds, C.S. (1984). The Ecology of Freshwater Phytoplankton. Cambridge University Press. Cambridge. 384p.</w:t>
      </w:r>
    </w:p>
    <w:p w14:paraId="086FE245" w14:textId="77777777" w:rsidR="006F6A77" w:rsidRPr="0020787B" w:rsidRDefault="006F6A77" w:rsidP="006F6A77">
      <w:pPr>
        <w:rPr>
          <w:color w:val="auto"/>
        </w:rPr>
      </w:pPr>
      <w:r w:rsidRPr="0020787B">
        <w:rPr>
          <w:color w:val="auto"/>
        </w:rPr>
        <w:t xml:space="preserve">Rivkin, R.B. and Legendre, L. (2001). Biogenic carbon cycling in the upper ocean: Effects of microbial respiration. </w:t>
      </w:r>
      <w:r w:rsidRPr="0020787B">
        <w:rPr>
          <w:i/>
          <w:color w:val="auto"/>
        </w:rPr>
        <w:t xml:space="preserve">Science </w:t>
      </w:r>
      <w:r w:rsidRPr="0020787B">
        <w:rPr>
          <w:b/>
          <w:color w:val="auto"/>
        </w:rPr>
        <w:t>291</w:t>
      </w:r>
      <w:r w:rsidRPr="0020787B">
        <w:rPr>
          <w:color w:val="auto"/>
        </w:rPr>
        <w:t>, 2398–2400.</w:t>
      </w:r>
    </w:p>
    <w:p w14:paraId="4748310E" w14:textId="77777777" w:rsidR="006F6A77" w:rsidRPr="0020787B" w:rsidRDefault="006F6A77" w:rsidP="006F6A77">
      <w:pPr>
        <w:rPr>
          <w:color w:val="auto"/>
          <w:lang w:val="en-US"/>
        </w:rPr>
      </w:pPr>
      <w:r w:rsidRPr="0020787B">
        <w:rPr>
          <w:color w:val="auto"/>
          <w:lang w:val="en-US"/>
        </w:rPr>
        <w:t xml:space="preserve">Roberts, J. and Ganf, G.G. (1986). Annual production of </w:t>
      </w:r>
      <w:r w:rsidRPr="0020787B">
        <w:rPr>
          <w:i/>
          <w:iCs/>
          <w:color w:val="auto"/>
          <w:lang w:val="en-US"/>
        </w:rPr>
        <w:t>Typha orientalis</w:t>
      </w:r>
      <w:r w:rsidRPr="0020787B">
        <w:rPr>
          <w:color w:val="auto"/>
          <w:lang w:val="en-US"/>
        </w:rPr>
        <w:t xml:space="preserve"> Persl. in inland Australia. </w:t>
      </w:r>
      <w:r w:rsidRPr="0020787B">
        <w:rPr>
          <w:i/>
          <w:iCs/>
          <w:color w:val="auto"/>
          <w:lang w:val="en-US"/>
        </w:rPr>
        <w:t>Australian Journal of Marine and Freshwater Research</w:t>
      </w:r>
      <w:r w:rsidRPr="0020787B">
        <w:rPr>
          <w:color w:val="auto"/>
          <w:lang w:val="en-US"/>
        </w:rPr>
        <w:t xml:space="preserve"> </w:t>
      </w:r>
      <w:r w:rsidRPr="0020787B">
        <w:rPr>
          <w:b/>
          <w:bCs/>
          <w:color w:val="auto"/>
          <w:lang w:val="en-US"/>
        </w:rPr>
        <w:t>37</w:t>
      </w:r>
      <w:r w:rsidRPr="0020787B">
        <w:rPr>
          <w:color w:val="auto"/>
          <w:lang w:val="en-US"/>
        </w:rPr>
        <w:t>, 659–668.</w:t>
      </w:r>
    </w:p>
    <w:p w14:paraId="378EC492" w14:textId="77777777" w:rsidR="006F6A77" w:rsidRPr="0020787B" w:rsidRDefault="006F6A77" w:rsidP="006F6A77">
      <w:pPr>
        <w:rPr>
          <w:color w:val="auto"/>
          <w:lang w:val="en-US"/>
        </w:rPr>
      </w:pPr>
      <w:r w:rsidRPr="0020787B">
        <w:rPr>
          <w:color w:val="auto"/>
          <w:lang w:val="en-US"/>
        </w:rPr>
        <w:t xml:space="preserve">Rowland, S. (1998). Aspects of the reproductive biology of Murray cod, </w:t>
      </w:r>
      <w:r w:rsidRPr="0020787B">
        <w:rPr>
          <w:i/>
          <w:iCs/>
          <w:color w:val="auto"/>
          <w:lang w:val="en-US"/>
        </w:rPr>
        <w:t>Maccullochella peelii peelii</w:t>
      </w:r>
      <w:r w:rsidRPr="0020787B">
        <w:rPr>
          <w:color w:val="auto"/>
          <w:lang w:val="en-US"/>
        </w:rPr>
        <w:t>. In: Proceedings-Linnean Society of New South Wales, 1998. vol 120. Linnean Society of New South Wales, p. 147–162.</w:t>
      </w:r>
    </w:p>
    <w:p w14:paraId="7B17F0BF" w14:textId="77777777" w:rsidR="006F6A77" w:rsidRPr="0020787B" w:rsidRDefault="006F6A77" w:rsidP="006F6A77">
      <w:pPr>
        <w:rPr>
          <w:color w:val="auto"/>
          <w:lang w:val="en-US"/>
        </w:rPr>
      </w:pPr>
      <w:r w:rsidRPr="0020787B">
        <w:rPr>
          <w:color w:val="auto"/>
          <w:lang w:val="en-US"/>
        </w:rPr>
        <w:t xml:space="preserve">Sabo, J.L., Sponseller, R., Dixon, M., Gade, K., Harms, T., Heffernan, J., Jani, A., Katz, G., Soykan, C., Watts, J. and Weltera, J. (2005). Riparian zones increase regional species richness by harboring different, not more, species. </w:t>
      </w:r>
      <w:r w:rsidRPr="0020787B">
        <w:rPr>
          <w:i/>
          <w:iCs/>
          <w:color w:val="auto"/>
          <w:lang w:val="en-US"/>
        </w:rPr>
        <w:t>Ecology</w:t>
      </w:r>
      <w:r w:rsidRPr="0020787B">
        <w:rPr>
          <w:color w:val="auto"/>
          <w:lang w:val="en-US"/>
        </w:rPr>
        <w:t xml:space="preserve"> </w:t>
      </w:r>
      <w:r w:rsidRPr="0020787B">
        <w:rPr>
          <w:b/>
          <w:bCs/>
          <w:color w:val="auto"/>
          <w:lang w:val="en-US"/>
        </w:rPr>
        <w:t>86</w:t>
      </w:r>
      <w:r w:rsidRPr="0020787B">
        <w:rPr>
          <w:color w:val="auto"/>
          <w:lang w:val="en-US"/>
        </w:rPr>
        <w:t>, 56–62.</w:t>
      </w:r>
    </w:p>
    <w:p w14:paraId="53021F87" w14:textId="7779DAE6" w:rsidR="00E202A0" w:rsidRPr="0020787B" w:rsidRDefault="00E202A0" w:rsidP="00E202A0">
      <w:pPr>
        <w:rPr>
          <w:color w:val="auto"/>
          <w:lang w:val="en-US"/>
        </w:rPr>
      </w:pPr>
      <w:r w:rsidRPr="0020787B">
        <w:rPr>
          <w:color w:val="auto"/>
          <w:lang w:val="en-US"/>
        </w:rPr>
        <w:t>Sainty, G.R. and Jacobs, S.W.L. (1981). Waterplants of New South Wales, Water Resources Commission NSW, Sydney, N.S.W., Australia.</w:t>
      </w:r>
    </w:p>
    <w:p w14:paraId="0ABA8FE1" w14:textId="77777777" w:rsidR="006F6A77" w:rsidRPr="0020787B" w:rsidRDefault="006F6A77" w:rsidP="006F6A77">
      <w:pPr>
        <w:rPr>
          <w:color w:val="auto"/>
          <w:lang w:val="en-US"/>
        </w:rPr>
      </w:pPr>
      <w:r w:rsidRPr="0020787B">
        <w:rPr>
          <w:color w:val="auto"/>
          <w:lang w:val="en-US"/>
        </w:rPr>
        <w:t>Sainty, G.R. and Jacobs, S.W.L. (2003). Waterplants in Australia, Sainty and Associates, Darlinghurst, N.S.W., Australia.</w:t>
      </w:r>
    </w:p>
    <w:p w14:paraId="322E62F0" w14:textId="77777777" w:rsidR="006F6A77" w:rsidRPr="0020787B" w:rsidRDefault="006F6A77" w:rsidP="006F6A77">
      <w:pPr>
        <w:rPr>
          <w:color w:val="auto"/>
          <w:lang w:val="en-US"/>
        </w:rPr>
      </w:pPr>
      <w:r w:rsidRPr="0020787B">
        <w:rPr>
          <w:color w:val="auto"/>
          <w:lang w:val="en-US"/>
        </w:rPr>
        <w:t xml:space="preserve">Sargent, J., McEvoy, L., Estevez, A., Bell, G., Bell, M., Henderson, J. and Tocher, D. (1999).  Lipid nutrition of marine fish during early development: current status and future directions. </w:t>
      </w:r>
      <w:r w:rsidRPr="0020787B">
        <w:rPr>
          <w:i/>
          <w:iCs/>
          <w:color w:val="auto"/>
          <w:lang w:val="en-US"/>
        </w:rPr>
        <w:t>Aquaculture</w:t>
      </w:r>
      <w:r w:rsidRPr="0020787B">
        <w:rPr>
          <w:color w:val="auto"/>
          <w:lang w:val="en-US"/>
        </w:rPr>
        <w:t xml:space="preserve"> </w:t>
      </w:r>
      <w:r w:rsidRPr="0020787B">
        <w:rPr>
          <w:b/>
          <w:bCs/>
          <w:color w:val="auto"/>
          <w:lang w:val="en-US"/>
        </w:rPr>
        <w:t>179</w:t>
      </w:r>
      <w:r w:rsidRPr="0020787B">
        <w:rPr>
          <w:color w:val="auto"/>
          <w:lang w:val="en-US"/>
        </w:rPr>
        <w:t>, 217–229.</w:t>
      </w:r>
    </w:p>
    <w:p w14:paraId="38964D81" w14:textId="77777777" w:rsidR="006F6A77" w:rsidRPr="0020787B" w:rsidRDefault="006F6A77" w:rsidP="006F6A77">
      <w:pPr>
        <w:rPr>
          <w:color w:val="auto"/>
        </w:rPr>
      </w:pPr>
      <w:r w:rsidRPr="0020787B">
        <w:rPr>
          <w:color w:val="auto"/>
        </w:rPr>
        <w:t xml:space="preserve">Sellers, T. and Bukaveckas, P.A. (2003). Phytoplankton production in a large, regulated river: A tetractys and mass balance assessment. </w:t>
      </w:r>
      <w:r w:rsidRPr="0020787B">
        <w:rPr>
          <w:i/>
          <w:color w:val="auto"/>
        </w:rPr>
        <w:t>Limnology and Oceanography</w:t>
      </w:r>
      <w:r w:rsidRPr="0020787B">
        <w:rPr>
          <w:color w:val="auto"/>
        </w:rPr>
        <w:t xml:space="preserve"> </w:t>
      </w:r>
      <w:r w:rsidRPr="0020787B">
        <w:rPr>
          <w:b/>
          <w:color w:val="auto"/>
        </w:rPr>
        <w:t>48</w:t>
      </w:r>
      <w:r w:rsidRPr="0020787B">
        <w:rPr>
          <w:color w:val="auto"/>
        </w:rPr>
        <w:t>, 1476–1487.</w:t>
      </w:r>
    </w:p>
    <w:p w14:paraId="7928302B" w14:textId="77777777" w:rsidR="006F6A77" w:rsidRPr="0020787B" w:rsidRDefault="006F6A77" w:rsidP="006F6A77">
      <w:pPr>
        <w:rPr>
          <w:color w:val="auto"/>
        </w:rPr>
      </w:pPr>
      <w:r w:rsidRPr="0020787B">
        <w:rPr>
          <w:color w:val="auto"/>
        </w:rPr>
        <w:t>Serafini, L.G. and Humphries, P. (2004). Preliminary guide to the identification of larvae of fish, with a bibliography of their studies, from the Murray-Darling basin. Cooperative Research Centre for Freshwater ecology, Murray-Darling Freshwater Research Centre, Albury and Monash University, Clayton, No. Identification and Ecology Guide No. 48.</w:t>
      </w:r>
    </w:p>
    <w:p w14:paraId="15CCC774" w14:textId="77777777" w:rsidR="006F6A77" w:rsidRPr="0020787B" w:rsidRDefault="006F6A77" w:rsidP="006F6A77">
      <w:pPr>
        <w:rPr>
          <w:color w:val="auto"/>
        </w:rPr>
      </w:pPr>
      <w:r w:rsidRPr="0020787B">
        <w:rPr>
          <w:color w:val="auto"/>
        </w:rPr>
        <w:t>Shiel, R.J. and Aldridge, K.T. (2011). The response of zooplankton communities in the North lagoon of the Coorong and Murray Mouth to barrage releases from the Lower Lakes, November 2010</w:t>
      </w:r>
      <w:r w:rsidRPr="0020787B">
        <w:rPr>
          <w:rFonts w:eastAsiaTheme="majorEastAsia"/>
          <w:color w:val="auto"/>
        </w:rPr>
        <w:t>–</w:t>
      </w:r>
      <w:r w:rsidRPr="0020787B">
        <w:rPr>
          <w:color w:val="auto"/>
        </w:rPr>
        <w:t>April 2011. Report for DENR and DWSA. June, 49 pp.</w:t>
      </w:r>
    </w:p>
    <w:p w14:paraId="6C0C5AEB" w14:textId="77777777" w:rsidR="006F6A77" w:rsidRPr="0020787B" w:rsidRDefault="006F6A77" w:rsidP="006F6A77">
      <w:pPr>
        <w:rPr>
          <w:color w:val="auto"/>
        </w:rPr>
      </w:pPr>
      <w:r w:rsidRPr="0020787B">
        <w:rPr>
          <w:color w:val="auto"/>
        </w:rPr>
        <w:t>Shiel, R.J. and Tan, L.W. (2013a). Zooplankton response monitoring: Lower Lakes, Coorong and Murray Mouth October 2011 – April 2012. Report for DEWNR SA. June, 49 pp.</w:t>
      </w:r>
    </w:p>
    <w:p w14:paraId="3108E8E6" w14:textId="77777777" w:rsidR="006F6A77" w:rsidRPr="0020787B" w:rsidRDefault="006F6A77" w:rsidP="006F6A77">
      <w:pPr>
        <w:rPr>
          <w:color w:val="auto"/>
        </w:rPr>
      </w:pPr>
      <w:r w:rsidRPr="0020787B">
        <w:rPr>
          <w:color w:val="auto"/>
        </w:rPr>
        <w:t>Shiel, R.J. and Tan, L.W. (2013b). Zooplankton response monitoring: Lower Lakes, Coorong and Murray Mouth September 2012– March2013. Report for DEWNR SA. September, 41 pp.</w:t>
      </w:r>
    </w:p>
    <w:p w14:paraId="3DDB9F63" w14:textId="77777777" w:rsidR="006F6A77" w:rsidRPr="0020787B" w:rsidRDefault="006F6A77" w:rsidP="006F6A77">
      <w:pPr>
        <w:rPr>
          <w:color w:val="auto"/>
        </w:rPr>
      </w:pPr>
      <w:r w:rsidRPr="0020787B">
        <w:rPr>
          <w:color w:val="auto"/>
        </w:rPr>
        <w:lastRenderedPageBreak/>
        <w:t xml:space="preserve">Shiel, R., Walker, K. and Williams, W. (1982). Plankton of the lower River Murray, South Australia. </w:t>
      </w:r>
      <w:r w:rsidRPr="0020787B">
        <w:rPr>
          <w:i/>
          <w:iCs/>
          <w:color w:val="auto"/>
        </w:rPr>
        <w:t>Marine and Freshwater Research</w:t>
      </w:r>
      <w:r w:rsidRPr="0020787B">
        <w:rPr>
          <w:color w:val="auto"/>
        </w:rPr>
        <w:t xml:space="preserve"> </w:t>
      </w:r>
      <w:r w:rsidRPr="0020787B">
        <w:rPr>
          <w:b/>
          <w:bCs/>
          <w:color w:val="auto"/>
        </w:rPr>
        <w:t>33</w:t>
      </w:r>
      <w:r w:rsidRPr="0020787B">
        <w:rPr>
          <w:color w:val="auto"/>
        </w:rPr>
        <w:t>, 301–327.</w:t>
      </w:r>
    </w:p>
    <w:p w14:paraId="2D7E7F05" w14:textId="77777777" w:rsidR="006F6A77" w:rsidRPr="0020787B" w:rsidRDefault="006F6A77" w:rsidP="006F6A77">
      <w:pPr>
        <w:rPr>
          <w:color w:val="auto"/>
          <w:lang w:val="en-US"/>
        </w:rPr>
      </w:pPr>
      <w:r w:rsidRPr="0020787B">
        <w:rPr>
          <w:color w:val="auto"/>
          <w:lang w:val="en-US"/>
        </w:rPr>
        <w:t xml:space="preserve">Sorrell, B.K. and Hawes, I. (2010). Convective gas flow development and the maximum depths achieved by helophyte vegetation in lakes. </w:t>
      </w:r>
      <w:r w:rsidRPr="0020787B">
        <w:rPr>
          <w:i/>
          <w:iCs/>
          <w:color w:val="auto"/>
          <w:lang w:val="en-US"/>
        </w:rPr>
        <w:t>Annals of Botany</w:t>
      </w:r>
      <w:r w:rsidRPr="0020787B">
        <w:rPr>
          <w:color w:val="auto"/>
          <w:lang w:val="en-US"/>
        </w:rPr>
        <w:t xml:space="preserve"> </w:t>
      </w:r>
      <w:r w:rsidRPr="0020787B">
        <w:rPr>
          <w:b/>
          <w:bCs/>
          <w:color w:val="auto"/>
          <w:lang w:val="en-US"/>
        </w:rPr>
        <w:t>105</w:t>
      </w:r>
      <w:r w:rsidRPr="0020787B">
        <w:rPr>
          <w:color w:val="auto"/>
          <w:lang w:val="en-US"/>
        </w:rPr>
        <w:t>, 165–174.</w:t>
      </w:r>
    </w:p>
    <w:p w14:paraId="68DBA56D" w14:textId="7BEC7FFF" w:rsidR="006F6A77" w:rsidRPr="0020787B" w:rsidRDefault="006F6A77" w:rsidP="006F6A77">
      <w:pPr>
        <w:rPr>
          <w:color w:val="auto"/>
        </w:rPr>
      </w:pPr>
      <w:r w:rsidRPr="0020787B">
        <w:rPr>
          <w:color w:val="auto"/>
        </w:rPr>
        <w:t xml:space="preserve">South Australian Research and Development Institute Aquatic Sciences, University of Adelaide and Department of Environment and Water (2024). Commonwealth Environmental Water Office: Lower Murray Monitoring, Evaluation and Research Plan (2019–2024). Prepared by the South Australian Consortium for the Commonwealth Environmental Water Office. </w:t>
      </w:r>
    </w:p>
    <w:p w14:paraId="4D6632CB" w14:textId="77777777" w:rsidR="006F6A77" w:rsidRPr="0020787B" w:rsidRDefault="006F6A77" w:rsidP="006F6A77">
      <w:pPr>
        <w:rPr>
          <w:color w:val="auto"/>
        </w:rPr>
      </w:pPr>
      <w:r w:rsidRPr="0020787B">
        <w:rPr>
          <w:color w:val="auto"/>
        </w:rPr>
        <w:t xml:space="preserve">Statzner, B. and Higler, B. (1986). Stream hydraulics as a major determinant of benthic invertebrate zonation patterns. </w:t>
      </w:r>
      <w:r w:rsidRPr="0020787B">
        <w:rPr>
          <w:i/>
          <w:color w:val="auto"/>
        </w:rPr>
        <w:t>Freshwater Biology</w:t>
      </w:r>
      <w:r w:rsidRPr="0020787B">
        <w:rPr>
          <w:color w:val="auto"/>
        </w:rPr>
        <w:t xml:space="preserve"> </w:t>
      </w:r>
      <w:r w:rsidRPr="0020787B">
        <w:rPr>
          <w:b/>
          <w:color w:val="auto"/>
        </w:rPr>
        <w:t>16</w:t>
      </w:r>
      <w:r w:rsidRPr="0020787B">
        <w:rPr>
          <w:color w:val="auto"/>
        </w:rPr>
        <w:t>, 127–139.</w:t>
      </w:r>
    </w:p>
    <w:p w14:paraId="64B77AAC" w14:textId="77777777" w:rsidR="006F6A77" w:rsidRPr="0020787B" w:rsidRDefault="006F6A77" w:rsidP="006F6A77">
      <w:pPr>
        <w:rPr>
          <w:color w:val="auto"/>
        </w:rPr>
      </w:pPr>
      <w:r w:rsidRPr="0020787B">
        <w:rPr>
          <w:color w:val="auto"/>
        </w:rPr>
        <w:t xml:space="preserve">Steinman, A.D. and McIntire, C.D. (1990). Recovery of lotic periphyton communities after disturbance. </w:t>
      </w:r>
      <w:r w:rsidRPr="0020787B">
        <w:rPr>
          <w:i/>
          <w:color w:val="auto"/>
        </w:rPr>
        <w:t>Environmental Management</w:t>
      </w:r>
      <w:r w:rsidRPr="0020787B">
        <w:rPr>
          <w:color w:val="auto"/>
        </w:rPr>
        <w:t xml:space="preserve"> </w:t>
      </w:r>
      <w:r w:rsidRPr="0020787B">
        <w:rPr>
          <w:b/>
          <w:color w:val="auto"/>
        </w:rPr>
        <w:t>14</w:t>
      </w:r>
      <w:r w:rsidRPr="0020787B">
        <w:rPr>
          <w:color w:val="auto"/>
        </w:rPr>
        <w:t>, 589–604.</w:t>
      </w:r>
    </w:p>
    <w:p w14:paraId="6DEA0C05" w14:textId="77777777" w:rsidR="006F6A77" w:rsidRPr="0020787B" w:rsidRDefault="006F6A77" w:rsidP="006F6A77">
      <w:pPr>
        <w:rPr>
          <w:color w:val="auto"/>
        </w:rPr>
      </w:pPr>
      <w:r w:rsidRPr="0020787B">
        <w:rPr>
          <w:color w:val="auto"/>
        </w:rPr>
        <w:t xml:space="preserve">Stewardson, M.J. and Guarino, F. (2018). Basin-scale environmental water delivery in the Murray Darling, Australia: A hydrological perspective. </w:t>
      </w:r>
      <w:r w:rsidRPr="0020787B">
        <w:rPr>
          <w:i/>
          <w:iCs/>
          <w:color w:val="auto"/>
        </w:rPr>
        <w:t>Freshwater Biology</w:t>
      </w:r>
      <w:r w:rsidRPr="0020787B">
        <w:rPr>
          <w:color w:val="auto"/>
        </w:rPr>
        <w:t xml:space="preserve"> </w:t>
      </w:r>
      <w:r w:rsidRPr="0020787B">
        <w:rPr>
          <w:b/>
          <w:bCs/>
          <w:color w:val="auto"/>
        </w:rPr>
        <w:t>63</w:t>
      </w:r>
      <w:r w:rsidRPr="0020787B">
        <w:rPr>
          <w:color w:val="auto"/>
        </w:rPr>
        <w:t>: 969–985.</w:t>
      </w:r>
    </w:p>
    <w:p w14:paraId="46DC1F77" w14:textId="77777777" w:rsidR="006F6A77" w:rsidRPr="0020787B" w:rsidRDefault="006F6A77" w:rsidP="006F6A77">
      <w:pPr>
        <w:rPr>
          <w:color w:val="auto"/>
        </w:rPr>
      </w:pPr>
      <w:r w:rsidRPr="0020787B">
        <w:rPr>
          <w:color w:val="auto"/>
        </w:rPr>
        <w:t>Stocks, J.R, Ellis, I.M., van der Meulen, D.E., Doyle, J.I. and Cheshire, K.J.M. (2022). Kills in the Darling: assessing the impact of the 2018–20 mass fish kills on the fish communities of the Lower Darling–</w:t>
      </w:r>
      <w:r w:rsidRPr="0020787B">
        <w:rPr>
          <w:i/>
          <w:iCs/>
          <w:color w:val="auto"/>
        </w:rPr>
        <w:t>Baaka</w:t>
      </w:r>
      <w:r w:rsidRPr="0020787B">
        <w:rPr>
          <w:color w:val="auto"/>
        </w:rPr>
        <w:t xml:space="preserve"> River, a large lowland river of south-eastern Australia. </w:t>
      </w:r>
      <w:r w:rsidRPr="0020787B">
        <w:rPr>
          <w:i/>
          <w:iCs/>
          <w:color w:val="auto"/>
        </w:rPr>
        <w:t>Marine and Freshwater Research</w:t>
      </w:r>
      <w:r w:rsidRPr="0020787B">
        <w:rPr>
          <w:color w:val="auto"/>
        </w:rPr>
        <w:t xml:space="preserve"> </w:t>
      </w:r>
      <w:r w:rsidRPr="0020787B">
        <w:rPr>
          <w:b/>
          <w:bCs/>
          <w:color w:val="auto"/>
        </w:rPr>
        <w:t>73</w:t>
      </w:r>
      <w:r w:rsidRPr="0020787B">
        <w:rPr>
          <w:color w:val="auto"/>
        </w:rPr>
        <w:t>, 159–177.</w:t>
      </w:r>
    </w:p>
    <w:p w14:paraId="05AFF79E" w14:textId="77777777" w:rsidR="006F6A77" w:rsidRPr="0020787B" w:rsidRDefault="006F6A77" w:rsidP="006F6A77">
      <w:pPr>
        <w:rPr>
          <w:color w:val="auto"/>
        </w:rPr>
      </w:pPr>
      <w:r w:rsidRPr="0020787B">
        <w:rPr>
          <w:color w:val="auto"/>
        </w:rPr>
        <w:t>Stoffels, R., Stratford, D., Bond, N. and Hale, J. (2018). 2016–17 Basin-scale evaluation of Commonwealth environmental water – Fish. Report prepared for the Commonwealth Environmental Water Office by La Trobe University, Publication 192/2018, October, 42pp.</w:t>
      </w:r>
    </w:p>
    <w:p w14:paraId="4ABB24A4" w14:textId="77777777" w:rsidR="006F6A77" w:rsidRPr="0020787B" w:rsidRDefault="006F6A77" w:rsidP="006F6A77">
      <w:pPr>
        <w:rPr>
          <w:color w:val="auto"/>
        </w:rPr>
      </w:pPr>
      <w:r w:rsidRPr="0020787B">
        <w:rPr>
          <w:color w:val="auto"/>
        </w:rPr>
        <w:t>Stuart, I. and Sharpe, C. (2020). Riverine spawning, long distance larval drift, and floodplain recruitment of a pelagophilic fish: A case study of golden perch (</w:t>
      </w:r>
      <w:r w:rsidRPr="0020787B">
        <w:rPr>
          <w:i/>
          <w:iCs/>
          <w:color w:val="auto"/>
        </w:rPr>
        <w:t>Macquaria ambigua</w:t>
      </w:r>
      <w:r w:rsidRPr="0020787B">
        <w:rPr>
          <w:color w:val="auto"/>
        </w:rPr>
        <w:t xml:space="preserve">) in the arid Darling River, Australia. </w:t>
      </w:r>
      <w:r w:rsidRPr="0020787B">
        <w:rPr>
          <w:i/>
          <w:iCs/>
          <w:color w:val="auto"/>
        </w:rPr>
        <w:t>Aquatic Conservation</w:t>
      </w:r>
      <w:r w:rsidRPr="0020787B">
        <w:rPr>
          <w:color w:val="auto"/>
        </w:rPr>
        <w:t xml:space="preserve"> </w:t>
      </w:r>
      <w:r w:rsidRPr="0020787B">
        <w:rPr>
          <w:b/>
          <w:bCs/>
          <w:color w:val="auto"/>
        </w:rPr>
        <w:t>30</w:t>
      </w:r>
      <w:r w:rsidRPr="0020787B">
        <w:rPr>
          <w:color w:val="auto"/>
        </w:rPr>
        <w:t>, 675–690.</w:t>
      </w:r>
    </w:p>
    <w:p w14:paraId="087982EB" w14:textId="77777777" w:rsidR="006F6A77" w:rsidRPr="0020787B" w:rsidRDefault="006F6A77" w:rsidP="006F6A77">
      <w:pPr>
        <w:rPr>
          <w:color w:val="auto"/>
        </w:rPr>
      </w:pPr>
      <w:r w:rsidRPr="0020787B">
        <w:rPr>
          <w:color w:val="auto"/>
        </w:rPr>
        <w:t xml:space="preserve">Stuart, I., Sharpe, C., Stanislawski, K., Parker, A., Mallen-Cooper, M. (2019). From an irrigation system to an ecological asset: adding environmental flows establishes recovery of a threatened fish species. </w:t>
      </w:r>
      <w:r w:rsidRPr="0020787B">
        <w:rPr>
          <w:i/>
          <w:iCs/>
          <w:color w:val="auto"/>
        </w:rPr>
        <w:t>Marine and Freshwater Research</w:t>
      </w:r>
      <w:r w:rsidRPr="0020787B">
        <w:rPr>
          <w:color w:val="auto"/>
        </w:rPr>
        <w:t xml:space="preserve"> </w:t>
      </w:r>
      <w:r w:rsidRPr="0020787B">
        <w:rPr>
          <w:b/>
          <w:bCs/>
          <w:color w:val="auto"/>
        </w:rPr>
        <w:t>70</w:t>
      </w:r>
      <w:r w:rsidRPr="0020787B">
        <w:rPr>
          <w:color w:val="auto"/>
        </w:rPr>
        <w:t>, 1295–1306.</w:t>
      </w:r>
    </w:p>
    <w:p w14:paraId="38A034F5" w14:textId="77777777" w:rsidR="006F6A77" w:rsidRPr="0020787B" w:rsidRDefault="006F6A77" w:rsidP="006F6A77">
      <w:pPr>
        <w:rPr>
          <w:color w:val="auto"/>
        </w:rPr>
      </w:pPr>
      <w:r w:rsidRPr="0020787B">
        <w:rPr>
          <w:color w:val="auto"/>
        </w:rPr>
        <w:t xml:space="preserve">Tan, L.-W. and Shiel, R.J. (1993). Responses of billabong rotifer communities to inundation. </w:t>
      </w:r>
      <w:r w:rsidRPr="0020787B">
        <w:rPr>
          <w:i/>
          <w:color w:val="auto"/>
        </w:rPr>
        <w:t>Hydrobiologia</w:t>
      </w:r>
      <w:r w:rsidRPr="0020787B">
        <w:rPr>
          <w:color w:val="auto"/>
        </w:rPr>
        <w:t xml:space="preserve"> </w:t>
      </w:r>
      <w:r w:rsidRPr="0020787B">
        <w:rPr>
          <w:b/>
          <w:color w:val="auto"/>
        </w:rPr>
        <w:t>255</w:t>
      </w:r>
      <w:r w:rsidRPr="0020787B">
        <w:rPr>
          <w:color w:val="auto"/>
        </w:rPr>
        <w:t>, 361–369.</w:t>
      </w:r>
    </w:p>
    <w:p w14:paraId="751C6EB2" w14:textId="77777777" w:rsidR="006F6A77" w:rsidRPr="0020787B" w:rsidRDefault="006F6A77" w:rsidP="006F6A77">
      <w:pPr>
        <w:rPr>
          <w:bCs/>
          <w:color w:val="auto"/>
        </w:rPr>
      </w:pPr>
      <w:r w:rsidRPr="0020787B">
        <w:rPr>
          <w:bCs/>
          <w:color w:val="auto"/>
        </w:rPr>
        <w:t xml:space="preserve">Thompson, K. and Grime, J.P. (1979). Seasonal variation in the seed banks of herbaceous species in ten contrasting habitats. </w:t>
      </w:r>
      <w:r w:rsidRPr="0020787B">
        <w:rPr>
          <w:bCs/>
          <w:i/>
          <w:iCs/>
          <w:color w:val="auto"/>
        </w:rPr>
        <w:t>Journal of Ecology</w:t>
      </w:r>
      <w:r w:rsidRPr="0020787B">
        <w:rPr>
          <w:bCs/>
          <w:color w:val="auto"/>
        </w:rPr>
        <w:t xml:space="preserve"> </w:t>
      </w:r>
      <w:r w:rsidRPr="0020787B">
        <w:rPr>
          <w:b/>
          <w:color w:val="auto"/>
        </w:rPr>
        <w:t>67</w:t>
      </w:r>
      <w:r w:rsidRPr="0020787B">
        <w:rPr>
          <w:bCs/>
          <w:color w:val="auto"/>
        </w:rPr>
        <w:t>, 893-921.</w:t>
      </w:r>
    </w:p>
    <w:p w14:paraId="6333E91B" w14:textId="7B8ACE3F" w:rsidR="008B0233" w:rsidRPr="0020787B" w:rsidRDefault="008B0233" w:rsidP="006F6A77">
      <w:pPr>
        <w:rPr>
          <w:color w:val="auto"/>
        </w:rPr>
      </w:pPr>
      <w:r w:rsidRPr="0020787B">
        <w:rPr>
          <w:color w:val="auto"/>
        </w:rPr>
        <w:t xml:space="preserve">Tonkin, Z., Humphries, P. and Pridmore, P.A. (2006). Ontogeny of feeding in two native and one alien fish species from the Murray-Darling Basin, Australia. </w:t>
      </w:r>
      <w:r w:rsidRPr="0020787B">
        <w:rPr>
          <w:i/>
          <w:iCs/>
          <w:color w:val="auto"/>
        </w:rPr>
        <w:t>Environmental Biology of Fishes</w:t>
      </w:r>
      <w:r w:rsidRPr="0020787B">
        <w:rPr>
          <w:color w:val="auto"/>
        </w:rPr>
        <w:t xml:space="preserve"> </w:t>
      </w:r>
      <w:r w:rsidRPr="0020787B">
        <w:rPr>
          <w:b/>
          <w:bCs/>
          <w:color w:val="auto"/>
        </w:rPr>
        <w:t>76</w:t>
      </w:r>
      <w:r w:rsidRPr="0020787B">
        <w:rPr>
          <w:color w:val="auto"/>
        </w:rPr>
        <w:t>, 303–315.</w:t>
      </w:r>
    </w:p>
    <w:p w14:paraId="5ECF9EBE" w14:textId="77777777" w:rsidR="006F6A77" w:rsidRPr="0020787B" w:rsidRDefault="006F6A77" w:rsidP="006F6A77">
      <w:pPr>
        <w:rPr>
          <w:color w:val="auto"/>
        </w:rPr>
      </w:pPr>
      <w:r w:rsidRPr="0020787B">
        <w:rPr>
          <w:color w:val="auto"/>
        </w:rPr>
        <w:t xml:space="preserve">Tonkin, Z.D., Ramsey, D.S.L. and King, A.J. (2008). Larval and juvenile Australian smelt </w:t>
      </w:r>
      <w:r w:rsidRPr="0020787B">
        <w:rPr>
          <w:i/>
          <w:iCs/>
          <w:color w:val="auto"/>
        </w:rPr>
        <w:t>Retropinna semoni</w:t>
      </w:r>
      <w:r w:rsidRPr="0020787B">
        <w:rPr>
          <w:color w:val="auto"/>
        </w:rPr>
        <w:t xml:space="preserve"> somatic and otolith growth parameters – implications for growth interpretation of wild fish. </w:t>
      </w:r>
      <w:r w:rsidRPr="0020787B">
        <w:rPr>
          <w:i/>
          <w:iCs/>
          <w:color w:val="auto"/>
        </w:rPr>
        <w:t>Ecology of Freshwater Fish</w:t>
      </w:r>
      <w:r w:rsidRPr="0020787B">
        <w:rPr>
          <w:color w:val="auto"/>
        </w:rPr>
        <w:t xml:space="preserve"> </w:t>
      </w:r>
      <w:r w:rsidRPr="0020787B">
        <w:rPr>
          <w:b/>
          <w:bCs/>
          <w:color w:val="auto"/>
        </w:rPr>
        <w:t>17</w:t>
      </w:r>
      <w:r w:rsidRPr="0020787B">
        <w:rPr>
          <w:color w:val="auto"/>
        </w:rPr>
        <w:t>, 489–494.</w:t>
      </w:r>
    </w:p>
    <w:p w14:paraId="5A82BF1E" w14:textId="77777777" w:rsidR="0020787B" w:rsidRDefault="0020787B">
      <w:pPr>
        <w:spacing w:before="0" w:after="160" w:line="259" w:lineRule="auto"/>
        <w:jc w:val="left"/>
        <w:rPr>
          <w:color w:val="auto"/>
        </w:rPr>
      </w:pPr>
      <w:r>
        <w:rPr>
          <w:color w:val="auto"/>
        </w:rPr>
        <w:br w:type="page"/>
      </w:r>
    </w:p>
    <w:p w14:paraId="1BDDF512" w14:textId="488968B5" w:rsidR="0009632D" w:rsidRPr="0020787B" w:rsidRDefault="006F6A77" w:rsidP="004B7AA2">
      <w:pPr>
        <w:rPr>
          <w:color w:val="auto"/>
        </w:rPr>
      </w:pPr>
      <w:r w:rsidRPr="0020787B">
        <w:rPr>
          <w:color w:val="auto"/>
        </w:rPr>
        <w:lastRenderedPageBreak/>
        <w:t xml:space="preserve">Tonkin, Z., Stuart, I., Kitchingman, A., Thiem, J.D., Zampatti, B., Hackett, G., Koster, W., Koehn, J., Morrongiello, J., Mallen-Cooper, M. and Lyon, J. (2019). Hydrology and water temperature influence recruitment dynamics of the threatened silver perch </w:t>
      </w:r>
      <w:r w:rsidRPr="0020787B">
        <w:rPr>
          <w:i/>
          <w:color w:val="auto"/>
        </w:rPr>
        <w:t>Bidyanus bidyanus</w:t>
      </w:r>
      <w:r w:rsidRPr="0020787B">
        <w:rPr>
          <w:color w:val="auto"/>
        </w:rPr>
        <w:t xml:space="preserve"> in a regulated lowland river. </w:t>
      </w:r>
      <w:r w:rsidRPr="0020787B">
        <w:rPr>
          <w:i/>
          <w:color w:val="auto"/>
        </w:rPr>
        <w:t>Marine and Freshwater Research</w:t>
      </w:r>
      <w:r w:rsidRPr="0020787B">
        <w:rPr>
          <w:color w:val="auto"/>
        </w:rPr>
        <w:t xml:space="preserve"> </w:t>
      </w:r>
      <w:r w:rsidRPr="0020787B">
        <w:rPr>
          <w:b/>
          <w:color w:val="auto"/>
        </w:rPr>
        <w:t>70</w:t>
      </w:r>
      <w:r w:rsidRPr="0020787B">
        <w:rPr>
          <w:color w:val="auto"/>
        </w:rPr>
        <w:t>, 1333–1344.</w:t>
      </w:r>
      <w:r w:rsidR="004B7AA2" w:rsidRPr="0020787B">
        <w:rPr>
          <w:color w:val="auto"/>
        </w:rPr>
        <w:t xml:space="preserve"> </w:t>
      </w:r>
    </w:p>
    <w:p w14:paraId="3A9A9331" w14:textId="07C9C439" w:rsidR="006F6A77" w:rsidRPr="0020787B" w:rsidRDefault="006F6A77" w:rsidP="006F6A77">
      <w:pPr>
        <w:rPr>
          <w:color w:val="auto"/>
        </w:rPr>
      </w:pPr>
      <w:r w:rsidRPr="0020787B">
        <w:rPr>
          <w:color w:val="auto"/>
        </w:rPr>
        <w:t>Tonkin, Z., Yen, J., Lyon, J., Kitchingman, A., Koehn, J.D., Koster, W.M., Lieschke, J., Raymond, S., Sharley, J., Stuart, I. and Todd, C. (20</w:t>
      </w:r>
      <w:r w:rsidR="00797166" w:rsidRPr="0020787B">
        <w:rPr>
          <w:color w:val="auto"/>
        </w:rPr>
        <w:t>21</w:t>
      </w:r>
      <w:r w:rsidRPr="0020787B">
        <w:rPr>
          <w:color w:val="auto"/>
        </w:rPr>
        <w:t xml:space="preserve">). Linking flow attributes to recruitment to inform water management for an Australian freshwater fish with an equilibrium life-history strategy, </w:t>
      </w:r>
      <w:r w:rsidRPr="0020787B">
        <w:rPr>
          <w:i/>
          <w:iCs/>
          <w:color w:val="auto"/>
        </w:rPr>
        <w:t>Science of the Total Environme</w:t>
      </w:r>
      <w:r w:rsidR="00797166" w:rsidRPr="0020787B">
        <w:rPr>
          <w:i/>
          <w:iCs/>
          <w:color w:val="auto"/>
        </w:rPr>
        <w:t xml:space="preserve">nt </w:t>
      </w:r>
      <w:r w:rsidR="00797166" w:rsidRPr="0020787B">
        <w:rPr>
          <w:b/>
          <w:bCs/>
          <w:color w:val="auto"/>
        </w:rPr>
        <w:t>752</w:t>
      </w:r>
      <w:r w:rsidR="00797166" w:rsidRPr="0020787B">
        <w:rPr>
          <w:color w:val="auto"/>
        </w:rPr>
        <w:t xml:space="preserve">, 141863. </w:t>
      </w:r>
      <w:r w:rsidRPr="0020787B">
        <w:rPr>
          <w:color w:val="auto"/>
        </w:rPr>
        <w:t>doi.org/10.1016/j.scitotenv.2020.141863.</w:t>
      </w:r>
    </w:p>
    <w:p w14:paraId="409152A5" w14:textId="77777777" w:rsidR="006F6A77" w:rsidRPr="0020787B" w:rsidRDefault="006F6A77" w:rsidP="006F6A77">
      <w:pPr>
        <w:rPr>
          <w:color w:val="auto"/>
        </w:rPr>
      </w:pPr>
      <w:r w:rsidRPr="0020787B">
        <w:rPr>
          <w:color w:val="auto"/>
        </w:rPr>
        <w:t xml:space="preserve">Ulseth, A.J., Hall, R.O., Boix Canadell, M., Madinger, H.L., Niayifar, A. and Battin, T.J. (2019). Distinct air–water gas exchange regimes in low- and high-energy streams. </w:t>
      </w:r>
      <w:r w:rsidRPr="0020787B">
        <w:rPr>
          <w:i/>
          <w:iCs/>
          <w:color w:val="auto"/>
        </w:rPr>
        <w:t>Nature Geoscience</w:t>
      </w:r>
      <w:r w:rsidRPr="0020787B">
        <w:rPr>
          <w:color w:val="auto"/>
        </w:rPr>
        <w:t xml:space="preserve"> </w:t>
      </w:r>
      <w:r w:rsidRPr="0020787B">
        <w:rPr>
          <w:b/>
          <w:bCs/>
          <w:color w:val="auto"/>
        </w:rPr>
        <w:t>12</w:t>
      </w:r>
      <w:r w:rsidRPr="0020787B">
        <w:rPr>
          <w:color w:val="auto"/>
        </w:rPr>
        <w:t>, 259–263.</w:t>
      </w:r>
    </w:p>
    <w:p w14:paraId="221C64AD" w14:textId="77777777" w:rsidR="006F6A77" w:rsidRPr="0020787B" w:rsidRDefault="006F6A77" w:rsidP="006F6A77">
      <w:pPr>
        <w:rPr>
          <w:color w:val="auto"/>
          <w:lang w:val="en-US"/>
        </w:rPr>
      </w:pPr>
      <w:r w:rsidRPr="0020787B">
        <w:rPr>
          <w:color w:val="auto"/>
          <w:lang w:val="en-US"/>
        </w:rPr>
        <w:t xml:space="preserve">van der Valk, A.G. (1981). Succession in wetlands: a Gleasonian approach. </w:t>
      </w:r>
      <w:r w:rsidRPr="0020787B">
        <w:rPr>
          <w:i/>
          <w:iCs/>
          <w:color w:val="auto"/>
          <w:lang w:val="en-US"/>
        </w:rPr>
        <w:t>Ecology</w:t>
      </w:r>
      <w:r w:rsidRPr="0020787B">
        <w:rPr>
          <w:color w:val="auto"/>
          <w:lang w:val="en-US"/>
        </w:rPr>
        <w:t xml:space="preserve"> </w:t>
      </w:r>
      <w:r w:rsidRPr="0020787B">
        <w:rPr>
          <w:b/>
          <w:bCs/>
          <w:color w:val="auto"/>
          <w:lang w:val="en-US"/>
        </w:rPr>
        <w:t>62</w:t>
      </w:r>
      <w:r w:rsidRPr="0020787B">
        <w:rPr>
          <w:color w:val="auto"/>
          <w:lang w:val="en-US"/>
        </w:rPr>
        <w:t>, 688–696.</w:t>
      </w:r>
    </w:p>
    <w:p w14:paraId="364F076E" w14:textId="77777777" w:rsidR="006F6A77" w:rsidRPr="0020787B" w:rsidRDefault="006F6A77" w:rsidP="006F6A77">
      <w:pPr>
        <w:rPr>
          <w:color w:val="auto"/>
        </w:rPr>
      </w:pPr>
      <w:r w:rsidRPr="0020787B">
        <w:rPr>
          <w:color w:val="auto"/>
        </w:rPr>
        <w:t xml:space="preserve">Várbíró, G., Padisák, J., Nagy-László, Z., Abonyi, A., Stanković, I., Gligora Udovič, M., Béres, V.B. and Borics, G. (2018). How length of light exposure shapes the development of riverine algal biomass in temperate rivers? </w:t>
      </w:r>
      <w:r w:rsidRPr="0020787B">
        <w:rPr>
          <w:i/>
          <w:color w:val="auto"/>
        </w:rPr>
        <w:t>Hydrobiologia</w:t>
      </w:r>
      <w:r w:rsidRPr="0020787B">
        <w:rPr>
          <w:color w:val="auto"/>
        </w:rPr>
        <w:t xml:space="preserve"> </w:t>
      </w:r>
      <w:r w:rsidRPr="0020787B">
        <w:rPr>
          <w:b/>
          <w:color w:val="auto"/>
        </w:rPr>
        <w:t>809</w:t>
      </w:r>
      <w:r w:rsidRPr="0020787B">
        <w:rPr>
          <w:color w:val="auto"/>
        </w:rPr>
        <w:t>, 53–63.</w:t>
      </w:r>
    </w:p>
    <w:p w14:paraId="10DCE4D9" w14:textId="77777777" w:rsidR="006F6A77" w:rsidRPr="0020787B" w:rsidRDefault="006F6A77" w:rsidP="006F6A77">
      <w:pPr>
        <w:rPr>
          <w:color w:val="auto"/>
        </w:rPr>
      </w:pPr>
      <w:r w:rsidRPr="0020787B">
        <w:rPr>
          <w:color w:val="auto"/>
        </w:rPr>
        <w:t xml:space="preserve">Vilizzi, L. and Walker, K.F. (1999). Age and growth of common carp, </w:t>
      </w:r>
      <w:r w:rsidRPr="0020787B">
        <w:rPr>
          <w:i/>
          <w:iCs/>
          <w:color w:val="auto"/>
        </w:rPr>
        <w:t>Cyprinus carpio</w:t>
      </w:r>
      <w:r w:rsidRPr="0020787B">
        <w:rPr>
          <w:color w:val="auto"/>
        </w:rPr>
        <w:t xml:space="preserve">, in the River Murray, Australia: validation, consistency of age interpretation and growth models. </w:t>
      </w:r>
      <w:r w:rsidRPr="0020787B">
        <w:rPr>
          <w:i/>
          <w:iCs/>
          <w:color w:val="auto"/>
        </w:rPr>
        <w:t>Environmental Biology of Fishes</w:t>
      </w:r>
      <w:r w:rsidRPr="0020787B">
        <w:rPr>
          <w:color w:val="auto"/>
        </w:rPr>
        <w:t xml:space="preserve"> </w:t>
      </w:r>
      <w:r w:rsidRPr="0020787B">
        <w:rPr>
          <w:b/>
          <w:bCs/>
          <w:color w:val="auto"/>
        </w:rPr>
        <w:t>54</w:t>
      </w:r>
      <w:r w:rsidRPr="0020787B">
        <w:rPr>
          <w:color w:val="auto"/>
        </w:rPr>
        <w:t>, 77–106.</w:t>
      </w:r>
    </w:p>
    <w:p w14:paraId="0544232A" w14:textId="77777777" w:rsidR="006F6A77" w:rsidRPr="0020787B" w:rsidRDefault="006F6A77" w:rsidP="006F6A77">
      <w:pPr>
        <w:rPr>
          <w:color w:val="auto"/>
        </w:rPr>
      </w:pPr>
      <w:r w:rsidRPr="0020787B">
        <w:rPr>
          <w:color w:val="auto"/>
        </w:rPr>
        <w:t>Vinyard, G.L. (1980). Differential prey vulnerability and predator selectivity: effects of evasive prey on bluegill (</w:t>
      </w:r>
      <w:r w:rsidRPr="0020787B">
        <w:rPr>
          <w:i/>
          <w:color w:val="auto"/>
        </w:rPr>
        <w:t>Lepomis macrochirus</w:t>
      </w:r>
      <w:r w:rsidRPr="0020787B">
        <w:rPr>
          <w:color w:val="auto"/>
        </w:rPr>
        <w:t>) and pumpkinseed (</w:t>
      </w:r>
      <w:r w:rsidRPr="0020787B">
        <w:rPr>
          <w:i/>
          <w:color w:val="auto"/>
        </w:rPr>
        <w:t>L. gibhosus</w:t>
      </w:r>
      <w:r w:rsidRPr="0020787B">
        <w:rPr>
          <w:color w:val="auto"/>
        </w:rPr>
        <w:t xml:space="preserve">) predation. </w:t>
      </w:r>
      <w:r w:rsidRPr="0020787B">
        <w:rPr>
          <w:i/>
          <w:color w:val="auto"/>
        </w:rPr>
        <w:t>Canadian Journal of Fisheries and Aquatic Sciences</w:t>
      </w:r>
      <w:r w:rsidRPr="0020787B">
        <w:rPr>
          <w:color w:val="auto"/>
        </w:rPr>
        <w:t xml:space="preserve"> </w:t>
      </w:r>
      <w:r w:rsidRPr="0020787B">
        <w:rPr>
          <w:b/>
          <w:color w:val="auto"/>
        </w:rPr>
        <w:t>37</w:t>
      </w:r>
      <w:r w:rsidRPr="0020787B">
        <w:rPr>
          <w:color w:val="auto"/>
        </w:rPr>
        <w:t>, 2294–2299.</w:t>
      </w:r>
    </w:p>
    <w:p w14:paraId="2205BCEE" w14:textId="77777777" w:rsidR="006F6A77" w:rsidRPr="0020787B" w:rsidRDefault="006F6A77" w:rsidP="006F6A77">
      <w:pPr>
        <w:rPr>
          <w:color w:val="auto"/>
        </w:rPr>
      </w:pPr>
      <w:r w:rsidRPr="0020787B">
        <w:rPr>
          <w:color w:val="auto"/>
        </w:rPr>
        <w:t xml:space="preserve">Walker, K.F. (1985). A review of the ecological effects of river regulation in Australia. </w:t>
      </w:r>
      <w:r w:rsidRPr="0020787B">
        <w:rPr>
          <w:i/>
          <w:color w:val="auto"/>
        </w:rPr>
        <w:t>Hydrobiologia</w:t>
      </w:r>
      <w:r w:rsidRPr="0020787B">
        <w:rPr>
          <w:color w:val="auto"/>
        </w:rPr>
        <w:t xml:space="preserve"> </w:t>
      </w:r>
      <w:r w:rsidRPr="0020787B">
        <w:rPr>
          <w:b/>
          <w:color w:val="auto"/>
        </w:rPr>
        <w:t>125</w:t>
      </w:r>
      <w:r w:rsidRPr="0020787B">
        <w:rPr>
          <w:color w:val="auto"/>
        </w:rPr>
        <w:t xml:space="preserve">, 111–129. </w:t>
      </w:r>
    </w:p>
    <w:p w14:paraId="512DB28D" w14:textId="77777777" w:rsidR="006F6A77" w:rsidRPr="0020787B" w:rsidRDefault="006F6A77" w:rsidP="006F6A77">
      <w:pPr>
        <w:rPr>
          <w:color w:val="auto"/>
        </w:rPr>
      </w:pPr>
      <w:r w:rsidRPr="0020787B">
        <w:rPr>
          <w:color w:val="auto"/>
        </w:rPr>
        <w:t>Walker, K.F. (2006). Serial weirs, cumulative effects: the Lower Murray River, Australia. In: Ecology of Desert Rivers. Ed. R. Kingsford. Cambridge University Press, Cambridge: 248–279.</w:t>
      </w:r>
    </w:p>
    <w:p w14:paraId="6127BEFC" w14:textId="77777777" w:rsidR="006F6A77" w:rsidRPr="0020787B" w:rsidRDefault="006F6A77" w:rsidP="006F6A77">
      <w:pPr>
        <w:rPr>
          <w:color w:val="auto"/>
        </w:rPr>
      </w:pPr>
      <w:r w:rsidRPr="0020787B">
        <w:rPr>
          <w:color w:val="auto"/>
        </w:rPr>
        <w:t xml:space="preserve">Walker, K.F. and Thoms, M.C. (1993). Environmental effects of flow regulation on the Lower Murray River, Australia. </w:t>
      </w:r>
      <w:r w:rsidRPr="0020787B">
        <w:rPr>
          <w:i/>
          <w:color w:val="auto"/>
        </w:rPr>
        <w:t>Regulated Rivers: Research and Management</w:t>
      </w:r>
      <w:r w:rsidRPr="0020787B">
        <w:rPr>
          <w:color w:val="auto"/>
        </w:rPr>
        <w:t xml:space="preserve"> </w:t>
      </w:r>
      <w:r w:rsidRPr="0020787B">
        <w:rPr>
          <w:b/>
          <w:color w:val="auto"/>
        </w:rPr>
        <w:t>8</w:t>
      </w:r>
      <w:r w:rsidRPr="0020787B">
        <w:rPr>
          <w:color w:val="auto"/>
        </w:rPr>
        <w:t>, 103–119.</w:t>
      </w:r>
    </w:p>
    <w:p w14:paraId="4CD6BBBD" w14:textId="77777777" w:rsidR="006F6A77" w:rsidRPr="0020787B" w:rsidRDefault="006F6A77" w:rsidP="006F6A77">
      <w:pPr>
        <w:rPr>
          <w:color w:val="auto"/>
        </w:rPr>
      </w:pPr>
      <w:r w:rsidRPr="0020787B">
        <w:rPr>
          <w:color w:val="auto"/>
        </w:rPr>
        <w:t xml:space="preserve">Walker, P.D., Wijnhoven, S., van der Velde, G. (2013). Macrophyte presence and growth form influence macroinvertebrate community structure. </w:t>
      </w:r>
      <w:r w:rsidRPr="0020787B">
        <w:rPr>
          <w:i/>
          <w:iCs/>
          <w:color w:val="auto"/>
        </w:rPr>
        <w:t>Aquatic Botany</w:t>
      </w:r>
      <w:r w:rsidRPr="0020787B">
        <w:rPr>
          <w:color w:val="auto"/>
        </w:rPr>
        <w:t xml:space="preserve"> </w:t>
      </w:r>
      <w:r w:rsidRPr="0020787B">
        <w:rPr>
          <w:b/>
          <w:bCs/>
          <w:color w:val="auto"/>
        </w:rPr>
        <w:t xml:space="preserve">104, </w:t>
      </w:r>
      <w:r w:rsidRPr="0020787B">
        <w:rPr>
          <w:color w:val="auto"/>
        </w:rPr>
        <w:t>80-87</w:t>
      </w:r>
      <w:r w:rsidRPr="0020787B">
        <w:rPr>
          <w:b/>
          <w:bCs/>
          <w:color w:val="auto"/>
        </w:rPr>
        <w:t>.</w:t>
      </w:r>
    </w:p>
    <w:p w14:paraId="64ED149B" w14:textId="77777777" w:rsidR="006F6A77" w:rsidRPr="0020787B" w:rsidRDefault="006F6A77" w:rsidP="006F6A77">
      <w:pPr>
        <w:rPr>
          <w:color w:val="auto"/>
        </w:rPr>
      </w:pPr>
      <w:r w:rsidRPr="0020787B">
        <w:rPr>
          <w:color w:val="auto"/>
        </w:rPr>
        <w:t>Wallace, T.A., Daly, R., Aldridge, K.T., Cox, J., Gibbs, M.S., Nicol, J.M., Oliver, R.L., Walker, K.F., Ye, Q. and Zampatti, B.P. (2014). River Murray Channel Environmental Water Requirements: Hydrodynamic Modelling Results and Conceptual Models, Goyder Institute for Water Research Technical Report Series No. 14/5.</w:t>
      </w:r>
    </w:p>
    <w:p w14:paraId="763C5B11" w14:textId="77777777" w:rsidR="006F6A77" w:rsidRPr="0020787B" w:rsidRDefault="006F6A77" w:rsidP="006F6A77">
      <w:pPr>
        <w:rPr>
          <w:color w:val="auto"/>
        </w:rPr>
      </w:pPr>
      <w:r w:rsidRPr="0020787B">
        <w:rPr>
          <w:color w:val="auto"/>
        </w:rPr>
        <w:t xml:space="preserve">Wassens, S., Spencer, J., Wolfenden, B., Thiem, J., Thomas, R., Jenkins, K., Brandis, K., Lenon, E., Hall, A., Ocock, J., Kobayashi, T., Bino, G., Heath, J. and Callaghan, D. (2017). Commonwealth Environmental Water Office Long-Term Intervention Monitoring project Murrumbidgee River system Selected Area evaluation report, 2014–17. Canberra, Commonwealth of Australia. </w:t>
      </w:r>
    </w:p>
    <w:p w14:paraId="42155FF4" w14:textId="77777777" w:rsidR="0009632D" w:rsidRPr="0020787B" w:rsidRDefault="0009632D">
      <w:pPr>
        <w:spacing w:before="0" w:after="160" w:line="259" w:lineRule="auto"/>
        <w:jc w:val="left"/>
        <w:rPr>
          <w:color w:val="auto"/>
        </w:rPr>
      </w:pPr>
      <w:r w:rsidRPr="0020787B">
        <w:rPr>
          <w:color w:val="auto"/>
        </w:rPr>
        <w:br w:type="page"/>
      </w:r>
    </w:p>
    <w:p w14:paraId="047E9670" w14:textId="2D0F6152" w:rsidR="006F6A77" w:rsidRPr="0020787B" w:rsidRDefault="006F6A77" w:rsidP="006F6A77">
      <w:pPr>
        <w:rPr>
          <w:color w:val="auto"/>
        </w:rPr>
      </w:pPr>
      <w:r w:rsidRPr="0020787B">
        <w:rPr>
          <w:color w:val="auto"/>
        </w:rPr>
        <w:lastRenderedPageBreak/>
        <w:t xml:space="preserve">Watts, R.J., McCasker, N., Howitt, J.A., Thiem, J., Grace, M., Kopf, R.K., Healy, S. and Bond, N. (2017). Commonwealth Environmental Water Office Long Term Intervention Monitoring Project: Edward-Wakool River System Selected Area Evaluation Report, 2016-17. Report prepared for Commonwealth Environmental Water Office. Commonwealth of Australia. </w:t>
      </w:r>
    </w:p>
    <w:p w14:paraId="075DF286" w14:textId="77777777" w:rsidR="006F6A77" w:rsidRPr="0020787B" w:rsidRDefault="006F6A77" w:rsidP="006F6A77">
      <w:pPr>
        <w:rPr>
          <w:color w:val="auto"/>
        </w:rPr>
      </w:pPr>
      <w:r w:rsidRPr="0020787B">
        <w:rPr>
          <w:color w:val="auto"/>
        </w:rPr>
        <w:t>Watts, R.J., McCasker, N., Thiem, J., Howitt, J.A., Grace, M., Kopf, R.K., Healy, S. and Bond, N. (2015). Commonwealth Environmental Water Office Long Term Intervention Monitoring Project: Edward-Wakool Selected Area Technical Report, 2014-15. Institute for Land, Water and Society, Charles Sturt University, Prepared for Commonwealth Environmental Water.</w:t>
      </w:r>
    </w:p>
    <w:p w14:paraId="3A2DBC1F" w14:textId="77777777" w:rsidR="006F6A77" w:rsidRPr="0020787B" w:rsidRDefault="006F6A77" w:rsidP="006F6A77">
      <w:pPr>
        <w:rPr>
          <w:color w:val="auto"/>
        </w:rPr>
      </w:pPr>
      <w:bookmarkStart w:id="583" w:name="_Hlk127956113"/>
      <w:r w:rsidRPr="0020787B">
        <w:rPr>
          <w:color w:val="auto"/>
        </w:rPr>
        <w:t xml:space="preserve">Waycott, M., Lewis, R., O’Loughlin, E.J., Urgl, C., van Dijk, K.J., Calladine, A., Collier, C., Mosley, L., Priestley, S., Leterme, S., Conran, J.G., Thornhill, A., Hipsey, M. and Nicol, J. (2022). Growth, phenology, nutrient responses and ecological limits of the </w:t>
      </w:r>
      <w:r w:rsidRPr="0020787B">
        <w:rPr>
          <w:i/>
          <w:iCs/>
          <w:color w:val="auto"/>
        </w:rPr>
        <w:t>Ruppia</w:t>
      </w:r>
      <w:r w:rsidRPr="0020787B">
        <w:rPr>
          <w:color w:val="auto"/>
        </w:rPr>
        <w:t xml:space="preserve"> Community and associated filamentous algal blooms of the southern Coorong. Goyder Institute for Water Research Technical Report Series No. 23/01.</w:t>
      </w:r>
    </w:p>
    <w:bookmarkEnd w:id="583"/>
    <w:p w14:paraId="0796C902" w14:textId="77777777" w:rsidR="006F6A77" w:rsidRPr="0020787B" w:rsidRDefault="006F6A77" w:rsidP="006F6A77">
      <w:pPr>
        <w:rPr>
          <w:color w:val="auto"/>
        </w:rPr>
      </w:pPr>
      <w:r w:rsidRPr="0020787B">
        <w:rPr>
          <w:color w:val="auto"/>
        </w:rPr>
        <w:t>Webb, A., Vietz, G., Windecker, S., Hladyz, S., Thompson, R., Koster, W. and Jones, M. (2015). Monitoring and reporting on the ecological outcomes of Commonwealth environmental water delivered in the lower Goulburn River and Broken Creek in 2013/14. The University of Melbourne for the Commonwealth Environmental Water Office.</w:t>
      </w:r>
    </w:p>
    <w:p w14:paraId="3EA9F9BD" w14:textId="77777777" w:rsidR="006F6A77" w:rsidRPr="0020787B" w:rsidRDefault="006F6A77" w:rsidP="006F6A77">
      <w:pPr>
        <w:rPr>
          <w:color w:val="auto"/>
        </w:rPr>
      </w:pPr>
      <w:r w:rsidRPr="0020787B">
        <w:rPr>
          <w:color w:val="auto"/>
        </w:rPr>
        <w:t>Wedderburn, S.D. and Barnes, T.C. (2016). Piscivory by alien redfin perch (</w:t>
      </w:r>
      <w:r w:rsidRPr="0020787B">
        <w:rPr>
          <w:i/>
          <w:iCs/>
          <w:color w:val="auto"/>
        </w:rPr>
        <w:t>Perca fluviatilis</w:t>
      </w:r>
      <w:r w:rsidRPr="0020787B">
        <w:rPr>
          <w:color w:val="auto"/>
        </w:rPr>
        <w:t xml:space="preserve">) begins earlier than anticipated in two contrasting habitats of Lake Alexandrina, South Australia. </w:t>
      </w:r>
      <w:r w:rsidRPr="0020787B">
        <w:rPr>
          <w:i/>
          <w:iCs/>
          <w:color w:val="auto"/>
        </w:rPr>
        <w:t>Australian Journal of Zoology</w:t>
      </w:r>
      <w:r w:rsidRPr="0020787B">
        <w:rPr>
          <w:color w:val="auto"/>
        </w:rPr>
        <w:t xml:space="preserve"> </w:t>
      </w:r>
      <w:r w:rsidRPr="0020787B">
        <w:rPr>
          <w:b/>
          <w:bCs/>
          <w:color w:val="auto"/>
        </w:rPr>
        <w:t>64</w:t>
      </w:r>
      <w:r w:rsidRPr="0020787B">
        <w:rPr>
          <w:color w:val="auto"/>
        </w:rPr>
        <w:t>, 1–7.</w:t>
      </w:r>
    </w:p>
    <w:p w14:paraId="0CE0BD6F" w14:textId="77777777" w:rsidR="006F6A77" w:rsidRPr="0020787B" w:rsidRDefault="006F6A77" w:rsidP="006F6A77">
      <w:pPr>
        <w:rPr>
          <w:color w:val="auto"/>
        </w:rPr>
      </w:pPr>
      <w:r w:rsidRPr="0020787B">
        <w:rPr>
          <w:color w:val="auto"/>
        </w:rPr>
        <w:t xml:space="preserve">White, P.A., Kalff, J., Rasmussen, J.B. and Gasol, J.M. (1991). The effect of temperature and algal biomass on bacterial production and specific growth rate in freshwater and marine habitats. </w:t>
      </w:r>
      <w:r w:rsidRPr="0020787B">
        <w:rPr>
          <w:i/>
          <w:iCs/>
          <w:color w:val="auto"/>
        </w:rPr>
        <w:t>Microbial Ecology</w:t>
      </w:r>
      <w:r w:rsidRPr="0020787B">
        <w:rPr>
          <w:color w:val="auto"/>
        </w:rPr>
        <w:t xml:space="preserve"> </w:t>
      </w:r>
      <w:r w:rsidRPr="0020787B">
        <w:rPr>
          <w:b/>
          <w:bCs/>
          <w:color w:val="auto"/>
        </w:rPr>
        <w:t>21</w:t>
      </w:r>
      <w:r w:rsidRPr="0020787B">
        <w:rPr>
          <w:color w:val="auto"/>
        </w:rPr>
        <w:t>, 99–118.</w:t>
      </w:r>
    </w:p>
    <w:p w14:paraId="24D00698" w14:textId="77777777" w:rsidR="006F6A77" w:rsidRPr="0020787B" w:rsidRDefault="006F6A77" w:rsidP="006F6A77">
      <w:pPr>
        <w:rPr>
          <w:color w:val="auto"/>
        </w:rPr>
      </w:pPr>
      <w:r w:rsidRPr="0020787B">
        <w:rPr>
          <w:color w:val="auto"/>
        </w:rPr>
        <w:t xml:space="preserve">Whitworth, K.L. and Baldwin, D.S. (2016). Improving our capacity to manage hypoxic blackwater events in lowland rivers: The Blackwater Risk Assessment Tool. </w:t>
      </w:r>
      <w:r w:rsidRPr="0020787B">
        <w:rPr>
          <w:i/>
          <w:iCs/>
          <w:color w:val="auto"/>
        </w:rPr>
        <w:t>Ecological Modelling</w:t>
      </w:r>
      <w:r w:rsidRPr="0020787B">
        <w:rPr>
          <w:color w:val="auto"/>
        </w:rPr>
        <w:t xml:space="preserve"> </w:t>
      </w:r>
      <w:r w:rsidRPr="0020787B">
        <w:rPr>
          <w:b/>
          <w:bCs/>
          <w:color w:val="auto"/>
        </w:rPr>
        <w:t>320</w:t>
      </w:r>
      <w:r w:rsidRPr="0020787B">
        <w:rPr>
          <w:color w:val="auto"/>
        </w:rPr>
        <w:t>, 292–298.</w:t>
      </w:r>
    </w:p>
    <w:p w14:paraId="2AF41D72" w14:textId="306FC1A2" w:rsidR="008B0233" w:rsidRPr="0020787B" w:rsidRDefault="008B0233" w:rsidP="006F6A77">
      <w:pPr>
        <w:rPr>
          <w:color w:val="auto"/>
        </w:rPr>
      </w:pPr>
      <w:r w:rsidRPr="006A33E4">
        <w:rPr>
          <w:color w:val="auto"/>
        </w:rPr>
        <w:t xml:space="preserve">Ye, Q. and Zampatti, B. (2007). </w:t>
      </w:r>
      <w:r w:rsidRPr="0020787B">
        <w:rPr>
          <w:color w:val="auto"/>
        </w:rPr>
        <w:t>Murray cod stock status – the Lower River Murray, South Australia. Stock status report to PIRSA Fisheries. South Australian Research and Development Institute (Aquatic Sciences), Adelaide. SARDI Publication No. F2007-000211-1. SARDI Report Series No. 208.</w:t>
      </w:r>
    </w:p>
    <w:p w14:paraId="34CEF976" w14:textId="77777777" w:rsidR="006F6A77" w:rsidRDefault="006F6A77" w:rsidP="006F6A77">
      <w:pPr>
        <w:rPr>
          <w:color w:val="auto"/>
        </w:rPr>
      </w:pPr>
      <w:r w:rsidRPr="00586D77">
        <w:rPr>
          <w:color w:val="auto"/>
        </w:rPr>
        <w:t>Ye, Q., Bucater, L. and Short, D. (2011). Coorong fish intervention monitoring during barrage releases in 2010/11. South Australian Research and Development Institute (Aquatic Sciences), Adelaide. SARDI Publication No. F2011/000309-1. SARDI Research Report Series No. 559.</w:t>
      </w:r>
    </w:p>
    <w:p w14:paraId="66E70834" w14:textId="77777777" w:rsidR="0020787B" w:rsidRPr="0020787B" w:rsidRDefault="0020787B" w:rsidP="0020787B">
      <w:pPr>
        <w:rPr>
          <w:color w:val="auto"/>
        </w:rPr>
      </w:pPr>
      <w:r w:rsidRPr="0020787B">
        <w:rPr>
          <w:color w:val="auto"/>
        </w:rPr>
        <w:t xml:space="preserve">Ye, Q., Aldridge, K., Bucater, L., Bice, C., Busch, B., Cheshire, K.J.M, Fleer, D., Hipsey, M., Leigh, S.J., Livore, J.P., Nicol, J., Wilson, P.J. and Zampatti, B.P. (2015a). Monitoring of ecological responses to the delivery of Commonwealth environmental water in the lower River Murray, during 2011-12. Final report prepared for Commonwealth Environmental Water Office. South Australian Research and Development Institute, Aquatic Sciences. </w:t>
      </w:r>
    </w:p>
    <w:p w14:paraId="5A10A848" w14:textId="77777777" w:rsidR="0020787B" w:rsidRDefault="0020787B">
      <w:pPr>
        <w:spacing w:before="0" w:after="160" w:line="259" w:lineRule="auto"/>
        <w:jc w:val="left"/>
        <w:rPr>
          <w:color w:val="auto"/>
        </w:rPr>
      </w:pPr>
      <w:r>
        <w:rPr>
          <w:color w:val="auto"/>
        </w:rPr>
        <w:br w:type="page"/>
      </w:r>
    </w:p>
    <w:p w14:paraId="57DAF1E1" w14:textId="4832A5D5" w:rsidR="008B0233" w:rsidRPr="007A618E" w:rsidRDefault="008B0233" w:rsidP="008B0233">
      <w:pPr>
        <w:rPr>
          <w:color w:val="auto"/>
        </w:rPr>
      </w:pPr>
      <w:r w:rsidRPr="007A618E">
        <w:rPr>
          <w:color w:val="auto"/>
        </w:rPr>
        <w:lastRenderedPageBreak/>
        <w:t>Ye, Q., Bucater, L., Zampatti, B., Bice, C., Wilson, P., Suitor, L., Wegener, I., Short, D. and Fleer, D. (2015c). Population dynamics and status of freshwater catfish (</w:t>
      </w:r>
      <w:r w:rsidRPr="007A618E">
        <w:rPr>
          <w:i/>
          <w:iCs/>
          <w:color w:val="auto"/>
        </w:rPr>
        <w:t>Tandanus tandanus</w:t>
      </w:r>
      <w:r w:rsidRPr="007A618E">
        <w:rPr>
          <w:color w:val="auto"/>
        </w:rPr>
        <w:t>) in the lower River Murray, South Australia. South Australian Research and Development Institute (SARDI) Aquatic Sciences, Adelaide. SARDI Publication No. F2014/000903-1. SARDI Research Report Series No. 841.</w:t>
      </w:r>
    </w:p>
    <w:p w14:paraId="0344F2B2" w14:textId="490EF353" w:rsidR="006F6A77" w:rsidRPr="007D2151" w:rsidRDefault="006F6A77" w:rsidP="004B7AA2">
      <w:pPr>
        <w:spacing w:before="0" w:after="160" w:line="259" w:lineRule="auto"/>
        <w:jc w:val="left"/>
        <w:rPr>
          <w:color w:val="auto"/>
        </w:rPr>
      </w:pPr>
      <w:r w:rsidRPr="007D2151">
        <w:rPr>
          <w:color w:val="auto"/>
        </w:rPr>
        <w:t>Ye, Q., Giatas, G.C. Aldridge, K.T., Benger, S.N., Bice, C.M., Brookes, J.D., Bucater, L.B, Cheshire, K.J.M., Cummings, C.R., Doody, T.M., Fairweather, P.G., Frahn, K.A., Fredberg, J.F. Gehrig, S.L., Holland, K.L., Leigh, S.J., Lester, R.E., Lorenz, Z., Marsland, K.B., Nicol, J.M., Oliver, R.L., Overton, I.C., Pritchard, J.L., Strawbridge, A.D., Thwaites, L.A, Turnadge, C.J., Wilson, P.J. and Zampatti, B.P. (2014). Ecological responses to flooding in the lower River Murray following an extended drought. Synthesis report of the Murray Flood Ecology Project. South Australian Research and Development Institute (Aquatic Sciences), Adelaide. Goyder Institute for Water Research Technical Report Series No. 14/6. 47pp.</w:t>
      </w:r>
    </w:p>
    <w:p w14:paraId="071F4D71" w14:textId="77777777" w:rsidR="006F6A77" w:rsidRPr="009F4FCC" w:rsidRDefault="006F6A77" w:rsidP="006F6A77">
      <w:pPr>
        <w:rPr>
          <w:color w:val="auto"/>
        </w:rPr>
      </w:pPr>
      <w:r w:rsidRPr="005A42C9">
        <w:rPr>
          <w:color w:val="auto"/>
        </w:rPr>
        <w:t>Ye, Q., Giatas, G., Aldridge, K., Busch, B., Brookes, J., Gibbs, M., Hipsey, M., Lorenz, Z., Maas, R., Oliver, R., Shiel, R., Woodhead, J. and Zampatti, B. (2018). Long-Term Intervention Monitoring of the Ecological Responses to Commonwealth Environmental Water Delivered to the Lower Murray River Selected Area in 2016/17. A report prepared for the Commonwealth Environmental Water Office. South Australian Research and Development Institute, Aquatic Sciences.</w:t>
      </w:r>
    </w:p>
    <w:p w14:paraId="56EA9310" w14:textId="77777777" w:rsidR="006F6A77" w:rsidRPr="00636ABD" w:rsidRDefault="006F6A77" w:rsidP="006F6A77">
      <w:pPr>
        <w:rPr>
          <w:color w:val="auto"/>
        </w:rPr>
      </w:pPr>
      <w:r w:rsidRPr="00636ABD">
        <w:rPr>
          <w:color w:val="auto"/>
        </w:rPr>
        <w:t>Ye, Q., Giatas, G., Aldridge, K.T., Busch, B., Gibbs, M., Hipsey, M.R., Lorenz, Z., Oliver, R., Shiel, R.J. and Zampatti, B. (2016b). Long-term Intervention Monitoring for the Ecological Responses to Commonwealth Environmental Water Delivered to the Lower Murray River Selected Area in 2014/15: A Report Prepared for the Commonwealth Environmental Water Office by the South Australian Research and Development Institute, Aquatic Sciences, SARDI Aquatic Sciences.</w:t>
      </w:r>
    </w:p>
    <w:p w14:paraId="0018A154" w14:textId="77777777" w:rsidR="006F6A77" w:rsidRPr="00D440B0" w:rsidRDefault="006F6A77" w:rsidP="006F6A77">
      <w:pPr>
        <w:rPr>
          <w:color w:val="auto"/>
        </w:rPr>
      </w:pPr>
      <w:r w:rsidRPr="00D440B0">
        <w:rPr>
          <w:color w:val="auto"/>
        </w:rPr>
        <w:t>Ye, Q., Giatas, G., Bice, C., Brookes, J., Furst, D., Gibbs, M., Nicol, J., Oliver, R., Shiel, R., Zampatti, B., Bucater, L., Deane, D., Hipsey, M., Huang, P., Lorenz, Z. and Zhai, S. (2021). Commonwealth Environmental Water Office Monitoring, Evaluation and Research Project: Lower Murray 2019-20 Technical Report. A report prepared for the Commonwealth Environmental Water Office by the South Australian Research and Development Institute, Aquatic Sciences.</w:t>
      </w:r>
    </w:p>
    <w:p w14:paraId="4BF1B382" w14:textId="77777777" w:rsidR="006F6A77" w:rsidRPr="00D440B0" w:rsidRDefault="006F6A77" w:rsidP="006F6A77">
      <w:pPr>
        <w:rPr>
          <w:color w:val="auto"/>
        </w:rPr>
      </w:pPr>
      <w:r w:rsidRPr="00D440B0">
        <w:rPr>
          <w:color w:val="auto"/>
        </w:rPr>
        <w:t>Ye, Q., Giatas, G., Bice, C., Brookes, J., Furst, D., Gibbs, M., Nicol, J., Oliver, R., Zampatti, B., Bucater, L., Deane, D., Frahn, K., Hipsey, M., Kok, C., Huang, P., Lorenz, Z., Mills, J., Shiel, R. and Zhai, S. (2022). Commonwealth Environmental Water Office Monitoring, Evaluation and Research Project: Lower Murray 2020-21 Technical Report. A report prepared for the Commonwealth Environmental Water Office by the South Australian Research and Development Institute, Aquatic Sciences.</w:t>
      </w:r>
    </w:p>
    <w:p w14:paraId="12807193" w14:textId="77777777" w:rsidR="006F6A77" w:rsidRPr="00D440B0" w:rsidRDefault="006F6A77" w:rsidP="006F6A77">
      <w:pPr>
        <w:rPr>
          <w:color w:val="auto"/>
        </w:rPr>
      </w:pPr>
      <w:r w:rsidRPr="00D440B0">
        <w:rPr>
          <w:color w:val="auto"/>
        </w:rPr>
        <w:t>Ye, Q., Giatas, G., Bice, C., Brookes, J., Furst, D., Gibbs, M., Nicol, J., Oliver, R., Zampatti, B., Bucater, L., Deane, D., Frahn, K., Hipsey, M., Kok, C., Huang, P., Lorenz, Z., Mills, J., Shiel, R. and Zhai, S. (2023). Commonwealth Environmental Water Office Monitoring, Evaluation and Research Project: Lower Murray 2021-22 Technical Report. A report prepared for the Commonwealth Environmental Water Office by the South Australian Research and Development Institute, Aquatic Sciences.</w:t>
      </w:r>
    </w:p>
    <w:p w14:paraId="6491D25E" w14:textId="77777777" w:rsidR="006F6A77" w:rsidRPr="00D440B0" w:rsidRDefault="006F6A77" w:rsidP="006F6A77">
      <w:pPr>
        <w:rPr>
          <w:color w:val="auto"/>
        </w:rPr>
      </w:pPr>
      <w:r w:rsidRPr="00D440B0">
        <w:rPr>
          <w:color w:val="auto"/>
        </w:rPr>
        <w:lastRenderedPageBreak/>
        <w:t>Ye, Q., Giatas, G., Bice, C., Brookes, J., Furst, D., Gibbs, M., Nicol, J., Oliver, R., Zampatti, B., Bucater, L., Deane, D., Frahn, K., Hipsey, M., Kok, C., Huang, P., Lorenz, Z., Mills, J., Shiel, R. and Zhai, S. (2024). Commonwealth Environmental Water Office Monitoring, Evaluation and Research Project: Lower Murray 2022-23 Technical Report. A report prepared for the Commonwealth Environmental Water Office by the South Australian Research and Development Institute, Aquatic Sciences.</w:t>
      </w:r>
    </w:p>
    <w:p w14:paraId="4940424E" w14:textId="77777777" w:rsidR="006F6A77" w:rsidRPr="00D440B0" w:rsidRDefault="006F6A77" w:rsidP="006F6A77">
      <w:pPr>
        <w:rPr>
          <w:color w:val="auto"/>
        </w:rPr>
      </w:pPr>
      <w:r w:rsidRPr="00D440B0">
        <w:rPr>
          <w:color w:val="auto"/>
        </w:rPr>
        <w:t>Ye, Q., Giatas, G., Brookes, J., Furst, D., Gibbs, M., Oliver, R., Shiel, R., Zampatti, B., Aldridge, K., Bucater, L., Busch, B., Hipsey, M., Lorenz, Z., Maas, R., and Woodhead, J. (2020a). Commonwealth Environmental Water Office Long-Term Intervention Monitoring Project 2014–2019: Lower Murray River Technical Report. A report prepared for the Commonwealth Environmental Water Office by the South Australian Research and Development Institute, Aquatic Sciences.</w:t>
      </w:r>
    </w:p>
    <w:p w14:paraId="413C823A" w14:textId="77777777" w:rsidR="006F6A77" w:rsidRPr="00A90645" w:rsidRDefault="006F6A77" w:rsidP="006F6A77">
      <w:pPr>
        <w:rPr>
          <w:color w:val="auto"/>
        </w:rPr>
      </w:pPr>
      <w:r w:rsidRPr="00A90645">
        <w:rPr>
          <w:color w:val="auto"/>
        </w:rPr>
        <w:t xml:space="preserve">Ye, Q., Giatas, G., Dittmann, S., Baring, R., Bucater, L., Deane, D., Furst, D., Brookes, J., Rogers, D. and Goldsworthy, S. (2020b). A synthesis of current knowledge of the food web and food resources for waterbird and fish populations in the Coorong. Goyder Institute for Water Research Technical Report Series No. 20/11. </w:t>
      </w:r>
    </w:p>
    <w:p w14:paraId="495CC762" w14:textId="77777777" w:rsidR="006F6A77" w:rsidRPr="00F075F0" w:rsidRDefault="006F6A77" w:rsidP="006F6A77">
      <w:pPr>
        <w:rPr>
          <w:color w:val="auto"/>
        </w:rPr>
      </w:pPr>
      <w:r w:rsidRPr="00F075F0">
        <w:rPr>
          <w:color w:val="auto"/>
        </w:rPr>
        <w:t>Ye, Q., Livore, J.P., Aldridge, K., Bradford, T., Busch, B., Earl, J., Hipsey, M., Hoffmann, E., Joehnk, K., Lorenz, Z., Nicol, J., Oliver, R., Shiel, R., Suitor, L., Tan, L., Turner, R., Wegener, I., Wilson, P.J. and Zampatti, B.P. (2015</w:t>
      </w:r>
      <w:r>
        <w:rPr>
          <w:color w:val="auto"/>
        </w:rPr>
        <w:t>b</w:t>
      </w:r>
      <w:r w:rsidRPr="00F075F0">
        <w:rPr>
          <w:color w:val="auto"/>
        </w:rPr>
        <w:t xml:space="preserve">). Monitoring the ecological responses to Commonwealth environmental water delivered to the Lower Murray River in 2012-13. Report 3, prepared for Commonwealth Environmental Water Office. South Australian Research and Development Institute, Aquatic Sciences. </w:t>
      </w:r>
    </w:p>
    <w:p w14:paraId="0759CC0D" w14:textId="77777777" w:rsidR="006F6A77" w:rsidRPr="00586D77" w:rsidRDefault="006F6A77" w:rsidP="006F6A77">
      <w:pPr>
        <w:rPr>
          <w:color w:val="auto"/>
        </w:rPr>
      </w:pPr>
      <w:r w:rsidRPr="00586D77">
        <w:rPr>
          <w:color w:val="auto"/>
        </w:rPr>
        <w:t>Ye, Q., Livore, J., Aldridge, K., Giatas, G., Hipsey, M., Joehnk, K., Nicol, J., Wilson, P. and Zampatti, B. (2016a). Monitoring ecological response to Commonwealth environmental water delivered to the Lower Murray River in 2013-14. Final Report prepared for the Commonwealth Environmental Water Office. South Australian Research and Development Institute.</w:t>
      </w:r>
    </w:p>
    <w:p w14:paraId="63B472D7" w14:textId="77777777" w:rsidR="006F6A77" w:rsidRPr="00C46ABD" w:rsidRDefault="006F6A77" w:rsidP="006F6A77">
      <w:pPr>
        <w:rPr>
          <w:bCs/>
          <w:color w:val="auto"/>
        </w:rPr>
      </w:pPr>
      <w:r w:rsidRPr="005A42C9">
        <w:rPr>
          <w:bCs/>
          <w:color w:val="auto"/>
        </w:rPr>
        <w:t xml:space="preserve">Young, R.G. and Huryn, A.D. (1996). Interannual variation in discharge controls ecosystem metabolism along a grassland river continuum. </w:t>
      </w:r>
      <w:r w:rsidRPr="005A42C9">
        <w:rPr>
          <w:bCs/>
          <w:i/>
          <w:color w:val="auto"/>
        </w:rPr>
        <w:t>Canadian Journal of Fisheries and Aquatic Sciences</w:t>
      </w:r>
      <w:r w:rsidRPr="005A42C9">
        <w:rPr>
          <w:bCs/>
          <w:color w:val="auto"/>
        </w:rPr>
        <w:t xml:space="preserve"> </w:t>
      </w:r>
      <w:r w:rsidRPr="005A42C9">
        <w:rPr>
          <w:b/>
          <w:bCs/>
          <w:color w:val="auto"/>
        </w:rPr>
        <w:t>53</w:t>
      </w:r>
      <w:r w:rsidRPr="005A42C9">
        <w:rPr>
          <w:bCs/>
          <w:color w:val="auto"/>
        </w:rPr>
        <w:t>, 2199–</w:t>
      </w:r>
      <w:r w:rsidRPr="00C46ABD">
        <w:rPr>
          <w:bCs/>
          <w:color w:val="auto"/>
        </w:rPr>
        <w:t>2211.</w:t>
      </w:r>
    </w:p>
    <w:p w14:paraId="1CA6931A" w14:textId="77777777" w:rsidR="006F6A77" w:rsidRPr="00C46ABD" w:rsidRDefault="006F6A77" w:rsidP="006F6A77">
      <w:pPr>
        <w:rPr>
          <w:bCs/>
          <w:color w:val="auto"/>
        </w:rPr>
      </w:pPr>
      <w:r w:rsidRPr="00C46ABD">
        <w:rPr>
          <w:bCs/>
          <w:color w:val="auto"/>
        </w:rPr>
        <w:t>Zampatti, B.P. and Leigh, S.J. (2013a). Effects of flooding on recruitment and abundance of Golden Perch (</w:t>
      </w:r>
      <w:r w:rsidRPr="00C46ABD">
        <w:rPr>
          <w:bCs/>
          <w:i/>
          <w:color w:val="auto"/>
        </w:rPr>
        <w:t>Macquaria ambigua ambigua</w:t>
      </w:r>
      <w:r w:rsidRPr="00C46ABD">
        <w:rPr>
          <w:bCs/>
          <w:color w:val="auto"/>
        </w:rPr>
        <w:t xml:space="preserve">) in the lower River Murray. </w:t>
      </w:r>
      <w:r w:rsidRPr="00C46ABD">
        <w:rPr>
          <w:bCs/>
          <w:i/>
          <w:color w:val="auto"/>
        </w:rPr>
        <w:t>Ecological Management and Restoration</w:t>
      </w:r>
      <w:r w:rsidRPr="00C46ABD">
        <w:rPr>
          <w:bCs/>
          <w:color w:val="auto"/>
        </w:rPr>
        <w:t xml:space="preserve"> </w:t>
      </w:r>
      <w:r w:rsidRPr="00C46ABD">
        <w:rPr>
          <w:b/>
          <w:bCs/>
          <w:color w:val="auto"/>
        </w:rPr>
        <w:t>14</w:t>
      </w:r>
      <w:r w:rsidRPr="00C46ABD">
        <w:rPr>
          <w:bCs/>
          <w:color w:val="auto"/>
        </w:rPr>
        <w:t>, 135–143.</w:t>
      </w:r>
    </w:p>
    <w:p w14:paraId="3D65FCA0" w14:textId="77777777" w:rsidR="006F6A77" w:rsidRPr="00C46ABD" w:rsidRDefault="006F6A77" w:rsidP="006F6A77">
      <w:pPr>
        <w:rPr>
          <w:bCs/>
          <w:color w:val="auto"/>
        </w:rPr>
      </w:pPr>
      <w:r w:rsidRPr="00C46ABD">
        <w:rPr>
          <w:bCs/>
          <w:color w:val="auto"/>
        </w:rPr>
        <w:t xml:space="preserve">Zampatti, B.P. and Leigh, S.J. (2013b). Within-channel flows promote spawning and recruitment of golden perch, </w:t>
      </w:r>
      <w:r w:rsidRPr="00C46ABD">
        <w:rPr>
          <w:bCs/>
          <w:i/>
          <w:color w:val="auto"/>
        </w:rPr>
        <w:t>Macquaria ambigua ambigua</w:t>
      </w:r>
      <w:r w:rsidRPr="00C46ABD">
        <w:rPr>
          <w:bCs/>
          <w:color w:val="auto"/>
        </w:rPr>
        <w:t xml:space="preserve">: implications for environmental flow management in the River Murray, Australia. </w:t>
      </w:r>
      <w:r w:rsidRPr="00C46ABD">
        <w:rPr>
          <w:bCs/>
          <w:i/>
          <w:color w:val="auto"/>
        </w:rPr>
        <w:t>Marine and Freshwater Research</w:t>
      </w:r>
      <w:r w:rsidRPr="00C46ABD">
        <w:rPr>
          <w:bCs/>
          <w:color w:val="auto"/>
        </w:rPr>
        <w:t xml:space="preserve"> </w:t>
      </w:r>
      <w:r w:rsidRPr="00C46ABD">
        <w:rPr>
          <w:b/>
          <w:bCs/>
          <w:color w:val="auto"/>
        </w:rPr>
        <w:t>64</w:t>
      </w:r>
      <w:r w:rsidRPr="00C46ABD">
        <w:rPr>
          <w:bCs/>
          <w:color w:val="auto"/>
        </w:rPr>
        <w:t>, 618–630.</w:t>
      </w:r>
    </w:p>
    <w:p w14:paraId="0C99581A" w14:textId="77777777" w:rsidR="006F6A77" w:rsidRDefault="006F6A77" w:rsidP="006F6A77">
      <w:pPr>
        <w:rPr>
          <w:bCs/>
          <w:color w:val="auto"/>
        </w:rPr>
      </w:pPr>
      <w:r w:rsidRPr="002B2D62">
        <w:rPr>
          <w:bCs/>
          <w:color w:val="auto"/>
        </w:rPr>
        <w:t>Zampatti, B.P., Bice, C.M., Wilson, P.J. and Ye, Q. (2014). Population dynamics of Murray cod (</w:t>
      </w:r>
      <w:r w:rsidRPr="002B2D62">
        <w:rPr>
          <w:bCs/>
          <w:i/>
          <w:color w:val="auto"/>
        </w:rPr>
        <w:t>Maccullochella peelii</w:t>
      </w:r>
      <w:r w:rsidRPr="002B2D62">
        <w:rPr>
          <w:bCs/>
          <w:color w:val="auto"/>
        </w:rPr>
        <w:t>) in the South Australian reaches of the River Murray: A synthesis of data from 2002–2013. South Australian Research and Development Institute (Aquatic Sciences), Adelaide. SARDI Publication No. F2014-000089-1. SARDI Research Report Series No. 761.</w:t>
      </w:r>
    </w:p>
    <w:p w14:paraId="08CA0D9C" w14:textId="57A23BF7" w:rsidR="008B0233" w:rsidRPr="002B2D62" w:rsidRDefault="008B0233" w:rsidP="006F6A77">
      <w:pPr>
        <w:rPr>
          <w:bCs/>
          <w:color w:val="auto"/>
        </w:rPr>
      </w:pPr>
      <w:r w:rsidRPr="00211E06">
        <w:rPr>
          <w:bCs/>
          <w:color w:val="auto"/>
        </w:rPr>
        <w:lastRenderedPageBreak/>
        <w:t>Zampatti B., Fanson B., Strawbridge A.</w:t>
      </w:r>
      <w:r>
        <w:rPr>
          <w:bCs/>
          <w:color w:val="auto"/>
        </w:rPr>
        <w:t>, Tonkin, Z., Thiem,J., Butler, G., Balcombe, S., Koster, W., King, A., Crook, D., Woods, S., Lyon, J., Baumgartner, L. and Doyle, K</w:t>
      </w:r>
      <w:r w:rsidRPr="00211E06">
        <w:rPr>
          <w:bCs/>
          <w:color w:val="auto"/>
        </w:rPr>
        <w:t>. (2019) Basin-scale population dynamics of Golden Perch and Murray Cod: Relating flow to provenance, movement and recruitment in the Murray-Darling Basin. In: Murray-Darling Basin Environmental Water Knowledge and Research Project — Fish Theme Research Report (eds A. Price, S. Balcombe, P. Humphries, A. King and B. Zampatti), p. 42. Centre for Freshwater Ecology, La Trobe University, Wodonga, Victoria.</w:t>
      </w:r>
    </w:p>
    <w:p w14:paraId="71D585FB" w14:textId="77777777" w:rsidR="006F6A77" w:rsidRPr="002B2D62" w:rsidRDefault="006F6A77" w:rsidP="006F6A77">
      <w:pPr>
        <w:rPr>
          <w:bCs/>
          <w:color w:val="auto"/>
        </w:rPr>
      </w:pPr>
      <w:r w:rsidRPr="002B2D62">
        <w:rPr>
          <w:bCs/>
          <w:color w:val="auto"/>
        </w:rPr>
        <w:t xml:space="preserve">Zampatti, B.P., Leigh, S.J., Bice, C.M. and Rogers, P.J. (2018a). Multiscale movements of golden perch (Percichthyidae: </w:t>
      </w:r>
      <w:r w:rsidRPr="002B2D62">
        <w:rPr>
          <w:bCs/>
          <w:i/>
          <w:iCs/>
          <w:color w:val="auto"/>
        </w:rPr>
        <w:t>Macquaria ambigua</w:t>
      </w:r>
      <w:r w:rsidRPr="002B2D62">
        <w:rPr>
          <w:bCs/>
          <w:color w:val="auto"/>
        </w:rPr>
        <w:t xml:space="preserve">) in the River Murray, Australia. </w:t>
      </w:r>
      <w:r w:rsidRPr="002B2D62">
        <w:rPr>
          <w:bCs/>
          <w:i/>
          <w:iCs/>
          <w:color w:val="auto"/>
        </w:rPr>
        <w:t>Austral Ecology</w:t>
      </w:r>
      <w:r w:rsidRPr="002B2D62">
        <w:rPr>
          <w:bCs/>
          <w:color w:val="auto"/>
        </w:rPr>
        <w:t xml:space="preserve"> </w:t>
      </w:r>
      <w:r w:rsidRPr="002B2D62">
        <w:rPr>
          <w:b/>
          <w:color w:val="auto"/>
        </w:rPr>
        <w:t>43</w:t>
      </w:r>
      <w:r w:rsidRPr="002B2D62">
        <w:rPr>
          <w:bCs/>
          <w:color w:val="auto"/>
        </w:rPr>
        <w:t>, 763–774.</w:t>
      </w:r>
    </w:p>
    <w:p w14:paraId="2781D24A" w14:textId="77777777" w:rsidR="006F6A77" w:rsidRPr="00636ABD" w:rsidRDefault="006F6A77" w:rsidP="006F6A77">
      <w:pPr>
        <w:rPr>
          <w:bCs/>
          <w:color w:val="auto"/>
        </w:rPr>
      </w:pPr>
      <w:r w:rsidRPr="00636ABD">
        <w:rPr>
          <w:bCs/>
          <w:color w:val="auto"/>
        </w:rPr>
        <w:t>Zampatti, B.P., Leigh, S.J., Wilson, P.J., Crook, D.A., Gillanders, B.M., Maas, R., Macdonald, J.I. and Woodhead, J. (2021). Otolith chemistry delineates the influence of natal origin, dispersal and flow on the population dynamics of golden perch (</w:t>
      </w:r>
      <w:r w:rsidRPr="00636ABD">
        <w:rPr>
          <w:bCs/>
          <w:i/>
          <w:iCs/>
          <w:color w:val="auto"/>
        </w:rPr>
        <w:t>Macquaria ambigua</w:t>
      </w:r>
      <w:r w:rsidRPr="00636ABD">
        <w:rPr>
          <w:bCs/>
          <w:color w:val="auto"/>
        </w:rPr>
        <w:t xml:space="preserve">) in a regulated river. </w:t>
      </w:r>
      <w:r w:rsidRPr="00636ABD">
        <w:rPr>
          <w:bCs/>
          <w:i/>
          <w:iCs/>
          <w:color w:val="auto"/>
        </w:rPr>
        <w:t>Marine and Freshwater Research</w:t>
      </w:r>
      <w:r w:rsidRPr="00636ABD">
        <w:rPr>
          <w:bCs/>
          <w:color w:val="auto"/>
        </w:rPr>
        <w:t xml:space="preserve"> </w:t>
      </w:r>
      <w:r w:rsidRPr="00636ABD">
        <w:rPr>
          <w:b/>
          <w:color w:val="auto"/>
        </w:rPr>
        <w:t>72</w:t>
      </w:r>
      <w:r w:rsidRPr="00636ABD">
        <w:rPr>
          <w:bCs/>
          <w:color w:val="auto"/>
        </w:rPr>
        <w:t>, DOI: 10.1071/MF20280.</w:t>
      </w:r>
    </w:p>
    <w:p w14:paraId="3A6D2E22" w14:textId="77777777" w:rsidR="006F6A77" w:rsidRDefault="006F6A77" w:rsidP="006F6A77">
      <w:pPr>
        <w:rPr>
          <w:bCs/>
          <w:color w:val="auto"/>
        </w:rPr>
      </w:pPr>
      <w:r w:rsidRPr="00C46ABD">
        <w:rPr>
          <w:bCs/>
          <w:color w:val="auto"/>
        </w:rPr>
        <w:t>Zampatti, B.P., Strawbridge, A., Thiem, J., Tonkin, Z., Mass, R., Woodhead, J. and Fredberg, J. (2018b). Golden perch (</w:t>
      </w:r>
      <w:r w:rsidRPr="00C46ABD">
        <w:rPr>
          <w:bCs/>
          <w:i/>
          <w:color w:val="auto"/>
        </w:rPr>
        <w:t>Macquaria ambigua</w:t>
      </w:r>
      <w:r w:rsidRPr="00C46ABD">
        <w:rPr>
          <w:bCs/>
          <w:color w:val="auto"/>
        </w:rPr>
        <w:t>) and silver perch (</w:t>
      </w:r>
      <w:r w:rsidRPr="00C46ABD">
        <w:rPr>
          <w:bCs/>
          <w:i/>
          <w:color w:val="auto"/>
        </w:rPr>
        <w:t>Bidyanus bidyanus</w:t>
      </w:r>
      <w:r w:rsidRPr="00C46ABD">
        <w:rPr>
          <w:bCs/>
          <w:color w:val="auto"/>
        </w:rPr>
        <w:t>) age demographics, natal origin and migration history in the River Murray, Australia. South Australian Research and Development Institute (Aquatic Sciences), Adelaide. SARDI Publication No. F2018/000116-1. SARDI Research Report Series No. 993.</w:t>
      </w:r>
    </w:p>
    <w:p w14:paraId="5AB86AB4" w14:textId="30360B73" w:rsidR="005514EF" w:rsidRPr="003E7257" w:rsidRDefault="0092175C" w:rsidP="005514EF">
      <w:pPr>
        <w:rPr>
          <w:color w:val="auto"/>
        </w:rPr>
      </w:pPr>
      <w:r>
        <w:rPr>
          <w:lang w:eastAsia="en-AU"/>
        </w:rPr>
        <w:t>Z</w:t>
      </w:r>
      <w:r w:rsidRPr="0092175C">
        <w:rPr>
          <w:lang w:eastAsia="en-AU"/>
        </w:rPr>
        <w:t>hai,</w:t>
      </w:r>
      <w:r>
        <w:rPr>
          <w:lang w:eastAsia="en-AU"/>
        </w:rPr>
        <w:t xml:space="preserve"> S.,</w:t>
      </w:r>
      <w:r w:rsidRPr="0092175C">
        <w:rPr>
          <w:lang w:eastAsia="en-AU"/>
        </w:rPr>
        <w:t xml:space="preserve"> </w:t>
      </w:r>
      <w:r>
        <w:rPr>
          <w:lang w:eastAsia="en-AU"/>
        </w:rPr>
        <w:t>W</w:t>
      </w:r>
      <w:r w:rsidRPr="0092175C">
        <w:rPr>
          <w:lang w:eastAsia="en-AU"/>
        </w:rPr>
        <w:t>aycott,</w:t>
      </w:r>
      <w:r>
        <w:rPr>
          <w:lang w:eastAsia="en-AU"/>
        </w:rPr>
        <w:t xml:space="preserve"> M.,</w:t>
      </w:r>
      <w:r w:rsidRPr="0092175C">
        <w:rPr>
          <w:lang w:eastAsia="en-AU"/>
        </w:rPr>
        <w:t xml:space="preserve"> </w:t>
      </w:r>
      <w:r>
        <w:rPr>
          <w:lang w:eastAsia="en-AU"/>
        </w:rPr>
        <w:t>L</w:t>
      </w:r>
      <w:r w:rsidRPr="0092175C">
        <w:rPr>
          <w:lang w:eastAsia="en-AU"/>
        </w:rPr>
        <w:t>ewis,</w:t>
      </w:r>
      <w:r>
        <w:rPr>
          <w:lang w:eastAsia="en-AU"/>
        </w:rPr>
        <w:t xml:space="preserve"> R.,</w:t>
      </w:r>
      <w:r w:rsidRPr="0092175C">
        <w:rPr>
          <w:lang w:eastAsia="en-AU"/>
        </w:rPr>
        <w:t xml:space="preserve"> </w:t>
      </w:r>
      <w:r>
        <w:rPr>
          <w:lang w:eastAsia="en-AU"/>
        </w:rPr>
        <w:t>O</w:t>
      </w:r>
      <w:r w:rsidRPr="0092175C">
        <w:rPr>
          <w:lang w:eastAsia="en-AU"/>
        </w:rPr>
        <w:t>’</w:t>
      </w:r>
      <w:r>
        <w:rPr>
          <w:lang w:eastAsia="en-AU"/>
        </w:rPr>
        <w:t>L</w:t>
      </w:r>
      <w:r w:rsidRPr="0092175C">
        <w:rPr>
          <w:lang w:eastAsia="en-AU"/>
        </w:rPr>
        <w:t>oughlin,</w:t>
      </w:r>
      <w:r>
        <w:rPr>
          <w:lang w:eastAsia="en-AU"/>
        </w:rPr>
        <w:t xml:space="preserve"> E.,</w:t>
      </w:r>
      <w:r w:rsidRPr="0092175C">
        <w:rPr>
          <w:lang w:eastAsia="en-AU"/>
        </w:rPr>
        <w:t xml:space="preserve"> </w:t>
      </w:r>
      <w:r>
        <w:rPr>
          <w:lang w:eastAsia="en-AU"/>
        </w:rPr>
        <w:t>E</w:t>
      </w:r>
      <w:r w:rsidRPr="0092175C">
        <w:rPr>
          <w:lang w:eastAsia="en-AU"/>
        </w:rPr>
        <w:t>rftemeijer,</w:t>
      </w:r>
      <w:r>
        <w:rPr>
          <w:lang w:eastAsia="en-AU"/>
        </w:rPr>
        <w:t xml:space="preserve"> P.L.A,</w:t>
      </w:r>
      <w:r w:rsidRPr="0092175C">
        <w:rPr>
          <w:lang w:eastAsia="en-AU"/>
        </w:rPr>
        <w:t xml:space="preserve"> </w:t>
      </w:r>
      <w:r>
        <w:rPr>
          <w:lang w:eastAsia="en-AU"/>
        </w:rPr>
        <w:t>H</w:t>
      </w:r>
      <w:r w:rsidRPr="0092175C">
        <w:rPr>
          <w:lang w:eastAsia="en-AU"/>
        </w:rPr>
        <w:t>uang,</w:t>
      </w:r>
      <w:r>
        <w:rPr>
          <w:lang w:eastAsia="en-AU"/>
        </w:rPr>
        <w:t xml:space="preserve"> P.,</w:t>
      </w:r>
      <w:r w:rsidRPr="0092175C">
        <w:rPr>
          <w:lang w:eastAsia="en-AU"/>
        </w:rPr>
        <w:t xml:space="preserve"> </w:t>
      </w:r>
      <w:r>
        <w:rPr>
          <w:lang w:eastAsia="en-AU"/>
        </w:rPr>
        <w:t>B</w:t>
      </w:r>
      <w:r w:rsidRPr="0092175C">
        <w:rPr>
          <w:lang w:eastAsia="en-AU"/>
        </w:rPr>
        <w:t>rookes,</w:t>
      </w:r>
      <w:r>
        <w:rPr>
          <w:lang w:eastAsia="en-AU"/>
        </w:rPr>
        <w:t xml:space="preserve"> J.D.,</w:t>
      </w:r>
      <w:r w:rsidRPr="0092175C">
        <w:rPr>
          <w:lang w:eastAsia="en-AU"/>
        </w:rPr>
        <w:t xml:space="preserve"> </w:t>
      </w:r>
      <w:r>
        <w:rPr>
          <w:lang w:eastAsia="en-AU"/>
        </w:rPr>
        <w:t>S</w:t>
      </w:r>
      <w:r w:rsidRPr="0092175C">
        <w:rPr>
          <w:lang w:eastAsia="en-AU"/>
        </w:rPr>
        <w:t>ims,</w:t>
      </w:r>
      <w:r>
        <w:rPr>
          <w:lang w:eastAsia="en-AU"/>
        </w:rPr>
        <w:t xml:space="preserve"> C.,</w:t>
      </w:r>
      <w:r w:rsidRPr="0092175C">
        <w:rPr>
          <w:lang w:eastAsia="en-AU"/>
        </w:rPr>
        <w:t xml:space="preserve"> </w:t>
      </w:r>
      <w:r>
        <w:rPr>
          <w:lang w:eastAsia="en-AU"/>
        </w:rPr>
        <w:t>Z</w:t>
      </w:r>
      <w:r w:rsidRPr="0092175C">
        <w:rPr>
          <w:lang w:eastAsia="en-AU"/>
        </w:rPr>
        <w:t>hang,</w:t>
      </w:r>
      <w:r>
        <w:rPr>
          <w:lang w:eastAsia="en-AU"/>
        </w:rPr>
        <w:t xml:space="preserve"> Z. and</w:t>
      </w:r>
      <w:r w:rsidRPr="0092175C">
        <w:rPr>
          <w:lang w:eastAsia="en-AU"/>
        </w:rPr>
        <w:t xml:space="preserve"> </w:t>
      </w:r>
      <w:r>
        <w:rPr>
          <w:lang w:eastAsia="en-AU"/>
        </w:rPr>
        <w:t>H</w:t>
      </w:r>
      <w:r w:rsidRPr="0092175C">
        <w:rPr>
          <w:lang w:eastAsia="en-AU"/>
        </w:rPr>
        <w:t>ipsey</w:t>
      </w:r>
      <w:r>
        <w:rPr>
          <w:lang w:eastAsia="en-AU"/>
        </w:rPr>
        <w:t>, M.R.</w:t>
      </w:r>
      <w:r w:rsidRPr="0092175C">
        <w:rPr>
          <w:lang w:eastAsia="en-AU"/>
        </w:rPr>
        <w:t xml:space="preserve"> (2025). </w:t>
      </w:r>
      <w:r>
        <w:rPr>
          <w:lang w:eastAsia="en-AU"/>
        </w:rPr>
        <w:t>A</w:t>
      </w:r>
      <w:r w:rsidRPr="0092175C">
        <w:rPr>
          <w:lang w:eastAsia="en-AU"/>
        </w:rPr>
        <w:t xml:space="preserve"> life stage resolved habitat model for guiding seagrass restoration in coastal lagoons. </w:t>
      </w:r>
      <w:r w:rsidRPr="0092175C">
        <w:rPr>
          <w:i/>
          <w:iCs/>
          <w:lang w:eastAsia="en-AU"/>
        </w:rPr>
        <w:t>Ecological indicators</w:t>
      </w:r>
      <w:r w:rsidRPr="0092175C">
        <w:rPr>
          <w:lang w:eastAsia="en-AU"/>
        </w:rPr>
        <w:t xml:space="preserve"> </w:t>
      </w:r>
      <w:r w:rsidRPr="0092175C">
        <w:rPr>
          <w:b/>
          <w:bCs/>
          <w:lang w:eastAsia="en-AU"/>
        </w:rPr>
        <w:t>170</w:t>
      </w:r>
      <w:r w:rsidRPr="0092175C">
        <w:rPr>
          <w:lang w:eastAsia="en-AU"/>
        </w:rPr>
        <w:t>,</w:t>
      </w:r>
      <w:r>
        <w:rPr>
          <w:lang w:eastAsia="en-AU"/>
        </w:rPr>
        <w:t xml:space="preserve"> </w:t>
      </w:r>
      <w:r w:rsidR="00211E06">
        <w:rPr>
          <w:lang w:eastAsia="en-AU"/>
        </w:rPr>
        <w:t xml:space="preserve">DOI: </w:t>
      </w:r>
      <w:r w:rsidRPr="0092175C">
        <w:rPr>
          <w:lang w:eastAsia="en-AU"/>
        </w:rPr>
        <w:t>10.1016/j.ecolind.2025.113095</w:t>
      </w:r>
      <w:r>
        <w:rPr>
          <w:lang w:eastAsia="en-AU"/>
        </w:rPr>
        <w:t>.</w:t>
      </w:r>
    </w:p>
    <w:p w14:paraId="2B3B79FB" w14:textId="30A64CD6" w:rsidR="003634E6" w:rsidRDefault="003634E6" w:rsidP="005061CF">
      <w:pPr>
        <w:rPr>
          <w:bCs/>
        </w:rPr>
      </w:pPr>
    </w:p>
    <w:p w14:paraId="470730A6" w14:textId="77777777" w:rsidR="003634E6" w:rsidRDefault="003634E6">
      <w:pPr>
        <w:spacing w:before="0" w:after="160" w:line="259" w:lineRule="auto"/>
        <w:jc w:val="left"/>
        <w:rPr>
          <w:bCs/>
        </w:rPr>
      </w:pPr>
      <w:r>
        <w:rPr>
          <w:bCs/>
        </w:rPr>
        <w:br w:type="page"/>
      </w:r>
    </w:p>
    <w:p w14:paraId="4BF00B9A" w14:textId="77777777" w:rsidR="008849C5" w:rsidRDefault="008849C5" w:rsidP="000A65FC">
      <w:pPr>
        <w:pStyle w:val="Heading1"/>
        <w:sectPr w:rsidR="008849C5" w:rsidSect="008D628A">
          <w:pgSz w:w="11906" w:h="16838"/>
          <w:pgMar w:top="1440" w:right="1440" w:bottom="1440" w:left="1440" w:header="708" w:footer="708" w:gutter="0"/>
          <w:cols w:space="708"/>
          <w:docGrid w:linePitch="360"/>
        </w:sectPr>
      </w:pPr>
      <w:bookmarkStart w:id="584" w:name="_Toc441838746"/>
      <w:bookmarkStart w:id="585" w:name="_Toc3558346"/>
    </w:p>
    <w:p w14:paraId="63F0DD66" w14:textId="1000428B" w:rsidR="000A65FC" w:rsidRDefault="000A65FC" w:rsidP="000A65FC">
      <w:pPr>
        <w:pStyle w:val="Heading1"/>
      </w:pPr>
      <w:bookmarkStart w:id="586" w:name="_Toc200467871"/>
      <w:r w:rsidRPr="00A67C76">
        <w:lastRenderedPageBreak/>
        <w:t>Appendices</w:t>
      </w:r>
      <w:bookmarkEnd w:id="584"/>
      <w:bookmarkEnd w:id="585"/>
      <w:bookmarkEnd w:id="586"/>
    </w:p>
    <w:p w14:paraId="72B5208F" w14:textId="6B930EF6" w:rsidR="008849C5" w:rsidRPr="00F64880" w:rsidRDefault="008849C5" w:rsidP="008849C5">
      <w:pPr>
        <w:pStyle w:val="Heading1"/>
        <w:numPr>
          <w:ilvl w:val="0"/>
          <w:numId w:val="0"/>
        </w:numPr>
        <w:rPr>
          <w:b w:val="0"/>
          <w:bCs w:val="0"/>
          <w:caps w:val="0"/>
        </w:rPr>
      </w:pPr>
      <w:bookmarkStart w:id="587" w:name="_Toc200467872"/>
      <w:r w:rsidRPr="00E2010C">
        <w:t xml:space="preserve">Appendix A: Expected outcomes of Commonwealth environmental water in the </w:t>
      </w:r>
      <w:r w:rsidR="007A183C" w:rsidRPr="00E2010C">
        <w:t>L</w:t>
      </w:r>
      <w:r w:rsidR="006C6F74" w:rsidRPr="00E2010C">
        <w:t xml:space="preserve">OWER </w:t>
      </w:r>
      <w:r w:rsidR="007A183C" w:rsidRPr="00E2010C">
        <w:t>M</w:t>
      </w:r>
      <w:r w:rsidR="006C6F74" w:rsidRPr="00E2010C">
        <w:t xml:space="preserve">URRAY </w:t>
      </w:r>
      <w:r w:rsidR="007A183C" w:rsidRPr="00E2010C">
        <w:t>R</w:t>
      </w:r>
      <w:r w:rsidR="006C6F74" w:rsidRPr="00E2010C">
        <w:t>IVER</w:t>
      </w:r>
      <w:r w:rsidRPr="00E2010C">
        <w:t>, Lower Lakes and Coorong</w:t>
      </w:r>
      <w:bookmarkEnd w:id="587"/>
    </w:p>
    <w:p w14:paraId="5A1238B5" w14:textId="4E0ED2B1" w:rsidR="008849C5" w:rsidRDefault="008849C5" w:rsidP="00605FB2">
      <w:pPr>
        <w:pStyle w:val="Captions"/>
      </w:pPr>
      <w:bookmarkStart w:id="588" w:name="_Hlk207968888"/>
      <w:r>
        <w:t xml:space="preserve">Table A1. </w:t>
      </w:r>
      <w:r w:rsidR="00BE12EB" w:rsidRPr="00BE12EB">
        <w:t xml:space="preserve">Expected outcomes of Commonwealth environmental watering actions at the catchment (asset) scale </w:t>
      </w:r>
      <w:r w:rsidR="005732F4" w:rsidRPr="005732F4">
        <w:t xml:space="preserve">for the Lower </w:t>
      </w:r>
      <w:r w:rsidR="00D26B87">
        <w:t xml:space="preserve">Murray </w:t>
      </w:r>
      <w:r w:rsidR="005732F4" w:rsidRPr="005732F4">
        <w:t>River, Lower Lakes</w:t>
      </w:r>
      <w:r w:rsidR="00847B1A">
        <w:t xml:space="preserve"> and</w:t>
      </w:r>
      <w:r w:rsidR="005732F4" w:rsidRPr="005732F4">
        <w:t xml:space="preserve"> </w:t>
      </w:r>
      <w:r w:rsidR="005732F4">
        <w:t xml:space="preserve">Coorong </w:t>
      </w:r>
      <w:r w:rsidR="005924D3" w:rsidRPr="005732F4">
        <w:t xml:space="preserve">(Source: </w:t>
      </w:r>
      <w:r w:rsidR="0036587D">
        <w:t>CEWH</w:t>
      </w:r>
      <w:r w:rsidR="005924D3" w:rsidRPr="005732F4">
        <w:t xml:space="preserve">). </w:t>
      </w:r>
      <w:bookmarkStart w:id="589" w:name="_Toc3558347"/>
    </w:p>
    <w:tbl>
      <w:tblPr>
        <w:tblStyle w:val="TableGrid"/>
        <w:tblW w:w="5000" w:type="pct"/>
        <w:tblLook w:val="04A0" w:firstRow="1" w:lastRow="0" w:firstColumn="1" w:lastColumn="0" w:noHBand="0" w:noVBand="1"/>
        <w:tblDescription w:val="Table of expected outcomes of Commonwealth environmental watering actions at the catchment (asset) scale for the Lower Murray River, Lower Lakes and Coorong."/>
      </w:tblPr>
      <w:tblGrid>
        <w:gridCol w:w="13948"/>
      </w:tblGrid>
      <w:tr w:rsidR="008246B2" w:rsidRPr="008849C5" w14:paraId="3C68731E" w14:textId="77777777" w:rsidTr="008246B2">
        <w:tc>
          <w:tcPr>
            <w:tcW w:w="5000" w:type="pct"/>
          </w:tcPr>
          <w:bookmarkEnd w:id="588"/>
          <w:p w14:paraId="529F17FF" w14:textId="618A6A9C" w:rsidR="008246B2" w:rsidRPr="00295302" w:rsidRDefault="008246B2" w:rsidP="00295302">
            <w:pPr>
              <w:jc w:val="center"/>
              <w:rPr>
                <w:b/>
                <w:bCs/>
                <w:sz w:val="16"/>
              </w:rPr>
            </w:pPr>
            <w:r w:rsidRPr="00295302">
              <w:rPr>
                <w:b/>
                <w:bCs/>
                <w:sz w:val="16"/>
              </w:rPr>
              <w:t>Lower Murray River channel</w:t>
            </w:r>
          </w:p>
        </w:tc>
      </w:tr>
      <w:tr w:rsidR="008246B2" w:rsidRPr="008849C5" w14:paraId="508B8B90" w14:textId="77777777" w:rsidTr="008246B2">
        <w:tc>
          <w:tcPr>
            <w:tcW w:w="5000" w:type="pct"/>
          </w:tcPr>
          <w:p w14:paraId="328144E0" w14:textId="77777777" w:rsidR="008246B2" w:rsidRPr="00266F5A" w:rsidRDefault="008246B2" w:rsidP="00DC7774">
            <w:pPr>
              <w:pStyle w:val="ListBullet"/>
              <w:tabs>
                <w:tab w:val="num" w:pos="644"/>
              </w:tabs>
              <w:spacing w:before="0" w:after="0"/>
              <w:ind w:left="644"/>
              <w:contextualSpacing/>
              <w:jc w:val="left"/>
              <w:rPr>
                <w:sz w:val="16"/>
                <w:szCs w:val="16"/>
              </w:rPr>
            </w:pPr>
            <w:r w:rsidRPr="00266F5A">
              <w:rPr>
                <w:sz w:val="16"/>
                <w:szCs w:val="16"/>
              </w:rPr>
              <w:t>Maintaining current species diversity, extending distributions and improving breeding success and numbers of short, moderate and long-lived native fish species by:</w:t>
            </w:r>
          </w:p>
          <w:p w14:paraId="243C1673" w14:textId="77777777" w:rsidR="008246B2" w:rsidRPr="00266F5A" w:rsidRDefault="008246B2" w:rsidP="00737BA1">
            <w:pPr>
              <w:pStyle w:val="ListBullet"/>
              <w:numPr>
                <w:ilvl w:val="0"/>
                <w:numId w:val="27"/>
              </w:numPr>
              <w:tabs>
                <w:tab w:val="left" w:pos="720"/>
              </w:tabs>
              <w:spacing w:before="0" w:after="0"/>
              <w:contextualSpacing/>
              <w:jc w:val="left"/>
              <w:rPr>
                <w:sz w:val="16"/>
                <w:szCs w:val="16"/>
              </w:rPr>
            </w:pPr>
            <w:r w:rsidRPr="00266F5A">
              <w:rPr>
                <w:sz w:val="16"/>
                <w:szCs w:val="16"/>
              </w:rPr>
              <w:t xml:space="preserve">Providing opportunities for spawning during spring and recruitment (subject to appropriate seasonal conditions). </w:t>
            </w:r>
          </w:p>
          <w:p w14:paraId="303601C9" w14:textId="77777777" w:rsidR="008246B2" w:rsidRDefault="008246B2" w:rsidP="00737BA1">
            <w:pPr>
              <w:pStyle w:val="ListBullet"/>
              <w:numPr>
                <w:ilvl w:val="0"/>
                <w:numId w:val="27"/>
              </w:numPr>
              <w:tabs>
                <w:tab w:val="left" w:pos="720"/>
              </w:tabs>
              <w:spacing w:before="0" w:after="0"/>
              <w:contextualSpacing/>
              <w:jc w:val="left"/>
              <w:rPr>
                <w:sz w:val="16"/>
                <w:szCs w:val="16"/>
              </w:rPr>
            </w:pPr>
            <w:r w:rsidRPr="00266F5A">
              <w:rPr>
                <w:sz w:val="16"/>
                <w:szCs w:val="16"/>
              </w:rPr>
              <w:t>Providing in-stream habitat for fish and thereby supporting recruitment of fish, particularly by increasing the availability of food resources and habitat through water level variability and improved hydraulics.</w:t>
            </w:r>
          </w:p>
          <w:p w14:paraId="22EF44DA" w14:textId="7F60F7F6" w:rsidR="008246B2" w:rsidRPr="00266F5A" w:rsidRDefault="008246B2" w:rsidP="00737BA1">
            <w:pPr>
              <w:pStyle w:val="ListBullet"/>
              <w:numPr>
                <w:ilvl w:val="0"/>
                <w:numId w:val="27"/>
              </w:numPr>
              <w:tabs>
                <w:tab w:val="left" w:pos="720"/>
              </w:tabs>
              <w:spacing w:before="0" w:after="0"/>
              <w:contextualSpacing/>
              <w:jc w:val="left"/>
              <w:rPr>
                <w:sz w:val="16"/>
                <w:szCs w:val="16"/>
              </w:rPr>
            </w:pPr>
            <w:r w:rsidRPr="000A6BD9">
              <w:rPr>
                <w:sz w:val="16"/>
                <w:szCs w:val="16"/>
              </w:rPr>
              <w:t>Improving the body condition of mature fish during winter/spring (‘pre-spawning conditioning’) and providing opportunities for spawning during spring (subject to appropriate seasonal conditions).</w:t>
            </w:r>
          </w:p>
          <w:p w14:paraId="503127F3" w14:textId="77777777" w:rsidR="008246B2" w:rsidRPr="00266F5A" w:rsidRDefault="008246B2" w:rsidP="00737BA1">
            <w:pPr>
              <w:pStyle w:val="ListBullet"/>
              <w:numPr>
                <w:ilvl w:val="0"/>
                <w:numId w:val="27"/>
              </w:numPr>
              <w:tabs>
                <w:tab w:val="left" w:pos="720"/>
              </w:tabs>
              <w:spacing w:before="0" w:after="0"/>
              <w:contextualSpacing/>
              <w:jc w:val="left"/>
              <w:rPr>
                <w:sz w:val="16"/>
                <w:szCs w:val="16"/>
              </w:rPr>
            </w:pPr>
            <w:r w:rsidRPr="00266F5A">
              <w:rPr>
                <w:sz w:val="16"/>
                <w:szCs w:val="16"/>
              </w:rPr>
              <w:t xml:space="preserve">Where feasible, increasing the presence of lotic conditions along the Murray River and, where feasible, increased lateral connectivity with anabranches and low elevation floodplain wetlands. </w:t>
            </w:r>
          </w:p>
          <w:p w14:paraId="08D67D6E" w14:textId="77777777" w:rsidR="008246B2" w:rsidRPr="00266F5A" w:rsidRDefault="008246B2" w:rsidP="00DC7774">
            <w:pPr>
              <w:pStyle w:val="ListBullet"/>
              <w:tabs>
                <w:tab w:val="num" w:pos="644"/>
              </w:tabs>
              <w:spacing w:before="0" w:after="0"/>
              <w:ind w:left="644"/>
              <w:contextualSpacing/>
              <w:jc w:val="left"/>
              <w:rPr>
                <w:sz w:val="16"/>
                <w:szCs w:val="16"/>
              </w:rPr>
            </w:pPr>
            <w:r w:rsidRPr="00266F5A">
              <w:rPr>
                <w:sz w:val="16"/>
                <w:szCs w:val="16"/>
              </w:rPr>
              <w:t>Maintaining the extent and condition of riparian and in-channel vegetation by:</w:t>
            </w:r>
          </w:p>
          <w:p w14:paraId="2796AADF" w14:textId="77777777" w:rsidR="008246B2" w:rsidRPr="00266F5A" w:rsidRDefault="008246B2" w:rsidP="00737BA1">
            <w:pPr>
              <w:pStyle w:val="ListBullet"/>
              <w:numPr>
                <w:ilvl w:val="0"/>
                <w:numId w:val="28"/>
              </w:numPr>
              <w:tabs>
                <w:tab w:val="left" w:pos="720"/>
              </w:tabs>
              <w:spacing w:before="0" w:after="0"/>
              <w:contextualSpacing/>
              <w:jc w:val="left"/>
              <w:rPr>
                <w:sz w:val="16"/>
                <w:szCs w:val="16"/>
              </w:rPr>
            </w:pPr>
            <w:r w:rsidRPr="00266F5A">
              <w:rPr>
                <w:sz w:val="16"/>
                <w:szCs w:val="16"/>
              </w:rPr>
              <w:t>Increasing periods of growth for non-woody vegetation communities that closely fringe or occur within the Murray River channel, anabranches and low elevation floodplain wetlands.</w:t>
            </w:r>
          </w:p>
          <w:p w14:paraId="5A25F28B" w14:textId="77777777" w:rsidR="008246B2" w:rsidRPr="00266F5A" w:rsidRDefault="008246B2" w:rsidP="00DC7774">
            <w:pPr>
              <w:pStyle w:val="ListBullet"/>
              <w:tabs>
                <w:tab w:val="num" w:pos="644"/>
              </w:tabs>
              <w:spacing w:before="0" w:after="0"/>
              <w:ind w:left="644"/>
              <w:contextualSpacing/>
              <w:jc w:val="left"/>
              <w:rPr>
                <w:sz w:val="16"/>
                <w:szCs w:val="16"/>
              </w:rPr>
            </w:pPr>
            <w:r w:rsidRPr="00266F5A">
              <w:rPr>
                <w:sz w:val="16"/>
                <w:szCs w:val="16"/>
              </w:rPr>
              <w:t>Contributing to riverine functioning by:</w:t>
            </w:r>
          </w:p>
          <w:p w14:paraId="7CD6ADE9" w14:textId="77777777" w:rsidR="008246B2" w:rsidRPr="00266F5A" w:rsidRDefault="008246B2" w:rsidP="00737BA1">
            <w:pPr>
              <w:pStyle w:val="ListBullet"/>
              <w:numPr>
                <w:ilvl w:val="0"/>
                <w:numId w:val="29"/>
              </w:numPr>
              <w:tabs>
                <w:tab w:val="left" w:pos="720"/>
              </w:tabs>
              <w:spacing w:before="0" w:after="0"/>
              <w:contextualSpacing/>
              <w:jc w:val="left"/>
              <w:rPr>
                <w:sz w:val="16"/>
                <w:szCs w:val="16"/>
              </w:rPr>
            </w:pPr>
            <w:r w:rsidRPr="00266F5A">
              <w:rPr>
                <w:sz w:val="16"/>
                <w:szCs w:val="16"/>
              </w:rPr>
              <w:t>Supporting primary and secondary production along the Murray River through the mobilisation and transport of nutrients, carbon cycling and biotic dispersal.</w:t>
            </w:r>
          </w:p>
          <w:p w14:paraId="52DAC7AB" w14:textId="77777777" w:rsidR="008246B2" w:rsidRPr="00266F5A" w:rsidRDefault="008246B2" w:rsidP="00737BA1">
            <w:pPr>
              <w:pStyle w:val="ListBullet"/>
              <w:numPr>
                <w:ilvl w:val="0"/>
                <w:numId w:val="29"/>
              </w:numPr>
              <w:tabs>
                <w:tab w:val="left" w:pos="720"/>
              </w:tabs>
              <w:spacing w:before="0" w:after="0"/>
              <w:contextualSpacing/>
              <w:jc w:val="left"/>
              <w:rPr>
                <w:sz w:val="16"/>
                <w:szCs w:val="16"/>
              </w:rPr>
            </w:pPr>
            <w:r w:rsidRPr="00266F5A">
              <w:rPr>
                <w:sz w:val="16"/>
                <w:szCs w:val="16"/>
              </w:rPr>
              <w:t>Supporting the managed export of salt and nutrients from the Murray River system.</w:t>
            </w:r>
          </w:p>
          <w:p w14:paraId="2E2AC70F" w14:textId="77777777" w:rsidR="008246B2" w:rsidRPr="00266F5A" w:rsidRDefault="008246B2" w:rsidP="00737BA1">
            <w:pPr>
              <w:pStyle w:val="ListBullet"/>
              <w:numPr>
                <w:ilvl w:val="0"/>
                <w:numId w:val="29"/>
              </w:numPr>
              <w:tabs>
                <w:tab w:val="left" w:pos="720"/>
              </w:tabs>
              <w:spacing w:before="0" w:after="0"/>
              <w:contextualSpacing/>
              <w:jc w:val="left"/>
              <w:rPr>
                <w:sz w:val="16"/>
                <w:szCs w:val="16"/>
              </w:rPr>
            </w:pPr>
            <w:r w:rsidRPr="00266F5A">
              <w:rPr>
                <w:sz w:val="16"/>
                <w:szCs w:val="16"/>
              </w:rPr>
              <w:t>Maintaining water quality and reducing risks of low dissolved oxygen levels, stratification and algal blooms by increasing the extent and duration of flowing water in the river channel.</w:t>
            </w:r>
          </w:p>
          <w:p w14:paraId="3A235F6B" w14:textId="77777777" w:rsidR="008246B2" w:rsidRPr="00266F5A" w:rsidRDefault="008246B2" w:rsidP="00DC7774">
            <w:pPr>
              <w:pStyle w:val="ListBullet"/>
              <w:tabs>
                <w:tab w:val="num" w:pos="644"/>
              </w:tabs>
              <w:spacing w:before="0" w:after="0"/>
              <w:ind w:left="644"/>
              <w:contextualSpacing/>
              <w:jc w:val="left"/>
              <w:rPr>
                <w:sz w:val="16"/>
                <w:szCs w:val="16"/>
              </w:rPr>
            </w:pPr>
            <w:r w:rsidRPr="00266F5A">
              <w:rPr>
                <w:sz w:val="16"/>
                <w:szCs w:val="16"/>
              </w:rPr>
              <w:t>Under the wetter scenarios, maintain the extent and condition of long-lived vegetation and understorey vegetation on the broader floodplain by:</w:t>
            </w:r>
          </w:p>
          <w:p w14:paraId="7A1064F5" w14:textId="77777777" w:rsidR="008246B2" w:rsidRPr="00266F5A" w:rsidRDefault="008246B2" w:rsidP="00737BA1">
            <w:pPr>
              <w:pStyle w:val="ListBullet"/>
              <w:numPr>
                <w:ilvl w:val="0"/>
                <w:numId w:val="29"/>
              </w:numPr>
              <w:tabs>
                <w:tab w:val="left" w:pos="720"/>
              </w:tabs>
              <w:spacing w:before="0" w:after="0"/>
              <w:contextualSpacing/>
              <w:jc w:val="left"/>
              <w:rPr>
                <w:sz w:val="16"/>
                <w:szCs w:val="16"/>
              </w:rPr>
            </w:pPr>
            <w:r w:rsidRPr="00266F5A">
              <w:rPr>
                <w:sz w:val="16"/>
                <w:szCs w:val="16"/>
              </w:rPr>
              <w:t xml:space="preserve">Increasing the extent and duration of inundation, improving the soil moisture and salinity conditions and freshening the groundwater. </w:t>
            </w:r>
          </w:p>
          <w:p w14:paraId="61FE0A15" w14:textId="77777777" w:rsidR="008246B2" w:rsidRPr="00266F5A" w:rsidRDefault="008246B2" w:rsidP="00737BA1">
            <w:pPr>
              <w:pStyle w:val="ListBullet"/>
              <w:numPr>
                <w:ilvl w:val="0"/>
                <w:numId w:val="29"/>
              </w:numPr>
              <w:tabs>
                <w:tab w:val="left" w:pos="720"/>
              </w:tabs>
              <w:spacing w:before="0" w:after="0"/>
              <w:contextualSpacing/>
              <w:jc w:val="left"/>
              <w:rPr>
                <w:sz w:val="16"/>
                <w:szCs w:val="16"/>
              </w:rPr>
            </w:pPr>
            <w:r w:rsidRPr="00266F5A">
              <w:rPr>
                <w:sz w:val="16"/>
                <w:szCs w:val="16"/>
              </w:rPr>
              <w:t>Slowing the recession of the flow peak, supporting the establishment and expansion of vegetation.</w:t>
            </w:r>
          </w:p>
          <w:p w14:paraId="69D5A3DD" w14:textId="77777777" w:rsidR="008246B2" w:rsidRPr="00266F5A" w:rsidRDefault="008246B2" w:rsidP="00DC7774">
            <w:pPr>
              <w:pStyle w:val="ListBullet"/>
              <w:numPr>
                <w:ilvl w:val="0"/>
                <w:numId w:val="0"/>
              </w:numPr>
              <w:tabs>
                <w:tab w:val="left" w:pos="720"/>
              </w:tabs>
              <w:spacing w:after="0"/>
              <w:ind w:left="1003"/>
              <w:contextualSpacing/>
              <w:rPr>
                <w:sz w:val="16"/>
                <w:szCs w:val="16"/>
              </w:rPr>
            </w:pPr>
          </w:p>
          <w:p w14:paraId="43FC4621" w14:textId="77777777" w:rsidR="008246B2" w:rsidRPr="00266F5A" w:rsidRDefault="008246B2" w:rsidP="00DC7774">
            <w:pPr>
              <w:rPr>
                <w:sz w:val="16"/>
                <w:szCs w:val="16"/>
              </w:rPr>
            </w:pPr>
            <w:r w:rsidRPr="00266F5A">
              <w:rPr>
                <w:sz w:val="16"/>
                <w:szCs w:val="16"/>
              </w:rPr>
              <w:t>This watering action also aimed to contribute to the following rolling multi-year priorities identified in the Basin annual environmental watering priorities:</w:t>
            </w:r>
          </w:p>
          <w:p w14:paraId="401B2898" w14:textId="77777777" w:rsidR="008246B2" w:rsidRPr="00266F5A" w:rsidRDefault="008246B2" w:rsidP="00DC7774">
            <w:pPr>
              <w:pStyle w:val="ListBullet"/>
              <w:tabs>
                <w:tab w:val="num" w:pos="644"/>
              </w:tabs>
              <w:spacing w:before="0" w:after="0"/>
              <w:ind w:left="644"/>
              <w:contextualSpacing/>
              <w:jc w:val="left"/>
              <w:rPr>
                <w:sz w:val="16"/>
                <w:szCs w:val="16"/>
              </w:rPr>
            </w:pPr>
            <w:r w:rsidRPr="00266F5A">
              <w:rPr>
                <w:sz w:val="16"/>
                <w:szCs w:val="16"/>
              </w:rPr>
              <w:t>Support lateral and longitudinal connectivity along the river system.</w:t>
            </w:r>
          </w:p>
          <w:p w14:paraId="6CF1296E" w14:textId="77777777" w:rsidR="008246B2" w:rsidRPr="00266F5A" w:rsidRDefault="008246B2" w:rsidP="00DC7774">
            <w:pPr>
              <w:pStyle w:val="ListBullet"/>
              <w:tabs>
                <w:tab w:val="num" w:pos="644"/>
              </w:tabs>
              <w:spacing w:before="0" w:after="0"/>
              <w:ind w:left="644"/>
              <w:contextualSpacing/>
              <w:jc w:val="left"/>
              <w:rPr>
                <w:sz w:val="16"/>
                <w:szCs w:val="16"/>
              </w:rPr>
            </w:pPr>
            <w:r w:rsidRPr="00266F5A">
              <w:rPr>
                <w:sz w:val="16"/>
                <w:szCs w:val="16"/>
              </w:rPr>
              <w:t>Allow opportunities of growth of non-woody riparian vegetation that fringe or occur within main river corridors.</w:t>
            </w:r>
          </w:p>
          <w:p w14:paraId="7ACF5579" w14:textId="77777777" w:rsidR="008246B2" w:rsidRPr="00266F5A" w:rsidRDefault="008246B2" w:rsidP="00DC7774">
            <w:pPr>
              <w:pStyle w:val="ListBullet"/>
              <w:tabs>
                <w:tab w:val="num" w:pos="644"/>
              </w:tabs>
              <w:spacing w:before="0" w:after="0"/>
              <w:ind w:left="644"/>
              <w:contextualSpacing/>
              <w:jc w:val="left"/>
              <w:rPr>
                <w:sz w:val="16"/>
                <w:szCs w:val="16"/>
              </w:rPr>
            </w:pPr>
            <w:r w:rsidRPr="00266F5A">
              <w:rPr>
                <w:sz w:val="16"/>
                <w:szCs w:val="16"/>
              </w:rPr>
              <w:t>Support Basin-scale population recovery of native fish by reinstating flows that promote key ecological processes across local, regional and system scales in the southern connected Basin.</w:t>
            </w:r>
          </w:p>
          <w:p w14:paraId="7F0EEE2D" w14:textId="77777777" w:rsidR="008246B2" w:rsidRPr="00266F5A" w:rsidRDefault="008246B2" w:rsidP="00DC7774">
            <w:pPr>
              <w:pStyle w:val="ListBullet"/>
              <w:tabs>
                <w:tab w:val="num" w:pos="644"/>
              </w:tabs>
              <w:spacing w:before="0" w:after="0"/>
              <w:ind w:left="644"/>
              <w:contextualSpacing/>
              <w:jc w:val="left"/>
              <w:rPr>
                <w:sz w:val="16"/>
                <w:szCs w:val="16"/>
              </w:rPr>
            </w:pPr>
            <w:r w:rsidRPr="00266F5A">
              <w:rPr>
                <w:sz w:val="16"/>
                <w:szCs w:val="16"/>
              </w:rPr>
              <w:lastRenderedPageBreak/>
              <w:t>Support viable populations of threatened native fish, maximise opportunities for range expansion and establish new populations.</w:t>
            </w:r>
          </w:p>
          <w:p w14:paraId="7AD431D9" w14:textId="77777777" w:rsidR="008246B2" w:rsidRPr="00266F5A" w:rsidRDefault="008246B2" w:rsidP="00DC7774">
            <w:pPr>
              <w:pStyle w:val="ListBullet"/>
              <w:tabs>
                <w:tab w:val="num" w:pos="644"/>
              </w:tabs>
              <w:spacing w:before="0" w:after="0"/>
              <w:ind w:left="644"/>
              <w:contextualSpacing/>
              <w:jc w:val="left"/>
              <w:rPr>
                <w:sz w:val="16"/>
                <w:szCs w:val="16"/>
              </w:rPr>
            </w:pPr>
            <w:r w:rsidRPr="00266F5A">
              <w:rPr>
                <w:sz w:val="16"/>
                <w:szCs w:val="16"/>
              </w:rPr>
              <w:t>Improve the abundance and maintain the diversity of the Basin’s waterbird population.</w:t>
            </w:r>
          </w:p>
          <w:p w14:paraId="7DF00D76" w14:textId="77777777" w:rsidR="00413E8F" w:rsidRDefault="008246B2" w:rsidP="00413E8F">
            <w:pPr>
              <w:pStyle w:val="ListBullet"/>
              <w:tabs>
                <w:tab w:val="num" w:pos="644"/>
              </w:tabs>
              <w:spacing w:before="0" w:after="0"/>
              <w:ind w:left="644"/>
              <w:contextualSpacing/>
              <w:jc w:val="left"/>
              <w:rPr>
                <w:sz w:val="16"/>
                <w:szCs w:val="16"/>
              </w:rPr>
            </w:pPr>
            <w:r w:rsidRPr="00266F5A">
              <w:rPr>
                <w:sz w:val="16"/>
                <w:szCs w:val="16"/>
              </w:rPr>
              <w:t>Maintain the extent, improve the condition and promote recruitment of forests and woodlands (wet scenario).</w:t>
            </w:r>
          </w:p>
          <w:p w14:paraId="3EBC1557" w14:textId="472BFF5A" w:rsidR="008246B2" w:rsidRPr="00413E8F" w:rsidRDefault="008246B2" w:rsidP="00413E8F">
            <w:pPr>
              <w:pStyle w:val="ListBullet"/>
              <w:tabs>
                <w:tab w:val="num" w:pos="644"/>
              </w:tabs>
              <w:spacing w:before="0" w:after="0"/>
              <w:ind w:left="644"/>
              <w:contextualSpacing/>
              <w:jc w:val="left"/>
              <w:rPr>
                <w:sz w:val="16"/>
                <w:szCs w:val="16"/>
              </w:rPr>
            </w:pPr>
            <w:r w:rsidRPr="00413E8F">
              <w:rPr>
                <w:sz w:val="16"/>
                <w:szCs w:val="16"/>
              </w:rPr>
              <w:t>Maintain the extent and improve the condition of lignum shrublands (wet scenario).</w:t>
            </w:r>
          </w:p>
        </w:tc>
      </w:tr>
      <w:tr w:rsidR="008246B2" w:rsidRPr="008849C5" w14:paraId="23D37F0E" w14:textId="77777777" w:rsidTr="008246B2">
        <w:tc>
          <w:tcPr>
            <w:tcW w:w="5000" w:type="pct"/>
          </w:tcPr>
          <w:p w14:paraId="71534D90" w14:textId="68976751" w:rsidR="008246B2" w:rsidRPr="00295302" w:rsidRDefault="008246B2" w:rsidP="00295302">
            <w:pPr>
              <w:pStyle w:val="ListBullet"/>
              <w:numPr>
                <w:ilvl w:val="0"/>
                <w:numId w:val="0"/>
              </w:numPr>
              <w:contextualSpacing/>
              <w:jc w:val="center"/>
              <w:rPr>
                <w:b/>
                <w:bCs/>
                <w:sz w:val="16"/>
                <w:szCs w:val="16"/>
              </w:rPr>
            </w:pPr>
            <w:r w:rsidRPr="00295302">
              <w:rPr>
                <w:b/>
                <w:bCs/>
                <w:sz w:val="16"/>
              </w:rPr>
              <w:lastRenderedPageBreak/>
              <w:t>Lower Lakes and Coorong</w:t>
            </w:r>
          </w:p>
        </w:tc>
      </w:tr>
      <w:tr w:rsidR="008246B2" w:rsidRPr="008849C5" w14:paraId="584EA762" w14:textId="77777777" w:rsidTr="008246B2">
        <w:tc>
          <w:tcPr>
            <w:tcW w:w="5000" w:type="pct"/>
          </w:tcPr>
          <w:p w14:paraId="2F04D07D" w14:textId="77777777" w:rsidR="008246B2" w:rsidRPr="007B2678" w:rsidRDefault="008246B2" w:rsidP="008246B2">
            <w:pPr>
              <w:pStyle w:val="ListBullet"/>
              <w:tabs>
                <w:tab w:val="num" w:pos="644"/>
              </w:tabs>
              <w:spacing w:before="0" w:after="0"/>
              <w:ind w:left="644"/>
              <w:contextualSpacing/>
              <w:jc w:val="left"/>
              <w:rPr>
                <w:sz w:val="16"/>
                <w:szCs w:val="16"/>
              </w:rPr>
            </w:pPr>
            <w:r w:rsidRPr="007B2678">
              <w:rPr>
                <w:sz w:val="16"/>
                <w:szCs w:val="16"/>
              </w:rPr>
              <w:t>Maintain current species diversity, extend distributions and improve breeding success and numbers of short, moderate and long-lived native fish species by:</w:t>
            </w:r>
          </w:p>
          <w:p w14:paraId="66BF2732" w14:textId="77777777" w:rsidR="008246B2" w:rsidRPr="007B2678" w:rsidRDefault="008246B2" w:rsidP="00737BA1">
            <w:pPr>
              <w:pStyle w:val="ListBullet"/>
              <w:numPr>
                <w:ilvl w:val="0"/>
                <w:numId w:val="30"/>
              </w:numPr>
              <w:tabs>
                <w:tab w:val="left" w:pos="720"/>
              </w:tabs>
              <w:spacing w:before="0" w:after="0"/>
              <w:contextualSpacing/>
              <w:jc w:val="left"/>
              <w:rPr>
                <w:sz w:val="16"/>
                <w:szCs w:val="16"/>
                <w:lang w:val="en-GB"/>
              </w:rPr>
            </w:pPr>
            <w:r w:rsidRPr="007B2678">
              <w:rPr>
                <w:sz w:val="16"/>
                <w:szCs w:val="16"/>
              </w:rPr>
              <w:t>Maintaining sufficient flows through the barrage fishways at all times, and additional barrage openings whenever possible, to maintain connectivity between the Murray River channel, Lower Lakes and Coorong.</w:t>
            </w:r>
          </w:p>
          <w:p w14:paraId="4E4F968F" w14:textId="77777777" w:rsidR="008246B2" w:rsidRPr="007B2678" w:rsidRDefault="008246B2" w:rsidP="00737BA1">
            <w:pPr>
              <w:pStyle w:val="ListBullet"/>
              <w:numPr>
                <w:ilvl w:val="0"/>
                <w:numId w:val="30"/>
              </w:numPr>
              <w:tabs>
                <w:tab w:val="left" w:pos="720"/>
              </w:tabs>
              <w:spacing w:before="0" w:after="0"/>
              <w:contextualSpacing/>
              <w:jc w:val="left"/>
              <w:rPr>
                <w:sz w:val="16"/>
                <w:szCs w:val="16"/>
              </w:rPr>
            </w:pPr>
            <w:r w:rsidRPr="007B2678">
              <w:rPr>
                <w:sz w:val="16"/>
                <w:szCs w:val="16"/>
              </w:rPr>
              <w:t>Providing attractant and connecting flows to support movement of diadromous fish species, subject to appropriate seasonal conditions.</w:t>
            </w:r>
          </w:p>
          <w:p w14:paraId="5E4FCD48" w14:textId="77777777" w:rsidR="008246B2" w:rsidRPr="007B2678" w:rsidRDefault="008246B2" w:rsidP="00737BA1">
            <w:pPr>
              <w:pStyle w:val="ListBullet"/>
              <w:numPr>
                <w:ilvl w:val="0"/>
                <w:numId w:val="30"/>
              </w:numPr>
              <w:tabs>
                <w:tab w:val="left" w:pos="720"/>
              </w:tabs>
              <w:spacing w:before="0" w:after="0"/>
              <w:contextualSpacing/>
              <w:jc w:val="left"/>
              <w:rPr>
                <w:sz w:val="16"/>
                <w:szCs w:val="16"/>
              </w:rPr>
            </w:pPr>
            <w:r w:rsidRPr="007B2678">
              <w:rPr>
                <w:sz w:val="16"/>
                <w:szCs w:val="16"/>
              </w:rPr>
              <w:t>Contributing to the maintenance of critical habitat, water quality, water level, and the provision where possible of localised refuge sites as required, in both the Lower Lakes and Coorong.</w:t>
            </w:r>
          </w:p>
          <w:p w14:paraId="36831B1F" w14:textId="77777777" w:rsidR="008246B2" w:rsidRPr="007B2678" w:rsidRDefault="008246B2" w:rsidP="008246B2">
            <w:pPr>
              <w:pStyle w:val="ListBullet"/>
              <w:tabs>
                <w:tab w:val="num" w:pos="644"/>
              </w:tabs>
              <w:spacing w:before="0" w:after="0"/>
              <w:ind w:left="644"/>
              <w:contextualSpacing/>
              <w:jc w:val="left"/>
              <w:rPr>
                <w:sz w:val="16"/>
                <w:szCs w:val="16"/>
              </w:rPr>
            </w:pPr>
            <w:r w:rsidRPr="007B2678">
              <w:rPr>
                <w:sz w:val="16"/>
                <w:szCs w:val="16"/>
              </w:rPr>
              <w:t>Maintain the extent and condition of key habitat, specifically:</w:t>
            </w:r>
          </w:p>
          <w:p w14:paraId="5EB4578A" w14:textId="60059F0F" w:rsidR="008246B2" w:rsidRPr="007B2678" w:rsidRDefault="008246B2" w:rsidP="00737BA1">
            <w:pPr>
              <w:pStyle w:val="ListBullet"/>
              <w:numPr>
                <w:ilvl w:val="0"/>
                <w:numId w:val="31"/>
              </w:numPr>
              <w:tabs>
                <w:tab w:val="left" w:pos="720"/>
              </w:tabs>
              <w:spacing w:before="0" w:after="0"/>
              <w:contextualSpacing/>
              <w:jc w:val="left"/>
              <w:rPr>
                <w:sz w:val="16"/>
                <w:szCs w:val="16"/>
                <w:lang w:val="en-GB"/>
              </w:rPr>
            </w:pPr>
            <w:r w:rsidRPr="007B2678">
              <w:rPr>
                <w:sz w:val="16"/>
                <w:szCs w:val="16"/>
              </w:rPr>
              <w:t>Maintaining the diversity, condition and extent of aquatic and littoral vegetation in the Lower Lakes (which in turn provides habitat for fauna, including the threatened southern bell frog, Murray hardyhead (Endangered EPBC), and the southern pygmy perch (Endangered in S</w:t>
            </w:r>
            <w:r w:rsidR="00031CB0">
              <w:rPr>
                <w:sz w:val="16"/>
                <w:szCs w:val="16"/>
              </w:rPr>
              <w:t>outh Australia</w:t>
            </w:r>
            <w:r w:rsidRPr="007B2678">
              <w:rPr>
                <w:sz w:val="16"/>
                <w:szCs w:val="16"/>
              </w:rPr>
              <w:t>)).</w:t>
            </w:r>
          </w:p>
          <w:p w14:paraId="478F3CD2" w14:textId="77777777" w:rsidR="008246B2" w:rsidRPr="007B2678" w:rsidRDefault="008246B2" w:rsidP="00737BA1">
            <w:pPr>
              <w:pStyle w:val="ListBullet"/>
              <w:numPr>
                <w:ilvl w:val="0"/>
                <w:numId w:val="31"/>
              </w:numPr>
              <w:tabs>
                <w:tab w:val="left" w:pos="720"/>
              </w:tabs>
              <w:spacing w:before="0" w:after="0"/>
              <w:contextualSpacing/>
              <w:jc w:val="left"/>
              <w:rPr>
                <w:sz w:val="16"/>
                <w:szCs w:val="16"/>
              </w:rPr>
            </w:pPr>
            <w:r w:rsidRPr="007B2678">
              <w:rPr>
                <w:sz w:val="16"/>
                <w:szCs w:val="16"/>
              </w:rPr>
              <w:t xml:space="preserve">If season and conditions are appropriate, and sufficient water is available, protecting the current extent of </w:t>
            </w:r>
            <w:r w:rsidRPr="007B2678">
              <w:rPr>
                <w:i/>
                <w:iCs/>
                <w:sz w:val="16"/>
                <w:szCs w:val="16"/>
              </w:rPr>
              <w:t>Ruppia tuberosa</w:t>
            </w:r>
            <w:r w:rsidRPr="007B2678">
              <w:rPr>
                <w:sz w:val="16"/>
                <w:szCs w:val="16"/>
              </w:rPr>
              <w:t xml:space="preserve"> by contributing to flows that support suitable habitat conditions (salinity and water levels) within the Coorong South Lagoon (and suitable parts of the North Lagoon) to promote flowering and seed set, and growth and survival of newly established plants over successive years. </w:t>
            </w:r>
          </w:p>
          <w:p w14:paraId="5D1D2F83" w14:textId="77777777" w:rsidR="008246B2" w:rsidRPr="007B2678" w:rsidRDefault="008246B2" w:rsidP="008246B2">
            <w:pPr>
              <w:pStyle w:val="ListBullet"/>
              <w:tabs>
                <w:tab w:val="num" w:pos="644"/>
              </w:tabs>
              <w:spacing w:before="0" w:after="0"/>
              <w:ind w:left="644"/>
              <w:contextualSpacing/>
              <w:jc w:val="left"/>
              <w:rPr>
                <w:sz w:val="16"/>
                <w:szCs w:val="16"/>
              </w:rPr>
            </w:pPr>
            <w:r w:rsidRPr="007B2678">
              <w:rPr>
                <w:sz w:val="16"/>
                <w:szCs w:val="16"/>
              </w:rPr>
              <w:t>Maintain current species diversity, extend distributions and improve breeding success and numbers of water dependent bird species by:</w:t>
            </w:r>
          </w:p>
          <w:p w14:paraId="43B48BA8" w14:textId="77777777" w:rsidR="008246B2" w:rsidRPr="007B2678" w:rsidRDefault="008246B2" w:rsidP="00737BA1">
            <w:pPr>
              <w:pStyle w:val="ListBullet"/>
              <w:numPr>
                <w:ilvl w:val="0"/>
                <w:numId w:val="32"/>
              </w:numPr>
              <w:tabs>
                <w:tab w:val="left" w:pos="720"/>
              </w:tabs>
              <w:spacing w:before="0" w:after="0"/>
              <w:contextualSpacing/>
              <w:jc w:val="left"/>
              <w:rPr>
                <w:sz w:val="16"/>
                <w:szCs w:val="16"/>
                <w:lang w:val="en-GB"/>
              </w:rPr>
            </w:pPr>
            <w:r w:rsidRPr="007B2678">
              <w:rPr>
                <w:sz w:val="16"/>
                <w:szCs w:val="16"/>
              </w:rPr>
              <w:t>Supporting suitable habitat conditions and food resources for waterbird growth and survival, maintenance of population condition and diversity along the Murray River valley, Lower Lakes and within the Coorong lagoons.</w:t>
            </w:r>
          </w:p>
          <w:p w14:paraId="005E886C" w14:textId="77777777" w:rsidR="008246B2" w:rsidRPr="007B2678" w:rsidRDefault="008246B2" w:rsidP="00737BA1">
            <w:pPr>
              <w:pStyle w:val="ListBullet"/>
              <w:numPr>
                <w:ilvl w:val="0"/>
                <w:numId w:val="32"/>
              </w:numPr>
              <w:tabs>
                <w:tab w:val="left" w:pos="720"/>
              </w:tabs>
              <w:spacing w:before="0" w:after="0"/>
              <w:contextualSpacing/>
              <w:jc w:val="left"/>
              <w:rPr>
                <w:sz w:val="16"/>
                <w:szCs w:val="16"/>
              </w:rPr>
            </w:pPr>
            <w:r w:rsidRPr="007B2678">
              <w:rPr>
                <w:sz w:val="16"/>
                <w:szCs w:val="16"/>
              </w:rPr>
              <w:t>Supporting waterbird breeding events where feasible.</w:t>
            </w:r>
          </w:p>
          <w:p w14:paraId="45A44949" w14:textId="77777777" w:rsidR="008246B2" w:rsidRPr="007B2678" w:rsidRDefault="008246B2" w:rsidP="008246B2">
            <w:pPr>
              <w:pStyle w:val="ListBullet"/>
              <w:tabs>
                <w:tab w:val="num" w:pos="644"/>
              </w:tabs>
              <w:spacing w:before="0" w:after="0"/>
              <w:ind w:left="644"/>
              <w:contextualSpacing/>
              <w:jc w:val="left"/>
              <w:rPr>
                <w:sz w:val="16"/>
                <w:szCs w:val="16"/>
              </w:rPr>
            </w:pPr>
            <w:r w:rsidRPr="007B2678">
              <w:rPr>
                <w:sz w:val="16"/>
                <w:szCs w:val="16"/>
              </w:rPr>
              <w:t xml:space="preserve">Provide water quality benefits for the river and Lower Lakes through salt export from the Murray River. </w:t>
            </w:r>
          </w:p>
          <w:p w14:paraId="4A9C5C3F" w14:textId="77777777" w:rsidR="008246B2" w:rsidRPr="007B2678" w:rsidRDefault="008246B2" w:rsidP="008246B2">
            <w:pPr>
              <w:pStyle w:val="ListBullet"/>
              <w:tabs>
                <w:tab w:val="num" w:pos="644"/>
              </w:tabs>
              <w:spacing w:before="0" w:after="0"/>
              <w:ind w:left="644"/>
              <w:contextualSpacing/>
              <w:jc w:val="left"/>
              <w:rPr>
                <w:sz w:val="16"/>
                <w:szCs w:val="16"/>
              </w:rPr>
            </w:pPr>
            <w:r w:rsidRPr="007B2678">
              <w:rPr>
                <w:sz w:val="16"/>
                <w:szCs w:val="16"/>
              </w:rPr>
              <w:t>Maintain and, where possible, expand estuarine habitat conditions that support the entire Coorong food web by:</w:t>
            </w:r>
          </w:p>
          <w:p w14:paraId="6B8BC63C" w14:textId="77777777" w:rsidR="008246B2" w:rsidRPr="007B2678" w:rsidRDefault="008246B2" w:rsidP="00737BA1">
            <w:pPr>
              <w:pStyle w:val="ListBullet"/>
              <w:numPr>
                <w:ilvl w:val="0"/>
                <w:numId w:val="33"/>
              </w:numPr>
              <w:tabs>
                <w:tab w:val="left" w:pos="720"/>
              </w:tabs>
              <w:spacing w:before="0" w:after="0"/>
              <w:contextualSpacing/>
              <w:jc w:val="left"/>
              <w:rPr>
                <w:sz w:val="16"/>
                <w:szCs w:val="16"/>
                <w:lang w:val="en-GB"/>
              </w:rPr>
            </w:pPr>
            <w:r w:rsidRPr="007B2678">
              <w:rPr>
                <w:sz w:val="16"/>
                <w:szCs w:val="16"/>
              </w:rPr>
              <w:t xml:space="preserve">providing flows to maintain appropriate salinity levels in the Murray estuary and North Lagoon through both dilution and by minimising salt import through the Murray Mouth. </w:t>
            </w:r>
          </w:p>
          <w:p w14:paraId="6C40D478" w14:textId="220BDC25" w:rsidR="008246B2" w:rsidRPr="007B2678" w:rsidRDefault="00DA2D11" w:rsidP="008246B2">
            <w:pPr>
              <w:pStyle w:val="ListBullet"/>
              <w:numPr>
                <w:ilvl w:val="0"/>
                <w:numId w:val="0"/>
              </w:numPr>
              <w:rPr>
                <w:rFonts w:eastAsia="Calibri"/>
                <w:sz w:val="16"/>
                <w:szCs w:val="16"/>
              </w:rPr>
            </w:pPr>
            <w:r w:rsidRPr="00DA2D11">
              <w:rPr>
                <w:rFonts w:eastAsia="Calibri"/>
                <w:sz w:val="16"/>
                <w:szCs w:val="16"/>
              </w:rPr>
              <w:t>Watering actions also aimed to contribute to the following rolling multi-year priorities identified in the Basin annual environmental watering priorities</w:t>
            </w:r>
            <w:r w:rsidR="008246B2" w:rsidRPr="007B2678">
              <w:rPr>
                <w:rFonts w:eastAsia="Calibri"/>
                <w:sz w:val="16"/>
                <w:szCs w:val="16"/>
              </w:rPr>
              <w:t xml:space="preserve">: </w:t>
            </w:r>
          </w:p>
          <w:p w14:paraId="0E23F65C" w14:textId="77777777" w:rsidR="008246B2" w:rsidRPr="007B2678" w:rsidRDefault="008246B2" w:rsidP="008246B2">
            <w:pPr>
              <w:pStyle w:val="ListBullet"/>
              <w:tabs>
                <w:tab w:val="num" w:pos="644"/>
              </w:tabs>
              <w:spacing w:before="0" w:after="0"/>
              <w:ind w:left="644"/>
              <w:contextualSpacing/>
              <w:jc w:val="left"/>
              <w:rPr>
                <w:rFonts w:eastAsia="Calibri"/>
                <w:sz w:val="16"/>
                <w:szCs w:val="16"/>
              </w:rPr>
            </w:pPr>
            <w:r w:rsidRPr="007B2678">
              <w:rPr>
                <w:rFonts w:eastAsia="Calibri"/>
                <w:sz w:val="16"/>
                <w:szCs w:val="16"/>
              </w:rPr>
              <w:t>Support lateral and longitudinal connectivity along the river system.</w:t>
            </w:r>
          </w:p>
          <w:p w14:paraId="14AED727" w14:textId="77777777" w:rsidR="008246B2" w:rsidRPr="007B2678" w:rsidRDefault="008246B2" w:rsidP="008246B2">
            <w:pPr>
              <w:pStyle w:val="ListBullet"/>
              <w:tabs>
                <w:tab w:val="num" w:pos="644"/>
              </w:tabs>
              <w:spacing w:before="0" w:after="0"/>
              <w:ind w:left="644"/>
              <w:contextualSpacing/>
              <w:jc w:val="left"/>
              <w:rPr>
                <w:rFonts w:eastAsia="Calibri"/>
                <w:sz w:val="16"/>
                <w:szCs w:val="16"/>
              </w:rPr>
            </w:pPr>
            <w:r w:rsidRPr="007B2678">
              <w:rPr>
                <w:rFonts w:eastAsia="Calibri"/>
                <w:sz w:val="16"/>
                <w:szCs w:val="16"/>
              </w:rPr>
              <w:t>Support freshwater connectivity through the Lower Lakes, Coorong and Murray Mouth.</w:t>
            </w:r>
          </w:p>
          <w:p w14:paraId="1280C1B2" w14:textId="77777777" w:rsidR="008246B2" w:rsidRPr="007B2678" w:rsidRDefault="008246B2" w:rsidP="008246B2">
            <w:pPr>
              <w:pStyle w:val="ListBullet"/>
              <w:tabs>
                <w:tab w:val="num" w:pos="644"/>
              </w:tabs>
              <w:spacing w:before="0" w:after="0"/>
              <w:ind w:left="644"/>
              <w:contextualSpacing/>
              <w:jc w:val="left"/>
              <w:rPr>
                <w:rFonts w:eastAsia="Calibri"/>
                <w:sz w:val="16"/>
                <w:szCs w:val="16"/>
              </w:rPr>
            </w:pPr>
            <w:r w:rsidRPr="007B2678">
              <w:rPr>
                <w:rFonts w:eastAsia="Calibri"/>
                <w:sz w:val="16"/>
                <w:szCs w:val="16"/>
              </w:rPr>
              <w:t xml:space="preserve">Expand the extent and improve resilience of </w:t>
            </w:r>
            <w:r w:rsidRPr="007B2678">
              <w:rPr>
                <w:rFonts w:eastAsia="Calibri"/>
                <w:i/>
                <w:iCs/>
                <w:sz w:val="16"/>
                <w:szCs w:val="16"/>
              </w:rPr>
              <w:t>Ruppia</w:t>
            </w:r>
            <w:r w:rsidRPr="007B2678">
              <w:rPr>
                <w:rFonts w:eastAsia="Calibri"/>
                <w:sz w:val="16"/>
                <w:szCs w:val="16"/>
              </w:rPr>
              <w:t xml:space="preserve"> in the southern Coorong.</w:t>
            </w:r>
          </w:p>
          <w:p w14:paraId="70938AED" w14:textId="77777777" w:rsidR="008246B2" w:rsidRPr="007B2678" w:rsidRDefault="008246B2" w:rsidP="008246B2">
            <w:pPr>
              <w:pStyle w:val="ListBullet"/>
              <w:tabs>
                <w:tab w:val="num" w:pos="644"/>
              </w:tabs>
              <w:spacing w:before="0" w:after="0"/>
              <w:ind w:left="644"/>
              <w:contextualSpacing/>
              <w:jc w:val="left"/>
              <w:rPr>
                <w:rFonts w:eastAsia="Calibri"/>
                <w:sz w:val="16"/>
                <w:szCs w:val="16"/>
              </w:rPr>
            </w:pPr>
            <w:r w:rsidRPr="007B2678">
              <w:rPr>
                <w:rFonts w:eastAsia="Calibri"/>
                <w:sz w:val="16"/>
                <w:szCs w:val="16"/>
              </w:rPr>
              <w:t>Allow opportunities for growth of non-woody wetland vegetation.</w:t>
            </w:r>
          </w:p>
          <w:p w14:paraId="674587F4" w14:textId="77777777" w:rsidR="008246B2" w:rsidRPr="007B2678" w:rsidRDefault="008246B2" w:rsidP="008246B2">
            <w:pPr>
              <w:pStyle w:val="ListBullet"/>
              <w:tabs>
                <w:tab w:val="num" w:pos="644"/>
              </w:tabs>
              <w:spacing w:before="0" w:after="0"/>
              <w:ind w:left="644"/>
              <w:contextualSpacing/>
              <w:jc w:val="left"/>
              <w:rPr>
                <w:rFonts w:eastAsia="Calibri"/>
                <w:sz w:val="16"/>
                <w:szCs w:val="16"/>
              </w:rPr>
            </w:pPr>
            <w:r w:rsidRPr="007B2678">
              <w:rPr>
                <w:rFonts w:eastAsia="Calibri"/>
                <w:sz w:val="16"/>
                <w:szCs w:val="16"/>
              </w:rPr>
              <w:t>Improve the abundance and maintain the diversity of the Basin’s waterbird population.</w:t>
            </w:r>
          </w:p>
          <w:p w14:paraId="717D7E2B" w14:textId="77777777" w:rsidR="008246B2" w:rsidRPr="007B2678" w:rsidRDefault="008246B2" w:rsidP="008246B2">
            <w:pPr>
              <w:pStyle w:val="ListBullet"/>
              <w:tabs>
                <w:tab w:val="num" w:pos="644"/>
              </w:tabs>
              <w:spacing w:before="0" w:after="0"/>
              <w:ind w:left="644"/>
              <w:contextualSpacing/>
              <w:jc w:val="left"/>
              <w:rPr>
                <w:rFonts w:eastAsia="Calibri"/>
                <w:sz w:val="16"/>
                <w:szCs w:val="16"/>
              </w:rPr>
            </w:pPr>
            <w:r w:rsidRPr="007B2678">
              <w:rPr>
                <w:rFonts w:eastAsia="Calibri"/>
                <w:sz w:val="16"/>
                <w:szCs w:val="16"/>
              </w:rPr>
              <w:t>Maintain the abundance of key shorebird species in the Lower Lakes and Coorong.</w:t>
            </w:r>
          </w:p>
          <w:p w14:paraId="5F469340" w14:textId="77777777" w:rsidR="00DA2D11" w:rsidRDefault="008246B2" w:rsidP="00DA2D11">
            <w:pPr>
              <w:pStyle w:val="ListBullet"/>
              <w:tabs>
                <w:tab w:val="num" w:pos="644"/>
              </w:tabs>
              <w:spacing w:before="0" w:after="0"/>
              <w:ind w:left="644"/>
              <w:contextualSpacing/>
              <w:jc w:val="left"/>
              <w:rPr>
                <w:rFonts w:eastAsia="Calibri"/>
                <w:sz w:val="16"/>
                <w:szCs w:val="16"/>
              </w:rPr>
            </w:pPr>
            <w:r w:rsidRPr="007B2678">
              <w:rPr>
                <w:rFonts w:eastAsia="Calibri"/>
                <w:sz w:val="16"/>
                <w:szCs w:val="16"/>
              </w:rPr>
              <w:t>Support Basin-scale population recovery of native fish by reinstating flows that promote key ecological processes across local, regional and system scales in the southern connected Basin.</w:t>
            </w:r>
          </w:p>
          <w:p w14:paraId="0A32C224" w14:textId="4D8415D6" w:rsidR="008246B2" w:rsidRPr="00DA2D11" w:rsidRDefault="008246B2" w:rsidP="00DA2D11">
            <w:pPr>
              <w:pStyle w:val="ListBullet"/>
              <w:tabs>
                <w:tab w:val="num" w:pos="644"/>
              </w:tabs>
              <w:spacing w:before="0" w:after="0"/>
              <w:ind w:left="644"/>
              <w:contextualSpacing/>
              <w:jc w:val="left"/>
              <w:rPr>
                <w:rFonts w:eastAsia="Calibri"/>
                <w:sz w:val="16"/>
                <w:szCs w:val="16"/>
              </w:rPr>
            </w:pPr>
            <w:r w:rsidRPr="00DA2D11">
              <w:rPr>
                <w:rFonts w:eastAsia="Calibri"/>
                <w:sz w:val="16"/>
                <w:szCs w:val="16"/>
              </w:rPr>
              <w:t>Support viable populations of threatened native fish, maximise opportunities for range expansion and establish new populations.</w:t>
            </w:r>
          </w:p>
        </w:tc>
      </w:tr>
      <w:tr w:rsidR="008246B2" w:rsidRPr="008849C5" w14:paraId="49D7CE2B" w14:textId="77777777" w:rsidTr="008246B2">
        <w:tc>
          <w:tcPr>
            <w:tcW w:w="5000" w:type="pct"/>
          </w:tcPr>
          <w:p w14:paraId="11A6DF79" w14:textId="7B38A651" w:rsidR="008246B2" w:rsidRPr="00295302" w:rsidRDefault="008246B2" w:rsidP="00295302">
            <w:pPr>
              <w:pStyle w:val="ListBullet"/>
              <w:numPr>
                <w:ilvl w:val="0"/>
                <w:numId w:val="0"/>
              </w:numPr>
              <w:contextualSpacing/>
              <w:jc w:val="center"/>
              <w:rPr>
                <w:b/>
                <w:bCs/>
                <w:sz w:val="16"/>
                <w:szCs w:val="16"/>
              </w:rPr>
            </w:pPr>
            <w:r w:rsidRPr="00295302">
              <w:rPr>
                <w:b/>
                <w:bCs/>
                <w:sz w:val="16"/>
                <w:szCs w:val="16"/>
              </w:rPr>
              <w:t>Weir pool manipulation</w:t>
            </w:r>
          </w:p>
        </w:tc>
      </w:tr>
      <w:tr w:rsidR="008246B2" w:rsidRPr="008849C5" w14:paraId="3C2141FD" w14:textId="77777777" w:rsidTr="003A2982">
        <w:tc>
          <w:tcPr>
            <w:tcW w:w="5000" w:type="pct"/>
            <w:vAlign w:val="center"/>
          </w:tcPr>
          <w:p w14:paraId="079DD86A" w14:textId="77777777" w:rsidR="008246B2" w:rsidRPr="00D118B4" w:rsidRDefault="008246B2" w:rsidP="003A2982">
            <w:pPr>
              <w:pStyle w:val="ListBullet"/>
              <w:numPr>
                <w:ilvl w:val="0"/>
                <w:numId w:val="0"/>
              </w:numPr>
              <w:spacing w:before="0" w:after="0"/>
              <w:contextualSpacing/>
              <w:jc w:val="left"/>
              <w:rPr>
                <w:b/>
                <w:bCs/>
              </w:rPr>
            </w:pPr>
            <w:r w:rsidRPr="00D118B4">
              <w:rPr>
                <w:b/>
                <w:bCs/>
                <w:sz w:val="16"/>
                <w:szCs w:val="16"/>
              </w:rPr>
              <w:lastRenderedPageBreak/>
              <w:t>2019-20:</w:t>
            </w:r>
            <w:r w:rsidRPr="00D118B4">
              <w:rPr>
                <w:b/>
                <w:bCs/>
              </w:rPr>
              <w:t xml:space="preserve"> </w:t>
            </w:r>
          </w:p>
          <w:p w14:paraId="4D840717" w14:textId="77777777" w:rsidR="008246B2" w:rsidRDefault="008246B2" w:rsidP="003A2982">
            <w:pPr>
              <w:pStyle w:val="ListBullet"/>
              <w:numPr>
                <w:ilvl w:val="0"/>
                <w:numId w:val="0"/>
              </w:numPr>
              <w:spacing w:before="0" w:after="0"/>
              <w:contextualSpacing/>
              <w:jc w:val="left"/>
              <w:rPr>
                <w:sz w:val="16"/>
                <w:szCs w:val="16"/>
              </w:rPr>
            </w:pPr>
            <w:r w:rsidRPr="00D118B4">
              <w:rPr>
                <w:sz w:val="16"/>
                <w:szCs w:val="16"/>
              </w:rPr>
              <w:t>The ecological objectives for the weir pool raisings at Weir Pools 2 and 6 under a ‘Moderate’ scenario were:</w:t>
            </w:r>
          </w:p>
          <w:p w14:paraId="5D10DA1E" w14:textId="14A1F8F4" w:rsidR="008246B2" w:rsidRPr="00D118B4" w:rsidRDefault="008246B2" w:rsidP="003A2982">
            <w:pPr>
              <w:pStyle w:val="ListBullet"/>
              <w:spacing w:before="0" w:after="0"/>
              <w:contextualSpacing/>
              <w:jc w:val="left"/>
              <w:rPr>
                <w:sz w:val="16"/>
                <w:szCs w:val="16"/>
              </w:rPr>
            </w:pPr>
            <w:r w:rsidRPr="00D118B4">
              <w:rPr>
                <w:sz w:val="16"/>
                <w:szCs w:val="16"/>
              </w:rPr>
              <w:t xml:space="preserve">Growth and expansion of littoral vegetation including </w:t>
            </w:r>
            <w:r w:rsidRPr="004B7AA2">
              <w:rPr>
                <w:i/>
                <w:iCs/>
                <w:sz w:val="16"/>
                <w:szCs w:val="16"/>
              </w:rPr>
              <w:t>Juncus</w:t>
            </w:r>
            <w:r w:rsidRPr="00D118B4">
              <w:rPr>
                <w:sz w:val="16"/>
                <w:szCs w:val="16"/>
              </w:rPr>
              <w:t xml:space="preserve">, </w:t>
            </w:r>
            <w:r w:rsidRPr="004B7AA2">
              <w:rPr>
                <w:i/>
                <w:iCs/>
                <w:sz w:val="16"/>
                <w:szCs w:val="16"/>
              </w:rPr>
              <w:t>Cyperus gymnocaulos</w:t>
            </w:r>
            <w:r w:rsidRPr="00D118B4">
              <w:rPr>
                <w:sz w:val="16"/>
                <w:szCs w:val="16"/>
              </w:rPr>
              <w:t xml:space="preserve">, </w:t>
            </w:r>
            <w:r w:rsidRPr="004B7AA2">
              <w:rPr>
                <w:i/>
                <w:iCs/>
                <w:sz w:val="16"/>
                <w:szCs w:val="16"/>
              </w:rPr>
              <w:t xml:space="preserve">Schoenoplectus </w:t>
            </w:r>
            <w:r w:rsidR="00167193">
              <w:rPr>
                <w:i/>
                <w:iCs/>
                <w:sz w:val="16"/>
                <w:szCs w:val="16"/>
              </w:rPr>
              <w:t>Validus</w:t>
            </w:r>
            <w:r w:rsidR="00167193">
              <w:rPr>
                <w:sz w:val="16"/>
                <w:szCs w:val="16"/>
              </w:rPr>
              <w:t>.</w:t>
            </w:r>
          </w:p>
          <w:p w14:paraId="6A8C85CA" w14:textId="23EF614B" w:rsidR="008246B2" w:rsidRPr="00D118B4" w:rsidRDefault="008246B2" w:rsidP="003A2982">
            <w:pPr>
              <w:pStyle w:val="ListBullet"/>
              <w:spacing w:before="0" w:after="0"/>
              <w:contextualSpacing/>
              <w:jc w:val="left"/>
              <w:rPr>
                <w:sz w:val="16"/>
                <w:szCs w:val="16"/>
              </w:rPr>
            </w:pPr>
            <w:r w:rsidRPr="00D118B4">
              <w:rPr>
                <w:sz w:val="16"/>
                <w:szCs w:val="16"/>
              </w:rPr>
              <w:t>Understorey plant community sustained and productive</w:t>
            </w:r>
            <w:r w:rsidR="00167193">
              <w:rPr>
                <w:sz w:val="16"/>
                <w:szCs w:val="16"/>
              </w:rPr>
              <w:t>.</w:t>
            </w:r>
          </w:p>
          <w:p w14:paraId="2BF58EDE" w14:textId="04928B4A" w:rsidR="008246B2" w:rsidRPr="00D118B4" w:rsidRDefault="008246B2" w:rsidP="003A2982">
            <w:pPr>
              <w:pStyle w:val="ListBullet"/>
              <w:spacing w:before="0" w:after="0"/>
              <w:contextualSpacing/>
              <w:jc w:val="left"/>
              <w:rPr>
                <w:sz w:val="16"/>
                <w:szCs w:val="16"/>
              </w:rPr>
            </w:pPr>
            <w:r w:rsidRPr="00D118B4">
              <w:rPr>
                <w:sz w:val="16"/>
                <w:szCs w:val="16"/>
              </w:rPr>
              <w:t>Create diverse and productive biofilm and macroinvertebrate communities</w:t>
            </w:r>
            <w:r w:rsidR="00167193">
              <w:rPr>
                <w:sz w:val="16"/>
                <w:szCs w:val="16"/>
              </w:rPr>
              <w:t>.</w:t>
            </w:r>
          </w:p>
          <w:p w14:paraId="0676B77D" w14:textId="38EA8B92" w:rsidR="008246B2" w:rsidRPr="00D118B4" w:rsidRDefault="008246B2" w:rsidP="003A2982">
            <w:pPr>
              <w:pStyle w:val="ListBullet"/>
              <w:spacing w:before="0" w:after="0"/>
              <w:contextualSpacing/>
              <w:jc w:val="left"/>
              <w:rPr>
                <w:sz w:val="16"/>
                <w:szCs w:val="16"/>
              </w:rPr>
            </w:pPr>
            <w:r w:rsidRPr="00D118B4">
              <w:rPr>
                <w:sz w:val="16"/>
                <w:szCs w:val="16"/>
              </w:rPr>
              <w:t>Provide breeding habitat for small fish (in littoral vegetation) and reed-dependent waterbirds</w:t>
            </w:r>
            <w:r w:rsidR="00167193">
              <w:rPr>
                <w:sz w:val="16"/>
                <w:szCs w:val="16"/>
              </w:rPr>
              <w:t>.</w:t>
            </w:r>
          </w:p>
          <w:p w14:paraId="1369EBE9" w14:textId="607F9006" w:rsidR="008246B2" w:rsidRPr="00D118B4" w:rsidRDefault="008246B2" w:rsidP="003A2982">
            <w:pPr>
              <w:pStyle w:val="ListBullet"/>
              <w:spacing w:before="0" w:after="0"/>
              <w:contextualSpacing/>
              <w:jc w:val="left"/>
              <w:rPr>
                <w:sz w:val="16"/>
                <w:szCs w:val="16"/>
              </w:rPr>
            </w:pPr>
            <w:r w:rsidRPr="00D118B4">
              <w:rPr>
                <w:sz w:val="16"/>
                <w:szCs w:val="16"/>
              </w:rPr>
              <w:t>Groundwater exchange with river and relieve soil salinity stress in littoral zone</w:t>
            </w:r>
            <w:r w:rsidR="00167193">
              <w:rPr>
                <w:sz w:val="16"/>
                <w:szCs w:val="16"/>
              </w:rPr>
              <w:t>.</w:t>
            </w:r>
          </w:p>
          <w:p w14:paraId="618C17A5" w14:textId="77777777" w:rsidR="008246B2" w:rsidRDefault="008246B2" w:rsidP="003A2982">
            <w:pPr>
              <w:pStyle w:val="ListBullet"/>
              <w:spacing w:before="0" w:after="0"/>
              <w:contextualSpacing/>
              <w:jc w:val="left"/>
              <w:rPr>
                <w:sz w:val="16"/>
                <w:szCs w:val="16"/>
              </w:rPr>
            </w:pPr>
            <w:r w:rsidRPr="00D118B4">
              <w:rPr>
                <w:sz w:val="16"/>
                <w:szCs w:val="16"/>
              </w:rPr>
              <w:t>Contribute to in-channel flows during drawdown in late spring to assist in delivering water to the Coorong, Lower Lakes and Murray Mouth (CLLMM).</w:t>
            </w:r>
          </w:p>
          <w:p w14:paraId="5673F227" w14:textId="77777777" w:rsidR="008246B2" w:rsidRPr="00D118B4" w:rsidRDefault="008246B2" w:rsidP="003A2982">
            <w:pPr>
              <w:pStyle w:val="ListBullet"/>
              <w:numPr>
                <w:ilvl w:val="0"/>
                <w:numId w:val="0"/>
              </w:numPr>
              <w:spacing w:before="0" w:after="0"/>
              <w:ind w:left="720"/>
              <w:contextualSpacing/>
              <w:jc w:val="left"/>
              <w:rPr>
                <w:sz w:val="16"/>
                <w:szCs w:val="16"/>
              </w:rPr>
            </w:pPr>
          </w:p>
          <w:p w14:paraId="391D9A82" w14:textId="77777777" w:rsidR="008246B2" w:rsidRPr="00D118B4" w:rsidRDefault="008246B2" w:rsidP="003A2982">
            <w:pPr>
              <w:pStyle w:val="ListBullet"/>
              <w:numPr>
                <w:ilvl w:val="0"/>
                <w:numId w:val="0"/>
              </w:numPr>
              <w:spacing w:before="0" w:after="0"/>
              <w:contextualSpacing/>
              <w:jc w:val="left"/>
              <w:rPr>
                <w:sz w:val="16"/>
                <w:szCs w:val="16"/>
              </w:rPr>
            </w:pPr>
            <w:r w:rsidRPr="00D118B4">
              <w:rPr>
                <w:sz w:val="16"/>
                <w:szCs w:val="16"/>
              </w:rPr>
              <w:t>Under the ‘Near Average’ and ‘Wet’ scenarios the ecological objectives were:</w:t>
            </w:r>
          </w:p>
          <w:p w14:paraId="3FBD4CFC" w14:textId="2A462214" w:rsidR="008246B2" w:rsidRPr="00D118B4" w:rsidRDefault="008246B2" w:rsidP="003A2982">
            <w:pPr>
              <w:pStyle w:val="ListBullet"/>
              <w:spacing w:before="0" w:after="0"/>
              <w:contextualSpacing/>
              <w:jc w:val="left"/>
              <w:rPr>
                <w:sz w:val="16"/>
                <w:szCs w:val="16"/>
              </w:rPr>
            </w:pPr>
            <w:r w:rsidRPr="00D118B4">
              <w:rPr>
                <w:sz w:val="16"/>
                <w:szCs w:val="16"/>
              </w:rPr>
              <w:t>Wetland inundation, connectivity and production</w:t>
            </w:r>
            <w:r w:rsidR="00167193">
              <w:rPr>
                <w:sz w:val="16"/>
                <w:szCs w:val="16"/>
              </w:rPr>
              <w:t>.</w:t>
            </w:r>
          </w:p>
          <w:p w14:paraId="5C3F3EA1" w14:textId="546F0050" w:rsidR="008246B2" w:rsidRPr="00D118B4" w:rsidRDefault="008246B2" w:rsidP="003A2982">
            <w:pPr>
              <w:pStyle w:val="ListBullet"/>
              <w:spacing w:before="0" w:after="0"/>
              <w:contextualSpacing/>
              <w:jc w:val="left"/>
              <w:rPr>
                <w:sz w:val="16"/>
                <w:szCs w:val="16"/>
              </w:rPr>
            </w:pPr>
            <w:r w:rsidRPr="00D118B4">
              <w:rPr>
                <w:sz w:val="16"/>
                <w:szCs w:val="16"/>
              </w:rPr>
              <w:t>Health, growth and reproduction of floodplain vegetation</w:t>
            </w:r>
            <w:r w:rsidR="00167193">
              <w:rPr>
                <w:sz w:val="16"/>
                <w:szCs w:val="16"/>
              </w:rPr>
              <w:t>.</w:t>
            </w:r>
          </w:p>
          <w:p w14:paraId="01529397" w14:textId="2DAF8524" w:rsidR="008246B2" w:rsidRDefault="008246B2" w:rsidP="003A2982">
            <w:pPr>
              <w:pStyle w:val="ListBullet"/>
              <w:spacing w:before="0" w:after="0"/>
              <w:contextualSpacing/>
              <w:jc w:val="left"/>
              <w:rPr>
                <w:sz w:val="16"/>
                <w:szCs w:val="16"/>
              </w:rPr>
            </w:pPr>
            <w:r w:rsidRPr="00D118B4">
              <w:rPr>
                <w:sz w:val="16"/>
                <w:szCs w:val="16"/>
              </w:rPr>
              <w:t>Access for aquatic fauna to floodplain and wetland habitats, particularly during key breeding and foraging periods</w:t>
            </w:r>
            <w:r w:rsidR="00167193">
              <w:rPr>
                <w:sz w:val="16"/>
                <w:szCs w:val="16"/>
              </w:rPr>
              <w:t>.</w:t>
            </w:r>
          </w:p>
          <w:p w14:paraId="57F4A6F3" w14:textId="5D53EEA1" w:rsidR="008246B2" w:rsidRPr="000E60E3" w:rsidRDefault="008246B2" w:rsidP="003A2982">
            <w:pPr>
              <w:pStyle w:val="ListBullet"/>
              <w:spacing w:before="0" w:after="0"/>
              <w:contextualSpacing/>
              <w:jc w:val="left"/>
              <w:rPr>
                <w:sz w:val="16"/>
                <w:szCs w:val="16"/>
              </w:rPr>
            </w:pPr>
            <w:r w:rsidRPr="000E60E3">
              <w:rPr>
                <w:sz w:val="16"/>
                <w:szCs w:val="16"/>
              </w:rPr>
              <w:t>Transfer of particulate organic matter from the floodplain to the river channel</w:t>
            </w:r>
            <w:r w:rsidR="00167193">
              <w:rPr>
                <w:sz w:val="16"/>
                <w:szCs w:val="16"/>
              </w:rPr>
              <w:t>.</w:t>
            </w:r>
          </w:p>
          <w:p w14:paraId="5FB5A0BA" w14:textId="77777777" w:rsidR="008246B2" w:rsidRPr="000E60E3" w:rsidRDefault="008246B2" w:rsidP="003A2982">
            <w:pPr>
              <w:pStyle w:val="ListBullet"/>
              <w:numPr>
                <w:ilvl w:val="0"/>
                <w:numId w:val="0"/>
              </w:numPr>
              <w:spacing w:before="0" w:after="0"/>
              <w:contextualSpacing/>
              <w:jc w:val="left"/>
              <w:rPr>
                <w:b/>
                <w:bCs/>
                <w:sz w:val="16"/>
                <w:szCs w:val="16"/>
              </w:rPr>
            </w:pPr>
          </w:p>
          <w:p w14:paraId="0355AD8F" w14:textId="61914C10" w:rsidR="00435120" w:rsidRPr="000E60E3" w:rsidRDefault="00435120" w:rsidP="00435120">
            <w:pPr>
              <w:pStyle w:val="ListBullet"/>
              <w:numPr>
                <w:ilvl w:val="0"/>
                <w:numId w:val="0"/>
              </w:numPr>
              <w:spacing w:before="0" w:after="0"/>
              <w:contextualSpacing/>
              <w:jc w:val="left"/>
              <w:rPr>
                <w:b/>
                <w:bCs/>
                <w:sz w:val="16"/>
                <w:szCs w:val="16"/>
              </w:rPr>
            </w:pPr>
            <w:r w:rsidRPr="000E60E3">
              <w:rPr>
                <w:b/>
                <w:bCs/>
                <w:sz w:val="16"/>
                <w:szCs w:val="16"/>
              </w:rPr>
              <w:t>2020–202</w:t>
            </w:r>
            <w:r w:rsidR="000E60E3" w:rsidRPr="000E60E3">
              <w:rPr>
                <w:b/>
                <w:bCs/>
                <w:sz w:val="16"/>
                <w:szCs w:val="16"/>
              </w:rPr>
              <w:t>4</w:t>
            </w:r>
            <w:r w:rsidRPr="000E60E3">
              <w:rPr>
                <w:b/>
                <w:bCs/>
                <w:sz w:val="16"/>
                <w:szCs w:val="16"/>
              </w:rPr>
              <w:t>:</w:t>
            </w:r>
          </w:p>
          <w:p w14:paraId="2400E153" w14:textId="77777777" w:rsidR="008246B2" w:rsidRPr="000E60E3" w:rsidRDefault="008246B2" w:rsidP="003A2982">
            <w:pPr>
              <w:pStyle w:val="ListBullet"/>
              <w:numPr>
                <w:ilvl w:val="0"/>
                <w:numId w:val="0"/>
              </w:numPr>
              <w:spacing w:before="0" w:after="0"/>
              <w:ind w:left="360"/>
              <w:contextualSpacing/>
              <w:jc w:val="left"/>
              <w:rPr>
                <w:sz w:val="16"/>
                <w:szCs w:val="16"/>
              </w:rPr>
            </w:pPr>
            <w:r w:rsidRPr="000E60E3">
              <w:rPr>
                <w:sz w:val="16"/>
                <w:szCs w:val="16"/>
              </w:rPr>
              <w:t>Weir pool manipulation activities are expected to contribute to the following ecological outcomes:</w:t>
            </w:r>
          </w:p>
          <w:p w14:paraId="50D0E6FF" w14:textId="77777777" w:rsidR="008246B2" w:rsidRPr="00361993" w:rsidRDefault="008246B2" w:rsidP="003A2982">
            <w:pPr>
              <w:pStyle w:val="ListBullet"/>
              <w:spacing w:before="0" w:after="0"/>
              <w:contextualSpacing/>
              <w:jc w:val="left"/>
              <w:rPr>
                <w:sz w:val="16"/>
                <w:szCs w:val="16"/>
              </w:rPr>
            </w:pPr>
            <w:r w:rsidRPr="000E60E3">
              <w:rPr>
                <w:sz w:val="16"/>
                <w:szCs w:val="16"/>
              </w:rPr>
              <w:t>Maintaining</w:t>
            </w:r>
            <w:r w:rsidRPr="00361993">
              <w:rPr>
                <w:sz w:val="16"/>
                <w:szCs w:val="16"/>
              </w:rPr>
              <w:t xml:space="preserve"> current species diversity, extending distributions and improving breeding success and numbers of short, moderate and long-lived native fish species by:</w:t>
            </w:r>
          </w:p>
          <w:p w14:paraId="793AA72A" w14:textId="77777777" w:rsidR="008246B2" w:rsidRPr="00361993" w:rsidRDefault="008246B2" w:rsidP="00737BA1">
            <w:pPr>
              <w:pStyle w:val="ListBullet"/>
              <w:numPr>
                <w:ilvl w:val="0"/>
                <w:numId w:val="33"/>
              </w:numPr>
              <w:spacing w:before="0" w:after="0"/>
              <w:contextualSpacing/>
              <w:jc w:val="left"/>
              <w:rPr>
                <w:sz w:val="16"/>
                <w:szCs w:val="16"/>
              </w:rPr>
            </w:pPr>
            <w:r w:rsidRPr="00361993">
              <w:rPr>
                <w:sz w:val="16"/>
                <w:szCs w:val="16"/>
              </w:rPr>
              <w:t>Increasing lateral connectivity with anabranches and low elevation floodplain wetlands.</w:t>
            </w:r>
          </w:p>
          <w:p w14:paraId="5A2BF0FD" w14:textId="77777777" w:rsidR="008246B2" w:rsidRPr="00361993" w:rsidRDefault="008246B2" w:rsidP="00737BA1">
            <w:pPr>
              <w:pStyle w:val="ListBullet"/>
              <w:numPr>
                <w:ilvl w:val="0"/>
                <w:numId w:val="34"/>
              </w:numPr>
              <w:spacing w:before="0" w:after="0"/>
              <w:contextualSpacing/>
              <w:jc w:val="left"/>
              <w:rPr>
                <w:sz w:val="16"/>
                <w:szCs w:val="16"/>
              </w:rPr>
            </w:pPr>
            <w:r w:rsidRPr="00361993">
              <w:rPr>
                <w:sz w:val="16"/>
                <w:szCs w:val="16"/>
              </w:rPr>
              <w:t>Providing in-stream and littoral habitat for fish and thereby supporting recruitment of fish.</w:t>
            </w:r>
          </w:p>
          <w:p w14:paraId="62C90821" w14:textId="77777777" w:rsidR="008246B2" w:rsidRPr="00361993" w:rsidRDefault="008246B2" w:rsidP="00737BA1">
            <w:pPr>
              <w:pStyle w:val="ListBullet"/>
              <w:numPr>
                <w:ilvl w:val="0"/>
                <w:numId w:val="34"/>
              </w:numPr>
              <w:spacing w:before="0" w:after="0"/>
              <w:contextualSpacing/>
              <w:jc w:val="left"/>
              <w:rPr>
                <w:sz w:val="16"/>
                <w:szCs w:val="16"/>
              </w:rPr>
            </w:pPr>
            <w:r w:rsidRPr="00361993">
              <w:rPr>
                <w:sz w:val="16"/>
                <w:szCs w:val="16"/>
              </w:rPr>
              <w:t>Improving the body condition of mature fish during winter/spring ("pre-spawning conditioning') and providing opportunities for spawning during spring (subject to appropriate seasonal conditions).</w:t>
            </w:r>
          </w:p>
          <w:p w14:paraId="5549BB3F" w14:textId="77777777" w:rsidR="008246B2" w:rsidRPr="00361993" w:rsidRDefault="008246B2" w:rsidP="003A2982">
            <w:pPr>
              <w:pStyle w:val="ListBullet"/>
              <w:spacing w:before="0" w:after="0"/>
              <w:contextualSpacing/>
              <w:jc w:val="left"/>
              <w:rPr>
                <w:sz w:val="16"/>
                <w:szCs w:val="16"/>
              </w:rPr>
            </w:pPr>
            <w:r w:rsidRPr="00361993">
              <w:rPr>
                <w:sz w:val="16"/>
                <w:szCs w:val="16"/>
              </w:rPr>
              <w:t>Maintaining the extent and condition of riparian and in-channel vegetation by:</w:t>
            </w:r>
          </w:p>
          <w:p w14:paraId="08A130E3" w14:textId="77777777" w:rsidR="008246B2" w:rsidRPr="00361993" w:rsidRDefault="008246B2" w:rsidP="00737BA1">
            <w:pPr>
              <w:pStyle w:val="ListBullet"/>
              <w:numPr>
                <w:ilvl w:val="0"/>
                <w:numId w:val="35"/>
              </w:numPr>
              <w:spacing w:before="0" w:after="0"/>
              <w:contextualSpacing/>
              <w:jc w:val="left"/>
              <w:rPr>
                <w:sz w:val="16"/>
                <w:szCs w:val="16"/>
              </w:rPr>
            </w:pPr>
            <w:r w:rsidRPr="00361993">
              <w:rPr>
                <w:sz w:val="16"/>
                <w:szCs w:val="16"/>
              </w:rPr>
              <w:t>Increasing periods of growth for vegetation communities that closely fringe or occur within the Murray River channel, anabranches and low elevation floodplain wetlands (in turn providing habitat for other species).</w:t>
            </w:r>
          </w:p>
          <w:p w14:paraId="2ADD3581" w14:textId="77777777" w:rsidR="008246B2" w:rsidRPr="00361993" w:rsidRDefault="008246B2" w:rsidP="003A2982">
            <w:pPr>
              <w:pStyle w:val="ListBullet"/>
              <w:spacing w:before="0" w:after="0"/>
              <w:contextualSpacing/>
              <w:jc w:val="left"/>
              <w:rPr>
                <w:sz w:val="16"/>
                <w:szCs w:val="16"/>
              </w:rPr>
            </w:pPr>
            <w:r w:rsidRPr="00361993">
              <w:rPr>
                <w:sz w:val="16"/>
                <w:szCs w:val="16"/>
              </w:rPr>
              <w:t>Contributing to riverine functioning by:</w:t>
            </w:r>
          </w:p>
          <w:p w14:paraId="035A62D2" w14:textId="77777777" w:rsidR="008246B2" w:rsidRPr="00361993" w:rsidRDefault="008246B2" w:rsidP="00737BA1">
            <w:pPr>
              <w:pStyle w:val="ListBullet"/>
              <w:numPr>
                <w:ilvl w:val="0"/>
                <w:numId w:val="35"/>
              </w:numPr>
              <w:spacing w:before="0" w:after="0"/>
              <w:contextualSpacing/>
              <w:jc w:val="left"/>
              <w:rPr>
                <w:sz w:val="16"/>
                <w:szCs w:val="16"/>
              </w:rPr>
            </w:pPr>
            <w:r w:rsidRPr="00361993">
              <w:rPr>
                <w:sz w:val="16"/>
                <w:szCs w:val="16"/>
              </w:rPr>
              <w:t>Supporting primary and secondary production along the Murray River through the mobilisation and transport of nutrients, carbon cycling and biotic dispersal, including via groundwater exchange with the river.</w:t>
            </w:r>
          </w:p>
          <w:p w14:paraId="3D8DB44F" w14:textId="77777777" w:rsidR="008246B2" w:rsidRDefault="008246B2" w:rsidP="00737BA1">
            <w:pPr>
              <w:pStyle w:val="ListBullet"/>
              <w:numPr>
                <w:ilvl w:val="0"/>
                <w:numId w:val="35"/>
              </w:numPr>
              <w:spacing w:before="0" w:after="0"/>
              <w:contextualSpacing/>
              <w:jc w:val="left"/>
              <w:rPr>
                <w:sz w:val="16"/>
                <w:szCs w:val="16"/>
              </w:rPr>
            </w:pPr>
            <w:r w:rsidRPr="00361993">
              <w:rPr>
                <w:sz w:val="16"/>
                <w:szCs w:val="16"/>
              </w:rPr>
              <w:t>Creating diverse and productive biofilm and macroinvertebrate communities.</w:t>
            </w:r>
          </w:p>
          <w:p w14:paraId="004B0003" w14:textId="77777777" w:rsidR="008246B2" w:rsidRDefault="008246B2" w:rsidP="00737BA1">
            <w:pPr>
              <w:pStyle w:val="ListBullet"/>
              <w:numPr>
                <w:ilvl w:val="0"/>
                <w:numId w:val="35"/>
              </w:numPr>
              <w:spacing w:before="0" w:after="0"/>
              <w:contextualSpacing/>
              <w:jc w:val="left"/>
              <w:rPr>
                <w:sz w:val="16"/>
                <w:szCs w:val="16"/>
              </w:rPr>
            </w:pPr>
            <w:r w:rsidRPr="00361993">
              <w:rPr>
                <w:sz w:val="16"/>
                <w:szCs w:val="16"/>
              </w:rPr>
              <w:t>Supporting the managed export of salt and nutrients from the Murray River system.</w:t>
            </w:r>
          </w:p>
          <w:p w14:paraId="584C273D" w14:textId="77777777" w:rsidR="008246B2" w:rsidRDefault="008246B2" w:rsidP="003A2982">
            <w:pPr>
              <w:pStyle w:val="ListBullet"/>
              <w:numPr>
                <w:ilvl w:val="0"/>
                <w:numId w:val="0"/>
              </w:numPr>
              <w:spacing w:before="0" w:after="0"/>
              <w:contextualSpacing/>
              <w:jc w:val="left"/>
              <w:rPr>
                <w:sz w:val="16"/>
                <w:szCs w:val="16"/>
              </w:rPr>
            </w:pPr>
          </w:p>
          <w:p w14:paraId="7C8A392F" w14:textId="77777777" w:rsidR="008246B2" w:rsidRPr="002922DF" w:rsidRDefault="008246B2" w:rsidP="003A2982">
            <w:pPr>
              <w:pStyle w:val="ListBullet"/>
              <w:numPr>
                <w:ilvl w:val="0"/>
                <w:numId w:val="0"/>
              </w:numPr>
              <w:spacing w:before="0" w:after="0"/>
              <w:ind w:left="360"/>
              <w:contextualSpacing/>
              <w:jc w:val="left"/>
              <w:rPr>
                <w:sz w:val="16"/>
                <w:szCs w:val="16"/>
              </w:rPr>
            </w:pPr>
            <w:r w:rsidRPr="002922DF">
              <w:rPr>
                <w:sz w:val="16"/>
                <w:szCs w:val="16"/>
              </w:rPr>
              <w:t>This watering action also aimed to contribute to the following rolling multi-year priorities identified in the Basin annual environmental watering priorities:</w:t>
            </w:r>
          </w:p>
          <w:p w14:paraId="5DC0A91F" w14:textId="77777777" w:rsidR="008246B2" w:rsidRPr="002922DF" w:rsidRDefault="008246B2" w:rsidP="003A2982">
            <w:pPr>
              <w:pStyle w:val="ListBullet"/>
              <w:spacing w:before="0" w:after="0"/>
              <w:contextualSpacing/>
              <w:jc w:val="left"/>
              <w:rPr>
                <w:sz w:val="16"/>
                <w:szCs w:val="16"/>
              </w:rPr>
            </w:pPr>
            <w:r w:rsidRPr="002922DF">
              <w:rPr>
                <w:sz w:val="16"/>
                <w:szCs w:val="16"/>
              </w:rPr>
              <w:t>Manage water to maximise lateral and longitudinal connectivity along the river systems and provide opportunities for high ecological productivity.</w:t>
            </w:r>
          </w:p>
          <w:p w14:paraId="4324FD94" w14:textId="77777777" w:rsidR="008246B2" w:rsidRPr="002922DF" w:rsidRDefault="008246B2" w:rsidP="003A2982">
            <w:pPr>
              <w:pStyle w:val="ListBullet"/>
              <w:spacing w:before="0" w:after="0"/>
              <w:contextualSpacing/>
              <w:jc w:val="left"/>
              <w:rPr>
                <w:sz w:val="16"/>
                <w:szCs w:val="16"/>
              </w:rPr>
            </w:pPr>
            <w:r w:rsidRPr="002922DF">
              <w:rPr>
                <w:sz w:val="16"/>
                <w:szCs w:val="16"/>
              </w:rPr>
              <w:t>Maintain the extent, improve condition and promote recruitment of forests and woodlands.</w:t>
            </w:r>
          </w:p>
          <w:p w14:paraId="7FF68C79" w14:textId="77777777" w:rsidR="00413E8F" w:rsidRDefault="008246B2" w:rsidP="003A2982">
            <w:pPr>
              <w:pStyle w:val="ListBullet"/>
              <w:spacing w:before="0" w:after="0"/>
              <w:contextualSpacing/>
              <w:jc w:val="left"/>
              <w:rPr>
                <w:sz w:val="16"/>
                <w:szCs w:val="16"/>
              </w:rPr>
            </w:pPr>
            <w:r w:rsidRPr="002922DF">
              <w:rPr>
                <w:sz w:val="16"/>
                <w:szCs w:val="16"/>
              </w:rPr>
              <w:t>Allow opportunities for growth of non-woody wetland vegetation.</w:t>
            </w:r>
          </w:p>
          <w:p w14:paraId="4D39C401" w14:textId="3F356F2B" w:rsidR="008246B2" w:rsidRPr="00413E8F" w:rsidRDefault="008246B2" w:rsidP="003A2982">
            <w:pPr>
              <w:pStyle w:val="ListBullet"/>
              <w:spacing w:before="0" w:after="0"/>
              <w:contextualSpacing/>
              <w:jc w:val="left"/>
              <w:rPr>
                <w:sz w:val="16"/>
                <w:szCs w:val="16"/>
              </w:rPr>
            </w:pPr>
            <w:r w:rsidRPr="00413E8F">
              <w:rPr>
                <w:sz w:val="16"/>
                <w:szCs w:val="16"/>
              </w:rPr>
              <w:t>Allow opportunities of growth of non-woody riparian vegetation.</w:t>
            </w:r>
          </w:p>
        </w:tc>
      </w:tr>
      <w:tr w:rsidR="008246B2" w:rsidRPr="008849C5" w14:paraId="23A7A517" w14:textId="77777777" w:rsidTr="008246B2">
        <w:tc>
          <w:tcPr>
            <w:tcW w:w="5000" w:type="pct"/>
            <w:vAlign w:val="bottom"/>
          </w:tcPr>
          <w:p w14:paraId="0B570000" w14:textId="3019BAF8" w:rsidR="008246B2" w:rsidRPr="00295302" w:rsidRDefault="008246B2" w:rsidP="00DC7774">
            <w:pPr>
              <w:pStyle w:val="ListBullet"/>
              <w:numPr>
                <w:ilvl w:val="0"/>
                <w:numId w:val="0"/>
              </w:numPr>
              <w:jc w:val="center"/>
              <w:rPr>
                <w:b/>
                <w:bCs/>
                <w:sz w:val="16"/>
                <w:szCs w:val="16"/>
              </w:rPr>
            </w:pPr>
            <w:r w:rsidRPr="00295302">
              <w:rPr>
                <w:b/>
                <w:bCs/>
                <w:sz w:val="16"/>
                <w:szCs w:val="16"/>
              </w:rPr>
              <w:t>SA floodplains</w:t>
            </w:r>
          </w:p>
        </w:tc>
      </w:tr>
      <w:tr w:rsidR="00295302" w:rsidRPr="008849C5" w14:paraId="217789B9" w14:textId="77777777" w:rsidTr="00295302">
        <w:tc>
          <w:tcPr>
            <w:tcW w:w="5000" w:type="pct"/>
          </w:tcPr>
          <w:p w14:paraId="056FCBD1" w14:textId="77777777" w:rsidR="00295302" w:rsidRPr="00361993" w:rsidRDefault="00295302" w:rsidP="00DC7774">
            <w:pPr>
              <w:pStyle w:val="ListBullet"/>
              <w:numPr>
                <w:ilvl w:val="0"/>
                <w:numId w:val="0"/>
              </w:numPr>
              <w:spacing w:before="0" w:after="0"/>
              <w:ind w:left="360"/>
              <w:contextualSpacing/>
              <w:jc w:val="left"/>
              <w:rPr>
                <w:sz w:val="16"/>
                <w:szCs w:val="16"/>
              </w:rPr>
            </w:pPr>
            <w:r w:rsidRPr="00361993">
              <w:rPr>
                <w:sz w:val="16"/>
                <w:szCs w:val="16"/>
              </w:rPr>
              <w:t>SA floodplain watering is expected to contribute to the following ecological outcomes:</w:t>
            </w:r>
          </w:p>
          <w:p w14:paraId="2CEABD5C" w14:textId="77777777" w:rsidR="00295302" w:rsidRPr="00361993" w:rsidRDefault="00295302" w:rsidP="00DC7774">
            <w:pPr>
              <w:pStyle w:val="ListBullet"/>
              <w:spacing w:before="0" w:after="0"/>
              <w:contextualSpacing/>
              <w:jc w:val="left"/>
              <w:rPr>
                <w:sz w:val="16"/>
                <w:szCs w:val="16"/>
              </w:rPr>
            </w:pPr>
            <w:r w:rsidRPr="00361993">
              <w:rPr>
                <w:sz w:val="16"/>
                <w:szCs w:val="16"/>
              </w:rPr>
              <w:lastRenderedPageBreak/>
              <w:t>Maintain viable river red gum, black box, river cooba and lignum populations.</w:t>
            </w:r>
          </w:p>
          <w:p w14:paraId="446F413F" w14:textId="77777777" w:rsidR="00295302" w:rsidRPr="00361993" w:rsidRDefault="00295302" w:rsidP="00DC7774">
            <w:pPr>
              <w:pStyle w:val="ListBullet"/>
              <w:spacing w:before="0" w:after="0"/>
              <w:contextualSpacing/>
              <w:jc w:val="left"/>
              <w:rPr>
                <w:sz w:val="16"/>
                <w:szCs w:val="16"/>
              </w:rPr>
            </w:pPr>
            <w:r w:rsidRPr="00361993">
              <w:rPr>
                <w:sz w:val="16"/>
                <w:szCs w:val="16"/>
              </w:rPr>
              <w:t>Establish and maintain a diverse native flood dependent and/or amphibious species plant communities.</w:t>
            </w:r>
          </w:p>
          <w:p w14:paraId="7B26EB05" w14:textId="77777777" w:rsidR="00295302" w:rsidRPr="00361993" w:rsidRDefault="00295302" w:rsidP="00DC7774">
            <w:pPr>
              <w:pStyle w:val="ListBullet"/>
              <w:spacing w:before="0" w:after="0"/>
              <w:contextualSpacing/>
              <w:jc w:val="left"/>
              <w:rPr>
                <w:sz w:val="16"/>
                <w:szCs w:val="16"/>
              </w:rPr>
            </w:pPr>
            <w:r w:rsidRPr="00361993">
              <w:rPr>
                <w:sz w:val="16"/>
                <w:szCs w:val="16"/>
              </w:rPr>
              <w:t>Create conditions for successful, small scale breeding events for waterbirds.</w:t>
            </w:r>
          </w:p>
          <w:p w14:paraId="1F13168E" w14:textId="77777777" w:rsidR="00295302" w:rsidRPr="00361993" w:rsidRDefault="00295302" w:rsidP="00DC7774">
            <w:pPr>
              <w:pStyle w:val="ListBullet"/>
              <w:spacing w:before="0" w:after="0"/>
              <w:contextualSpacing/>
              <w:jc w:val="left"/>
              <w:rPr>
                <w:sz w:val="16"/>
                <w:szCs w:val="16"/>
              </w:rPr>
            </w:pPr>
            <w:r w:rsidRPr="00361993">
              <w:rPr>
                <w:sz w:val="16"/>
                <w:szCs w:val="16"/>
              </w:rPr>
              <w:t>Provide habitat conducive to supporting communities of native reptiles and mammals, woodland birds and riparian frogs.</w:t>
            </w:r>
          </w:p>
          <w:p w14:paraId="3A550341" w14:textId="77777777" w:rsidR="00295302" w:rsidRPr="00361993" w:rsidRDefault="00295302" w:rsidP="00DC7774">
            <w:pPr>
              <w:pStyle w:val="ListBullet"/>
              <w:spacing w:before="0" w:after="0"/>
              <w:contextualSpacing/>
              <w:jc w:val="left"/>
              <w:rPr>
                <w:sz w:val="16"/>
                <w:szCs w:val="16"/>
              </w:rPr>
            </w:pPr>
            <w:r w:rsidRPr="00361993">
              <w:rPr>
                <w:sz w:val="16"/>
                <w:szCs w:val="16"/>
              </w:rPr>
              <w:t>Implement a seasonal hydrograph that encompasses variation in discharge, velocity and water levels and provide diverse hydraulic conditions and complex habitat for flow dependent biota and processes.</w:t>
            </w:r>
          </w:p>
          <w:p w14:paraId="6A6A9AE5" w14:textId="77777777" w:rsidR="00295302" w:rsidRPr="00361993" w:rsidRDefault="00295302" w:rsidP="00DC7774">
            <w:pPr>
              <w:pStyle w:val="ListBullet"/>
              <w:spacing w:before="0" w:after="0"/>
              <w:contextualSpacing/>
              <w:jc w:val="left"/>
              <w:rPr>
                <w:sz w:val="16"/>
                <w:szCs w:val="16"/>
              </w:rPr>
            </w:pPr>
            <w:r w:rsidRPr="00361993">
              <w:rPr>
                <w:sz w:val="16"/>
                <w:szCs w:val="16"/>
              </w:rPr>
              <w:t>Provide for carbon and nutrient movement from the floodplain to the creek and river to generate localised fluctuations in productivity.</w:t>
            </w:r>
          </w:p>
          <w:p w14:paraId="16C52B92" w14:textId="77777777" w:rsidR="00295302" w:rsidRDefault="00295302" w:rsidP="00DC7774">
            <w:pPr>
              <w:pStyle w:val="ListBullet"/>
              <w:spacing w:before="0" w:after="0"/>
              <w:contextualSpacing/>
              <w:jc w:val="left"/>
              <w:rPr>
                <w:sz w:val="16"/>
                <w:szCs w:val="16"/>
              </w:rPr>
            </w:pPr>
            <w:r w:rsidRPr="00361993">
              <w:rPr>
                <w:sz w:val="16"/>
                <w:szCs w:val="16"/>
              </w:rPr>
              <w:t>Promote bacterial rather than algal dominance of biofilms.</w:t>
            </w:r>
          </w:p>
          <w:p w14:paraId="2525347E" w14:textId="77777777" w:rsidR="00295302" w:rsidRPr="002922DF" w:rsidRDefault="00295302" w:rsidP="00DC7774">
            <w:pPr>
              <w:pStyle w:val="ListBullet"/>
              <w:spacing w:before="0" w:after="0"/>
              <w:contextualSpacing/>
              <w:jc w:val="left"/>
              <w:rPr>
                <w:sz w:val="16"/>
                <w:szCs w:val="16"/>
              </w:rPr>
            </w:pPr>
            <w:r w:rsidRPr="002922DF">
              <w:rPr>
                <w:sz w:val="16"/>
                <w:szCs w:val="16"/>
              </w:rPr>
              <w:t>Support resilient populations of foraging generalist native fish.</w:t>
            </w:r>
          </w:p>
          <w:p w14:paraId="1F5B7EF2" w14:textId="77777777" w:rsidR="00295302" w:rsidRDefault="00295302" w:rsidP="00DC7774">
            <w:pPr>
              <w:pStyle w:val="ListBullet"/>
              <w:numPr>
                <w:ilvl w:val="0"/>
                <w:numId w:val="0"/>
              </w:numPr>
              <w:spacing w:before="0" w:after="0"/>
              <w:ind w:left="720" w:hanging="360"/>
              <w:contextualSpacing/>
              <w:jc w:val="left"/>
              <w:rPr>
                <w:sz w:val="16"/>
                <w:szCs w:val="16"/>
              </w:rPr>
            </w:pPr>
          </w:p>
          <w:p w14:paraId="1421D419" w14:textId="77777777" w:rsidR="00295302" w:rsidRPr="002922DF" w:rsidRDefault="00295302" w:rsidP="00DC7774">
            <w:pPr>
              <w:pStyle w:val="ListBullet"/>
              <w:numPr>
                <w:ilvl w:val="0"/>
                <w:numId w:val="0"/>
              </w:numPr>
              <w:spacing w:before="0" w:after="0"/>
              <w:ind w:left="360"/>
              <w:contextualSpacing/>
              <w:jc w:val="left"/>
              <w:rPr>
                <w:sz w:val="16"/>
                <w:szCs w:val="16"/>
              </w:rPr>
            </w:pPr>
            <w:r w:rsidRPr="002922DF">
              <w:rPr>
                <w:sz w:val="16"/>
                <w:szCs w:val="16"/>
              </w:rPr>
              <w:t>This watering action also aimed to contribute to the following rolling multi-year priorities identified in the Basin annual environmental watering priorities:</w:t>
            </w:r>
          </w:p>
          <w:p w14:paraId="70D26FD0" w14:textId="77777777" w:rsidR="00295302" w:rsidRPr="002922DF" w:rsidRDefault="00295302" w:rsidP="00DC7774">
            <w:pPr>
              <w:pStyle w:val="ListBullet"/>
              <w:spacing w:before="0" w:after="0"/>
              <w:contextualSpacing/>
              <w:jc w:val="left"/>
              <w:rPr>
                <w:sz w:val="16"/>
                <w:szCs w:val="16"/>
              </w:rPr>
            </w:pPr>
            <w:r w:rsidRPr="002922DF">
              <w:rPr>
                <w:sz w:val="16"/>
                <w:szCs w:val="16"/>
              </w:rPr>
              <w:t>Manage water to maximise lateral and longitudinal connectivity along the river systems and provide opportunities for high ecological productivity.</w:t>
            </w:r>
          </w:p>
          <w:p w14:paraId="54186942" w14:textId="77777777" w:rsidR="00295302" w:rsidRPr="002922DF" w:rsidRDefault="00295302" w:rsidP="00DC7774">
            <w:pPr>
              <w:pStyle w:val="ListBullet"/>
              <w:spacing w:before="0" w:after="0"/>
              <w:contextualSpacing/>
              <w:jc w:val="left"/>
              <w:rPr>
                <w:sz w:val="16"/>
                <w:szCs w:val="16"/>
              </w:rPr>
            </w:pPr>
            <w:r w:rsidRPr="002922DF">
              <w:rPr>
                <w:sz w:val="16"/>
                <w:szCs w:val="16"/>
              </w:rPr>
              <w:t>Maintain the extent, improve condition and promote recruitment of forests and woodlands.</w:t>
            </w:r>
          </w:p>
          <w:p w14:paraId="478AFBFE" w14:textId="77777777" w:rsidR="00295302" w:rsidRDefault="00295302" w:rsidP="00DC7774">
            <w:pPr>
              <w:pStyle w:val="ListBullet"/>
              <w:spacing w:before="0" w:after="0"/>
              <w:contextualSpacing/>
              <w:jc w:val="left"/>
              <w:rPr>
                <w:sz w:val="16"/>
                <w:szCs w:val="16"/>
              </w:rPr>
            </w:pPr>
            <w:r w:rsidRPr="002922DF">
              <w:rPr>
                <w:sz w:val="16"/>
                <w:szCs w:val="16"/>
              </w:rPr>
              <w:t>Allow opportunities for growth of non-woody wetland vegetation.</w:t>
            </w:r>
          </w:p>
          <w:p w14:paraId="631115A0" w14:textId="39F21225" w:rsidR="00295302" w:rsidRPr="00D118B4" w:rsidRDefault="00295302" w:rsidP="00DC7774">
            <w:pPr>
              <w:pStyle w:val="ListBullet"/>
              <w:spacing w:before="0" w:after="0"/>
              <w:contextualSpacing/>
              <w:jc w:val="left"/>
              <w:rPr>
                <w:sz w:val="16"/>
                <w:szCs w:val="16"/>
              </w:rPr>
            </w:pPr>
            <w:r w:rsidRPr="00B223E7">
              <w:rPr>
                <w:sz w:val="16"/>
                <w:szCs w:val="16"/>
              </w:rPr>
              <w:t>Allow opportunities of growth of non-woody riparian vegetation.</w:t>
            </w:r>
          </w:p>
        </w:tc>
      </w:tr>
    </w:tbl>
    <w:p w14:paraId="08CAB39F" w14:textId="77777777" w:rsidR="008246B2" w:rsidRPr="00BE12EB" w:rsidRDefault="008246B2" w:rsidP="00BE12EB">
      <w:pPr>
        <w:sectPr w:rsidR="008246B2" w:rsidRPr="00BE12EB" w:rsidSect="008D628A">
          <w:pgSz w:w="16838" w:h="11906" w:orient="landscape"/>
          <w:pgMar w:top="1440" w:right="1440" w:bottom="1440" w:left="1440" w:header="709" w:footer="709" w:gutter="0"/>
          <w:cols w:space="708"/>
          <w:docGrid w:linePitch="360"/>
        </w:sectPr>
      </w:pPr>
    </w:p>
    <w:p w14:paraId="5E1D114C" w14:textId="0EC5340E" w:rsidR="00BB6D22" w:rsidRPr="00F64880" w:rsidRDefault="008849C5" w:rsidP="00BB6D22">
      <w:pPr>
        <w:pStyle w:val="Heading1"/>
        <w:numPr>
          <w:ilvl w:val="0"/>
          <w:numId w:val="0"/>
        </w:numPr>
        <w:rPr>
          <w:b w:val="0"/>
          <w:bCs w:val="0"/>
          <w:caps w:val="0"/>
        </w:rPr>
      </w:pPr>
      <w:bookmarkStart w:id="590" w:name="_Toc200467873"/>
      <w:r>
        <w:lastRenderedPageBreak/>
        <w:t>Appendix B</w:t>
      </w:r>
      <w:r w:rsidR="000A65FC" w:rsidRPr="001056B4">
        <w:t xml:space="preserve">: </w:t>
      </w:r>
      <w:bookmarkStart w:id="591" w:name="_Toc3558348"/>
      <w:bookmarkStart w:id="592" w:name="_Toc441838748"/>
      <w:bookmarkEnd w:id="589"/>
      <w:r w:rsidR="00BB6D22">
        <w:t>Overview of other m</w:t>
      </w:r>
      <w:r w:rsidR="00186D82">
        <w:t xml:space="preserve">anagement activities </w:t>
      </w:r>
      <w:bookmarkEnd w:id="591"/>
      <w:bookmarkEnd w:id="592"/>
      <w:r w:rsidR="00E90019">
        <w:t>from 2019–2024</w:t>
      </w:r>
      <w:bookmarkEnd w:id="590"/>
    </w:p>
    <w:p w14:paraId="4C6D5ED7" w14:textId="00188C5B" w:rsidR="00844BB9" w:rsidRPr="00844BB9" w:rsidRDefault="00844BB9" w:rsidP="00BB6D22">
      <w:r w:rsidRPr="009C0C0D">
        <w:t xml:space="preserve">In addition to environmental water deliveries to the </w:t>
      </w:r>
      <w:r w:rsidR="00FE3EAD">
        <w:t>Lower Murray</w:t>
      </w:r>
      <w:r w:rsidR="00E90019">
        <w:t xml:space="preserve"> </w:t>
      </w:r>
      <w:r>
        <w:t xml:space="preserve">(Section </w:t>
      </w:r>
      <w:r>
        <w:fldChar w:fldCharType="begin"/>
      </w:r>
      <w:r>
        <w:instrText xml:space="preserve"> REF _Ref25846459 \r \h </w:instrText>
      </w:r>
      <w:r>
        <w:fldChar w:fldCharType="separate"/>
      </w:r>
      <w:r w:rsidR="00102828">
        <w:t>1.4</w:t>
      </w:r>
      <w:r>
        <w:fldChar w:fldCharType="end"/>
      </w:r>
      <w:r>
        <w:t>)</w:t>
      </w:r>
      <w:r w:rsidRPr="009C0C0D">
        <w:t xml:space="preserve">, the following management </w:t>
      </w:r>
      <w:r>
        <w:t>actions</w:t>
      </w:r>
      <w:r w:rsidRPr="009C0C0D">
        <w:t xml:space="preserve"> are relevant to the analyses and interpretations in this report. </w:t>
      </w:r>
    </w:p>
    <w:p w14:paraId="6EA8437F" w14:textId="02B19296" w:rsidR="00BB6D22" w:rsidRPr="00964B7F" w:rsidRDefault="00BB6D22" w:rsidP="00BB6D22">
      <w:pPr>
        <w:rPr>
          <w:b/>
          <w:color w:val="44546A" w:themeColor="text2"/>
          <w:sz w:val="26"/>
          <w:szCs w:val="26"/>
        </w:rPr>
      </w:pPr>
      <w:r w:rsidRPr="00964B7F">
        <w:rPr>
          <w:b/>
          <w:color w:val="44546A" w:themeColor="text2"/>
          <w:sz w:val="26"/>
          <w:szCs w:val="26"/>
        </w:rPr>
        <w:t xml:space="preserve">Other watering </w:t>
      </w:r>
      <w:r>
        <w:rPr>
          <w:b/>
          <w:color w:val="44546A" w:themeColor="text2"/>
          <w:sz w:val="26"/>
          <w:szCs w:val="26"/>
        </w:rPr>
        <w:t xml:space="preserve">and management </w:t>
      </w:r>
      <w:r w:rsidRPr="00964B7F">
        <w:rPr>
          <w:b/>
          <w:color w:val="44546A" w:themeColor="text2"/>
          <w:sz w:val="26"/>
          <w:szCs w:val="26"/>
        </w:rPr>
        <w:t xml:space="preserve">activities in the </w:t>
      </w:r>
      <w:r w:rsidR="00FE3EAD">
        <w:rPr>
          <w:b/>
          <w:color w:val="44546A" w:themeColor="text2"/>
          <w:sz w:val="26"/>
          <w:szCs w:val="26"/>
        </w:rPr>
        <w:t>Lower Murray</w:t>
      </w:r>
      <w:r w:rsidR="00FE3EAD" w:rsidRPr="00964B7F">
        <w:rPr>
          <w:b/>
          <w:color w:val="44546A" w:themeColor="text2"/>
          <w:sz w:val="26"/>
          <w:szCs w:val="26"/>
        </w:rPr>
        <w:t xml:space="preserve"> </w:t>
      </w:r>
    </w:p>
    <w:p w14:paraId="48324437" w14:textId="060F9675" w:rsidR="00BB6D22" w:rsidRPr="00964B7F" w:rsidRDefault="0033787F" w:rsidP="00BB6D22">
      <w:pPr>
        <w:rPr>
          <w:i/>
          <w:sz w:val="24"/>
          <w:szCs w:val="24"/>
        </w:rPr>
      </w:pPr>
      <w:r>
        <w:rPr>
          <w:b/>
          <w:i/>
          <w:color w:val="44546A" w:themeColor="text2"/>
          <w:sz w:val="24"/>
          <w:szCs w:val="24"/>
        </w:rPr>
        <w:t>Manipulation of water levels in weir pools</w:t>
      </w:r>
    </w:p>
    <w:p w14:paraId="704831BB" w14:textId="53C94822" w:rsidR="0033787F" w:rsidRPr="00F92D87" w:rsidRDefault="0033787F" w:rsidP="0033787F">
      <w:pPr>
        <w:rPr>
          <w:lang w:val="en-US"/>
        </w:rPr>
      </w:pPr>
      <w:r w:rsidRPr="00F92D87">
        <w:rPr>
          <w:lang w:val="en-US"/>
        </w:rPr>
        <w:t xml:space="preserve">In the LMR, water levels in weir pools </w:t>
      </w:r>
      <w:r w:rsidR="0045792E" w:rsidRPr="00F92D87">
        <w:rPr>
          <w:lang w:val="en-US"/>
        </w:rPr>
        <w:t>1, 2, 4, 5 and 6 were</w:t>
      </w:r>
      <w:r w:rsidRPr="00F92D87">
        <w:rPr>
          <w:lang w:val="en-US"/>
        </w:rPr>
        <w:t xml:space="preserve"> </w:t>
      </w:r>
      <w:r w:rsidR="0045792E" w:rsidRPr="00F92D87">
        <w:rPr>
          <w:lang w:val="en-US"/>
        </w:rPr>
        <w:t>manipulated</w:t>
      </w:r>
      <w:r w:rsidRPr="00F92D87">
        <w:rPr>
          <w:lang w:val="en-US"/>
        </w:rPr>
        <w:t xml:space="preserve"> from 201</w:t>
      </w:r>
      <w:r w:rsidR="0045792E" w:rsidRPr="00F92D87">
        <w:rPr>
          <w:lang w:val="en-US"/>
        </w:rPr>
        <w:t>9</w:t>
      </w:r>
      <w:r w:rsidRPr="00F92D87">
        <w:rPr>
          <w:lang w:val="en-US"/>
        </w:rPr>
        <w:t>–20</w:t>
      </w:r>
      <w:r w:rsidR="0045792E" w:rsidRPr="00F92D87">
        <w:rPr>
          <w:lang w:val="en-US"/>
        </w:rPr>
        <w:t>24</w:t>
      </w:r>
      <w:r w:rsidRPr="00F92D87">
        <w:rPr>
          <w:lang w:val="en-US"/>
        </w:rPr>
        <w:t xml:space="preserve"> (Table B1; Figure B1). Annual raising events </w:t>
      </w:r>
      <w:r w:rsidR="0045792E" w:rsidRPr="00F92D87">
        <w:rPr>
          <w:lang w:val="en-US"/>
        </w:rPr>
        <w:t xml:space="preserve">(0.3–0.6 m above normal pool level, NPL) </w:t>
      </w:r>
      <w:r w:rsidRPr="00F92D87">
        <w:rPr>
          <w:lang w:val="en-US"/>
        </w:rPr>
        <w:t xml:space="preserve">have generally commenced in </w:t>
      </w:r>
      <w:r w:rsidR="0045792E" w:rsidRPr="00F92D87">
        <w:rPr>
          <w:lang w:val="en-US"/>
        </w:rPr>
        <w:t>late winter</w:t>
      </w:r>
      <w:r w:rsidRPr="00F92D87">
        <w:rPr>
          <w:lang w:val="en-US"/>
        </w:rPr>
        <w:t xml:space="preserve">, with peak water levels reached in </w:t>
      </w:r>
      <w:r w:rsidR="0045792E" w:rsidRPr="00F92D87">
        <w:rPr>
          <w:lang w:val="en-US"/>
        </w:rPr>
        <w:t>early to mid-spring</w:t>
      </w:r>
      <w:r w:rsidRPr="00F92D87">
        <w:rPr>
          <w:lang w:val="en-US"/>
        </w:rPr>
        <w:t xml:space="preserve">, and most water levels returning to normal pool level </w:t>
      </w:r>
      <w:r w:rsidR="0045792E" w:rsidRPr="00F92D87">
        <w:rPr>
          <w:lang w:val="en-US"/>
        </w:rPr>
        <w:t>before summer</w:t>
      </w:r>
      <w:r w:rsidRPr="00F92D87">
        <w:rPr>
          <w:lang w:val="en-US"/>
        </w:rPr>
        <w:t xml:space="preserve">. </w:t>
      </w:r>
      <w:r w:rsidR="0045792E" w:rsidRPr="00F92D87">
        <w:rPr>
          <w:lang w:val="en-US"/>
        </w:rPr>
        <w:t>During 2020 and 2021, water levels in w</w:t>
      </w:r>
      <w:r w:rsidRPr="00F92D87">
        <w:rPr>
          <w:lang w:val="en-US"/>
        </w:rPr>
        <w:t xml:space="preserve">eir </w:t>
      </w:r>
      <w:r w:rsidR="0045792E" w:rsidRPr="00F92D87">
        <w:rPr>
          <w:lang w:val="en-US"/>
        </w:rPr>
        <w:t>p</w:t>
      </w:r>
      <w:r w:rsidRPr="00F92D87">
        <w:rPr>
          <w:lang w:val="en-US"/>
        </w:rPr>
        <w:t xml:space="preserve">ools </w:t>
      </w:r>
      <w:r w:rsidR="0045792E" w:rsidRPr="00F92D87">
        <w:rPr>
          <w:lang w:val="en-US"/>
        </w:rPr>
        <w:t xml:space="preserve">were also </w:t>
      </w:r>
      <w:r w:rsidRPr="00F92D87">
        <w:rPr>
          <w:lang w:val="en-US"/>
        </w:rPr>
        <w:t>lowered</w:t>
      </w:r>
      <w:r w:rsidR="0045792E" w:rsidRPr="00F92D87">
        <w:rPr>
          <w:lang w:val="en-US"/>
        </w:rPr>
        <w:t xml:space="preserve"> 0.08–0.15 m</w:t>
      </w:r>
      <w:r w:rsidRPr="00F92D87">
        <w:rPr>
          <w:lang w:val="en-US"/>
        </w:rPr>
        <w:t xml:space="preserve"> </w:t>
      </w:r>
      <w:r w:rsidR="0045792E" w:rsidRPr="00F92D87">
        <w:rPr>
          <w:lang w:val="en-US"/>
        </w:rPr>
        <w:t>below NPL in late November/December</w:t>
      </w:r>
      <w:r w:rsidRPr="00F92D87">
        <w:rPr>
          <w:lang w:val="en-US"/>
        </w:rPr>
        <w:t xml:space="preserve">. </w:t>
      </w:r>
    </w:p>
    <w:p w14:paraId="6CC0EB18" w14:textId="549E8258" w:rsidR="009905CA" w:rsidRDefault="0033787F" w:rsidP="0033787F">
      <w:pPr>
        <w:rPr>
          <w:lang w:val="en-US"/>
        </w:rPr>
        <w:sectPr w:rsidR="009905CA" w:rsidSect="008D628A">
          <w:pgSz w:w="11906" w:h="16838"/>
          <w:pgMar w:top="1440" w:right="1440" w:bottom="1440" w:left="1440" w:header="709" w:footer="709" w:gutter="0"/>
          <w:cols w:space="708"/>
          <w:docGrid w:linePitch="360"/>
        </w:sectPr>
      </w:pPr>
      <w:r w:rsidRPr="00F92D87">
        <w:rPr>
          <w:lang w:val="en-US"/>
        </w:rPr>
        <w:t xml:space="preserve">During </w:t>
      </w:r>
      <w:r w:rsidR="0045792E" w:rsidRPr="00F92D87">
        <w:rPr>
          <w:lang w:val="en-US"/>
        </w:rPr>
        <w:t>2019-20</w:t>
      </w:r>
      <w:r w:rsidRPr="00F92D87">
        <w:rPr>
          <w:lang w:val="en-US"/>
        </w:rPr>
        <w:t xml:space="preserve"> and 20</w:t>
      </w:r>
      <w:r w:rsidR="0045792E" w:rsidRPr="00F92D87">
        <w:rPr>
          <w:lang w:val="en-US"/>
        </w:rPr>
        <w:t>20-2</w:t>
      </w:r>
      <w:r w:rsidR="00F92D87" w:rsidRPr="00F92D87">
        <w:rPr>
          <w:lang w:val="en-US"/>
        </w:rPr>
        <w:t>1</w:t>
      </w:r>
      <w:r w:rsidRPr="00F92D87">
        <w:rPr>
          <w:lang w:val="en-US"/>
        </w:rPr>
        <w:t>, Commonwealth environmental water supported weir pool raising</w:t>
      </w:r>
      <w:r w:rsidR="00F92D87" w:rsidRPr="00F92D87">
        <w:rPr>
          <w:lang w:val="en-US"/>
        </w:rPr>
        <w:t>s in weir pools 2, 4, 5 and 6 by</w:t>
      </w:r>
      <w:r w:rsidRPr="00F92D87">
        <w:rPr>
          <w:lang w:val="en-US"/>
        </w:rPr>
        <w:t xml:space="preserve"> accounting for losses (e.g. evaporation). </w:t>
      </w:r>
      <w:r w:rsidR="00F92D87" w:rsidRPr="00F92D87">
        <w:rPr>
          <w:lang w:val="en-US"/>
        </w:rPr>
        <w:t>For all other cases</w:t>
      </w:r>
      <w:r w:rsidRPr="00F92D87">
        <w:rPr>
          <w:lang w:val="en-US"/>
        </w:rPr>
        <w:t>, weir pools were re-filled by unregulated flow following weir pool manipulations. However, it was Commonwealth environmental water underwriting the requirement of the weir-pools re-filling that enabled the river operators to undertake the manipulations.</w:t>
      </w:r>
      <w:r w:rsidR="00D13B56">
        <w:rPr>
          <w:lang w:val="en-US"/>
        </w:rPr>
        <w:t xml:space="preserve"> </w:t>
      </w:r>
    </w:p>
    <w:p w14:paraId="0D35BD8B" w14:textId="4A0BB680" w:rsidR="004B169F" w:rsidRDefault="004B169F" w:rsidP="00605FB2">
      <w:pPr>
        <w:pStyle w:val="Captions"/>
      </w:pPr>
      <w:bookmarkStart w:id="593" w:name="_Hlk207968901"/>
      <w:r>
        <w:lastRenderedPageBreak/>
        <w:t>Table B1. Weir pool manipulation timing and magnitude details in the LMR from 2019–2024. *indicates when Commonwealth environmental water accounted for losses.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of Weir pool manipulation timing and magnitude details in the LMR from 2019–2024 for each year. "/>
      </w:tblPr>
      <w:tblGrid>
        <w:gridCol w:w="936"/>
        <w:gridCol w:w="1611"/>
        <w:gridCol w:w="2835"/>
        <w:gridCol w:w="2977"/>
        <w:gridCol w:w="2551"/>
        <w:gridCol w:w="3038"/>
      </w:tblGrid>
      <w:tr w:rsidR="009905CA" w:rsidRPr="00AE45D7" w14:paraId="3DABA5CA" w14:textId="3635AACE" w:rsidTr="0040128C">
        <w:trPr>
          <w:trHeight w:val="397"/>
          <w:tblHeader/>
        </w:trPr>
        <w:tc>
          <w:tcPr>
            <w:tcW w:w="936" w:type="dxa"/>
            <w:vMerge w:val="restart"/>
            <w:vAlign w:val="center"/>
          </w:tcPr>
          <w:bookmarkEnd w:id="593"/>
          <w:p w14:paraId="462E0704" w14:textId="77777777" w:rsidR="009905CA" w:rsidRPr="00AE45D7" w:rsidRDefault="009905CA" w:rsidP="00DC7774">
            <w:pPr>
              <w:contextualSpacing/>
              <w:jc w:val="center"/>
              <w:rPr>
                <w:sz w:val="19"/>
                <w:szCs w:val="19"/>
              </w:rPr>
            </w:pPr>
            <w:r w:rsidRPr="00AE45D7">
              <w:rPr>
                <w:sz w:val="19"/>
                <w:szCs w:val="19"/>
              </w:rPr>
              <w:t>Year</w:t>
            </w:r>
          </w:p>
        </w:tc>
        <w:tc>
          <w:tcPr>
            <w:tcW w:w="13012" w:type="dxa"/>
            <w:gridSpan w:val="5"/>
          </w:tcPr>
          <w:p w14:paraId="43E68098" w14:textId="1CBDA66E" w:rsidR="009905CA" w:rsidRPr="00AE45D7" w:rsidRDefault="009905CA" w:rsidP="00DC7774">
            <w:pPr>
              <w:contextualSpacing/>
              <w:jc w:val="center"/>
              <w:rPr>
                <w:sz w:val="19"/>
                <w:szCs w:val="19"/>
              </w:rPr>
            </w:pPr>
            <w:r w:rsidRPr="00AE45D7">
              <w:rPr>
                <w:sz w:val="19"/>
                <w:szCs w:val="19"/>
              </w:rPr>
              <w:t>Weir pool</w:t>
            </w:r>
          </w:p>
        </w:tc>
      </w:tr>
      <w:tr w:rsidR="009905CA" w:rsidRPr="00AE45D7" w14:paraId="01604ACC" w14:textId="7CE0264D" w:rsidTr="0040128C">
        <w:trPr>
          <w:trHeight w:val="397"/>
          <w:tblHeader/>
        </w:trPr>
        <w:tc>
          <w:tcPr>
            <w:tcW w:w="936" w:type="dxa"/>
            <w:vMerge/>
            <w:vAlign w:val="center"/>
          </w:tcPr>
          <w:p w14:paraId="7D03FA0A" w14:textId="77777777" w:rsidR="009905CA" w:rsidRPr="00AE45D7" w:rsidRDefault="009905CA" w:rsidP="00DC7774">
            <w:pPr>
              <w:contextualSpacing/>
              <w:jc w:val="center"/>
              <w:rPr>
                <w:sz w:val="19"/>
                <w:szCs w:val="19"/>
              </w:rPr>
            </w:pPr>
          </w:p>
        </w:tc>
        <w:tc>
          <w:tcPr>
            <w:tcW w:w="1611" w:type="dxa"/>
            <w:vAlign w:val="center"/>
          </w:tcPr>
          <w:p w14:paraId="4B1D2847" w14:textId="132B4DC1" w:rsidR="009905CA" w:rsidRPr="00AE45D7" w:rsidRDefault="009905CA" w:rsidP="009905CA">
            <w:pPr>
              <w:contextualSpacing/>
              <w:jc w:val="center"/>
              <w:rPr>
                <w:sz w:val="19"/>
                <w:szCs w:val="19"/>
              </w:rPr>
            </w:pPr>
            <w:r>
              <w:rPr>
                <w:sz w:val="19"/>
                <w:szCs w:val="19"/>
              </w:rPr>
              <w:t>1</w:t>
            </w:r>
          </w:p>
        </w:tc>
        <w:tc>
          <w:tcPr>
            <w:tcW w:w="2835" w:type="dxa"/>
            <w:vAlign w:val="center"/>
          </w:tcPr>
          <w:p w14:paraId="1C9C52A9" w14:textId="3BCD3954" w:rsidR="009905CA" w:rsidRPr="00AE45D7" w:rsidRDefault="009905CA" w:rsidP="009905CA">
            <w:pPr>
              <w:contextualSpacing/>
              <w:jc w:val="center"/>
              <w:rPr>
                <w:sz w:val="19"/>
                <w:szCs w:val="19"/>
              </w:rPr>
            </w:pPr>
            <w:r w:rsidRPr="00AE45D7">
              <w:rPr>
                <w:sz w:val="19"/>
                <w:szCs w:val="19"/>
              </w:rPr>
              <w:t>2</w:t>
            </w:r>
          </w:p>
        </w:tc>
        <w:tc>
          <w:tcPr>
            <w:tcW w:w="2977" w:type="dxa"/>
            <w:vAlign w:val="center"/>
          </w:tcPr>
          <w:p w14:paraId="341BEF24" w14:textId="6DEBA439" w:rsidR="009905CA" w:rsidRPr="00AE45D7" w:rsidRDefault="009905CA" w:rsidP="009905CA">
            <w:pPr>
              <w:contextualSpacing/>
              <w:jc w:val="center"/>
              <w:rPr>
                <w:sz w:val="19"/>
                <w:szCs w:val="19"/>
              </w:rPr>
            </w:pPr>
            <w:r>
              <w:rPr>
                <w:sz w:val="19"/>
                <w:szCs w:val="19"/>
              </w:rPr>
              <w:t>4</w:t>
            </w:r>
          </w:p>
        </w:tc>
        <w:tc>
          <w:tcPr>
            <w:tcW w:w="2551" w:type="dxa"/>
            <w:vAlign w:val="center"/>
          </w:tcPr>
          <w:p w14:paraId="2EB21870" w14:textId="4703DD7A" w:rsidR="009905CA" w:rsidRPr="00AE45D7" w:rsidRDefault="009905CA" w:rsidP="009905CA">
            <w:pPr>
              <w:contextualSpacing/>
              <w:jc w:val="center"/>
              <w:rPr>
                <w:sz w:val="19"/>
                <w:szCs w:val="19"/>
              </w:rPr>
            </w:pPr>
            <w:r>
              <w:rPr>
                <w:sz w:val="19"/>
                <w:szCs w:val="19"/>
              </w:rPr>
              <w:t>5</w:t>
            </w:r>
          </w:p>
        </w:tc>
        <w:tc>
          <w:tcPr>
            <w:tcW w:w="3038" w:type="dxa"/>
            <w:vAlign w:val="center"/>
          </w:tcPr>
          <w:p w14:paraId="3E2A4512" w14:textId="67F2248B" w:rsidR="009905CA" w:rsidRDefault="009905CA" w:rsidP="009905CA">
            <w:pPr>
              <w:contextualSpacing/>
              <w:jc w:val="center"/>
              <w:rPr>
                <w:sz w:val="19"/>
                <w:szCs w:val="19"/>
              </w:rPr>
            </w:pPr>
            <w:r>
              <w:rPr>
                <w:sz w:val="19"/>
                <w:szCs w:val="19"/>
              </w:rPr>
              <w:t>6</w:t>
            </w:r>
          </w:p>
        </w:tc>
      </w:tr>
      <w:tr w:rsidR="009905CA" w:rsidRPr="00AE45D7" w14:paraId="38FF4EE8" w14:textId="76A888FF" w:rsidTr="001C0E40">
        <w:trPr>
          <w:trHeight w:val="397"/>
        </w:trPr>
        <w:tc>
          <w:tcPr>
            <w:tcW w:w="936" w:type="dxa"/>
          </w:tcPr>
          <w:p w14:paraId="662219DF" w14:textId="49A972F9" w:rsidR="009905CA" w:rsidRPr="00AE45D7" w:rsidRDefault="009905CA" w:rsidP="00DC7774">
            <w:pPr>
              <w:contextualSpacing/>
              <w:rPr>
                <w:sz w:val="19"/>
                <w:szCs w:val="19"/>
              </w:rPr>
            </w:pPr>
            <w:r w:rsidRPr="00AE45D7">
              <w:rPr>
                <w:sz w:val="19"/>
                <w:szCs w:val="19"/>
              </w:rPr>
              <w:t>201</w:t>
            </w:r>
            <w:r>
              <w:rPr>
                <w:sz w:val="19"/>
                <w:szCs w:val="19"/>
              </w:rPr>
              <w:t>9-20</w:t>
            </w:r>
          </w:p>
        </w:tc>
        <w:tc>
          <w:tcPr>
            <w:tcW w:w="1611" w:type="dxa"/>
          </w:tcPr>
          <w:p w14:paraId="46EA320F" w14:textId="77777777" w:rsidR="009905CA" w:rsidRPr="00786426" w:rsidRDefault="009905CA" w:rsidP="00DC7774">
            <w:pPr>
              <w:contextualSpacing/>
              <w:rPr>
                <w:sz w:val="19"/>
                <w:szCs w:val="19"/>
              </w:rPr>
            </w:pPr>
          </w:p>
        </w:tc>
        <w:tc>
          <w:tcPr>
            <w:tcW w:w="2835" w:type="dxa"/>
          </w:tcPr>
          <w:p w14:paraId="45476ED5" w14:textId="2BB5F63F" w:rsidR="009905CA" w:rsidRPr="00786426" w:rsidRDefault="00786426" w:rsidP="00DC7774">
            <w:pPr>
              <w:contextualSpacing/>
              <w:rPr>
                <w:sz w:val="19"/>
                <w:szCs w:val="19"/>
              </w:rPr>
            </w:pPr>
            <w:r w:rsidRPr="00786426">
              <w:rPr>
                <w:sz w:val="19"/>
                <w:szCs w:val="19"/>
              </w:rPr>
              <w:t>+0.5 m NPL</w:t>
            </w:r>
            <w:r w:rsidR="009C5A54">
              <w:rPr>
                <w:sz w:val="19"/>
                <w:szCs w:val="19"/>
              </w:rPr>
              <w:t>*</w:t>
            </w:r>
            <w:r w:rsidRPr="00786426">
              <w:rPr>
                <w:sz w:val="19"/>
                <w:szCs w:val="19"/>
              </w:rPr>
              <w:t>. Raising between early August and mid October 2019. Peak levels in August/September before drawdown in late September.</w:t>
            </w:r>
          </w:p>
        </w:tc>
        <w:tc>
          <w:tcPr>
            <w:tcW w:w="2977" w:type="dxa"/>
          </w:tcPr>
          <w:p w14:paraId="6073B91E" w14:textId="77777777" w:rsidR="009905CA" w:rsidRPr="00786426" w:rsidRDefault="009905CA" w:rsidP="00DC7774">
            <w:pPr>
              <w:contextualSpacing/>
              <w:rPr>
                <w:sz w:val="19"/>
                <w:szCs w:val="19"/>
              </w:rPr>
            </w:pPr>
          </w:p>
        </w:tc>
        <w:tc>
          <w:tcPr>
            <w:tcW w:w="2551" w:type="dxa"/>
          </w:tcPr>
          <w:p w14:paraId="5291A8A3" w14:textId="0D031301" w:rsidR="009905CA" w:rsidRPr="00786426" w:rsidRDefault="009905CA" w:rsidP="00DC7774">
            <w:pPr>
              <w:contextualSpacing/>
              <w:rPr>
                <w:sz w:val="19"/>
                <w:szCs w:val="19"/>
              </w:rPr>
            </w:pPr>
          </w:p>
        </w:tc>
        <w:tc>
          <w:tcPr>
            <w:tcW w:w="3038" w:type="dxa"/>
          </w:tcPr>
          <w:p w14:paraId="3A9C8716" w14:textId="7EB48A00" w:rsidR="009905CA" w:rsidRPr="00786426" w:rsidRDefault="009905CA" w:rsidP="00DC7774">
            <w:pPr>
              <w:contextualSpacing/>
              <w:rPr>
                <w:sz w:val="19"/>
                <w:szCs w:val="19"/>
              </w:rPr>
            </w:pPr>
            <w:r w:rsidRPr="00786426">
              <w:rPr>
                <w:sz w:val="19"/>
                <w:szCs w:val="19"/>
              </w:rPr>
              <w:t>+0.3 m NPL</w:t>
            </w:r>
            <w:r w:rsidR="009C5A54">
              <w:rPr>
                <w:sz w:val="19"/>
                <w:szCs w:val="19"/>
              </w:rPr>
              <w:t>*</w:t>
            </w:r>
            <w:r w:rsidRPr="00786426">
              <w:rPr>
                <w:sz w:val="19"/>
                <w:szCs w:val="19"/>
              </w:rPr>
              <w:t>. Raising commenced in early August, but curtailed as flow to SA declined and returned normal level by mid-August.</w:t>
            </w:r>
          </w:p>
        </w:tc>
      </w:tr>
      <w:tr w:rsidR="00786426" w:rsidRPr="00AE45D7" w14:paraId="5883A6E5" w14:textId="21F738ED" w:rsidTr="001C0E40">
        <w:trPr>
          <w:trHeight w:val="397"/>
        </w:trPr>
        <w:tc>
          <w:tcPr>
            <w:tcW w:w="936" w:type="dxa"/>
          </w:tcPr>
          <w:p w14:paraId="3582DE04" w14:textId="713F4E54" w:rsidR="00786426" w:rsidRPr="00AE45D7" w:rsidRDefault="00786426" w:rsidP="00786426">
            <w:pPr>
              <w:contextualSpacing/>
              <w:rPr>
                <w:sz w:val="19"/>
                <w:szCs w:val="19"/>
              </w:rPr>
            </w:pPr>
            <w:r>
              <w:rPr>
                <w:sz w:val="19"/>
                <w:szCs w:val="19"/>
              </w:rPr>
              <w:t>2020-21</w:t>
            </w:r>
          </w:p>
        </w:tc>
        <w:tc>
          <w:tcPr>
            <w:tcW w:w="1611" w:type="dxa"/>
          </w:tcPr>
          <w:p w14:paraId="10883A63" w14:textId="11ED24CE" w:rsidR="00786426" w:rsidRPr="00786426" w:rsidRDefault="00786426" w:rsidP="00786426">
            <w:pPr>
              <w:contextualSpacing/>
              <w:rPr>
                <w:sz w:val="19"/>
                <w:szCs w:val="19"/>
                <w:highlight w:val="yellow"/>
              </w:rPr>
            </w:pPr>
            <w:r w:rsidRPr="00786426">
              <w:rPr>
                <w:sz w:val="19"/>
                <w:szCs w:val="19"/>
              </w:rPr>
              <w:t>Minor lowering (-0.11 m NPL) from late November to December.</w:t>
            </w:r>
          </w:p>
        </w:tc>
        <w:tc>
          <w:tcPr>
            <w:tcW w:w="2835" w:type="dxa"/>
          </w:tcPr>
          <w:p w14:paraId="788C2115" w14:textId="3CAB785B" w:rsidR="00786426" w:rsidRPr="00786426" w:rsidRDefault="00786426" w:rsidP="00786426">
            <w:pPr>
              <w:contextualSpacing/>
              <w:rPr>
                <w:sz w:val="19"/>
                <w:szCs w:val="19"/>
                <w:highlight w:val="yellow"/>
              </w:rPr>
            </w:pPr>
            <w:r w:rsidRPr="00786426">
              <w:rPr>
                <w:sz w:val="19"/>
                <w:szCs w:val="19"/>
              </w:rPr>
              <w:t>Minor lowering (-0.09 m NPL) from late November to December.</w:t>
            </w:r>
          </w:p>
        </w:tc>
        <w:tc>
          <w:tcPr>
            <w:tcW w:w="2977" w:type="dxa"/>
          </w:tcPr>
          <w:p w14:paraId="32DE1678" w14:textId="681678E8" w:rsidR="00786426" w:rsidRPr="00786426" w:rsidRDefault="00786426" w:rsidP="00786426">
            <w:pPr>
              <w:contextualSpacing/>
              <w:rPr>
                <w:sz w:val="19"/>
                <w:szCs w:val="19"/>
                <w:highlight w:val="yellow"/>
              </w:rPr>
            </w:pPr>
            <w:r w:rsidRPr="00786426">
              <w:rPr>
                <w:sz w:val="19"/>
                <w:szCs w:val="19"/>
              </w:rPr>
              <w:t xml:space="preserve"> +0.335 NPL</w:t>
            </w:r>
            <w:r w:rsidR="009C5A54">
              <w:rPr>
                <w:sz w:val="19"/>
                <w:szCs w:val="19"/>
              </w:rPr>
              <w:t>*</w:t>
            </w:r>
            <w:r w:rsidRPr="00786426">
              <w:rPr>
                <w:sz w:val="19"/>
                <w:szCs w:val="19"/>
              </w:rPr>
              <w:t>. Raising between 7 September and 29 November.  Drawdown in November 2020. Minor lowering (-0.06 m) from late November to December.</w:t>
            </w:r>
          </w:p>
        </w:tc>
        <w:tc>
          <w:tcPr>
            <w:tcW w:w="2551" w:type="dxa"/>
          </w:tcPr>
          <w:p w14:paraId="0D10CC8B" w14:textId="3A35A8EA" w:rsidR="00786426" w:rsidRPr="00786426" w:rsidRDefault="00786426" w:rsidP="00786426">
            <w:pPr>
              <w:contextualSpacing/>
              <w:rPr>
                <w:sz w:val="19"/>
                <w:szCs w:val="19"/>
                <w:highlight w:val="yellow"/>
              </w:rPr>
            </w:pPr>
            <w:r w:rsidRPr="00786426">
              <w:rPr>
                <w:sz w:val="19"/>
                <w:szCs w:val="19"/>
              </w:rPr>
              <w:t xml:space="preserve"> +0.46 NPL</w:t>
            </w:r>
            <w:r w:rsidR="009C5A54">
              <w:rPr>
                <w:sz w:val="19"/>
                <w:szCs w:val="19"/>
              </w:rPr>
              <w:t>*</w:t>
            </w:r>
            <w:r w:rsidRPr="00786426">
              <w:rPr>
                <w:sz w:val="19"/>
                <w:szCs w:val="19"/>
              </w:rPr>
              <w:t xml:space="preserve">. Raising between 17 September and 29 December. Drawdown in </w:t>
            </w:r>
            <w:r w:rsidR="00417B05">
              <w:rPr>
                <w:sz w:val="19"/>
                <w:szCs w:val="19"/>
              </w:rPr>
              <w:t>December</w:t>
            </w:r>
            <w:r w:rsidRPr="00786426">
              <w:rPr>
                <w:sz w:val="19"/>
                <w:szCs w:val="19"/>
              </w:rPr>
              <w:t>.</w:t>
            </w:r>
          </w:p>
        </w:tc>
        <w:tc>
          <w:tcPr>
            <w:tcW w:w="3038" w:type="dxa"/>
          </w:tcPr>
          <w:p w14:paraId="244F9F16" w14:textId="77777777" w:rsidR="00786426" w:rsidRPr="00786426" w:rsidRDefault="00786426" w:rsidP="00786426">
            <w:pPr>
              <w:contextualSpacing/>
              <w:rPr>
                <w:sz w:val="19"/>
                <w:szCs w:val="19"/>
                <w:highlight w:val="yellow"/>
              </w:rPr>
            </w:pPr>
          </w:p>
        </w:tc>
      </w:tr>
      <w:tr w:rsidR="009905CA" w:rsidRPr="00AE45D7" w14:paraId="6C1A6653" w14:textId="1D96D14E" w:rsidTr="001C0E40">
        <w:trPr>
          <w:trHeight w:val="397"/>
        </w:trPr>
        <w:tc>
          <w:tcPr>
            <w:tcW w:w="936" w:type="dxa"/>
          </w:tcPr>
          <w:p w14:paraId="7DB063CC" w14:textId="013FEFB8" w:rsidR="009905CA" w:rsidRPr="00AE45D7" w:rsidRDefault="009905CA" w:rsidP="00DC7774">
            <w:pPr>
              <w:contextualSpacing/>
              <w:rPr>
                <w:sz w:val="19"/>
                <w:szCs w:val="19"/>
              </w:rPr>
            </w:pPr>
            <w:r w:rsidRPr="00AE45D7">
              <w:rPr>
                <w:sz w:val="19"/>
                <w:szCs w:val="19"/>
              </w:rPr>
              <w:t>20</w:t>
            </w:r>
            <w:r>
              <w:rPr>
                <w:sz w:val="19"/>
                <w:szCs w:val="19"/>
              </w:rPr>
              <w:t>21-22</w:t>
            </w:r>
          </w:p>
        </w:tc>
        <w:tc>
          <w:tcPr>
            <w:tcW w:w="1611" w:type="dxa"/>
          </w:tcPr>
          <w:p w14:paraId="5C75E428" w14:textId="760A6052" w:rsidR="009905CA" w:rsidRPr="004B169F" w:rsidRDefault="00BD5DFD" w:rsidP="00DC7774">
            <w:pPr>
              <w:contextualSpacing/>
              <w:rPr>
                <w:sz w:val="19"/>
                <w:szCs w:val="19"/>
                <w:highlight w:val="yellow"/>
              </w:rPr>
            </w:pPr>
            <w:r w:rsidRPr="004E7AE1">
              <w:rPr>
                <w:sz w:val="19"/>
                <w:szCs w:val="19"/>
              </w:rPr>
              <w:t>Minor lowering (</w:t>
            </w:r>
            <w:r w:rsidR="004E7AE1" w:rsidRPr="004E7AE1">
              <w:rPr>
                <w:sz w:val="19"/>
                <w:szCs w:val="19"/>
              </w:rPr>
              <w:t>-</w:t>
            </w:r>
            <w:r w:rsidRPr="004E7AE1">
              <w:rPr>
                <w:sz w:val="19"/>
                <w:szCs w:val="19"/>
              </w:rPr>
              <w:t>0.1</w:t>
            </w:r>
            <w:r w:rsidR="004E7AE1" w:rsidRPr="004E7AE1">
              <w:rPr>
                <w:sz w:val="19"/>
                <w:szCs w:val="19"/>
              </w:rPr>
              <w:t>1</w:t>
            </w:r>
            <w:r w:rsidRPr="004E7AE1">
              <w:rPr>
                <w:sz w:val="19"/>
                <w:szCs w:val="19"/>
              </w:rPr>
              <w:t xml:space="preserve"> m) of water levels below NPL in December.</w:t>
            </w:r>
          </w:p>
        </w:tc>
        <w:tc>
          <w:tcPr>
            <w:tcW w:w="2835" w:type="dxa"/>
          </w:tcPr>
          <w:p w14:paraId="72F17634" w14:textId="75FFE5A1" w:rsidR="009905CA" w:rsidRPr="004B169F" w:rsidRDefault="00BE6217" w:rsidP="00DC7774">
            <w:pPr>
              <w:contextualSpacing/>
              <w:rPr>
                <w:sz w:val="19"/>
                <w:szCs w:val="19"/>
                <w:highlight w:val="yellow"/>
              </w:rPr>
            </w:pPr>
            <w:r>
              <w:rPr>
                <w:sz w:val="19"/>
                <w:szCs w:val="19"/>
              </w:rPr>
              <w:t xml:space="preserve">+0.6 m NPL. </w:t>
            </w:r>
            <w:r w:rsidR="004C0FD3" w:rsidRPr="004C0FD3">
              <w:rPr>
                <w:sz w:val="19"/>
                <w:szCs w:val="19"/>
              </w:rPr>
              <w:t>Raising occurred in mid-July and peaked in early October, before undergoing a drawdown to NPL in mid- to late October.</w:t>
            </w:r>
            <w:r w:rsidR="004E7AE1">
              <w:rPr>
                <w:sz w:val="19"/>
                <w:szCs w:val="19"/>
              </w:rPr>
              <w:t xml:space="preserve"> </w:t>
            </w:r>
            <w:r w:rsidR="004E7AE1" w:rsidRPr="004E7AE1">
              <w:rPr>
                <w:sz w:val="19"/>
                <w:szCs w:val="19"/>
              </w:rPr>
              <w:t>Minor lowering (-0.</w:t>
            </w:r>
            <w:r w:rsidR="004E7AE1">
              <w:rPr>
                <w:sz w:val="19"/>
                <w:szCs w:val="19"/>
              </w:rPr>
              <w:t>08</w:t>
            </w:r>
            <w:r w:rsidR="004E7AE1" w:rsidRPr="004E7AE1">
              <w:rPr>
                <w:sz w:val="19"/>
                <w:szCs w:val="19"/>
              </w:rPr>
              <w:t xml:space="preserve"> m) of water levels below NPL in December.</w:t>
            </w:r>
          </w:p>
        </w:tc>
        <w:tc>
          <w:tcPr>
            <w:tcW w:w="2977" w:type="dxa"/>
          </w:tcPr>
          <w:p w14:paraId="345094B7" w14:textId="05E41D21" w:rsidR="009905CA" w:rsidRPr="004B169F" w:rsidRDefault="004C0FD3" w:rsidP="00DC7774">
            <w:pPr>
              <w:contextualSpacing/>
              <w:rPr>
                <w:sz w:val="19"/>
                <w:szCs w:val="19"/>
                <w:highlight w:val="yellow"/>
              </w:rPr>
            </w:pPr>
            <w:r w:rsidRPr="004C0FD3">
              <w:rPr>
                <w:sz w:val="19"/>
                <w:szCs w:val="19"/>
              </w:rPr>
              <w:t xml:space="preserve">+0.3 m </w:t>
            </w:r>
            <w:r>
              <w:rPr>
                <w:sz w:val="19"/>
                <w:szCs w:val="19"/>
              </w:rPr>
              <w:t>NPL</w:t>
            </w:r>
            <w:r w:rsidRPr="004C0FD3">
              <w:rPr>
                <w:sz w:val="19"/>
                <w:szCs w:val="19"/>
              </w:rPr>
              <w:t xml:space="preserve">. Raising </w:t>
            </w:r>
            <w:r>
              <w:rPr>
                <w:sz w:val="19"/>
                <w:szCs w:val="19"/>
              </w:rPr>
              <w:t>b</w:t>
            </w:r>
            <w:r w:rsidRPr="004C0FD3">
              <w:rPr>
                <w:sz w:val="19"/>
                <w:szCs w:val="19"/>
              </w:rPr>
              <w:t xml:space="preserve">egan late July, while drawdown of water levels occurred </w:t>
            </w:r>
            <w:r>
              <w:rPr>
                <w:sz w:val="19"/>
                <w:szCs w:val="19"/>
              </w:rPr>
              <w:t>in late October/</w:t>
            </w:r>
            <w:r w:rsidRPr="004C0FD3">
              <w:rPr>
                <w:sz w:val="19"/>
                <w:szCs w:val="19"/>
              </w:rPr>
              <w:t>early November</w:t>
            </w:r>
            <w:r>
              <w:rPr>
                <w:sz w:val="19"/>
                <w:szCs w:val="19"/>
              </w:rPr>
              <w:t xml:space="preserve"> with levels retuning to NPL by late November.</w:t>
            </w:r>
            <w:r w:rsidR="004E7AE1">
              <w:rPr>
                <w:sz w:val="19"/>
                <w:szCs w:val="19"/>
              </w:rPr>
              <w:t xml:space="preserve"> </w:t>
            </w:r>
            <w:r w:rsidR="004E7AE1" w:rsidRPr="004E7AE1">
              <w:rPr>
                <w:sz w:val="19"/>
                <w:szCs w:val="19"/>
              </w:rPr>
              <w:t>Minor lowering (-0.</w:t>
            </w:r>
            <w:r w:rsidR="004E7AE1">
              <w:rPr>
                <w:sz w:val="19"/>
                <w:szCs w:val="19"/>
              </w:rPr>
              <w:t>08</w:t>
            </w:r>
            <w:r w:rsidR="004E7AE1" w:rsidRPr="004E7AE1">
              <w:rPr>
                <w:sz w:val="19"/>
                <w:szCs w:val="19"/>
              </w:rPr>
              <w:t xml:space="preserve"> m) of water levels below NPL in December.</w:t>
            </w:r>
          </w:p>
        </w:tc>
        <w:tc>
          <w:tcPr>
            <w:tcW w:w="2551" w:type="dxa"/>
          </w:tcPr>
          <w:p w14:paraId="746F72F9" w14:textId="239622A3" w:rsidR="004C0FD3" w:rsidRPr="004B169F" w:rsidRDefault="004C0FD3" w:rsidP="004C0FD3">
            <w:pPr>
              <w:contextualSpacing/>
              <w:rPr>
                <w:sz w:val="19"/>
                <w:szCs w:val="19"/>
              </w:rPr>
            </w:pPr>
            <w:r w:rsidRPr="004C0FD3">
              <w:rPr>
                <w:sz w:val="19"/>
                <w:szCs w:val="19"/>
              </w:rPr>
              <w:t>+0.</w:t>
            </w:r>
            <w:r>
              <w:rPr>
                <w:sz w:val="19"/>
                <w:szCs w:val="19"/>
              </w:rPr>
              <w:t>5</w:t>
            </w:r>
            <w:r w:rsidRPr="004C0FD3">
              <w:rPr>
                <w:sz w:val="19"/>
                <w:szCs w:val="19"/>
              </w:rPr>
              <w:t xml:space="preserve"> m </w:t>
            </w:r>
            <w:r>
              <w:rPr>
                <w:sz w:val="19"/>
                <w:szCs w:val="19"/>
              </w:rPr>
              <w:t>NPL</w:t>
            </w:r>
            <w:r w:rsidRPr="004C0FD3">
              <w:rPr>
                <w:sz w:val="19"/>
                <w:szCs w:val="19"/>
              </w:rPr>
              <w:t xml:space="preserve">. Raising </w:t>
            </w:r>
            <w:r>
              <w:rPr>
                <w:sz w:val="19"/>
                <w:szCs w:val="19"/>
              </w:rPr>
              <w:t>b</w:t>
            </w:r>
            <w:r w:rsidRPr="004C0FD3">
              <w:rPr>
                <w:sz w:val="19"/>
                <w:szCs w:val="19"/>
              </w:rPr>
              <w:t xml:space="preserve">egan late July, while drawdown of water levels occurred </w:t>
            </w:r>
            <w:r>
              <w:rPr>
                <w:sz w:val="19"/>
                <w:szCs w:val="19"/>
              </w:rPr>
              <w:t>late</w:t>
            </w:r>
            <w:r w:rsidRPr="004C0FD3">
              <w:rPr>
                <w:sz w:val="19"/>
                <w:szCs w:val="19"/>
              </w:rPr>
              <w:t xml:space="preserve"> November</w:t>
            </w:r>
            <w:r>
              <w:rPr>
                <w:sz w:val="19"/>
                <w:szCs w:val="19"/>
              </w:rPr>
              <w:t>, with levels returning to NPL by early December.</w:t>
            </w:r>
          </w:p>
          <w:p w14:paraId="1265F2A5" w14:textId="008887AD" w:rsidR="009905CA" w:rsidRPr="004B169F" w:rsidRDefault="009905CA" w:rsidP="00DC7774">
            <w:pPr>
              <w:contextualSpacing/>
              <w:rPr>
                <w:sz w:val="19"/>
                <w:szCs w:val="19"/>
                <w:highlight w:val="yellow"/>
              </w:rPr>
            </w:pPr>
          </w:p>
        </w:tc>
        <w:tc>
          <w:tcPr>
            <w:tcW w:w="3038" w:type="dxa"/>
          </w:tcPr>
          <w:p w14:paraId="7C4C5229" w14:textId="76B7458E" w:rsidR="00BD5DFD" w:rsidRPr="004B169F" w:rsidRDefault="00BD5DFD" w:rsidP="00BD5DFD">
            <w:pPr>
              <w:contextualSpacing/>
              <w:rPr>
                <w:sz w:val="19"/>
                <w:szCs w:val="19"/>
              </w:rPr>
            </w:pPr>
            <w:r w:rsidRPr="004C0FD3">
              <w:rPr>
                <w:sz w:val="19"/>
                <w:szCs w:val="19"/>
              </w:rPr>
              <w:t>+0.</w:t>
            </w:r>
            <w:r>
              <w:rPr>
                <w:sz w:val="19"/>
                <w:szCs w:val="19"/>
              </w:rPr>
              <w:t>42</w:t>
            </w:r>
            <w:r w:rsidRPr="004C0FD3">
              <w:rPr>
                <w:sz w:val="19"/>
                <w:szCs w:val="19"/>
              </w:rPr>
              <w:t xml:space="preserve"> m </w:t>
            </w:r>
            <w:r>
              <w:rPr>
                <w:sz w:val="19"/>
                <w:szCs w:val="19"/>
              </w:rPr>
              <w:t>NPL</w:t>
            </w:r>
            <w:r w:rsidRPr="004C0FD3">
              <w:rPr>
                <w:sz w:val="19"/>
                <w:szCs w:val="19"/>
              </w:rPr>
              <w:t xml:space="preserve">. Raising </w:t>
            </w:r>
            <w:r>
              <w:rPr>
                <w:sz w:val="19"/>
                <w:szCs w:val="19"/>
              </w:rPr>
              <w:t>b</w:t>
            </w:r>
            <w:r w:rsidRPr="004C0FD3">
              <w:rPr>
                <w:sz w:val="19"/>
                <w:szCs w:val="19"/>
              </w:rPr>
              <w:t xml:space="preserve">egan late July, while drawdown of water levels occurred </w:t>
            </w:r>
            <w:r>
              <w:rPr>
                <w:sz w:val="19"/>
                <w:szCs w:val="19"/>
              </w:rPr>
              <w:t>between early to mid-</w:t>
            </w:r>
            <w:r w:rsidRPr="004C0FD3">
              <w:rPr>
                <w:sz w:val="19"/>
                <w:szCs w:val="19"/>
              </w:rPr>
              <w:t>November</w:t>
            </w:r>
            <w:r>
              <w:rPr>
                <w:sz w:val="19"/>
                <w:szCs w:val="19"/>
              </w:rPr>
              <w:t>.</w:t>
            </w:r>
            <w:r w:rsidR="004E7AE1">
              <w:rPr>
                <w:sz w:val="19"/>
                <w:szCs w:val="19"/>
              </w:rPr>
              <w:t xml:space="preserve"> </w:t>
            </w:r>
            <w:r w:rsidR="004E7AE1" w:rsidRPr="004E7AE1">
              <w:rPr>
                <w:sz w:val="19"/>
                <w:szCs w:val="19"/>
              </w:rPr>
              <w:t>Minor lowering (-0.</w:t>
            </w:r>
            <w:r w:rsidR="004E7AE1">
              <w:rPr>
                <w:sz w:val="19"/>
                <w:szCs w:val="19"/>
              </w:rPr>
              <w:t>15</w:t>
            </w:r>
            <w:r w:rsidR="004E7AE1" w:rsidRPr="004E7AE1">
              <w:rPr>
                <w:sz w:val="19"/>
                <w:szCs w:val="19"/>
              </w:rPr>
              <w:t xml:space="preserve"> m) of water levels below NPL in December.</w:t>
            </w:r>
          </w:p>
          <w:p w14:paraId="3DE86DA9" w14:textId="290DBE93" w:rsidR="009905CA" w:rsidRPr="004B169F" w:rsidRDefault="009905CA" w:rsidP="00DC7774">
            <w:pPr>
              <w:contextualSpacing/>
              <w:rPr>
                <w:sz w:val="19"/>
                <w:szCs w:val="19"/>
                <w:highlight w:val="yellow"/>
              </w:rPr>
            </w:pPr>
          </w:p>
        </w:tc>
      </w:tr>
      <w:tr w:rsidR="009905CA" w:rsidRPr="00AE45D7" w14:paraId="2CCD796E" w14:textId="18C3BB72" w:rsidTr="00F31B33">
        <w:trPr>
          <w:trHeight w:val="397"/>
        </w:trPr>
        <w:tc>
          <w:tcPr>
            <w:tcW w:w="936" w:type="dxa"/>
            <w:tcBorders>
              <w:bottom w:val="single" w:sz="4" w:space="0" w:color="auto"/>
            </w:tcBorders>
          </w:tcPr>
          <w:p w14:paraId="4BD47BCF" w14:textId="1690F958" w:rsidR="009905CA" w:rsidRPr="00AE45D7" w:rsidRDefault="009905CA" w:rsidP="00DC7774">
            <w:pPr>
              <w:contextualSpacing/>
              <w:rPr>
                <w:sz w:val="19"/>
                <w:szCs w:val="19"/>
              </w:rPr>
            </w:pPr>
            <w:r w:rsidRPr="00AE45D7">
              <w:rPr>
                <w:sz w:val="19"/>
                <w:szCs w:val="19"/>
              </w:rPr>
              <w:t>20</w:t>
            </w:r>
            <w:r>
              <w:rPr>
                <w:sz w:val="19"/>
                <w:szCs w:val="19"/>
              </w:rPr>
              <w:t>22-23</w:t>
            </w:r>
          </w:p>
        </w:tc>
        <w:tc>
          <w:tcPr>
            <w:tcW w:w="1611" w:type="dxa"/>
            <w:tcBorders>
              <w:bottom w:val="single" w:sz="4" w:space="0" w:color="auto"/>
            </w:tcBorders>
          </w:tcPr>
          <w:p w14:paraId="7AAE0CC4" w14:textId="77777777" w:rsidR="009905CA" w:rsidRPr="004B169F" w:rsidRDefault="009905CA" w:rsidP="00DC7774">
            <w:pPr>
              <w:contextualSpacing/>
              <w:rPr>
                <w:sz w:val="19"/>
                <w:szCs w:val="19"/>
                <w:highlight w:val="yellow"/>
              </w:rPr>
            </w:pPr>
          </w:p>
        </w:tc>
        <w:tc>
          <w:tcPr>
            <w:tcW w:w="2835" w:type="dxa"/>
            <w:tcBorders>
              <w:bottom w:val="single" w:sz="4" w:space="0" w:color="auto"/>
            </w:tcBorders>
          </w:tcPr>
          <w:p w14:paraId="3B2F8E60" w14:textId="2C49FB2D" w:rsidR="009905CA" w:rsidRPr="004B169F" w:rsidRDefault="00BE6217" w:rsidP="00DC7774">
            <w:pPr>
              <w:contextualSpacing/>
              <w:rPr>
                <w:sz w:val="19"/>
                <w:szCs w:val="19"/>
                <w:highlight w:val="yellow"/>
              </w:rPr>
            </w:pPr>
            <w:r w:rsidRPr="00D40C97">
              <w:rPr>
                <w:sz w:val="19"/>
                <w:szCs w:val="19"/>
              </w:rPr>
              <w:t>+0.55 m NPL. Raising</w:t>
            </w:r>
            <w:r w:rsidRPr="00BE6217">
              <w:rPr>
                <w:sz w:val="19"/>
                <w:szCs w:val="19"/>
              </w:rPr>
              <w:t xml:space="preserve"> began in mid-July and peaked in late August, before undergoing a drawdown to NPL in late September.</w:t>
            </w:r>
          </w:p>
        </w:tc>
        <w:tc>
          <w:tcPr>
            <w:tcW w:w="2977" w:type="dxa"/>
            <w:tcBorders>
              <w:bottom w:val="single" w:sz="4" w:space="0" w:color="auto"/>
            </w:tcBorders>
          </w:tcPr>
          <w:p w14:paraId="53290CC9" w14:textId="790302D9" w:rsidR="009905CA" w:rsidRPr="004B169F" w:rsidRDefault="00AF0891" w:rsidP="00DC7774">
            <w:pPr>
              <w:contextualSpacing/>
              <w:rPr>
                <w:sz w:val="19"/>
                <w:szCs w:val="19"/>
                <w:highlight w:val="yellow"/>
              </w:rPr>
            </w:pPr>
            <w:r w:rsidRPr="00AF0891">
              <w:rPr>
                <w:sz w:val="19"/>
                <w:szCs w:val="19"/>
              </w:rPr>
              <w:t>No intervention was required, unregulated flows met targeted action</w:t>
            </w:r>
            <w:r w:rsidR="0033787F">
              <w:rPr>
                <w:sz w:val="19"/>
                <w:szCs w:val="19"/>
              </w:rPr>
              <w:t>.</w:t>
            </w:r>
          </w:p>
        </w:tc>
        <w:tc>
          <w:tcPr>
            <w:tcW w:w="2551" w:type="dxa"/>
            <w:tcBorders>
              <w:bottom w:val="single" w:sz="4" w:space="0" w:color="auto"/>
            </w:tcBorders>
          </w:tcPr>
          <w:p w14:paraId="2A3ACCBF" w14:textId="45B2D805" w:rsidR="009905CA" w:rsidRPr="00E72C46" w:rsidRDefault="00BE6217" w:rsidP="00DC7774">
            <w:pPr>
              <w:contextualSpacing/>
              <w:rPr>
                <w:sz w:val="19"/>
                <w:szCs w:val="19"/>
              </w:rPr>
            </w:pPr>
            <w:r w:rsidRPr="00E72C46">
              <w:rPr>
                <w:sz w:val="19"/>
                <w:szCs w:val="19"/>
              </w:rPr>
              <w:t xml:space="preserve">+0.5 m NPL. </w:t>
            </w:r>
            <w:r w:rsidR="00E72C46" w:rsidRPr="00E72C46">
              <w:rPr>
                <w:sz w:val="19"/>
                <w:szCs w:val="19"/>
              </w:rPr>
              <w:t>Raising occurred</w:t>
            </w:r>
            <w:r w:rsidR="00B222E3" w:rsidRPr="00E72C46">
              <w:rPr>
                <w:sz w:val="19"/>
                <w:szCs w:val="19"/>
              </w:rPr>
              <w:t xml:space="preserve"> between early July and mid-October, before being overtaken by the flood.</w:t>
            </w:r>
          </w:p>
        </w:tc>
        <w:tc>
          <w:tcPr>
            <w:tcW w:w="3038" w:type="dxa"/>
            <w:tcBorders>
              <w:bottom w:val="single" w:sz="4" w:space="0" w:color="auto"/>
            </w:tcBorders>
          </w:tcPr>
          <w:p w14:paraId="27FAD018" w14:textId="24817731" w:rsidR="009905CA" w:rsidRPr="00E72C46" w:rsidRDefault="00BE6217" w:rsidP="00DC7774">
            <w:pPr>
              <w:contextualSpacing/>
              <w:rPr>
                <w:sz w:val="19"/>
                <w:szCs w:val="19"/>
              </w:rPr>
            </w:pPr>
            <w:r w:rsidRPr="00E72C46">
              <w:rPr>
                <w:sz w:val="19"/>
                <w:szCs w:val="19"/>
              </w:rPr>
              <w:t xml:space="preserve">+0.45 m NPL. </w:t>
            </w:r>
            <w:r w:rsidR="00E72C46" w:rsidRPr="00E72C46">
              <w:rPr>
                <w:sz w:val="19"/>
                <w:szCs w:val="19"/>
              </w:rPr>
              <w:t>Raising occurred</w:t>
            </w:r>
            <w:r w:rsidR="00B222E3" w:rsidRPr="00E72C46">
              <w:rPr>
                <w:sz w:val="19"/>
                <w:szCs w:val="19"/>
              </w:rPr>
              <w:t xml:space="preserve"> between late July and early October. The peak was reached in mid-September. </w:t>
            </w:r>
            <w:r w:rsidR="00E72C46" w:rsidRPr="00E72C46">
              <w:rPr>
                <w:sz w:val="19"/>
                <w:szCs w:val="19"/>
              </w:rPr>
              <w:t>M</w:t>
            </w:r>
            <w:r w:rsidR="00B222E3" w:rsidRPr="00E72C46">
              <w:rPr>
                <w:sz w:val="19"/>
                <w:szCs w:val="19"/>
              </w:rPr>
              <w:t>anipulations were overtaken by the flood</w:t>
            </w:r>
            <w:r w:rsidR="00E72C46" w:rsidRPr="00E72C46">
              <w:rPr>
                <w:sz w:val="19"/>
                <w:szCs w:val="19"/>
              </w:rPr>
              <w:t xml:space="preserve"> during October</w:t>
            </w:r>
            <w:r w:rsidR="00B222E3" w:rsidRPr="00E72C46">
              <w:rPr>
                <w:sz w:val="19"/>
                <w:szCs w:val="19"/>
              </w:rPr>
              <w:t>.</w:t>
            </w:r>
          </w:p>
        </w:tc>
      </w:tr>
      <w:tr w:rsidR="009905CA" w:rsidRPr="00AE45D7" w14:paraId="0C819D49" w14:textId="5C0DEDBA" w:rsidTr="00F31B33">
        <w:trPr>
          <w:trHeight w:val="397"/>
        </w:trPr>
        <w:tc>
          <w:tcPr>
            <w:tcW w:w="936" w:type="dxa"/>
            <w:tcBorders>
              <w:bottom w:val="single" w:sz="4" w:space="0" w:color="auto"/>
            </w:tcBorders>
          </w:tcPr>
          <w:p w14:paraId="61B833B8" w14:textId="17EDA228" w:rsidR="009905CA" w:rsidRPr="00AE45D7" w:rsidRDefault="009905CA" w:rsidP="00DC7774">
            <w:pPr>
              <w:contextualSpacing/>
              <w:rPr>
                <w:sz w:val="19"/>
                <w:szCs w:val="19"/>
              </w:rPr>
            </w:pPr>
            <w:r w:rsidRPr="00F31B33">
              <w:rPr>
                <w:sz w:val="19"/>
                <w:szCs w:val="19"/>
              </w:rPr>
              <w:lastRenderedPageBreak/>
              <w:t>2023-24</w:t>
            </w:r>
            <w:r w:rsidR="00F31B33" w:rsidRPr="00F31B33">
              <w:rPr>
                <w:sz w:val="19"/>
                <w:szCs w:val="19"/>
              </w:rPr>
              <w:t xml:space="preserve"> </w:t>
            </w:r>
            <w:r w:rsidR="00F31B33" w:rsidRPr="00F31B33">
              <w:rPr>
                <w:sz w:val="19"/>
                <w:szCs w:val="19"/>
                <w:vertAlign w:val="superscript"/>
              </w:rPr>
              <w:t>a</w:t>
            </w:r>
          </w:p>
        </w:tc>
        <w:tc>
          <w:tcPr>
            <w:tcW w:w="1611" w:type="dxa"/>
            <w:tcBorders>
              <w:bottom w:val="single" w:sz="4" w:space="0" w:color="auto"/>
            </w:tcBorders>
          </w:tcPr>
          <w:p w14:paraId="09E78D7B" w14:textId="070725E7" w:rsidR="009905CA" w:rsidRPr="004B169F" w:rsidRDefault="00F31B33" w:rsidP="00DC7774">
            <w:pPr>
              <w:contextualSpacing/>
              <w:rPr>
                <w:sz w:val="19"/>
                <w:szCs w:val="19"/>
                <w:highlight w:val="yellow"/>
              </w:rPr>
            </w:pPr>
            <w:r w:rsidRPr="00F31B33">
              <w:rPr>
                <w:sz w:val="19"/>
                <w:szCs w:val="19"/>
              </w:rPr>
              <w:t>Minor lowering (-0.1</w:t>
            </w:r>
            <w:r>
              <w:rPr>
                <w:sz w:val="19"/>
                <w:szCs w:val="19"/>
              </w:rPr>
              <w:t>0</w:t>
            </w:r>
            <w:r w:rsidRPr="00F31B33">
              <w:rPr>
                <w:sz w:val="19"/>
                <w:szCs w:val="19"/>
              </w:rPr>
              <w:t xml:space="preserve"> m) of water levels below NPL </w:t>
            </w:r>
            <w:r>
              <w:rPr>
                <w:sz w:val="19"/>
                <w:szCs w:val="19"/>
              </w:rPr>
              <w:t>from early October to early December</w:t>
            </w:r>
            <w:r w:rsidRPr="00F31B33">
              <w:rPr>
                <w:sz w:val="19"/>
                <w:szCs w:val="19"/>
              </w:rPr>
              <w:t>.</w:t>
            </w:r>
          </w:p>
        </w:tc>
        <w:tc>
          <w:tcPr>
            <w:tcW w:w="2835" w:type="dxa"/>
            <w:tcBorders>
              <w:bottom w:val="single" w:sz="4" w:space="0" w:color="auto"/>
            </w:tcBorders>
          </w:tcPr>
          <w:p w14:paraId="72A513F9" w14:textId="50B56518" w:rsidR="009905CA" w:rsidRPr="004B169F" w:rsidRDefault="00F31B33" w:rsidP="00DC7774">
            <w:pPr>
              <w:contextualSpacing/>
              <w:rPr>
                <w:sz w:val="19"/>
                <w:szCs w:val="19"/>
                <w:highlight w:val="yellow"/>
              </w:rPr>
            </w:pPr>
            <w:r w:rsidRPr="00F31B33">
              <w:rPr>
                <w:sz w:val="19"/>
                <w:szCs w:val="19"/>
              </w:rPr>
              <w:t>Minor lowering (-0.</w:t>
            </w:r>
            <w:r>
              <w:rPr>
                <w:sz w:val="19"/>
                <w:szCs w:val="19"/>
              </w:rPr>
              <w:t>08</w:t>
            </w:r>
            <w:r w:rsidRPr="00F31B33">
              <w:rPr>
                <w:sz w:val="19"/>
                <w:szCs w:val="19"/>
              </w:rPr>
              <w:t xml:space="preserve"> m) of water levels below NPL </w:t>
            </w:r>
            <w:r>
              <w:rPr>
                <w:sz w:val="19"/>
                <w:szCs w:val="19"/>
              </w:rPr>
              <w:t>from early October to early December</w:t>
            </w:r>
            <w:r w:rsidRPr="00F31B33">
              <w:rPr>
                <w:sz w:val="19"/>
                <w:szCs w:val="19"/>
              </w:rPr>
              <w:t>.</w:t>
            </w:r>
          </w:p>
        </w:tc>
        <w:tc>
          <w:tcPr>
            <w:tcW w:w="2977" w:type="dxa"/>
            <w:tcBorders>
              <w:bottom w:val="single" w:sz="4" w:space="0" w:color="auto"/>
            </w:tcBorders>
          </w:tcPr>
          <w:p w14:paraId="41FC3A82" w14:textId="2479DC8A" w:rsidR="009905CA" w:rsidRPr="004B169F" w:rsidRDefault="00F31B33" w:rsidP="00DC7774">
            <w:pPr>
              <w:contextualSpacing/>
              <w:rPr>
                <w:sz w:val="19"/>
                <w:szCs w:val="19"/>
                <w:highlight w:val="yellow"/>
              </w:rPr>
            </w:pPr>
            <w:r w:rsidRPr="00F31B33">
              <w:rPr>
                <w:sz w:val="19"/>
                <w:szCs w:val="19"/>
              </w:rPr>
              <w:t>Minor lowering (-0.</w:t>
            </w:r>
            <w:r>
              <w:rPr>
                <w:sz w:val="19"/>
                <w:szCs w:val="19"/>
              </w:rPr>
              <w:t>04</w:t>
            </w:r>
            <w:r w:rsidRPr="00F31B33">
              <w:rPr>
                <w:sz w:val="19"/>
                <w:szCs w:val="19"/>
              </w:rPr>
              <w:t xml:space="preserve"> m) of water levels below NPL </w:t>
            </w:r>
            <w:r>
              <w:rPr>
                <w:sz w:val="19"/>
                <w:szCs w:val="19"/>
              </w:rPr>
              <w:t>from early October to early December</w:t>
            </w:r>
            <w:r w:rsidRPr="00F31B33">
              <w:rPr>
                <w:sz w:val="19"/>
                <w:szCs w:val="19"/>
              </w:rPr>
              <w:t>.</w:t>
            </w:r>
          </w:p>
        </w:tc>
        <w:tc>
          <w:tcPr>
            <w:tcW w:w="2551" w:type="dxa"/>
            <w:tcBorders>
              <w:bottom w:val="single" w:sz="4" w:space="0" w:color="auto"/>
            </w:tcBorders>
          </w:tcPr>
          <w:p w14:paraId="045D5B3B" w14:textId="720E5E2A" w:rsidR="009905CA" w:rsidRPr="004B169F" w:rsidRDefault="00F31B33" w:rsidP="00DC7774">
            <w:pPr>
              <w:contextualSpacing/>
              <w:rPr>
                <w:sz w:val="19"/>
                <w:szCs w:val="19"/>
                <w:highlight w:val="yellow"/>
              </w:rPr>
            </w:pPr>
            <w:r w:rsidRPr="00F31B33">
              <w:rPr>
                <w:sz w:val="19"/>
                <w:szCs w:val="19"/>
              </w:rPr>
              <w:t>Minor lowering (-0.1</w:t>
            </w:r>
            <w:r>
              <w:rPr>
                <w:sz w:val="19"/>
                <w:szCs w:val="19"/>
              </w:rPr>
              <w:t>0</w:t>
            </w:r>
            <w:r w:rsidRPr="00F31B33">
              <w:rPr>
                <w:sz w:val="19"/>
                <w:szCs w:val="19"/>
              </w:rPr>
              <w:t xml:space="preserve"> m) of water levels below NPL </w:t>
            </w:r>
            <w:r>
              <w:rPr>
                <w:sz w:val="19"/>
                <w:szCs w:val="19"/>
              </w:rPr>
              <w:t>from early October to early December</w:t>
            </w:r>
            <w:r w:rsidRPr="00F31B33">
              <w:rPr>
                <w:sz w:val="19"/>
                <w:szCs w:val="19"/>
              </w:rPr>
              <w:t>.</w:t>
            </w:r>
          </w:p>
        </w:tc>
        <w:tc>
          <w:tcPr>
            <w:tcW w:w="3038" w:type="dxa"/>
            <w:tcBorders>
              <w:bottom w:val="single" w:sz="4" w:space="0" w:color="auto"/>
            </w:tcBorders>
          </w:tcPr>
          <w:p w14:paraId="1D65DD93" w14:textId="63B20BE9" w:rsidR="009905CA" w:rsidRPr="004B169F" w:rsidRDefault="00F31B33" w:rsidP="00DC7774">
            <w:pPr>
              <w:contextualSpacing/>
              <w:rPr>
                <w:sz w:val="19"/>
                <w:szCs w:val="19"/>
                <w:highlight w:val="yellow"/>
              </w:rPr>
            </w:pPr>
            <w:r w:rsidRPr="00F31B33">
              <w:rPr>
                <w:sz w:val="19"/>
                <w:szCs w:val="19"/>
              </w:rPr>
              <w:t>Minor lowering (-0.1</w:t>
            </w:r>
            <w:r>
              <w:rPr>
                <w:sz w:val="19"/>
                <w:szCs w:val="19"/>
              </w:rPr>
              <w:t>8</w:t>
            </w:r>
            <w:r w:rsidRPr="00F31B33">
              <w:rPr>
                <w:sz w:val="19"/>
                <w:szCs w:val="19"/>
              </w:rPr>
              <w:t xml:space="preserve"> m) of water levels below NPL </w:t>
            </w:r>
            <w:r>
              <w:rPr>
                <w:sz w:val="19"/>
                <w:szCs w:val="19"/>
              </w:rPr>
              <w:t>from early October to mid-December</w:t>
            </w:r>
            <w:r w:rsidRPr="00F31B33">
              <w:rPr>
                <w:sz w:val="19"/>
                <w:szCs w:val="19"/>
              </w:rPr>
              <w:t>.</w:t>
            </w:r>
          </w:p>
        </w:tc>
      </w:tr>
      <w:tr w:rsidR="00F31B33" w:rsidRPr="00AE45D7" w14:paraId="4AB39FEA" w14:textId="77777777" w:rsidTr="006B6319">
        <w:trPr>
          <w:trHeight w:val="397"/>
        </w:trPr>
        <w:tc>
          <w:tcPr>
            <w:tcW w:w="13948" w:type="dxa"/>
            <w:gridSpan w:val="6"/>
            <w:tcBorders>
              <w:top w:val="single" w:sz="4" w:space="0" w:color="auto"/>
              <w:left w:val="nil"/>
              <w:bottom w:val="nil"/>
              <w:right w:val="nil"/>
            </w:tcBorders>
          </w:tcPr>
          <w:p w14:paraId="13EEC977" w14:textId="009A63A4" w:rsidR="00F31B33" w:rsidRPr="00F31B33" w:rsidRDefault="00F31B33" w:rsidP="00DC7774">
            <w:pPr>
              <w:contextualSpacing/>
              <w:rPr>
                <w:sz w:val="19"/>
                <w:szCs w:val="19"/>
              </w:rPr>
            </w:pPr>
            <w:r w:rsidRPr="00A77E16">
              <w:rPr>
                <w:sz w:val="19"/>
                <w:szCs w:val="19"/>
                <w:vertAlign w:val="superscript"/>
              </w:rPr>
              <w:t>a</w:t>
            </w:r>
            <w:r>
              <w:rPr>
                <w:sz w:val="19"/>
                <w:szCs w:val="19"/>
              </w:rPr>
              <w:t xml:space="preserve">  F</w:t>
            </w:r>
            <w:r w:rsidRPr="00F31B33">
              <w:rPr>
                <w:sz w:val="19"/>
                <w:szCs w:val="19"/>
              </w:rPr>
              <w:t>rom early October to early December</w:t>
            </w:r>
            <w:r>
              <w:rPr>
                <w:sz w:val="19"/>
                <w:szCs w:val="19"/>
              </w:rPr>
              <w:t xml:space="preserve"> 2023, there was also m</w:t>
            </w:r>
            <w:r w:rsidRPr="00F31B33">
              <w:rPr>
                <w:sz w:val="19"/>
                <w:szCs w:val="19"/>
              </w:rPr>
              <w:t>inor lowering (-0.</w:t>
            </w:r>
            <w:r>
              <w:rPr>
                <w:sz w:val="19"/>
                <w:szCs w:val="19"/>
              </w:rPr>
              <w:t>03</w:t>
            </w:r>
            <w:r w:rsidRPr="00F31B33">
              <w:rPr>
                <w:sz w:val="19"/>
                <w:szCs w:val="19"/>
              </w:rPr>
              <w:t xml:space="preserve"> m) of water levels below NPL </w:t>
            </w:r>
            <w:r>
              <w:rPr>
                <w:sz w:val="19"/>
                <w:szCs w:val="19"/>
              </w:rPr>
              <w:t>in Weir Pool 3.</w:t>
            </w:r>
          </w:p>
        </w:tc>
      </w:tr>
    </w:tbl>
    <w:p w14:paraId="15E122DC" w14:textId="535E3080" w:rsidR="0033787F" w:rsidRDefault="0033787F" w:rsidP="00605FB2">
      <w:pPr>
        <w:pStyle w:val="Captions"/>
      </w:pPr>
      <w:r w:rsidRPr="0033787F">
        <w:lastRenderedPageBreak/>
        <w:t xml:space="preserve"> </w:t>
      </w:r>
      <w:r w:rsidR="00AA2FBB">
        <w:rPr>
          <w:noProof/>
        </w:rPr>
        <w:drawing>
          <wp:inline distT="0" distB="0" distL="0" distR="0" wp14:anchorId="5C6FBF72" wp14:editId="095CC40C">
            <wp:extent cx="8863117" cy="4816549"/>
            <wp:effectExtent l="0" t="0" r="0" b="3175"/>
            <wp:docPr id="930012214" name="Picture 1" descr="Graphs of water levels in the Lock 1, 2, 4, 5 and 6 weir pools from July 2019 to July 2024, showing weir pool manipul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12214" name="Picture 1" descr="Graphs of water levels in the Lock 1, 2, 4, 5 and 6 weir pools from July 2019 to July 2024, showing weir pool manipulations. "/>
                    <pic:cNvPicPr/>
                  </pic:nvPicPr>
                  <pic:blipFill rotWithShape="1">
                    <a:blip r:embed="rId145" cstate="print">
                      <a:extLst>
                        <a:ext uri="{28A0092B-C50C-407E-A947-70E740481C1C}">
                          <a14:useLocalDpi xmlns:a14="http://schemas.microsoft.com/office/drawing/2010/main" val="0"/>
                        </a:ext>
                      </a:extLst>
                    </a:blip>
                    <a:srcRect t="6472" b="1908"/>
                    <a:stretch/>
                  </pic:blipFill>
                  <pic:spPr bwMode="auto">
                    <a:xfrm>
                      <a:off x="0" y="0"/>
                      <a:ext cx="8863330" cy="4816665"/>
                    </a:xfrm>
                    <a:prstGeom prst="rect">
                      <a:avLst/>
                    </a:prstGeom>
                    <a:ln>
                      <a:noFill/>
                    </a:ln>
                    <a:extLst>
                      <a:ext uri="{53640926-AAD7-44D8-BBD7-CCE9431645EC}">
                        <a14:shadowObscured xmlns:a14="http://schemas.microsoft.com/office/drawing/2010/main"/>
                      </a:ext>
                    </a:extLst>
                  </pic:spPr>
                </pic:pic>
              </a:graphicData>
            </a:graphic>
          </wp:inline>
        </w:drawing>
      </w:r>
    </w:p>
    <w:p w14:paraId="4007E9AF" w14:textId="4B3C346F" w:rsidR="0033787F" w:rsidRDefault="0033787F" w:rsidP="00605FB2">
      <w:pPr>
        <w:pStyle w:val="Captions"/>
        <w:sectPr w:rsidR="0033787F" w:rsidSect="009905CA">
          <w:pgSz w:w="16838" w:h="11906" w:orient="landscape"/>
          <w:pgMar w:top="1440" w:right="1440" w:bottom="1440" w:left="1440" w:header="709" w:footer="709" w:gutter="0"/>
          <w:cols w:space="708"/>
          <w:docGrid w:linePitch="360"/>
        </w:sectPr>
      </w:pPr>
      <w:r w:rsidRPr="00E2389A">
        <w:t xml:space="preserve">Figure B1. </w:t>
      </w:r>
      <w:r w:rsidR="00005D62" w:rsidRPr="00005D62">
        <w:t xml:space="preserve">Water levels in the Lock 1, 2, </w:t>
      </w:r>
      <w:r w:rsidR="00005D62">
        <w:t xml:space="preserve">4, </w:t>
      </w:r>
      <w:r w:rsidR="00005D62" w:rsidRPr="00005D62">
        <w:t xml:space="preserve">5 and 6 weir pools from </w:t>
      </w:r>
      <w:r w:rsidR="00005D62">
        <w:t xml:space="preserve">July </w:t>
      </w:r>
      <w:r w:rsidR="00005D62" w:rsidRPr="00005D62">
        <w:t>201</w:t>
      </w:r>
      <w:r w:rsidR="00005D62">
        <w:t xml:space="preserve">9 to July </w:t>
      </w:r>
      <w:r w:rsidR="00005D62" w:rsidRPr="00005D62">
        <w:t>20</w:t>
      </w:r>
      <w:r w:rsidR="00005D62">
        <w:t>24</w:t>
      </w:r>
      <w:r w:rsidR="00005D62" w:rsidRPr="00005D62">
        <w:t xml:space="preserve">, showing weir pool manipulations (DEW). Water levels are measured at Lock 1 US (A4260902) + 3.1 m AHD, Lock 2 US (A4260518) + 6.1 m </w:t>
      </w:r>
      <w:r w:rsidR="00005D62" w:rsidRPr="00D30225">
        <w:t>AHD, Lock 4 US (A</w:t>
      </w:r>
      <w:r w:rsidR="00D30225" w:rsidRPr="00D30225">
        <w:t>4260514</w:t>
      </w:r>
      <w:r w:rsidR="00005D62" w:rsidRPr="00D30225">
        <w:t>) +</w:t>
      </w:r>
      <w:r w:rsidR="00005D62">
        <w:t xml:space="preserve">13.2 m AHD, </w:t>
      </w:r>
      <w:r w:rsidR="00005D62" w:rsidRPr="00005D62">
        <w:t>Lock 5 US (A4260512) + 16.3 m AHD and Lock 6 US (A4260510) + 19.25 m AHD sites.</w:t>
      </w:r>
    </w:p>
    <w:p w14:paraId="7BC10086" w14:textId="789F5A34" w:rsidR="005A7512" w:rsidRPr="00DF0F55" w:rsidRDefault="005A7512" w:rsidP="005A7512">
      <w:pPr>
        <w:spacing w:before="0" w:after="0"/>
        <w:rPr>
          <w:i/>
          <w:sz w:val="24"/>
          <w:szCs w:val="24"/>
        </w:rPr>
      </w:pPr>
      <w:r>
        <w:rPr>
          <w:b/>
          <w:i/>
          <w:color w:val="44546A" w:themeColor="text2"/>
          <w:sz w:val="24"/>
          <w:szCs w:val="24"/>
        </w:rPr>
        <w:lastRenderedPageBreak/>
        <w:t>F</w:t>
      </w:r>
      <w:r w:rsidRPr="00DF0F55">
        <w:rPr>
          <w:b/>
          <w:i/>
          <w:color w:val="44546A" w:themeColor="text2"/>
          <w:sz w:val="24"/>
          <w:szCs w:val="24"/>
        </w:rPr>
        <w:t xml:space="preserve">loodplain </w:t>
      </w:r>
      <w:r>
        <w:rPr>
          <w:b/>
          <w:i/>
          <w:color w:val="44546A" w:themeColor="text2"/>
          <w:sz w:val="24"/>
          <w:szCs w:val="24"/>
        </w:rPr>
        <w:t>regulator operation</w:t>
      </w:r>
    </w:p>
    <w:p w14:paraId="113DF217" w14:textId="64140163" w:rsidR="0040284F" w:rsidRDefault="0040284F" w:rsidP="005A7512">
      <w:r w:rsidRPr="00D13B56">
        <w:t>From 2020–202</w:t>
      </w:r>
      <w:r w:rsidR="00F31B33">
        <w:t>3</w:t>
      </w:r>
      <w:r w:rsidRPr="00D13B56">
        <w:t>, r</w:t>
      </w:r>
      <w:r w:rsidR="005A7512" w:rsidRPr="00D13B56">
        <w:t xml:space="preserve">egulated </w:t>
      </w:r>
      <w:r w:rsidRPr="00D13B56">
        <w:t xml:space="preserve">in-channel rises in water level and </w:t>
      </w:r>
      <w:r w:rsidR="005A7512" w:rsidRPr="00D13B56">
        <w:t xml:space="preserve">inundations of floodplains </w:t>
      </w:r>
      <w:r w:rsidRPr="00D13B56">
        <w:t xml:space="preserve">occurred </w:t>
      </w:r>
      <w:r w:rsidR="005A7512" w:rsidRPr="00D13B56">
        <w:t xml:space="preserve">using the </w:t>
      </w:r>
      <w:r w:rsidRPr="00D13B56">
        <w:t xml:space="preserve">Katarapko, Pike and </w:t>
      </w:r>
      <w:r w:rsidR="005A7512" w:rsidRPr="00D13B56">
        <w:t>Chowilla regulator</w:t>
      </w:r>
      <w:r w:rsidRPr="00D13B56">
        <w:t>s</w:t>
      </w:r>
      <w:r w:rsidR="00D13B56">
        <w:t>,</w:t>
      </w:r>
      <w:r w:rsidRPr="00D13B56">
        <w:t xml:space="preserve"> in conjunction </w:t>
      </w:r>
      <w:r w:rsidR="006A51BA" w:rsidRPr="00D13B56">
        <w:t>with</w:t>
      </w:r>
      <w:r w:rsidR="00C60FCE">
        <w:t xml:space="preserve"> the</w:t>
      </w:r>
      <w:r w:rsidR="006A51BA" w:rsidRPr="00D13B56">
        <w:t xml:space="preserve"> </w:t>
      </w:r>
      <w:r w:rsidR="00C60FCE">
        <w:t>raising</w:t>
      </w:r>
      <w:r w:rsidR="006A51BA" w:rsidRPr="00D13B56">
        <w:t xml:space="preserve"> </w:t>
      </w:r>
      <w:r w:rsidR="00D13B56">
        <w:t>of</w:t>
      </w:r>
      <w:r w:rsidRPr="00D13B56">
        <w:t xml:space="preserve"> weir pools 4, 5 and 6, respectively. These regulator operations</w:t>
      </w:r>
      <w:r w:rsidR="005A7512" w:rsidRPr="00D13B56">
        <w:t xml:space="preserve"> </w:t>
      </w:r>
      <w:r w:rsidRPr="00D13B56">
        <w:t>generally commenced</w:t>
      </w:r>
      <w:r w:rsidR="005A7512" w:rsidRPr="00D13B56">
        <w:t xml:space="preserve"> in winter–spring</w:t>
      </w:r>
      <w:r w:rsidRPr="00D13B56">
        <w:t>, with t</w:t>
      </w:r>
      <w:r w:rsidR="005A7512" w:rsidRPr="00D13B56">
        <w:t>he recession commonly occurr</w:t>
      </w:r>
      <w:r w:rsidRPr="00D13B56">
        <w:t>ing</w:t>
      </w:r>
      <w:r w:rsidR="005A7512" w:rsidRPr="00D13B56">
        <w:t xml:space="preserve"> in mid- to late spring, </w:t>
      </w:r>
      <w:r w:rsidRPr="00D13B56">
        <w:t>and</w:t>
      </w:r>
      <w:r w:rsidR="005A7512" w:rsidRPr="00D13B56">
        <w:t xml:space="preserve"> water levels returning to </w:t>
      </w:r>
      <w:r w:rsidR="00D13B56">
        <w:t>NPL</w:t>
      </w:r>
      <w:r w:rsidRPr="00D13B56">
        <w:t xml:space="preserve"> by</w:t>
      </w:r>
      <w:r w:rsidR="005A7512" w:rsidRPr="00D13B56">
        <w:t xml:space="preserve"> </w:t>
      </w:r>
      <w:r w:rsidRPr="00D13B56">
        <w:t xml:space="preserve">late </w:t>
      </w:r>
      <w:r w:rsidR="005A7512" w:rsidRPr="00D13B56">
        <w:t xml:space="preserve">December. </w:t>
      </w:r>
    </w:p>
    <w:p w14:paraId="382DF60D" w14:textId="41F759AC" w:rsidR="005A7512" w:rsidRDefault="00D13B56" w:rsidP="008737D3">
      <w:r w:rsidRPr="00D13B56">
        <w:t>During 2020-21, Commonwealth environmental water</w:t>
      </w:r>
      <w:r>
        <w:t xml:space="preserve">, in conjunction with </w:t>
      </w:r>
      <w:r w:rsidRPr="00D13B56">
        <w:t>SA Ministers Reserve</w:t>
      </w:r>
      <w:r>
        <w:t>,</w:t>
      </w:r>
      <w:r w:rsidRPr="00D13B56">
        <w:t xml:space="preserve"> supported Pike and Katarapko regulator operations by accounting for losses (e.g. </w:t>
      </w:r>
      <w:r w:rsidR="006A51BA">
        <w:t xml:space="preserve">seepage and </w:t>
      </w:r>
      <w:r w:rsidR="006A51BA" w:rsidRPr="00D13B56">
        <w:t>evaporation</w:t>
      </w:r>
      <w:r w:rsidRPr="00D13B56">
        <w:t xml:space="preserve">). For all other years, the targeted action was met through unregulated flows. </w:t>
      </w:r>
      <w:r w:rsidR="008737D3" w:rsidRPr="008737D3">
        <w:t xml:space="preserve">Refer to the five-year LTIM report (Ye </w:t>
      </w:r>
      <w:r w:rsidR="008737D3" w:rsidRPr="000D2C3D">
        <w:rPr>
          <w:i/>
          <w:iCs/>
        </w:rPr>
        <w:t>et al.</w:t>
      </w:r>
      <w:r w:rsidR="008737D3" w:rsidRPr="008737D3">
        <w:t xml:space="preserve"> 2020a)</w:t>
      </w:r>
      <w:r w:rsidR="008737D3">
        <w:t>,</w:t>
      </w:r>
      <w:r w:rsidR="008737D3" w:rsidRPr="008737D3">
        <w:t xml:space="preserve"> the annual technical reports (Ye </w:t>
      </w:r>
      <w:r w:rsidR="008737D3" w:rsidRPr="000D2C3D">
        <w:rPr>
          <w:i/>
          <w:iCs/>
        </w:rPr>
        <w:t>et al.</w:t>
      </w:r>
      <w:r w:rsidR="008737D3" w:rsidRPr="008737D3">
        <w:t xml:space="preserve"> 2021</w:t>
      </w:r>
      <w:r w:rsidR="00736725">
        <w:t>,</w:t>
      </w:r>
      <w:r w:rsidR="008737D3" w:rsidRPr="008737D3">
        <w:t xml:space="preserve"> 2022</w:t>
      </w:r>
      <w:r w:rsidR="00736725">
        <w:t>,</w:t>
      </w:r>
      <w:r w:rsidR="008737D3" w:rsidRPr="008737D3">
        <w:t xml:space="preserve"> 2023</w:t>
      </w:r>
      <w:r w:rsidR="00736725">
        <w:t>,</w:t>
      </w:r>
      <w:r w:rsidR="008737D3" w:rsidRPr="008737D3">
        <w:t xml:space="preserve"> 2024) </w:t>
      </w:r>
      <w:r w:rsidR="005A7512" w:rsidRPr="00D13B56">
        <w:t xml:space="preserve">and </w:t>
      </w:r>
      <w:hyperlink r:id="rId146" w:history="1">
        <w:r w:rsidR="005A7512" w:rsidRPr="00D13B56">
          <w:rPr>
            <w:rStyle w:val="Hyperlink"/>
            <w:rFonts w:eastAsiaTheme="majorEastAsia"/>
            <w:lang w:val="en-US"/>
          </w:rPr>
          <w:t>http://www.environment.sa.gov.au</w:t>
        </w:r>
      </w:hyperlink>
      <w:r w:rsidR="005A7512" w:rsidRPr="00D13B56">
        <w:t xml:space="preserve"> for more detail.</w:t>
      </w:r>
    </w:p>
    <w:p w14:paraId="5AA24BD2" w14:textId="2184C402" w:rsidR="005A7512" w:rsidRDefault="005A7512" w:rsidP="00605FB2">
      <w:pPr>
        <w:pStyle w:val="Captions"/>
      </w:pPr>
      <w:bookmarkStart w:id="594" w:name="_Hlk207968918"/>
      <w:r>
        <w:t>Table B2. Floodplain regulator event details from 2019–2024 (Source: MDBA).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of floodplain regulator event details from 2019–2024 "/>
      </w:tblPr>
      <w:tblGrid>
        <w:gridCol w:w="987"/>
        <w:gridCol w:w="1291"/>
        <w:gridCol w:w="1403"/>
        <w:gridCol w:w="3789"/>
        <w:gridCol w:w="1546"/>
      </w:tblGrid>
      <w:tr w:rsidR="006A51BA" w:rsidRPr="006A51BA" w14:paraId="5C3B8763" w14:textId="77777777" w:rsidTr="0040128C">
        <w:trPr>
          <w:trHeight w:val="397"/>
          <w:tblHeader/>
        </w:trPr>
        <w:tc>
          <w:tcPr>
            <w:tcW w:w="987" w:type="dxa"/>
            <w:vAlign w:val="center"/>
          </w:tcPr>
          <w:bookmarkEnd w:id="594"/>
          <w:p w14:paraId="4C103FB1" w14:textId="77777777" w:rsidR="006A51BA" w:rsidRPr="006A51BA" w:rsidRDefault="006A51BA" w:rsidP="00D90697">
            <w:pPr>
              <w:contextualSpacing/>
              <w:jc w:val="center"/>
              <w:rPr>
                <w:sz w:val="19"/>
                <w:szCs w:val="19"/>
              </w:rPr>
            </w:pPr>
            <w:r w:rsidRPr="006A51BA">
              <w:rPr>
                <w:sz w:val="19"/>
                <w:szCs w:val="19"/>
              </w:rPr>
              <w:t>Year</w:t>
            </w:r>
          </w:p>
        </w:tc>
        <w:tc>
          <w:tcPr>
            <w:tcW w:w="1291" w:type="dxa"/>
            <w:vAlign w:val="center"/>
          </w:tcPr>
          <w:p w14:paraId="26684EFB" w14:textId="77777777" w:rsidR="006A51BA" w:rsidRPr="006A51BA" w:rsidRDefault="006A51BA" w:rsidP="00D90697">
            <w:pPr>
              <w:contextualSpacing/>
              <w:jc w:val="center"/>
              <w:rPr>
                <w:sz w:val="19"/>
                <w:szCs w:val="19"/>
              </w:rPr>
            </w:pPr>
            <w:r w:rsidRPr="006A51BA">
              <w:rPr>
                <w:sz w:val="19"/>
                <w:szCs w:val="19"/>
              </w:rPr>
              <w:t>Regulator</w:t>
            </w:r>
          </w:p>
        </w:tc>
        <w:tc>
          <w:tcPr>
            <w:tcW w:w="1403" w:type="dxa"/>
            <w:vAlign w:val="center"/>
          </w:tcPr>
          <w:p w14:paraId="0AAAB952" w14:textId="77777777" w:rsidR="006A51BA" w:rsidRPr="006A51BA" w:rsidRDefault="006A51BA" w:rsidP="00D90697">
            <w:pPr>
              <w:contextualSpacing/>
              <w:jc w:val="center"/>
              <w:rPr>
                <w:sz w:val="19"/>
                <w:szCs w:val="19"/>
              </w:rPr>
            </w:pPr>
            <w:r w:rsidRPr="006A51BA">
              <w:rPr>
                <w:sz w:val="19"/>
                <w:szCs w:val="19"/>
              </w:rPr>
              <w:t>Peak water level (above NPL)</w:t>
            </w:r>
          </w:p>
        </w:tc>
        <w:tc>
          <w:tcPr>
            <w:tcW w:w="3789" w:type="dxa"/>
            <w:vAlign w:val="center"/>
          </w:tcPr>
          <w:p w14:paraId="529432DD" w14:textId="77777777" w:rsidR="006A51BA" w:rsidRPr="006A51BA" w:rsidRDefault="006A51BA" w:rsidP="00D90697">
            <w:pPr>
              <w:contextualSpacing/>
              <w:jc w:val="center"/>
              <w:rPr>
                <w:sz w:val="19"/>
                <w:szCs w:val="19"/>
              </w:rPr>
            </w:pPr>
            <w:r w:rsidRPr="006A51BA">
              <w:rPr>
                <w:sz w:val="19"/>
                <w:szCs w:val="19"/>
              </w:rPr>
              <w:t>Timing</w:t>
            </w:r>
          </w:p>
        </w:tc>
        <w:tc>
          <w:tcPr>
            <w:tcW w:w="1546" w:type="dxa"/>
            <w:vAlign w:val="center"/>
          </w:tcPr>
          <w:p w14:paraId="1A702B58" w14:textId="77777777" w:rsidR="006A51BA" w:rsidRPr="006A51BA" w:rsidRDefault="006A51BA" w:rsidP="00D90697">
            <w:pPr>
              <w:contextualSpacing/>
              <w:jc w:val="center"/>
              <w:rPr>
                <w:sz w:val="19"/>
                <w:szCs w:val="19"/>
              </w:rPr>
            </w:pPr>
            <w:r w:rsidRPr="006A51BA">
              <w:rPr>
                <w:sz w:val="19"/>
                <w:szCs w:val="19"/>
              </w:rPr>
              <w:t>Supporting environmental water</w:t>
            </w:r>
          </w:p>
        </w:tc>
      </w:tr>
      <w:tr w:rsidR="006A51BA" w:rsidRPr="006A51BA" w14:paraId="23BE7B0E" w14:textId="77777777" w:rsidTr="008B4826">
        <w:trPr>
          <w:trHeight w:val="397"/>
        </w:trPr>
        <w:tc>
          <w:tcPr>
            <w:tcW w:w="987" w:type="dxa"/>
            <w:vMerge w:val="restart"/>
          </w:tcPr>
          <w:p w14:paraId="72C5D88C" w14:textId="77777777" w:rsidR="006A51BA" w:rsidRPr="006A51BA" w:rsidRDefault="006A51BA" w:rsidP="00D90697">
            <w:pPr>
              <w:contextualSpacing/>
              <w:rPr>
                <w:sz w:val="19"/>
                <w:szCs w:val="19"/>
                <w:highlight w:val="yellow"/>
              </w:rPr>
            </w:pPr>
            <w:r w:rsidRPr="006A51BA">
              <w:rPr>
                <w:sz w:val="19"/>
                <w:szCs w:val="19"/>
              </w:rPr>
              <w:t>2020-21</w:t>
            </w:r>
          </w:p>
        </w:tc>
        <w:tc>
          <w:tcPr>
            <w:tcW w:w="1291" w:type="dxa"/>
          </w:tcPr>
          <w:p w14:paraId="2B116F2B" w14:textId="77777777" w:rsidR="006A51BA" w:rsidRPr="006A51BA" w:rsidRDefault="006A51BA" w:rsidP="00D90697">
            <w:pPr>
              <w:contextualSpacing/>
              <w:rPr>
                <w:sz w:val="19"/>
                <w:szCs w:val="19"/>
              </w:rPr>
            </w:pPr>
            <w:r w:rsidRPr="006A51BA">
              <w:rPr>
                <w:sz w:val="19"/>
                <w:szCs w:val="19"/>
              </w:rPr>
              <w:t>Pike</w:t>
            </w:r>
          </w:p>
        </w:tc>
        <w:tc>
          <w:tcPr>
            <w:tcW w:w="1403" w:type="dxa"/>
          </w:tcPr>
          <w:p w14:paraId="56E28548" w14:textId="77777777" w:rsidR="006A51BA" w:rsidRPr="006A51BA" w:rsidRDefault="006A51BA" w:rsidP="00D90697">
            <w:pPr>
              <w:contextualSpacing/>
              <w:rPr>
                <w:sz w:val="19"/>
                <w:szCs w:val="19"/>
              </w:rPr>
            </w:pPr>
            <w:r w:rsidRPr="006A51BA">
              <w:rPr>
                <w:sz w:val="19"/>
                <w:szCs w:val="19"/>
              </w:rPr>
              <w:t>+0.7 m</w:t>
            </w:r>
          </w:p>
        </w:tc>
        <w:tc>
          <w:tcPr>
            <w:tcW w:w="3789" w:type="dxa"/>
          </w:tcPr>
          <w:p w14:paraId="4B2011FE" w14:textId="77777777" w:rsidR="006A51BA" w:rsidRPr="006A51BA" w:rsidRDefault="006A51BA" w:rsidP="00D90697">
            <w:pPr>
              <w:contextualSpacing/>
              <w:rPr>
                <w:sz w:val="19"/>
                <w:szCs w:val="19"/>
                <w:highlight w:val="yellow"/>
              </w:rPr>
            </w:pPr>
            <w:r w:rsidRPr="006A51BA">
              <w:rPr>
                <w:sz w:val="19"/>
                <w:szCs w:val="19"/>
              </w:rPr>
              <w:t>Water levels in the Pike anabranch were raised in conjunction with the raising of Weir Pool 5, which commenced in mid-September (Table B1). Water levels were held at a maximum for 19 days during late November–early December before returning to NPL by end December.</w:t>
            </w:r>
          </w:p>
        </w:tc>
        <w:tc>
          <w:tcPr>
            <w:tcW w:w="1546" w:type="dxa"/>
          </w:tcPr>
          <w:p w14:paraId="285F1A43" w14:textId="77777777" w:rsidR="006A51BA" w:rsidRPr="006A51BA" w:rsidRDefault="006A51BA" w:rsidP="00D90697">
            <w:pPr>
              <w:contextualSpacing/>
              <w:jc w:val="center"/>
              <w:rPr>
                <w:sz w:val="19"/>
                <w:szCs w:val="19"/>
              </w:rPr>
            </w:pPr>
            <w:r w:rsidRPr="006A51BA">
              <w:rPr>
                <w:sz w:val="19"/>
                <w:szCs w:val="19"/>
              </w:rPr>
              <w:t>433 ML CEW, 1,000 ML SA Ministers Reserve.</w:t>
            </w:r>
          </w:p>
          <w:p w14:paraId="637F3FC6" w14:textId="77777777" w:rsidR="006A51BA" w:rsidRPr="006A51BA" w:rsidRDefault="006A51BA" w:rsidP="00D90697">
            <w:pPr>
              <w:contextualSpacing/>
              <w:jc w:val="center"/>
              <w:rPr>
                <w:sz w:val="19"/>
                <w:szCs w:val="19"/>
                <w:highlight w:val="yellow"/>
              </w:rPr>
            </w:pPr>
            <w:r w:rsidRPr="006A51BA">
              <w:rPr>
                <w:sz w:val="19"/>
                <w:szCs w:val="19"/>
              </w:rPr>
              <w:tab/>
            </w:r>
          </w:p>
        </w:tc>
      </w:tr>
      <w:tr w:rsidR="006A51BA" w:rsidRPr="006A51BA" w14:paraId="18AB792D" w14:textId="77777777" w:rsidTr="008B4826">
        <w:trPr>
          <w:trHeight w:val="397"/>
        </w:trPr>
        <w:tc>
          <w:tcPr>
            <w:tcW w:w="987" w:type="dxa"/>
            <w:vMerge/>
          </w:tcPr>
          <w:p w14:paraId="5D837FAE" w14:textId="77777777" w:rsidR="006A51BA" w:rsidRPr="006A51BA" w:rsidRDefault="006A51BA" w:rsidP="00D90697">
            <w:pPr>
              <w:contextualSpacing/>
              <w:rPr>
                <w:sz w:val="19"/>
                <w:szCs w:val="19"/>
              </w:rPr>
            </w:pPr>
          </w:p>
        </w:tc>
        <w:tc>
          <w:tcPr>
            <w:tcW w:w="1291" w:type="dxa"/>
          </w:tcPr>
          <w:p w14:paraId="18C62DE0" w14:textId="77777777" w:rsidR="006A51BA" w:rsidRPr="006A51BA" w:rsidRDefault="006A51BA" w:rsidP="00D90697">
            <w:pPr>
              <w:contextualSpacing/>
              <w:rPr>
                <w:sz w:val="19"/>
                <w:szCs w:val="19"/>
              </w:rPr>
            </w:pPr>
            <w:r w:rsidRPr="006A51BA">
              <w:rPr>
                <w:sz w:val="19"/>
                <w:szCs w:val="19"/>
              </w:rPr>
              <w:t>Katarapko</w:t>
            </w:r>
          </w:p>
        </w:tc>
        <w:tc>
          <w:tcPr>
            <w:tcW w:w="1403" w:type="dxa"/>
          </w:tcPr>
          <w:p w14:paraId="05DAA0ED" w14:textId="77777777" w:rsidR="006A51BA" w:rsidRPr="006A51BA" w:rsidRDefault="006A51BA" w:rsidP="00D90697">
            <w:pPr>
              <w:contextualSpacing/>
              <w:rPr>
                <w:sz w:val="19"/>
                <w:szCs w:val="19"/>
              </w:rPr>
            </w:pPr>
            <w:r w:rsidRPr="006A51BA">
              <w:rPr>
                <w:sz w:val="19"/>
                <w:szCs w:val="19"/>
              </w:rPr>
              <w:t>+2.8 m</w:t>
            </w:r>
          </w:p>
        </w:tc>
        <w:tc>
          <w:tcPr>
            <w:tcW w:w="3789" w:type="dxa"/>
          </w:tcPr>
          <w:p w14:paraId="2F5C6091" w14:textId="5B9B0013" w:rsidR="006A51BA" w:rsidRPr="006A51BA" w:rsidRDefault="006A51BA" w:rsidP="00D90697">
            <w:pPr>
              <w:contextualSpacing/>
              <w:rPr>
                <w:sz w:val="19"/>
                <w:szCs w:val="19"/>
              </w:rPr>
            </w:pPr>
            <w:r w:rsidRPr="006A51BA">
              <w:rPr>
                <w:sz w:val="19"/>
                <w:szCs w:val="19"/>
              </w:rPr>
              <w:t>In conjunction with the operation of Lock 4 (Table B1), water levels in Katarapko creek were raised and held at the peak water levels for 6 days during late November–early December, before returning to normal levels by late December.</w:t>
            </w:r>
          </w:p>
        </w:tc>
        <w:tc>
          <w:tcPr>
            <w:tcW w:w="1546" w:type="dxa"/>
          </w:tcPr>
          <w:p w14:paraId="05F1648F" w14:textId="77777777" w:rsidR="006A51BA" w:rsidRPr="006A51BA" w:rsidRDefault="006A51BA" w:rsidP="00D90697">
            <w:pPr>
              <w:contextualSpacing/>
              <w:jc w:val="center"/>
              <w:rPr>
                <w:sz w:val="19"/>
                <w:szCs w:val="19"/>
                <w:highlight w:val="yellow"/>
              </w:rPr>
            </w:pPr>
            <w:r w:rsidRPr="006A51BA">
              <w:rPr>
                <w:sz w:val="19"/>
                <w:szCs w:val="19"/>
              </w:rPr>
              <w:t>4,910 ML CEW</w:t>
            </w:r>
          </w:p>
        </w:tc>
      </w:tr>
      <w:tr w:rsidR="006A51BA" w:rsidRPr="006A51BA" w14:paraId="4BA8979D" w14:textId="77777777" w:rsidTr="00D90697">
        <w:trPr>
          <w:trHeight w:val="397"/>
        </w:trPr>
        <w:tc>
          <w:tcPr>
            <w:tcW w:w="987" w:type="dxa"/>
            <w:vMerge w:val="restart"/>
          </w:tcPr>
          <w:p w14:paraId="055461CF" w14:textId="77777777" w:rsidR="006A51BA" w:rsidRPr="006A51BA" w:rsidRDefault="006A51BA" w:rsidP="00D90697">
            <w:pPr>
              <w:contextualSpacing/>
              <w:rPr>
                <w:sz w:val="19"/>
                <w:szCs w:val="19"/>
                <w:highlight w:val="yellow"/>
              </w:rPr>
            </w:pPr>
            <w:r w:rsidRPr="006A51BA">
              <w:rPr>
                <w:sz w:val="19"/>
                <w:szCs w:val="19"/>
              </w:rPr>
              <w:t>2021-22</w:t>
            </w:r>
          </w:p>
        </w:tc>
        <w:tc>
          <w:tcPr>
            <w:tcW w:w="1291" w:type="dxa"/>
          </w:tcPr>
          <w:p w14:paraId="1138E6FE" w14:textId="77777777" w:rsidR="006A51BA" w:rsidRPr="006A51BA" w:rsidRDefault="006A51BA" w:rsidP="00D90697">
            <w:pPr>
              <w:contextualSpacing/>
              <w:rPr>
                <w:sz w:val="19"/>
                <w:szCs w:val="19"/>
                <w:highlight w:val="yellow"/>
              </w:rPr>
            </w:pPr>
            <w:r w:rsidRPr="006A51BA">
              <w:rPr>
                <w:sz w:val="19"/>
                <w:szCs w:val="19"/>
              </w:rPr>
              <w:t>Chowilla</w:t>
            </w:r>
          </w:p>
        </w:tc>
        <w:tc>
          <w:tcPr>
            <w:tcW w:w="1403" w:type="dxa"/>
          </w:tcPr>
          <w:p w14:paraId="4F0258DE" w14:textId="77777777" w:rsidR="006A51BA" w:rsidRPr="006A51BA" w:rsidRDefault="006A51BA" w:rsidP="00D90697">
            <w:pPr>
              <w:contextualSpacing/>
              <w:rPr>
                <w:sz w:val="19"/>
                <w:szCs w:val="19"/>
                <w:highlight w:val="yellow"/>
              </w:rPr>
            </w:pPr>
            <w:r w:rsidRPr="006A51BA">
              <w:rPr>
                <w:sz w:val="19"/>
                <w:szCs w:val="19"/>
              </w:rPr>
              <w:t>+3.2 m</w:t>
            </w:r>
          </w:p>
        </w:tc>
        <w:tc>
          <w:tcPr>
            <w:tcW w:w="3789" w:type="dxa"/>
            <w:vMerge w:val="restart"/>
          </w:tcPr>
          <w:p w14:paraId="28181823" w14:textId="77777777" w:rsidR="006A51BA" w:rsidRPr="006A51BA" w:rsidRDefault="006A51BA" w:rsidP="00D90697">
            <w:pPr>
              <w:contextualSpacing/>
              <w:rPr>
                <w:sz w:val="19"/>
                <w:szCs w:val="19"/>
                <w:highlight w:val="yellow"/>
              </w:rPr>
            </w:pPr>
            <w:r w:rsidRPr="006A51BA">
              <w:rPr>
                <w:sz w:val="19"/>
                <w:szCs w:val="19"/>
              </w:rPr>
              <w:t>Water levels were raised from late July/early August, in conjunction with the raising of the respective weir pools (Table B1). Water levels were held at a maximum height for approximately 4 weeks before undergoing drawdown in late November/late December – operation at Katarapko was curtailed early as water levels</w:t>
            </w:r>
            <w:r w:rsidRPr="006A51BA">
              <w:rPr>
                <w:bCs/>
                <w:sz w:val="19"/>
                <w:szCs w:val="19"/>
                <w:lang w:val="en-US"/>
              </w:rPr>
              <w:t xml:space="preserve"> equilibrated with elevated river flows</w:t>
            </w:r>
            <w:r w:rsidRPr="006A51BA">
              <w:rPr>
                <w:sz w:val="19"/>
                <w:szCs w:val="19"/>
              </w:rPr>
              <w:t>.</w:t>
            </w:r>
          </w:p>
        </w:tc>
        <w:tc>
          <w:tcPr>
            <w:tcW w:w="1546" w:type="dxa"/>
            <w:vMerge w:val="restart"/>
          </w:tcPr>
          <w:p w14:paraId="3F62C83D" w14:textId="77777777" w:rsidR="006A51BA" w:rsidRPr="006A51BA" w:rsidRDefault="006A51BA" w:rsidP="00D90697">
            <w:pPr>
              <w:contextualSpacing/>
              <w:jc w:val="center"/>
              <w:rPr>
                <w:sz w:val="19"/>
                <w:szCs w:val="19"/>
                <w:highlight w:val="yellow"/>
              </w:rPr>
            </w:pPr>
            <w:r w:rsidRPr="006A51BA">
              <w:rPr>
                <w:sz w:val="19"/>
                <w:szCs w:val="19"/>
              </w:rPr>
              <w:t>0 ML CEW</w:t>
            </w:r>
          </w:p>
        </w:tc>
      </w:tr>
      <w:tr w:rsidR="006A51BA" w:rsidRPr="006A51BA" w14:paraId="049E0077" w14:textId="77777777" w:rsidTr="00D90697">
        <w:trPr>
          <w:trHeight w:val="397"/>
        </w:trPr>
        <w:tc>
          <w:tcPr>
            <w:tcW w:w="987" w:type="dxa"/>
            <w:vMerge/>
          </w:tcPr>
          <w:p w14:paraId="1DCD3881" w14:textId="77777777" w:rsidR="006A51BA" w:rsidRPr="006A51BA" w:rsidRDefault="006A51BA" w:rsidP="00D90697">
            <w:pPr>
              <w:contextualSpacing/>
              <w:rPr>
                <w:sz w:val="19"/>
                <w:szCs w:val="19"/>
              </w:rPr>
            </w:pPr>
          </w:p>
        </w:tc>
        <w:tc>
          <w:tcPr>
            <w:tcW w:w="1291" w:type="dxa"/>
          </w:tcPr>
          <w:p w14:paraId="64FD77DD" w14:textId="77777777" w:rsidR="006A51BA" w:rsidRPr="006A51BA" w:rsidRDefault="006A51BA" w:rsidP="00D90697">
            <w:pPr>
              <w:contextualSpacing/>
              <w:rPr>
                <w:sz w:val="19"/>
                <w:szCs w:val="19"/>
                <w:highlight w:val="yellow"/>
              </w:rPr>
            </w:pPr>
            <w:r w:rsidRPr="006A51BA">
              <w:rPr>
                <w:sz w:val="19"/>
                <w:szCs w:val="19"/>
              </w:rPr>
              <w:t>Pike</w:t>
            </w:r>
          </w:p>
        </w:tc>
        <w:tc>
          <w:tcPr>
            <w:tcW w:w="1403" w:type="dxa"/>
          </w:tcPr>
          <w:p w14:paraId="6AEC52AB" w14:textId="77777777" w:rsidR="006A51BA" w:rsidRPr="006A51BA" w:rsidRDefault="006A51BA" w:rsidP="00D90697">
            <w:pPr>
              <w:contextualSpacing/>
              <w:rPr>
                <w:sz w:val="19"/>
                <w:szCs w:val="19"/>
                <w:highlight w:val="yellow"/>
              </w:rPr>
            </w:pPr>
            <w:r w:rsidRPr="006A51BA">
              <w:rPr>
                <w:sz w:val="19"/>
                <w:szCs w:val="19"/>
              </w:rPr>
              <w:t>+1.25 m</w:t>
            </w:r>
          </w:p>
        </w:tc>
        <w:tc>
          <w:tcPr>
            <w:tcW w:w="3789" w:type="dxa"/>
            <w:vMerge/>
          </w:tcPr>
          <w:p w14:paraId="072C4DDB" w14:textId="77777777" w:rsidR="006A51BA" w:rsidRPr="006A51BA" w:rsidRDefault="006A51BA" w:rsidP="00D90697">
            <w:pPr>
              <w:contextualSpacing/>
              <w:rPr>
                <w:sz w:val="19"/>
                <w:szCs w:val="19"/>
                <w:highlight w:val="yellow"/>
              </w:rPr>
            </w:pPr>
          </w:p>
        </w:tc>
        <w:tc>
          <w:tcPr>
            <w:tcW w:w="1546" w:type="dxa"/>
            <w:vMerge/>
          </w:tcPr>
          <w:p w14:paraId="49B3750B" w14:textId="77777777" w:rsidR="006A51BA" w:rsidRPr="006A51BA" w:rsidRDefault="006A51BA" w:rsidP="00D90697">
            <w:pPr>
              <w:contextualSpacing/>
              <w:jc w:val="center"/>
              <w:rPr>
                <w:sz w:val="19"/>
                <w:szCs w:val="19"/>
                <w:highlight w:val="yellow"/>
              </w:rPr>
            </w:pPr>
          </w:p>
        </w:tc>
      </w:tr>
      <w:tr w:rsidR="006A51BA" w:rsidRPr="006A51BA" w14:paraId="0FB53C73" w14:textId="77777777" w:rsidTr="00D90697">
        <w:trPr>
          <w:trHeight w:val="397"/>
        </w:trPr>
        <w:tc>
          <w:tcPr>
            <w:tcW w:w="987" w:type="dxa"/>
            <w:vMerge/>
          </w:tcPr>
          <w:p w14:paraId="3C848410" w14:textId="77777777" w:rsidR="006A51BA" w:rsidRPr="006A51BA" w:rsidRDefault="006A51BA" w:rsidP="00D90697">
            <w:pPr>
              <w:contextualSpacing/>
              <w:rPr>
                <w:sz w:val="19"/>
                <w:szCs w:val="19"/>
              </w:rPr>
            </w:pPr>
          </w:p>
        </w:tc>
        <w:tc>
          <w:tcPr>
            <w:tcW w:w="1291" w:type="dxa"/>
          </w:tcPr>
          <w:p w14:paraId="42CB2172" w14:textId="77777777" w:rsidR="006A51BA" w:rsidRPr="006A51BA" w:rsidRDefault="006A51BA" w:rsidP="00D90697">
            <w:pPr>
              <w:contextualSpacing/>
              <w:rPr>
                <w:sz w:val="19"/>
                <w:szCs w:val="19"/>
                <w:highlight w:val="yellow"/>
              </w:rPr>
            </w:pPr>
            <w:r w:rsidRPr="006A51BA">
              <w:rPr>
                <w:sz w:val="19"/>
                <w:szCs w:val="19"/>
              </w:rPr>
              <w:t>Katarapko</w:t>
            </w:r>
          </w:p>
        </w:tc>
        <w:tc>
          <w:tcPr>
            <w:tcW w:w="1403" w:type="dxa"/>
          </w:tcPr>
          <w:p w14:paraId="05CEDEC5" w14:textId="77777777" w:rsidR="006A51BA" w:rsidRPr="006A51BA" w:rsidRDefault="006A51BA" w:rsidP="00D90697">
            <w:pPr>
              <w:contextualSpacing/>
              <w:rPr>
                <w:sz w:val="19"/>
                <w:szCs w:val="19"/>
                <w:highlight w:val="yellow"/>
              </w:rPr>
            </w:pPr>
            <w:r w:rsidRPr="006A51BA">
              <w:rPr>
                <w:sz w:val="19"/>
                <w:szCs w:val="19"/>
              </w:rPr>
              <w:t>+3.2 m</w:t>
            </w:r>
          </w:p>
        </w:tc>
        <w:tc>
          <w:tcPr>
            <w:tcW w:w="3789" w:type="dxa"/>
            <w:vMerge/>
          </w:tcPr>
          <w:p w14:paraId="6C44E290" w14:textId="77777777" w:rsidR="006A51BA" w:rsidRPr="006A51BA" w:rsidRDefault="006A51BA" w:rsidP="00D90697">
            <w:pPr>
              <w:contextualSpacing/>
              <w:rPr>
                <w:sz w:val="19"/>
                <w:szCs w:val="19"/>
                <w:highlight w:val="yellow"/>
              </w:rPr>
            </w:pPr>
          </w:p>
        </w:tc>
        <w:tc>
          <w:tcPr>
            <w:tcW w:w="1546" w:type="dxa"/>
            <w:vMerge/>
          </w:tcPr>
          <w:p w14:paraId="29B49497" w14:textId="77777777" w:rsidR="006A51BA" w:rsidRPr="006A51BA" w:rsidRDefault="006A51BA" w:rsidP="00D90697">
            <w:pPr>
              <w:contextualSpacing/>
              <w:jc w:val="center"/>
              <w:rPr>
                <w:sz w:val="19"/>
                <w:szCs w:val="19"/>
                <w:highlight w:val="yellow"/>
              </w:rPr>
            </w:pPr>
          </w:p>
        </w:tc>
      </w:tr>
      <w:tr w:rsidR="006A51BA" w:rsidRPr="006A51BA" w14:paraId="758242FE" w14:textId="77777777" w:rsidTr="00D90697">
        <w:trPr>
          <w:trHeight w:val="397"/>
        </w:trPr>
        <w:tc>
          <w:tcPr>
            <w:tcW w:w="987" w:type="dxa"/>
            <w:vMerge w:val="restart"/>
          </w:tcPr>
          <w:p w14:paraId="36DCC837" w14:textId="77777777" w:rsidR="006A51BA" w:rsidRPr="006A51BA" w:rsidRDefault="006A51BA" w:rsidP="00D90697">
            <w:pPr>
              <w:contextualSpacing/>
              <w:rPr>
                <w:sz w:val="19"/>
                <w:szCs w:val="19"/>
                <w:highlight w:val="yellow"/>
              </w:rPr>
            </w:pPr>
            <w:r w:rsidRPr="006A51BA">
              <w:rPr>
                <w:sz w:val="19"/>
                <w:szCs w:val="19"/>
              </w:rPr>
              <w:t>2022-23</w:t>
            </w:r>
          </w:p>
        </w:tc>
        <w:tc>
          <w:tcPr>
            <w:tcW w:w="1291" w:type="dxa"/>
          </w:tcPr>
          <w:p w14:paraId="4EF9C7E9" w14:textId="77777777" w:rsidR="006A51BA" w:rsidRPr="006A51BA" w:rsidRDefault="006A51BA" w:rsidP="00D90697">
            <w:pPr>
              <w:contextualSpacing/>
              <w:rPr>
                <w:sz w:val="19"/>
                <w:szCs w:val="19"/>
              </w:rPr>
            </w:pPr>
            <w:r w:rsidRPr="006A51BA">
              <w:rPr>
                <w:sz w:val="19"/>
                <w:szCs w:val="19"/>
              </w:rPr>
              <w:t>Pike</w:t>
            </w:r>
          </w:p>
        </w:tc>
        <w:tc>
          <w:tcPr>
            <w:tcW w:w="1403" w:type="dxa"/>
          </w:tcPr>
          <w:p w14:paraId="5F771EFE" w14:textId="77777777" w:rsidR="006A51BA" w:rsidRPr="006A51BA" w:rsidRDefault="006A51BA" w:rsidP="00D90697">
            <w:pPr>
              <w:contextualSpacing/>
              <w:rPr>
                <w:sz w:val="19"/>
                <w:szCs w:val="19"/>
                <w:highlight w:val="yellow"/>
              </w:rPr>
            </w:pPr>
            <w:r w:rsidRPr="006A51BA">
              <w:rPr>
                <w:sz w:val="19"/>
                <w:szCs w:val="19"/>
              </w:rPr>
              <w:t>+1.5 m</w:t>
            </w:r>
          </w:p>
        </w:tc>
        <w:tc>
          <w:tcPr>
            <w:tcW w:w="3789" w:type="dxa"/>
          </w:tcPr>
          <w:p w14:paraId="77ECDEF2" w14:textId="286F9CE6" w:rsidR="006A51BA" w:rsidRPr="006A51BA" w:rsidRDefault="006A51BA" w:rsidP="00D90697">
            <w:pPr>
              <w:contextualSpacing/>
              <w:rPr>
                <w:sz w:val="19"/>
                <w:szCs w:val="19"/>
                <w:highlight w:val="yellow"/>
              </w:rPr>
            </w:pPr>
            <w:r w:rsidRPr="006A51BA">
              <w:rPr>
                <w:sz w:val="19"/>
                <w:szCs w:val="19"/>
              </w:rPr>
              <w:t>The operation of the Pike regulator occurred in conjunction with Weir Pool 5 raising between early July and mid-October, before being overtaken by the flood.</w:t>
            </w:r>
          </w:p>
        </w:tc>
        <w:tc>
          <w:tcPr>
            <w:tcW w:w="1546" w:type="dxa"/>
            <w:vMerge w:val="restart"/>
          </w:tcPr>
          <w:p w14:paraId="5531E099" w14:textId="77777777" w:rsidR="006A51BA" w:rsidRPr="006A51BA" w:rsidRDefault="006A51BA" w:rsidP="00D90697">
            <w:pPr>
              <w:contextualSpacing/>
              <w:jc w:val="center"/>
              <w:rPr>
                <w:sz w:val="19"/>
                <w:szCs w:val="19"/>
                <w:highlight w:val="yellow"/>
              </w:rPr>
            </w:pPr>
            <w:r w:rsidRPr="006A51BA">
              <w:rPr>
                <w:sz w:val="19"/>
                <w:szCs w:val="19"/>
              </w:rPr>
              <w:t>0 ML CEW</w:t>
            </w:r>
          </w:p>
        </w:tc>
      </w:tr>
      <w:tr w:rsidR="006A51BA" w:rsidRPr="006A51BA" w14:paraId="6BC2895E" w14:textId="77777777" w:rsidTr="00D90697">
        <w:trPr>
          <w:trHeight w:val="397"/>
        </w:trPr>
        <w:tc>
          <w:tcPr>
            <w:tcW w:w="987" w:type="dxa"/>
            <w:vMerge/>
          </w:tcPr>
          <w:p w14:paraId="2150FC51" w14:textId="77777777" w:rsidR="006A51BA" w:rsidRPr="006A51BA" w:rsidRDefault="006A51BA" w:rsidP="00D90697">
            <w:pPr>
              <w:contextualSpacing/>
              <w:rPr>
                <w:sz w:val="19"/>
                <w:szCs w:val="19"/>
              </w:rPr>
            </w:pPr>
          </w:p>
        </w:tc>
        <w:tc>
          <w:tcPr>
            <w:tcW w:w="1291" w:type="dxa"/>
          </w:tcPr>
          <w:p w14:paraId="3AEC7496" w14:textId="77777777" w:rsidR="006A51BA" w:rsidRPr="006A51BA" w:rsidRDefault="006A51BA" w:rsidP="00D90697">
            <w:pPr>
              <w:contextualSpacing/>
              <w:rPr>
                <w:sz w:val="19"/>
                <w:szCs w:val="19"/>
              </w:rPr>
            </w:pPr>
            <w:r w:rsidRPr="006A51BA">
              <w:rPr>
                <w:sz w:val="19"/>
                <w:szCs w:val="19"/>
              </w:rPr>
              <w:t>Katarapko</w:t>
            </w:r>
          </w:p>
        </w:tc>
        <w:tc>
          <w:tcPr>
            <w:tcW w:w="1403" w:type="dxa"/>
          </w:tcPr>
          <w:p w14:paraId="1C416B12" w14:textId="77777777" w:rsidR="006A51BA" w:rsidRPr="006A51BA" w:rsidRDefault="006A51BA" w:rsidP="00D90697">
            <w:pPr>
              <w:contextualSpacing/>
              <w:rPr>
                <w:sz w:val="19"/>
                <w:szCs w:val="19"/>
              </w:rPr>
            </w:pPr>
            <w:r w:rsidRPr="006A51BA">
              <w:rPr>
                <w:sz w:val="19"/>
                <w:szCs w:val="19"/>
              </w:rPr>
              <w:t>N/A</w:t>
            </w:r>
          </w:p>
        </w:tc>
        <w:tc>
          <w:tcPr>
            <w:tcW w:w="3789" w:type="dxa"/>
          </w:tcPr>
          <w:p w14:paraId="14B55D72" w14:textId="651C697E" w:rsidR="006A51BA" w:rsidRPr="006A51BA" w:rsidRDefault="006A51BA" w:rsidP="00D90697">
            <w:pPr>
              <w:contextualSpacing/>
              <w:rPr>
                <w:sz w:val="19"/>
                <w:szCs w:val="19"/>
              </w:rPr>
            </w:pPr>
            <w:r w:rsidRPr="006A51BA">
              <w:rPr>
                <w:sz w:val="19"/>
                <w:szCs w:val="19"/>
              </w:rPr>
              <w:t xml:space="preserve">No intervention was required, unregulated flows inundated areas </w:t>
            </w:r>
            <w:r w:rsidRPr="006A51BA">
              <w:rPr>
                <w:sz w:val="19"/>
                <w:szCs w:val="19"/>
              </w:rPr>
              <w:lastRenderedPageBreak/>
              <w:t xml:space="preserve">greater than could be achieved through operation of the floodplain infrastructure. </w:t>
            </w:r>
          </w:p>
        </w:tc>
        <w:tc>
          <w:tcPr>
            <w:tcW w:w="1546" w:type="dxa"/>
            <w:vMerge/>
          </w:tcPr>
          <w:p w14:paraId="0CCE91F8" w14:textId="77777777" w:rsidR="006A51BA" w:rsidRPr="006A51BA" w:rsidRDefault="006A51BA" w:rsidP="00D90697">
            <w:pPr>
              <w:contextualSpacing/>
              <w:jc w:val="center"/>
              <w:rPr>
                <w:sz w:val="19"/>
                <w:szCs w:val="19"/>
              </w:rPr>
            </w:pPr>
          </w:p>
        </w:tc>
      </w:tr>
      <w:tr w:rsidR="006A51BA" w:rsidRPr="006A51BA" w14:paraId="7438DCC4" w14:textId="77777777" w:rsidTr="00D90697">
        <w:trPr>
          <w:trHeight w:val="397"/>
        </w:trPr>
        <w:tc>
          <w:tcPr>
            <w:tcW w:w="987" w:type="dxa"/>
            <w:vMerge/>
          </w:tcPr>
          <w:p w14:paraId="211CD6C8" w14:textId="77777777" w:rsidR="006A51BA" w:rsidRPr="006A51BA" w:rsidRDefault="006A51BA" w:rsidP="00D90697">
            <w:pPr>
              <w:contextualSpacing/>
              <w:rPr>
                <w:sz w:val="19"/>
                <w:szCs w:val="19"/>
              </w:rPr>
            </w:pPr>
          </w:p>
        </w:tc>
        <w:tc>
          <w:tcPr>
            <w:tcW w:w="1291" w:type="dxa"/>
          </w:tcPr>
          <w:p w14:paraId="6A688567" w14:textId="77777777" w:rsidR="006A51BA" w:rsidRPr="006A51BA" w:rsidRDefault="006A51BA" w:rsidP="00D90697">
            <w:pPr>
              <w:contextualSpacing/>
              <w:rPr>
                <w:sz w:val="19"/>
                <w:szCs w:val="19"/>
              </w:rPr>
            </w:pPr>
            <w:r w:rsidRPr="006A51BA">
              <w:rPr>
                <w:sz w:val="19"/>
                <w:szCs w:val="19"/>
              </w:rPr>
              <w:t>Chowilla</w:t>
            </w:r>
          </w:p>
        </w:tc>
        <w:tc>
          <w:tcPr>
            <w:tcW w:w="1403" w:type="dxa"/>
          </w:tcPr>
          <w:p w14:paraId="46D2BCF3" w14:textId="77777777" w:rsidR="006A51BA" w:rsidRPr="006A51BA" w:rsidRDefault="006A51BA" w:rsidP="00D90697">
            <w:pPr>
              <w:contextualSpacing/>
              <w:rPr>
                <w:sz w:val="19"/>
                <w:szCs w:val="19"/>
                <w:highlight w:val="yellow"/>
              </w:rPr>
            </w:pPr>
            <w:r w:rsidRPr="006A51BA">
              <w:rPr>
                <w:sz w:val="19"/>
                <w:szCs w:val="19"/>
              </w:rPr>
              <w:t>+3.25 m</w:t>
            </w:r>
          </w:p>
        </w:tc>
        <w:tc>
          <w:tcPr>
            <w:tcW w:w="3789" w:type="dxa"/>
          </w:tcPr>
          <w:p w14:paraId="1DA78BC6" w14:textId="77777777" w:rsidR="006A51BA" w:rsidRPr="006A51BA" w:rsidRDefault="006A51BA" w:rsidP="00D90697">
            <w:pPr>
              <w:contextualSpacing/>
              <w:rPr>
                <w:sz w:val="19"/>
                <w:szCs w:val="19"/>
                <w:highlight w:val="yellow"/>
              </w:rPr>
            </w:pPr>
            <w:r w:rsidRPr="006A51BA">
              <w:rPr>
                <w:sz w:val="19"/>
                <w:szCs w:val="19"/>
              </w:rPr>
              <w:t>Regulator operation was undertaken between late July and early October. The peak was reached in mid-September. During October, the regulator and Weir Pool 6 manipulations were overtaken by the flood.</w:t>
            </w:r>
          </w:p>
        </w:tc>
        <w:tc>
          <w:tcPr>
            <w:tcW w:w="1546" w:type="dxa"/>
            <w:vMerge/>
          </w:tcPr>
          <w:p w14:paraId="3FA9E812" w14:textId="77777777" w:rsidR="006A51BA" w:rsidRPr="006A51BA" w:rsidRDefault="006A51BA" w:rsidP="00D90697">
            <w:pPr>
              <w:contextualSpacing/>
              <w:jc w:val="center"/>
              <w:rPr>
                <w:sz w:val="19"/>
                <w:szCs w:val="19"/>
                <w:highlight w:val="yellow"/>
              </w:rPr>
            </w:pPr>
          </w:p>
        </w:tc>
      </w:tr>
    </w:tbl>
    <w:p w14:paraId="6EA56861" w14:textId="77777777" w:rsidR="005A7512" w:rsidRDefault="005A7512" w:rsidP="0056442E">
      <w:pPr>
        <w:jc w:val="center"/>
      </w:pPr>
    </w:p>
    <w:p w14:paraId="4D6D53CB" w14:textId="77777777" w:rsidR="0078596B" w:rsidRDefault="0078596B" w:rsidP="0056442E">
      <w:pPr>
        <w:jc w:val="center"/>
        <w:sectPr w:rsidR="0078596B" w:rsidSect="008D628A">
          <w:pgSz w:w="11906" w:h="16838"/>
          <w:pgMar w:top="1440" w:right="1440" w:bottom="1440" w:left="1440" w:header="709" w:footer="709" w:gutter="0"/>
          <w:cols w:space="708"/>
          <w:docGrid w:linePitch="360"/>
        </w:sectPr>
      </w:pPr>
    </w:p>
    <w:p w14:paraId="6BEF8688" w14:textId="2695099B" w:rsidR="0056442E" w:rsidRDefault="006467B8" w:rsidP="0056442E">
      <w:pPr>
        <w:jc w:val="center"/>
      </w:pPr>
      <w:r>
        <w:rPr>
          <w:noProof/>
        </w:rPr>
        <w:lastRenderedPageBreak/>
        <w:drawing>
          <wp:inline distT="0" distB="0" distL="0" distR="0" wp14:anchorId="3E9E50D5" wp14:editId="2591223F">
            <wp:extent cx="8863330" cy="4843898"/>
            <wp:effectExtent l="0" t="0" r="0" b="0"/>
            <wp:docPr id="1170952592" name="Picture 2" descr="Graphs of water levels upstream of the Katarapko Creek regulator, Pike River regulator and Chowilla Creek regulator from 2019–2024, showing regulator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52592" name="Picture 2" descr="Graphs of water levels upstream of the Katarapko Creek regulator, Pike River regulator and Chowilla Creek regulator from 2019–2024, showing regulator operations."/>
                    <pic:cNvPicPr/>
                  </pic:nvPicPr>
                  <pic:blipFill rotWithShape="1">
                    <a:blip r:embed="rId147" cstate="print">
                      <a:extLst>
                        <a:ext uri="{28A0092B-C50C-407E-A947-70E740481C1C}">
                          <a14:useLocalDpi xmlns:a14="http://schemas.microsoft.com/office/drawing/2010/main" val="0"/>
                        </a:ext>
                      </a:extLst>
                    </a:blip>
                    <a:srcRect t="6563"/>
                    <a:stretch/>
                  </pic:blipFill>
                  <pic:spPr bwMode="auto">
                    <a:xfrm>
                      <a:off x="0" y="0"/>
                      <a:ext cx="8863330" cy="4843898"/>
                    </a:xfrm>
                    <a:prstGeom prst="rect">
                      <a:avLst/>
                    </a:prstGeom>
                    <a:ln>
                      <a:noFill/>
                    </a:ln>
                    <a:extLst>
                      <a:ext uri="{53640926-AAD7-44D8-BBD7-CCE9431645EC}">
                        <a14:shadowObscured xmlns:a14="http://schemas.microsoft.com/office/drawing/2010/main"/>
                      </a:ext>
                    </a:extLst>
                  </pic:spPr>
                </pic:pic>
              </a:graphicData>
            </a:graphic>
          </wp:inline>
        </w:drawing>
      </w:r>
    </w:p>
    <w:p w14:paraId="7232EA9E" w14:textId="45A472DF" w:rsidR="0056442E" w:rsidRDefault="0056442E" w:rsidP="00605FB2">
      <w:pPr>
        <w:pStyle w:val="Captions"/>
      </w:pPr>
      <w:r w:rsidRPr="007376E2">
        <w:t>Figure B</w:t>
      </w:r>
      <w:r w:rsidR="00016B4E">
        <w:t>2</w:t>
      </w:r>
      <w:r w:rsidRPr="007376E2">
        <w:t xml:space="preserve">. </w:t>
      </w:r>
      <w:r w:rsidR="006E4404" w:rsidRPr="00010111">
        <w:t xml:space="preserve">Water levels </w:t>
      </w:r>
      <w:r w:rsidR="006E4404">
        <w:t>upstream of the</w:t>
      </w:r>
      <w:r w:rsidR="0078596B">
        <w:t xml:space="preserve"> Katarapko Creek regulator (</w:t>
      </w:r>
      <w:r w:rsidR="0078596B" w:rsidRPr="0078596B">
        <w:t>A4261790</w:t>
      </w:r>
      <w:r w:rsidR="0078596B">
        <w:t>) +9.9 m AHD,</w:t>
      </w:r>
      <w:r w:rsidR="006E4404">
        <w:t xml:space="preserve"> Pike </w:t>
      </w:r>
      <w:r w:rsidR="006E4404" w:rsidRPr="0056442E">
        <w:t xml:space="preserve">River </w:t>
      </w:r>
      <w:r w:rsidR="006E4404">
        <w:t>regulator (</w:t>
      </w:r>
      <w:r w:rsidR="006E4404" w:rsidRPr="0056442E">
        <w:t>A4261053</w:t>
      </w:r>
      <w:r w:rsidR="006E4404">
        <w:t>)</w:t>
      </w:r>
      <w:r w:rsidR="0078596B">
        <w:t xml:space="preserve"> +14.5 m AHD</w:t>
      </w:r>
      <w:r w:rsidR="006E4404">
        <w:t xml:space="preserve"> and Chowilla Creek regulator (A4261091)</w:t>
      </w:r>
      <w:r w:rsidR="0078596B">
        <w:t xml:space="preserve"> +16.4 m AHD</w:t>
      </w:r>
      <w:r w:rsidR="006E4404">
        <w:t xml:space="preserve"> from </w:t>
      </w:r>
      <w:r w:rsidR="0078596B">
        <w:t>2019–2024</w:t>
      </w:r>
      <w:r w:rsidR="006E4404" w:rsidRPr="00010111">
        <w:t xml:space="preserve">, showing </w:t>
      </w:r>
      <w:r w:rsidR="006E4404">
        <w:t>regulator operations</w:t>
      </w:r>
      <w:r w:rsidR="006E4404" w:rsidRPr="00010111">
        <w:t xml:space="preserve"> (DEW).</w:t>
      </w:r>
      <w:r w:rsidR="00A94CAA">
        <w:t xml:space="preserve"> </w:t>
      </w:r>
      <w:r w:rsidR="0078596B" w:rsidRPr="0078596B">
        <w:t xml:space="preserve">Flow to South Australia (QSA) </w:t>
      </w:r>
      <w:r w:rsidR="0078596B">
        <w:t>is</w:t>
      </w:r>
      <w:r w:rsidR="0078596B" w:rsidRPr="0078596B">
        <w:t xml:space="preserve"> presented.</w:t>
      </w:r>
      <w:r w:rsidR="0078596B">
        <w:t xml:space="preserve"> Water level data for Katarapko are not available prior to </w:t>
      </w:r>
      <w:r w:rsidR="00CF361C">
        <w:t>September 2020. Water level data for Pike between 30 November</w:t>
      </w:r>
      <w:r w:rsidR="006467B8">
        <w:t xml:space="preserve"> 2022</w:t>
      </w:r>
      <w:r w:rsidR="00CF361C">
        <w:t xml:space="preserve"> and 25 May</w:t>
      </w:r>
      <w:r w:rsidR="006467B8">
        <w:t xml:space="preserve"> 2023</w:t>
      </w:r>
      <w:r w:rsidR="00CF361C">
        <w:t xml:space="preserve"> were omitted due to unreliability. </w:t>
      </w:r>
      <w:r w:rsidR="0078596B">
        <w:t xml:space="preserve"> </w:t>
      </w:r>
    </w:p>
    <w:p w14:paraId="76347AE5" w14:textId="77777777" w:rsidR="0078596B" w:rsidRDefault="0078596B" w:rsidP="0056442E">
      <w:pPr>
        <w:sectPr w:rsidR="0078596B" w:rsidSect="0078596B">
          <w:pgSz w:w="16838" w:h="11906" w:orient="landscape"/>
          <w:pgMar w:top="1440" w:right="1440" w:bottom="1440" w:left="1440" w:header="709" w:footer="709" w:gutter="0"/>
          <w:cols w:space="708"/>
          <w:docGrid w:linePitch="360"/>
        </w:sectPr>
      </w:pPr>
    </w:p>
    <w:p w14:paraId="11C88C77" w14:textId="75ABF7A8" w:rsidR="00754761" w:rsidRPr="001F25D3" w:rsidRDefault="00754761" w:rsidP="00754761">
      <w:pPr>
        <w:rPr>
          <w:b/>
          <w:color w:val="44546A" w:themeColor="text2"/>
          <w:sz w:val="26"/>
          <w:szCs w:val="26"/>
        </w:rPr>
      </w:pPr>
      <w:r w:rsidRPr="001F25D3">
        <w:rPr>
          <w:b/>
          <w:color w:val="44546A" w:themeColor="text2"/>
          <w:sz w:val="26"/>
          <w:szCs w:val="26"/>
        </w:rPr>
        <w:lastRenderedPageBreak/>
        <w:t xml:space="preserve">Watering and management activities outside of the Lower Murray </w:t>
      </w:r>
    </w:p>
    <w:p w14:paraId="2C15A706" w14:textId="77777777" w:rsidR="00971B24" w:rsidRPr="001F25D3" w:rsidRDefault="00971B24" w:rsidP="00971B24">
      <w:pPr>
        <w:rPr>
          <w:b/>
          <w:i/>
          <w:color w:val="44546A" w:themeColor="text2"/>
          <w:sz w:val="24"/>
          <w:szCs w:val="24"/>
        </w:rPr>
      </w:pPr>
      <w:r w:rsidRPr="001F25D3">
        <w:rPr>
          <w:b/>
          <w:i/>
          <w:color w:val="44546A" w:themeColor="text2"/>
          <w:sz w:val="24"/>
          <w:szCs w:val="24"/>
        </w:rPr>
        <w:t xml:space="preserve">Manipulation of water levels in Weir Pools 7, 8, 9 and 15 </w:t>
      </w:r>
    </w:p>
    <w:p w14:paraId="3B2F4CAB" w14:textId="625BD0DD" w:rsidR="00B15ECA" w:rsidRPr="00B15ECA" w:rsidRDefault="00B15ECA" w:rsidP="00B15ECA">
      <w:pPr>
        <w:rPr>
          <w:highlight w:val="yellow"/>
        </w:rPr>
      </w:pPr>
      <w:r w:rsidRPr="001F25D3">
        <w:t>Water levels in Weir Pools 7, 8, 9 and 15 have been raised and/or lowered annually from 20</w:t>
      </w:r>
      <w:r w:rsidR="001F25D3" w:rsidRPr="001F25D3">
        <w:t>19</w:t>
      </w:r>
      <w:r w:rsidRPr="001F25D3">
        <w:t>–20</w:t>
      </w:r>
      <w:r w:rsidR="001F25D3" w:rsidRPr="001F25D3">
        <w:t>24</w:t>
      </w:r>
      <w:r w:rsidRPr="001F25D3">
        <w:t xml:space="preserve"> (Table B3). </w:t>
      </w:r>
      <w:r w:rsidRPr="00D37F9A">
        <w:t>During 201</w:t>
      </w:r>
      <w:r w:rsidR="00D37F9A" w:rsidRPr="00D37F9A">
        <w:t>9</w:t>
      </w:r>
      <w:r w:rsidRPr="00D37F9A">
        <w:t>-</w:t>
      </w:r>
      <w:r w:rsidR="00D37F9A" w:rsidRPr="0088718F">
        <w:t>20</w:t>
      </w:r>
      <w:r w:rsidRPr="0088718F">
        <w:t>, 20</w:t>
      </w:r>
      <w:r w:rsidR="00D37F9A" w:rsidRPr="0088718F">
        <w:t>20</w:t>
      </w:r>
      <w:r w:rsidRPr="0088718F">
        <w:t>-</w:t>
      </w:r>
      <w:r w:rsidR="00D37F9A" w:rsidRPr="0088718F">
        <w:t>21,</w:t>
      </w:r>
      <w:r w:rsidRPr="0088718F">
        <w:t xml:space="preserve"> 20</w:t>
      </w:r>
      <w:r w:rsidR="00D37F9A" w:rsidRPr="0088718F">
        <w:t>21</w:t>
      </w:r>
      <w:r w:rsidRPr="00D37F9A">
        <w:t>-</w:t>
      </w:r>
      <w:r w:rsidR="00D37F9A" w:rsidRPr="00D37F9A">
        <w:t>22</w:t>
      </w:r>
      <w:r w:rsidRPr="00D37F9A">
        <w:t xml:space="preserve"> </w:t>
      </w:r>
      <w:r w:rsidRPr="00C27E3B">
        <w:t>and 20</w:t>
      </w:r>
      <w:r w:rsidR="00D37F9A" w:rsidRPr="00C27E3B">
        <w:t>23</w:t>
      </w:r>
      <w:r w:rsidRPr="00C27E3B">
        <w:t>-</w:t>
      </w:r>
      <w:r w:rsidR="00D37F9A" w:rsidRPr="00C27E3B">
        <w:t>24</w:t>
      </w:r>
      <w:r w:rsidRPr="00C27E3B">
        <w:t>, Commonwealth</w:t>
      </w:r>
      <w:r w:rsidRPr="00D37F9A">
        <w:t xml:space="preserve"> environmental water was used to account for ‘net’ use, i.e. combined loss from raising and savings from lowering for the duration of the environmental watering event and for all weirs involved in the event. In 20</w:t>
      </w:r>
      <w:r w:rsidR="00D37F9A" w:rsidRPr="00D37F9A">
        <w:t>22</w:t>
      </w:r>
      <w:r w:rsidRPr="00D37F9A">
        <w:t>-</w:t>
      </w:r>
      <w:r w:rsidR="00D37F9A" w:rsidRPr="00D37F9A">
        <w:t>23</w:t>
      </w:r>
      <w:r w:rsidRPr="00D37F9A">
        <w:t xml:space="preserve">, </w:t>
      </w:r>
      <w:r w:rsidR="00D37F9A" w:rsidRPr="00D37F9A">
        <w:t>there</w:t>
      </w:r>
      <w:r w:rsidR="00D37F9A">
        <w:t xml:space="preserve"> was no net use because only weir pool lowerings were undertaken and </w:t>
      </w:r>
      <w:r w:rsidR="00D37F9A" w:rsidRPr="00D37F9A">
        <w:t xml:space="preserve">net water savings cannot be credited to the CEWH. </w:t>
      </w:r>
    </w:p>
    <w:p w14:paraId="209D137D" w14:textId="3F2C0D9A" w:rsidR="00B15ECA" w:rsidRPr="001F25D3" w:rsidRDefault="008737D3" w:rsidP="00B15ECA">
      <w:r w:rsidRPr="008737D3">
        <w:t xml:space="preserve">Refer to the five-year LTIM report (Ye </w:t>
      </w:r>
      <w:r w:rsidRPr="000D2C3D">
        <w:rPr>
          <w:i/>
          <w:iCs/>
        </w:rPr>
        <w:t>et al.</w:t>
      </w:r>
      <w:r w:rsidRPr="008737D3">
        <w:t xml:space="preserve"> 2020a) </w:t>
      </w:r>
      <w:r>
        <w:t>for a summary of weir pool manipulations from 2014–2019 and the</w:t>
      </w:r>
      <w:r w:rsidR="00B15ECA" w:rsidRPr="001F25D3">
        <w:t xml:space="preserve"> annual technical reports </w:t>
      </w:r>
      <w:r w:rsidR="001F25D3">
        <w:t>(</w:t>
      </w:r>
      <w:r w:rsidR="001F25D3" w:rsidRPr="001F25D3">
        <w:t xml:space="preserve">Ye </w:t>
      </w:r>
      <w:r w:rsidR="001F25D3" w:rsidRPr="000D2C3D">
        <w:rPr>
          <w:i/>
          <w:iCs/>
        </w:rPr>
        <w:t>et al.</w:t>
      </w:r>
      <w:r w:rsidR="001F25D3" w:rsidRPr="001F25D3">
        <w:t xml:space="preserve"> 2021</w:t>
      </w:r>
      <w:r w:rsidR="00736725">
        <w:t>,</w:t>
      </w:r>
      <w:r w:rsidR="001F25D3" w:rsidRPr="001F25D3">
        <w:t xml:space="preserve"> 2022</w:t>
      </w:r>
      <w:r w:rsidR="00736725">
        <w:t>,</w:t>
      </w:r>
      <w:r w:rsidR="001F25D3" w:rsidRPr="001F25D3">
        <w:t xml:space="preserve"> 2023</w:t>
      </w:r>
      <w:r w:rsidR="00736725">
        <w:t>,</w:t>
      </w:r>
      <w:r w:rsidR="001F25D3" w:rsidRPr="001F25D3">
        <w:t xml:space="preserve"> 2024</w:t>
      </w:r>
      <w:r w:rsidR="001F25D3">
        <w:t xml:space="preserve">) </w:t>
      </w:r>
      <w:r w:rsidR="00B15ECA" w:rsidRPr="001F25D3">
        <w:t>for more detail regarding the timing and magnitude of the events</w:t>
      </w:r>
      <w:r>
        <w:t xml:space="preserve"> from 2019–2024</w:t>
      </w:r>
      <w:r w:rsidR="00B15ECA" w:rsidRPr="001F25D3">
        <w:t>.</w:t>
      </w:r>
      <w:r>
        <w:t xml:space="preserve"> </w:t>
      </w:r>
    </w:p>
    <w:p w14:paraId="32ABB21C" w14:textId="78DD24DC" w:rsidR="00012593" w:rsidRPr="00004BA4" w:rsidRDefault="00B15ECA" w:rsidP="00605FB2">
      <w:pPr>
        <w:pStyle w:val="Captions"/>
        <w:rPr>
          <w:highlight w:val="yellow"/>
        </w:rPr>
      </w:pPr>
      <w:bookmarkStart w:id="595" w:name="_Hlk207968936"/>
      <w:r w:rsidRPr="00004BA4">
        <w:t xml:space="preserve">Table B3. </w:t>
      </w:r>
      <w:r w:rsidR="00004BA4" w:rsidRPr="00004BA4">
        <w:t xml:space="preserve">Timing of water manipulation actions for weir pools upstream of the Lower Murray Selected Area </w:t>
      </w:r>
      <w:r w:rsidR="00A23961">
        <w:t>from 2019–2024</w:t>
      </w:r>
      <w:r w:rsidR="00004BA4" w:rsidRPr="00004BA4">
        <w:t xml:space="preserve"> (source, MDBA). Lowering is below full supply level (FSL).</w:t>
      </w:r>
    </w:p>
    <w:bookmarkEnd w:id="59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showing timing of water manipulation actions for weir pools upstream of the Lower Murray Selected Area from 2019–2024."/>
      </w:tblPr>
      <w:tblGrid>
        <w:gridCol w:w="1049"/>
        <w:gridCol w:w="1781"/>
        <w:gridCol w:w="2340"/>
        <w:gridCol w:w="1694"/>
        <w:gridCol w:w="2152"/>
      </w:tblGrid>
      <w:tr w:rsidR="00012593" w:rsidRPr="009166E2" w14:paraId="184CA973" w14:textId="77777777" w:rsidTr="001933B2">
        <w:trPr>
          <w:trHeight w:val="397"/>
          <w:tblHeader/>
        </w:trPr>
        <w:tc>
          <w:tcPr>
            <w:tcW w:w="1049" w:type="dxa"/>
            <w:vMerge w:val="restart"/>
            <w:vAlign w:val="center"/>
          </w:tcPr>
          <w:p w14:paraId="180BD2C8" w14:textId="77777777" w:rsidR="00012593" w:rsidRPr="009166E2" w:rsidRDefault="00012593" w:rsidP="001933B2">
            <w:pPr>
              <w:contextualSpacing/>
              <w:jc w:val="center"/>
              <w:rPr>
                <w:sz w:val="19"/>
                <w:szCs w:val="19"/>
              </w:rPr>
            </w:pPr>
          </w:p>
        </w:tc>
        <w:tc>
          <w:tcPr>
            <w:tcW w:w="7967" w:type="dxa"/>
            <w:gridSpan w:val="4"/>
            <w:vAlign w:val="center"/>
          </w:tcPr>
          <w:p w14:paraId="18A1F54F" w14:textId="77777777" w:rsidR="00012593" w:rsidRPr="009166E2" w:rsidRDefault="00012593" w:rsidP="001933B2">
            <w:pPr>
              <w:contextualSpacing/>
              <w:jc w:val="center"/>
              <w:rPr>
                <w:sz w:val="19"/>
                <w:szCs w:val="19"/>
              </w:rPr>
            </w:pPr>
            <w:r w:rsidRPr="009166E2">
              <w:rPr>
                <w:sz w:val="19"/>
                <w:szCs w:val="19"/>
              </w:rPr>
              <w:t>Weir pool</w:t>
            </w:r>
          </w:p>
        </w:tc>
      </w:tr>
      <w:tr w:rsidR="00012593" w:rsidRPr="009166E2" w14:paraId="23816E31" w14:textId="77777777" w:rsidTr="001933B2">
        <w:trPr>
          <w:trHeight w:val="397"/>
          <w:tblHeader/>
        </w:trPr>
        <w:tc>
          <w:tcPr>
            <w:tcW w:w="1049" w:type="dxa"/>
            <w:vMerge/>
            <w:vAlign w:val="center"/>
          </w:tcPr>
          <w:p w14:paraId="500D5AC5" w14:textId="77777777" w:rsidR="00012593" w:rsidRPr="009166E2" w:rsidRDefault="00012593" w:rsidP="001933B2">
            <w:pPr>
              <w:contextualSpacing/>
              <w:jc w:val="center"/>
              <w:rPr>
                <w:sz w:val="19"/>
                <w:szCs w:val="19"/>
              </w:rPr>
            </w:pPr>
          </w:p>
        </w:tc>
        <w:tc>
          <w:tcPr>
            <w:tcW w:w="1781" w:type="dxa"/>
            <w:vAlign w:val="center"/>
          </w:tcPr>
          <w:p w14:paraId="2B602809" w14:textId="77777777" w:rsidR="00012593" w:rsidRPr="009166E2" w:rsidRDefault="00012593" w:rsidP="001933B2">
            <w:pPr>
              <w:contextualSpacing/>
              <w:jc w:val="center"/>
              <w:rPr>
                <w:sz w:val="19"/>
                <w:szCs w:val="19"/>
              </w:rPr>
            </w:pPr>
            <w:r w:rsidRPr="009166E2">
              <w:rPr>
                <w:sz w:val="19"/>
                <w:szCs w:val="19"/>
              </w:rPr>
              <w:t>7</w:t>
            </w:r>
          </w:p>
        </w:tc>
        <w:tc>
          <w:tcPr>
            <w:tcW w:w="2340" w:type="dxa"/>
            <w:vAlign w:val="center"/>
          </w:tcPr>
          <w:p w14:paraId="22ECAD66" w14:textId="77777777" w:rsidR="00012593" w:rsidRPr="009166E2" w:rsidRDefault="00012593" w:rsidP="001933B2">
            <w:pPr>
              <w:contextualSpacing/>
              <w:jc w:val="center"/>
              <w:rPr>
                <w:sz w:val="19"/>
                <w:szCs w:val="19"/>
              </w:rPr>
            </w:pPr>
            <w:r w:rsidRPr="009166E2">
              <w:rPr>
                <w:sz w:val="19"/>
                <w:szCs w:val="19"/>
              </w:rPr>
              <w:t>8</w:t>
            </w:r>
          </w:p>
        </w:tc>
        <w:tc>
          <w:tcPr>
            <w:tcW w:w="1694" w:type="dxa"/>
            <w:vAlign w:val="center"/>
          </w:tcPr>
          <w:p w14:paraId="6CC4EA82" w14:textId="77777777" w:rsidR="00012593" w:rsidRPr="009166E2" w:rsidRDefault="00012593" w:rsidP="001933B2">
            <w:pPr>
              <w:contextualSpacing/>
              <w:jc w:val="center"/>
              <w:rPr>
                <w:sz w:val="19"/>
                <w:szCs w:val="19"/>
              </w:rPr>
            </w:pPr>
            <w:r w:rsidRPr="009166E2">
              <w:rPr>
                <w:sz w:val="19"/>
                <w:szCs w:val="19"/>
              </w:rPr>
              <w:t>9</w:t>
            </w:r>
          </w:p>
        </w:tc>
        <w:tc>
          <w:tcPr>
            <w:tcW w:w="2152" w:type="dxa"/>
            <w:vAlign w:val="center"/>
          </w:tcPr>
          <w:p w14:paraId="59656FDE" w14:textId="77777777" w:rsidR="00012593" w:rsidRPr="009166E2" w:rsidRDefault="00012593" w:rsidP="001933B2">
            <w:pPr>
              <w:contextualSpacing/>
              <w:jc w:val="center"/>
              <w:rPr>
                <w:sz w:val="19"/>
                <w:szCs w:val="19"/>
              </w:rPr>
            </w:pPr>
            <w:r w:rsidRPr="009166E2">
              <w:rPr>
                <w:sz w:val="19"/>
                <w:szCs w:val="19"/>
              </w:rPr>
              <w:t>15</w:t>
            </w:r>
          </w:p>
        </w:tc>
      </w:tr>
      <w:tr w:rsidR="00012593" w:rsidRPr="009166E2" w14:paraId="75750F66" w14:textId="77777777" w:rsidTr="00D37F9A">
        <w:trPr>
          <w:trHeight w:val="3577"/>
        </w:trPr>
        <w:tc>
          <w:tcPr>
            <w:tcW w:w="1049" w:type="dxa"/>
          </w:tcPr>
          <w:p w14:paraId="376D1FC6" w14:textId="60E956E6" w:rsidR="00012593" w:rsidRPr="009166E2" w:rsidRDefault="00012593" w:rsidP="001933B2">
            <w:pPr>
              <w:contextualSpacing/>
              <w:rPr>
                <w:sz w:val="19"/>
                <w:szCs w:val="19"/>
              </w:rPr>
            </w:pPr>
            <w:r>
              <w:rPr>
                <w:sz w:val="19"/>
                <w:szCs w:val="19"/>
              </w:rPr>
              <w:t>2019-20</w:t>
            </w:r>
          </w:p>
        </w:tc>
        <w:tc>
          <w:tcPr>
            <w:tcW w:w="1781" w:type="dxa"/>
          </w:tcPr>
          <w:p w14:paraId="569035E7" w14:textId="1C360756" w:rsidR="00012593" w:rsidRDefault="00012593" w:rsidP="001933B2">
            <w:pPr>
              <w:contextualSpacing/>
              <w:jc w:val="left"/>
              <w:rPr>
                <w:sz w:val="19"/>
                <w:szCs w:val="19"/>
              </w:rPr>
            </w:pPr>
            <w:r w:rsidRPr="009166E2">
              <w:rPr>
                <w:sz w:val="19"/>
                <w:szCs w:val="19"/>
              </w:rPr>
              <w:t>Raising of weir pool to +60 cm: August to December 2019</w:t>
            </w:r>
            <w:r>
              <w:rPr>
                <w:sz w:val="19"/>
                <w:szCs w:val="19"/>
              </w:rPr>
              <w:t xml:space="preserve"> (m</w:t>
            </w:r>
            <w:r w:rsidRPr="009166E2">
              <w:rPr>
                <w:sz w:val="19"/>
                <w:szCs w:val="19"/>
              </w:rPr>
              <w:t>odelled use: 509 ML</w:t>
            </w:r>
            <w:r>
              <w:rPr>
                <w:sz w:val="19"/>
                <w:szCs w:val="19"/>
              </w:rPr>
              <w:t>)</w:t>
            </w:r>
          </w:p>
          <w:p w14:paraId="470E76BD" w14:textId="77777777" w:rsidR="00012593" w:rsidRPr="009166E2" w:rsidRDefault="00012593" w:rsidP="001933B2">
            <w:pPr>
              <w:contextualSpacing/>
              <w:jc w:val="left"/>
              <w:rPr>
                <w:sz w:val="19"/>
                <w:szCs w:val="19"/>
              </w:rPr>
            </w:pPr>
          </w:p>
          <w:p w14:paraId="34263C84" w14:textId="39429CB3" w:rsidR="00012593" w:rsidRPr="009166E2" w:rsidRDefault="00012593" w:rsidP="00012593">
            <w:pPr>
              <w:contextualSpacing/>
              <w:jc w:val="left"/>
              <w:rPr>
                <w:sz w:val="19"/>
                <w:szCs w:val="19"/>
              </w:rPr>
            </w:pPr>
            <w:r w:rsidRPr="009166E2">
              <w:rPr>
                <w:sz w:val="19"/>
                <w:szCs w:val="19"/>
              </w:rPr>
              <w:t>Lowering of weir pool to -55 cm: December 2019 to April 2020</w:t>
            </w:r>
            <w:r>
              <w:rPr>
                <w:sz w:val="19"/>
                <w:szCs w:val="19"/>
              </w:rPr>
              <w:t xml:space="preserve"> (m</w:t>
            </w:r>
            <w:r w:rsidRPr="009166E2">
              <w:rPr>
                <w:sz w:val="19"/>
                <w:szCs w:val="19"/>
              </w:rPr>
              <w:t>odelled gain: 357 ML</w:t>
            </w:r>
            <w:r>
              <w:rPr>
                <w:sz w:val="19"/>
                <w:szCs w:val="19"/>
              </w:rPr>
              <w:t>)</w:t>
            </w:r>
          </w:p>
        </w:tc>
        <w:tc>
          <w:tcPr>
            <w:tcW w:w="2340" w:type="dxa"/>
          </w:tcPr>
          <w:p w14:paraId="3A0F8687" w14:textId="249C690C" w:rsidR="00012593" w:rsidRPr="009166E2" w:rsidRDefault="00012593" w:rsidP="001933B2">
            <w:pPr>
              <w:contextualSpacing/>
              <w:jc w:val="left"/>
              <w:rPr>
                <w:sz w:val="19"/>
                <w:szCs w:val="19"/>
              </w:rPr>
            </w:pPr>
            <w:r w:rsidRPr="009166E2">
              <w:rPr>
                <w:sz w:val="19"/>
                <w:szCs w:val="19"/>
              </w:rPr>
              <w:t>Raising of weir pool to +95 cm: September to December 2019</w:t>
            </w:r>
          </w:p>
          <w:p w14:paraId="43BF1211" w14:textId="1F76AFA1" w:rsidR="00012593" w:rsidRDefault="00012593" w:rsidP="001933B2">
            <w:pPr>
              <w:contextualSpacing/>
              <w:jc w:val="left"/>
              <w:rPr>
                <w:sz w:val="19"/>
                <w:szCs w:val="19"/>
              </w:rPr>
            </w:pPr>
            <w:r>
              <w:rPr>
                <w:sz w:val="19"/>
                <w:szCs w:val="19"/>
              </w:rPr>
              <w:t>(m</w:t>
            </w:r>
            <w:r w:rsidRPr="009166E2">
              <w:rPr>
                <w:sz w:val="19"/>
                <w:szCs w:val="19"/>
              </w:rPr>
              <w:t>odelled use: 1,738 ML</w:t>
            </w:r>
            <w:r>
              <w:rPr>
                <w:sz w:val="19"/>
                <w:szCs w:val="19"/>
              </w:rPr>
              <w:t>)</w:t>
            </w:r>
          </w:p>
          <w:p w14:paraId="250565E1" w14:textId="77777777" w:rsidR="00012593" w:rsidRPr="009166E2" w:rsidRDefault="00012593" w:rsidP="001933B2">
            <w:pPr>
              <w:contextualSpacing/>
              <w:jc w:val="left"/>
              <w:rPr>
                <w:sz w:val="19"/>
                <w:szCs w:val="19"/>
              </w:rPr>
            </w:pPr>
          </w:p>
          <w:p w14:paraId="1424ED05" w14:textId="77777777" w:rsidR="00012593" w:rsidRPr="009166E2" w:rsidRDefault="00012593" w:rsidP="001933B2">
            <w:pPr>
              <w:contextualSpacing/>
              <w:jc w:val="left"/>
              <w:rPr>
                <w:sz w:val="19"/>
                <w:szCs w:val="19"/>
              </w:rPr>
            </w:pPr>
            <w:r w:rsidRPr="009166E2">
              <w:rPr>
                <w:sz w:val="19"/>
                <w:szCs w:val="19"/>
              </w:rPr>
              <w:t>Lowering of weir pool to -100 cm: January to May 2020</w:t>
            </w:r>
          </w:p>
          <w:p w14:paraId="00A8C0F0" w14:textId="35F2C543" w:rsidR="00012593" w:rsidRPr="009166E2" w:rsidRDefault="00012593" w:rsidP="001933B2">
            <w:pPr>
              <w:contextualSpacing/>
              <w:jc w:val="left"/>
              <w:rPr>
                <w:sz w:val="19"/>
                <w:szCs w:val="19"/>
              </w:rPr>
            </w:pPr>
            <w:r>
              <w:rPr>
                <w:sz w:val="19"/>
                <w:szCs w:val="19"/>
              </w:rPr>
              <w:t>(m</w:t>
            </w:r>
            <w:r w:rsidRPr="009166E2">
              <w:rPr>
                <w:sz w:val="19"/>
                <w:szCs w:val="19"/>
              </w:rPr>
              <w:t>odelled gain: 2,335 ML</w:t>
            </w:r>
            <w:r>
              <w:rPr>
                <w:sz w:val="19"/>
                <w:szCs w:val="19"/>
              </w:rPr>
              <w:t>)</w:t>
            </w:r>
          </w:p>
        </w:tc>
        <w:tc>
          <w:tcPr>
            <w:tcW w:w="1694" w:type="dxa"/>
          </w:tcPr>
          <w:p w14:paraId="7CB58D9F" w14:textId="755B01E2" w:rsidR="00012593" w:rsidRDefault="00012593" w:rsidP="001933B2">
            <w:pPr>
              <w:contextualSpacing/>
              <w:jc w:val="left"/>
              <w:rPr>
                <w:sz w:val="19"/>
                <w:szCs w:val="19"/>
              </w:rPr>
            </w:pPr>
            <w:r w:rsidRPr="009166E2">
              <w:rPr>
                <w:sz w:val="19"/>
                <w:szCs w:val="19"/>
              </w:rPr>
              <w:t>Raising of weir pool to +20 cm: August 2019, May 2020</w:t>
            </w:r>
            <w:r>
              <w:rPr>
                <w:sz w:val="19"/>
                <w:szCs w:val="19"/>
              </w:rPr>
              <w:t xml:space="preserve"> (m</w:t>
            </w:r>
            <w:r w:rsidRPr="009166E2">
              <w:rPr>
                <w:sz w:val="19"/>
                <w:szCs w:val="19"/>
              </w:rPr>
              <w:t>odelled use: N/A*</w:t>
            </w:r>
            <w:r>
              <w:rPr>
                <w:sz w:val="19"/>
                <w:szCs w:val="19"/>
              </w:rPr>
              <w:t>)</w:t>
            </w:r>
          </w:p>
          <w:p w14:paraId="63303723" w14:textId="77777777" w:rsidR="00012593" w:rsidRPr="009166E2" w:rsidRDefault="00012593" w:rsidP="001933B2">
            <w:pPr>
              <w:contextualSpacing/>
              <w:jc w:val="left"/>
              <w:rPr>
                <w:sz w:val="19"/>
                <w:szCs w:val="19"/>
              </w:rPr>
            </w:pPr>
          </w:p>
          <w:p w14:paraId="13E8644F" w14:textId="47B4C34D" w:rsidR="00012593" w:rsidRPr="009166E2" w:rsidRDefault="00012593" w:rsidP="001933B2">
            <w:pPr>
              <w:contextualSpacing/>
              <w:jc w:val="left"/>
              <w:rPr>
                <w:sz w:val="19"/>
                <w:szCs w:val="19"/>
              </w:rPr>
            </w:pPr>
            <w:r w:rsidRPr="009166E2">
              <w:rPr>
                <w:sz w:val="19"/>
                <w:szCs w:val="19"/>
              </w:rPr>
              <w:t>Lowering of weir pool to -10 cm: February to May 2020</w:t>
            </w:r>
          </w:p>
          <w:p w14:paraId="143F8036" w14:textId="3A180CED" w:rsidR="00012593" w:rsidRPr="009166E2" w:rsidRDefault="00012593" w:rsidP="001933B2">
            <w:pPr>
              <w:contextualSpacing/>
              <w:jc w:val="left"/>
              <w:rPr>
                <w:sz w:val="19"/>
                <w:szCs w:val="19"/>
              </w:rPr>
            </w:pPr>
            <w:r>
              <w:rPr>
                <w:sz w:val="19"/>
                <w:szCs w:val="19"/>
              </w:rPr>
              <w:t>(m</w:t>
            </w:r>
            <w:r w:rsidRPr="009166E2">
              <w:rPr>
                <w:sz w:val="19"/>
                <w:szCs w:val="19"/>
              </w:rPr>
              <w:t>odelled gain: 1,450 ML</w:t>
            </w:r>
            <w:r>
              <w:rPr>
                <w:sz w:val="19"/>
                <w:szCs w:val="19"/>
              </w:rPr>
              <w:t>)</w:t>
            </w:r>
          </w:p>
        </w:tc>
        <w:tc>
          <w:tcPr>
            <w:tcW w:w="2152" w:type="dxa"/>
          </w:tcPr>
          <w:p w14:paraId="4E04D5EF" w14:textId="7B434FDB" w:rsidR="00012593" w:rsidRPr="009166E2" w:rsidRDefault="00012593" w:rsidP="001933B2">
            <w:pPr>
              <w:contextualSpacing/>
              <w:jc w:val="left"/>
              <w:rPr>
                <w:sz w:val="19"/>
                <w:szCs w:val="19"/>
              </w:rPr>
            </w:pPr>
            <w:r w:rsidRPr="009166E2">
              <w:rPr>
                <w:sz w:val="19"/>
                <w:szCs w:val="19"/>
              </w:rPr>
              <w:t>Raising of weir pool to +60 cm: August to December 2019</w:t>
            </w:r>
          </w:p>
          <w:p w14:paraId="60348ED3" w14:textId="605B740D" w:rsidR="00012593" w:rsidRDefault="00012593" w:rsidP="001933B2">
            <w:pPr>
              <w:contextualSpacing/>
              <w:jc w:val="left"/>
              <w:rPr>
                <w:sz w:val="19"/>
                <w:szCs w:val="19"/>
              </w:rPr>
            </w:pPr>
            <w:r>
              <w:rPr>
                <w:sz w:val="19"/>
                <w:szCs w:val="19"/>
              </w:rPr>
              <w:t>(m</w:t>
            </w:r>
            <w:r w:rsidRPr="009166E2">
              <w:rPr>
                <w:sz w:val="19"/>
                <w:szCs w:val="19"/>
              </w:rPr>
              <w:t>odelled use: 3,238 ML</w:t>
            </w:r>
            <w:r>
              <w:rPr>
                <w:sz w:val="19"/>
                <w:szCs w:val="19"/>
              </w:rPr>
              <w:t>)</w:t>
            </w:r>
          </w:p>
          <w:p w14:paraId="33EB838D" w14:textId="77777777" w:rsidR="00012593" w:rsidRPr="009166E2" w:rsidRDefault="00012593" w:rsidP="001933B2">
            <w:pPr>
              <w:contextualSpacing/>
              <w:jc w:val="left"/>
              <w:rPr>
                <w:sz w:val="19"/>
                <w:szCs w:val="19"/>
              </w:rPr>
            </w:pPr>
          </w:p>
          <w:p w14:paraId="613E4F3F" w14:textId="7FD3D746" w:rsidR="00012593" w:rsidRPr="009166E2" w:rsidRDefault="00012593" w:rsidP="001933B2">
            <w:pPr>
              <w:contextualSpacing/>
              <w:jc w:val="left"/>
              <w:rPr>
                <w:sz w:val="19"/>
                <w:szCs w:val="19"/>
              </w:rPr>
            </w:pPr>
            <w:r w:rsidRPr="009166E2">
              <w:rPr>
                <w:sz w:val="19"/>
                <w:szCs w:val="19"/>
              </w:rPr>
              <w:t>Lowering of weir pool to -30 cm: June-July 2019 and April-May 2020</w:t>
            </w:r>
          </w:p>
          <w:p w14:paraId="2A901B53" w14:textId="543E9480" w:rsidR="00012593" w:rsidRPr="009166E2" w:rsidRDefault="00012593" w:rsidP="001933B2">
            <w:pPr>
              <w:contextualSpacing/>
              <w:jc w:val="left"/>
              <w:rPr>
                <w:sz w:val="19"/>
                <w:szCs w:val="19"/>
              </w:rPr>
            </w:pPr>
            <w:r>
              <w:rPr>
                <w:sz w:val="19"/>
                <w:szCs w:val="19"/>
              </w:rPr>
              <w:t>(m</w:t>
            </w:r>
            <w:r w:rsidRPr="009166E2">
              <w:rPr>
                <w:sz w:val="19"/>
                <w:szCs w:val="19"/>
              </w:rPr>
              <w:t>odelled gain: 568 ML</w:t>
            </w:r>
            <w:r>
              <w:rPr>
                <w:sz w:val="19"/>
                <w:szCs w:val="19"/>
              </w:rPr>
              <w:t>)</w:t>
            </w:r>
          </w:p>
        </w:tc>
      </w:tr>
      <w:tr w:rsidR="00535F2F" w:rsidRPr="009166E2" w14:paraId="476901E4" w14:textId="77777777" w:rsidTr="00E074AE">
        <w:trPr>
          <w:trHeight w:val="455"/>
        </w:trPr>
        <w:tc>
          <w:tcPr>
            <w:tcW w:w="1049" w:type="dxa"/>
            <w:vAlign w:val="center"/>
          </w:tcPr>
          <w:p w14:paraId="0068D436" w14:textId="187C0105" w:rsidR="00535F2F" w:rsidRDefault="00535F2F" w:rsidP="00E074AE">
            <w:pPr>
              <w:contextualSpacing/>
              <w:jc w:val="center"/>
              <w:rPr>
                <w:sz w:val="19"/>
                <w:szCs w:val="19"/>
              </w:rPr>
            </w:pPr>
            <w:r w:rsidRPr="0088718F">
              <w:rPr>
                <w:sz w:val="19"/>
                <w:szCs w:val="19"/>
              </w:rPr>
              <w:t>2020-21</w:t>
            </w:r>
          </w:p>
        </w:tc>
        <w:tc>
          <w:tcPr>
            <w:tcW w:w="1781" w:type="dxa"/>
          </w:tcPr>
          <w:p w14:paraId="75C3B13C" w14:textId="56E92397" w:rsidR="00535F2F" w:rsidRDefault="0088718F" w:rsidP="001933B2">
            <w:pPr>
              <w:contextualSpacing/>
              <w:jc w:val="left"/>
              <w:rPr>
                <w:sz w:val="19"/>
                <w:szCs w:val="19"/>
              </w:rPr>
            </w:pPr>
            <w:r w:rsidRPr="0088718F">
              <w:rPr>
                <w:sz w:val="19"/>
                <w:szCs w:val="19"/>
              </w:rPr>
              <w:t>Lowering of weir pool to -50 cm</w:t>
            </w:r>
            <w:r>
              <w:rPr>
                <w:sz w:val="19"/>
                <w:szCs w:val="19"/>
              </w:rPr>
              <w:t xml:space="preserve">: </w:t>
            </w:r>
            <w:r w:rsidRPr="0088718F">
              <w:rPr>
                <w:sz w:val="19"/>
                <w:szCs w:val="19"/>
              </w:rPr>
              <w:t>Dec</w:t>
            </w:r>
            <w:r>
              <w:rPr>
                <w:sz w:val="19"/>
                <w:szCs w:val="19"/>
              </w:rPr>
              <w:t>ember</w:t>
            </w:r>
            <w:r w:rsidRPr="0088718F">
              <w:rPr>
                <w:sz w:val="19"/>
                <w:szCs w:val="19"/>
              </w:rPr>
              <w:t xml:space="preserve"> 2020 </w:t>
            </w:r>
            <w:r>
              <w:rPr>
                <w:sz w:val="19"/>
                <w:szCs w:val="19"/>
              </w:rPr>
              <w:t xml:space="preserve">to </w:t>
            </w:r>
            <w:r w:rsidRPr="0088718F">
              <w:rPr>
                <w:sz w:val="19"/>
                <w:szCs w:val="19"/>
              </w:rPr>
              <w:t>Apr</w:t>
            </w:r>
            <w:r>
              <w:rPr>
                <w:sz w:val="19"/>
                <w:szCs w:val="19"/>
              </w:rPr>
              <w:t>il</w:t>
            </w:r>
            <w:r w:rsidRPr="0088718F">
              <w:rPr>
                <w:sz w:val="19"/>
                <w:szCs w:val="19"/>
              </w:rPr>
              <w:t xml:space="preserve"> 2021</w:t>
            </w:r>
            <w:r>
              <w:rPr>
                <w:sz w:val="19"/>
                <w:szCs w:val="19"/>
              </w:rPr>
              <w:t xml:space="preserve"> (modelled gain: 244 ML)</w:t>
            </w:r>
          </w:p>
          <w:p w14:paraId="320333ED" w14:textId="77777777" w:rsidR="0088718F" w:rsidRDefault="0088718F" w:rsidP="001933B2">
            <w:pPr>
              <w:contextualSpacing/>
              <w:jc w:val="left"/>
              <w:rPr>
                <w:sz w:val="19"/>
                <w:szCs w:val="19"/>
              </w:rPr>
            </w:pPr>
          </w:p>
          <w:p w14:paraId="50A1C307" w14:textId="6022ABAB" w:rsidR="0088718F" w:rsidRPr="009166E2" w:rsidRDefault="0088718F" w:rsidP="001933B2">
            <w:pPr>
              <w:contextualSpacing/>
              <w:jc w:val="left"/>
              <w:rPr>
                <w:sz w:val="19"/>
                <w:szCs w:val="19"/>
              </w:rPr>
            </w:pPr>
            <w:r>
              <w:rPr>
                <w:sz w:val="19"/>
                <w:szCs w:val="19"/>
              </w:rPr>
              <w:t>Raising</w:t>
            </w:r>
            <w:r w:rsidRPr="0088718F">
              <w:rPr>
                <w:sz w:val="19"/>
                <w:szCs w:val="19"/>
              </w:rPr>
              <w:t xml:space="preserve"> of weir pool to </w:t>
            </w:r>
            <w:r>
              <w:rPr>
                <w:sz w:val="19"/>
                <w:szCs w:val="19"/>
              </w:rPr>
              <w:t>+6</w:t>
            </w:r>
            <w:r w:rsidRPr="0088718F">
              <w:rPr>
                <w:sz w:val="19"/>
                <w:szCs w:val="19"/>
              </w:rPr>
              <w:t>0 cm: Apr</w:t>
            </w:r>
            <w:r>
              <w:rPr>
                <w:sz w:val="19"/>
                <w:szCs w:val="19"/>
              </w:rPr>
              <w:t>il to June</w:t>
            </w:r>
            <w:r w:rsidRPr="0088718F">
              <w:rPr>
                <w:sz w:val="19"/>
                <w:szCs w:val="19"/>
              </w:rPr>
              <w:t xml:space="preserve"> 2021 (modelled </w:t>
            </w:r>
            <w:r>
              <w:rPr>
                <w:sz w:val="19"/>
                <w:szCs w:val="19"/>
              </w:rPr>
              <w:t>use</w:t>
            </w:r>
            <w:r w:rsidRPr="0088718F">
              <w:rPr>
                <w:sz w:val="19"/>
                <w:szCs w:val="19"/>
              </w:rPr>
              <w:t>: 2</w:t>
            </w:r>
            <w:r>
              <w:rPr>
                <w:sz w:val="19"/>
                <w:szCs w:val="19"/>
              </w:rPr>
              <w:t>03</w:t>
            </w:r>
            <w:r w:rsidRPr="0088718F">
              <w:rPr>
                <w:sz w:val="19"/>
                <w:szCs w:val="19"/>
              </w:rPr>
              <w:t xml:space="preserve"> ML)</w:t>
            </w:r>
          </w:p>
        </w:tc>
        <w:tc>
          <w:tcPr>
            <w:tcW w:w="2340" w:type="dxa"/>
          </w:tcPr>
          <w:p w14:paraId="577EDCB1" w14:textId="46B1F42F" w:rsidR="0088718F" w:rsidRDefault="0088718F" w:rsidP="0088718F">
            <w:pPr>
              <w:contextualSpacing/>
              <w:jc w:val="left"/>
              <w:rPr>
                <w:sz w:val="19"/>
                <w:szCs w:val="19"/>
              </w:rPr>
            </w:pPr>
            <w:r w:rsidRPr="0088718F">
              <w:rPr>
                <w:sz w:val="19"/>
                <w:szCs w:val="19"/>
              </w:rPr>
              <w:t>Lowering of weir pool to -</w:t>
            </w:r>
            <w:r>
              <w:rPr>
                <w:sz w:val="19"/>
                <w:szCs w:val="19"/>
              </w:rPr>
              <w:t>8</w:t>
            </w:r>
            <w:r w:rsidRPr="0088718F">
              <w:rPr>
                <w:sz w:val="19"/>
                <w:szCs w:val="19"/>
              </w:rPr>
              <w:t>0 cm</w:t>
            </w:r>
            <w:r>
              <w:rPr>
                <w:sz w:val="19"/>
                <w:szCs w:val="19"/>
              </w:rPr>
              <w:t xml:space="preserve"> (then -60 cm): </w:t>
            </w:r>
            <w:r w:rsidRPr="0088718F">
              <w:rPr>
                <w:sz w:val="19"/>
                <w:szCs w:val="19"/>
              </w:rPr>
              <w:t>June</w:t>
            </w:r>
            <w:r>
              <w:rPr>
                <w:sz w:val="19"/>
                <w:szCs w:val="19"/>
              </w:rPr>
              <w:t xml:space="preserve"> to </w:t>
            </w:r>
            <w:r w:rsidRPr="0088718F">
              <w:rPr>
                <w:sz w:val="19"/>
                <w:szCs w:val="19"/>
              </w:rPr>
              <w:t>Aug</w:t>
            </w:r>
            <w:r>
              <w:rPr>
                <w:sz w:val="19"/>
                <w:szCs w:val="19"/>
              </w:rPr>
              <w:t>ust</w:t>
            </w:r>
            <w:r w:rsidRPr="0088718F">
              <w:rPr>
                <w:sz w:val="19"/>
                <w:szCs w:val="19"/>
              </w:rPr>
              <w:t xml:space="preserve"> 2020 and Jan</w:t>
            </w:r>
            <w:r>
              <w:rPr>
                <w:sz w:val="19"/>
                <w:szCs w:val="19"/>
              </w:rPr>
              <w:t>uary</w:t>
            </w:r>
            <w:r w:rsidRPr="0088718F">
              <w:rPr>
                <w:sz w:val="19"/>
                <w:szCs w:val="19"/>
              </w:rPr>
              <w:t xml:space="preserve"> to June 2021 </w:t>
            </w:r>
            <w:r>
              <w:rPr>
                <w:sz w:val="19"/>
                <w:szCs w:val="19"/>
              </w:rPr>
              <w:t>(modelled gain: 1,825 ML)</w:t>
            </w:r>
          </w:p>
          <w:p w14:paraId="7F6064A7" w14:textId="77777777" w:rsidR="00535F2F" w:rsidRDefault="00535F2F" w:rsidP="001933B2">
            <w:pPr>
              <w:contextualSpacing/>
              <w:jc w:val="left"/>
              <w:rPr>
                <w:sz w:val="19"/>
                <w:szCs w:val="19"/>
              </w:rPr>
            </w:pPr>
          </w:p>
          <w:p w14:paraId="68C3D236" w14:textId="07C4AE1B" w:rsidR="0088718F" w:rsidRPr="009166E2" w:rsidRDefault="0088718F" w:rsidP="001933B2">
            <w:pPr>
              <w:contextualSpacing/>
              <w:jc w:val="left"/>
              <w:rPr>
                <w:sz w:val="19"/>
                <w:szCs w:val="19"/>
              </w:rPr>
            </w:pPr>
            <w:r>
              <w:rPr>
                <w:sz w:val="19"/>
                <w:szCs w:val="19"/>
              </w:rPr>
              <w:t>Raising</w:t>
            </w:r>
            <w:r w:rsidRPr="0088718F">
              <w:rPr>
                <w:sz w:val="19"/>
                <w:szCs w:val="19"/>
              </w:rPr>
              <w:t xml:space="preserve"> of weir pool to </w:t>
            </w:r>
            <w:r>
              <w:rPr>
                <w:sz w:val="19"/>
                <w:szCs w:val="19"/>
              </w:rPr>
              <w:t>+10</w:t>
            </w:r>
            <w:r w:rsidRPr="0088718F">
              <w:rPr>
                <w:sz w:val="19"/>
                <w:szCs w:val="19"/>
              </w:rPr>
              <w:t xml:space="preserve"> cm: </w:t>
            </w:r>
            <w:r>
              <w:rPr>
                <w:sz w:val="19"/>
                <w:szCs w:val="19"/>
              </w:rPr>
              <w:t>August</w:t>
            </w:r>
            <w:r w:rsidRPr="0088718F">
              <w:rPr>
                <w:sz w:val="19"/>
                <w:szCs w:val="19"/>
              </w:rPr>
              <w:t xml:space="preserve"> </w:t>
            </w:r>
            <w:r>
              <w:rPr>
                <w:sz w:val="19"/>
                <w:szCs w:val="19"/>
              </w:rPr>
              <w:t xml:space="preserve">2020 to January </w:t>
            </w:r>
            <w:r w:rsidRPr="0088718F">
              <w:rPr>
                <w:sz w:val="19"/>
                <w:szCs w:val="19"/>
              </w:rPr>
              <w:t xml:space="preserve">2021 (modelled </w:t>
            </w:r>
            <w:r>
              <w:rPr>
                <w:sz w:val="19"/>
                <w:szCs w:val="19"/>
              </w:rPr>
              <w:t>use</w:t>
            </w:r>
            <w:r w:rsidRPr="0088718F">
              <w:rPr>
                <w:sz w:val="19"/>
                <w:szCs w:val="19"/>
              </w:rPr>
              <w:t xml:space="preserve">: </w:t>
            </w:r>
            <w:r>
              <w:rPr>
                <w:sz w:val="19"/>
                <w:szCs w:val="19"/>
              </w:rPr>
              <w:t>0</w:t>
            </w:r>
            <w:r w:rsidRPr="0088718F">
              <w:rPr>
                <w:sz w:val="19"/>
                <w:szCs w:val="19"/>
              </w:rPr>
              <w:t xml:space="preserve"> ML)</w:t>
            </w:r>
            <w:r>
              <w:rPr>
                <w:sz w:val="19"/>
                <w:szCs w:val="19"/>
              </w:rPr>
              <w:t>*</w:t>
            </w:r>
          </w:p>
        </w:tc>
        <w:tc>
          <w:tcPr>
            <w:tcW w:w="1694" w:type="dxa"/>
          </w:tcPr>
          <w:p w14:paraId="2F14B283" w14:textId="77777777" w:rsidR="00535F2F" w:rsidRDefault="0088718F" w:rsidP="001933B2">
            <w:pPr>
              <w:contextualSpacing/>
              <w:jc w:val="left"/>
              <w:rPr>
                <w:sz w:val="19"/>
                <w:szCs w:val="19"/>
              </w:rPr>
            </w:pPr>
            <w:r>
              <w:rPr>
                <w:sz w:val="19"/>
                <w:szCs w:val="19"/>
              </w:rPr>
              <w:t>Raising</w:t>
            </w:r>
            <w:r w:rsidRPr="0088718F">
              <w:rPr>
                <w:sz w:val="19"/>
                <w:szCs w:val="19"/>
              </w:rPr>
              <w:t xml:space="preserve"> of weir pool to </w:t>
            </w:r>
            <w:r>
              <w:rPr>
                <w:sz w:val="19"/>
                <w:szCs w:val="19"/>
              </w:rPr>
              <w:t>+5</w:t>
            </w:r>
            <w:r w:rsidRPr="0088718F">
              <w:rPr>
                <w:sz w:val="19"/>
                <w:szCs w:val="19"/>
              </w:rPr>
              <w:t xml:space="preserve"> cm: </w:t>
            </w:r>
            <w:r>
              <w:rPr>
                <w:sz w:val="19"/>
                <w:szCs w:val="19"/>
              </w:rPr>
              <w:t>June</w:t>
            </w:r>
            <w:r w:rsidRPr="0088718F">
              <w:rPr>
                <w:sz w:val="19"/>
                <w:szCs w:val="19"/>
              </w:rPr>
              <w:t xml:space="preserve"> </w:t>
            </w:r>
            <w:r>
              <w:rPr>
                <w:sz w:val="19"/>
                <w:szCs w:val="19"/>
              </w:rPr>
              <w:t xml:space="preserve">2020 to January </w:t>
            </w:r>
            <w:r w:rsidRPr="0088718F">
              <w:rPr>
                <w:sz w:val="19"/>
                <w:szCs w:val="19"/>
              </w:rPr>
              <w:t xml:space="preserve">2021 (modelled </w:t>
            </w:r>
            <w:r>
              <w:rPr>
                <w:sz w:val="19"/>
                <w:szCs w:val="19"/>
              </w:rPr>
              <w:t>use</w:t>
            </w:r>
            <w:r w:rsidRPr="0088718F">
              <w:rPr>
                <w:sz w:val="19"/>
                <w:szCs w:val="19"/>
              </w:rPr>
              <w:t>: 2</w:t>
            </w:r>
            <w:r>
              <w:rPr>
                <w:sz w:val="19"/>
                <w:szCs w:val="19"/>
              </w:rPr>
              <w:t>81</w:t>
            </w:r>
            <w:r w:rsidRPr="0088718F">
              <w:rPr>
                <w:sz w:val="19"/>
                <w:szCs w:val="19"/>
              </w:rPr>
              <w:t xml:space="preserve"> ML)</w:t>
            </w:r>
          </w:p>
          <w:p w14:paraId="559EF594" w14:textId="77777777" w:rsidR="0088718F" w:rsidRDefault="0088718F" w:rsidP="001933B2">
            <w:pPr>
              <w:contextualSpacing/>
              <w:jc w:val="left"/>
              <w:rPr>
                <w:sz w:val="19"/>
                <w:szCs w:val="19"/>
              </w:rPr>
            </w:pPr>
          </w:p>
          <w:p w14:paraId="3B6454B5" w14:textId="00FCE906" w:rsidR="0088718F" w:rsidRPr="009166E2" w:rsidRDefault="0088718F" w:rsidP="001933B2">
            <w:pPr>
              <w:contextualSpacing/>
              <w:jc w:val="left"/>
              <w:rPr>
                <w:sz w:val="19"/>
                <w:szCs w:val="19"/>
              </w:rPr>
            </w:pPr>
            <w:r w:rsidRPr="0088718F">
              <w:rPr>
                <w:sz w:val="19"/>
                <w:szCs w:val="19"/>
              </w:rPr>
              <w:t>Lowering of weir pool to -</w:t>
            </w:r>
            <w:r>
              <w:rPr>
                <w:sz w:val="19"/>
                <w:szCs w:val="19"/>
              </w:rPr>
              <w:t>1</w:t>
            </w:r>
            <w:r w:rsidRPr="0088718F">
              <w:rPr>
                <w:sz w:val="19"/>
                <w:szCs w:val="19"/>
              </w:rPr>
              <w:t>0 cm</w:t>
            </w:r>
            <w:r>
              <w:rPr>
                <w:sz w:val="19"/>
                <w:szCs w:val="19"/>
              </w:rPr>
              <w:t xml:space="preserve">: </w:t>
            </w:r>
            <w:r w:rsidRPr="0088718F">
              <w:rPr>
                <w:sz w:val="19"/>
                <w:szCs w:val="19"/>
              </w:rPr>
              <w:t>J</w:t>
            </w:r>
            <w:r>
              <w:rPr>
                <w:sz w:val="19"/>
                <w:szCs w:val="19"/>
              </w:rPr>
              <w:t>anuary to June</w:t>
            </w:r>
            <w:r w:rsidRPr="0088718F">
              <w:rPr>
                <w:sz w:val="19"/>
                <w:szCs w:val="19"/>
              </w:rPr>
              <w:t xml:space="preserve"> 202</w:t>
            </w:r>
            <w:r>
              <w:rPr>
                <w:sz w:val="19"/>
                <w:szCs w:val="19"/>
              </w:rPr>
              <w:t>1 (modelled gain: 968 ML)</w:t>
            </w:r>
          </w:p>
        </w:tc>
        <w:tc>
          <w:tcPr>
            <w:tcW w:w="2152" w:type="dxa"/>
          </w:tcPr>
          <w:p w14:paraId="13127D99" w14:textId="2050B45A" w:rsidR="00535F2F" w:rsidRPr="009166E2" w:rsidRDefault="0088718F" w:rsidP="001933B2">
            <w:pPr>
              <w:contextualSpacing/>
              <w:jc w:val="left"/>
              <w:rPr>
                <w:sz w:val="19"/>
                <w:szCs w:val="19"/>
              </w:rPr>
            </w:pPr>
            <w:r w:rsidRPr="0088718F">
              <w:rPr>
                <w:sz w:val="19"/>
                <w:szCs w:val="19"/>
              </w:rPr>
              <w:t>Lowering of weir pool to -</w:t>
            </w:r>
            <w:r>
              <w:rPr>
                <w:sz w:val="19"/>
                <w:szCs w:val="19"/>
              </w:rPr>
              <w:t>3</w:t>
            </w:r>
            <w:r w:rsidRPr="0088718F">
              <w:rPr>
                <w:sz w:val="19"/>
                <w:szCs w:val="19"/>
              </w:rPr>
              <w:t>0 cm</w:t>
            </w:r>
            <w:r>
              <w:rPr>
                <w:sz w:val="19"/>
                <w:szCs w:val="19"/>
              </w:rPr>
              <w:t xml:space="preserve">: </w:t>
            </w:r>
            <w:r w:rsidRPr="0088718F">
              <w:rPr>
                <w:sz w:val="19"/>
                <w:szCs w:val="19"/>
              </w:rPr>
              <w:t>J</w:t>
            </w:r>
            <w:r>
              <w:rPr>
                <w:sz w:val="19"/>
                <w:szCs w:val="19"/>
              </w:rPr>
              <w:t>une to August</w:t>
            </w:r>
            <w:r w:rsidRPr="0088718F">
              <w:rPr>
                <w:sz w:val="19"/>
                <w:szCs w:val="19"/>
              </w:rPr>
              <w:t xml:space="preserve"> 202</w:t>
            </w:r>
            <w:r>
              <w:rPr>
                <w:sz w:val="19"/>
                <w:szCs w:val="19"/>
              </w:rPr>
              <w:t>1 and May 2021 (modelled gain: 549 ML)</w:t>
            </w:r>
          </w:p>
        </w:tc>
      </w:tr>
      <w:tr w:rsidR="00535F2F" w:rsidRPr="009166E2" w14:paraId="4EA8557E" w14:textId="77777777" w:rsidTr="00DD2080">
        <w:trPr>
          <w:trHeight w:val="3113"/>
        </w:trPr>
        <w:tc>
          <w:tcPr>
            <w:tcW w:w="1049" w:type="dxa"/>
          </w:tcPr>
          <w:p w14:paraId="7135321D" w14:textId="0E502EB6" w:rsidR="00535F2F" w:rsidRDefault="00535F2F" w:rsidP="00535F2F">
            <w:pPr>
              <w:contextualSpacing/>
              <w:rPr>
                <w:sz w:val="19"/>
                <w:szCs w:val="19"/>
              </w:rPr>
            </w:pPr>
            <w:r>
              <w:rPr>
                <w:sz w:val="19"/>
                <w:szCs w:val="19"/>
              </w:rPr>
              <w:lastRenderedPageBreak/>
              <w:t>2021-22</w:t>
            </w:r>
          </w:p>
        </w:tc>
        <w:tc>
          <w:tcPr>
            <w:tcW w:w="1781" w:type="dxa"/>
          </w:tcPr>
          <w:p w14:paraId="312FF3F1" w14:textId="77777777" w:rsidR="00535F2F" w:rsidRPr="009166E2" w:rsidRDefault="00535F2F" w:rsidP="00535F2F">
            <w:pPr>
              <w:contextualSpacing/>
              <w:jc w:val="left"/>
              <w:rPr>
                <w:sz w:val="19"/>
                <w:szCs w:val="19"/>
              </w:rPr>
            </w:pPr>
            <w:r w:rsidRPr="009166E2">
              <w:rPr>
                <w:sz w:val="19"/>
                <w:szCs w:val="19"/>
              </w:rPr>
              <w:t xml:space="preserve">Raising of weir pool to +60 cm: </w:t>
            </w:r>
            <w:r w:rsidRPr="00DE6D07">
              <w:rPr>
                <w:sz w:val="19"/>
                <w:szCs w:val="19"/>
              </w:rPr>
              <w:t>1 June to 17 September 2021</w:t>
            </w:r>
          </w:p>
          <w:p w14:paraId="20D07FF8" w14:textId="3F087027" w:rsidR="00535F2F" w:rsidRPr="009166E2" w:rsidRDefault="00535F2F" w:rsidP="00535F2F">
            <w:pPr>
              <w:contextualSpacing/>
              <w:jc w:val="left"/>
              <w:rPr>
                <w:sz w:val="19"/>
                <w:szCs w:val="19"/>
              </w:rPr>
            </w:pPr>
            <w:r>
              <w:rPr>
                <w:sz w:val="19"/>
                <w:szCs w:val="19"/>
              </w:rPr>
              <w:t>(m</w:t>
            </w:r>
            <w:r w:rsidRPr="009166E2">
              <w:rPr>
                <w:sz w:val="19"/>
                <w:szCs w:val="19"/>
              </w:rPr>
              <w:t xml:space="preserve">odelled use: </w:t>
            </w:r>
            <w:r>
              <w:rPr>
                <w:sz w:val="19"/>
                <w:szCs w:val="19"/>
              </w:rPr>
              <w:t>3,317</w:t>
            </w:r>
            <w:r w:rsidRPr="009166E2">
              <w:rPr>
                <w:sz w:val="19"/>
                <w:szCs w:val="19"/>
              </w:rPr>
              <w:t> ML</w:t>
            </w:r>
            <w:r>
              <w:rPr>
                <w:sz w:val="19"/>
                <w:szCs w:val="19"/>
              </w:rPr>
              <w:t>)</w:t>
            </w:r>
          </w:p>
        </w:tc>
        <w:tc>
          <w:tcPr>
            <w:tcW w:w="2340" w:type="dxa"/>
          </w:tcPr>
          <w:p w14:paraId="7589C637" w14:textId="77777777" w:rsidR="00535F2F" w:rsidRPr="009166E2" w:rsidRDefault="00535F2F" w:rsidP="00535F2F">
            <w:pPr>
              <w:contextualSpacing/>
              <w:jc w:val="left"/>
              <w:rPr>
                <w:sz w:val="19"/>
                <w:szCs w:val="19"/>
              </w:rPr>
            </w:pPr>
            <w:r w:rsidRPr="009166E2">
              <w:rPr>
                <w:sz w:val="19"/>
                <w:szCs w:val="19"/>
              </w:rPr>
              <w:t>Raising of weir pool to +</w:t>
            </w:r>
            <w:r>
              <w:rPr>
                <w:sz w:val="19"/>
                <w:szCs w:val="19"/>
              </w:rPr>
              <w:t>8</w:t>
            </w:r>
            <w:r w:rsidRPr="009166E2">
              <w:rPr>
                <w:sz w:val="19"/>
                <w:szCs w:val="19"/>
              </w:rPr>
              <w:t xml:space="preserve">5 cm: </w:t>
            </w:r>
            <w:r w:rsidRPr="00DE6D07">
              <w:rPr>
                <w:sz w:val="19"/>
                <w:szCs w:val="19"/>
              </w:rPr>
              <w:t>13 August 2021 to 16 November 2021</w:t>
            </w:r>
          </w:p>
          <w:p w14:paraId="71ECF320" w14:textId="77777777" w:rsidR="00535F2F" w:rsidRDefault="00535F2F" w:rsidP="00535F2F">
            <w:pPr>
              <w:contextualSpacing/>
              <w:jc w:val="left"/>
              <w:rPr>
                <w:sz w:val="19"/>
                <w:szCs w:val="19"/>
              </w:rPr>
            </w:pPr>
            <w:r>
              <w:rPr>
                <w:sz w:val="19"/>
                <w:szCs w:val="19"/>
              </w:rPr>
              <w:t>(m</w:t>
            </w:r>
            <w:r w:rsidRPr="009166E2">
              <w:rPr>
                <w:sz w:val="19"/>
                <w:szCs w:val="19"/>
              </w:rPr>
              <w:t xml:space="preserve">odelled use: </w:t>
            </w:r>
            <w:r>
              <w:rPr>
                <w:sz w:val="19"/>
                <w:szCs w:val="19"/>
              </w:rPr>
              <w:t>5,827</w:t>
            </w:r>
            <w:r w:rsidRPr="009166E2">
              <w:rPr>
                <w:sz w:val="19"/>
                <w:szCs w:val="19"/>
              </w:rPr>
              <w:t> ML</w:t>
            </w:r>
            <w:r>
              <w:rPr>
                <w:sz w:val="19"/>
                <w:szCs w:val="19"/>
              </w:rPr>
              <w:t>)</w:t>
            </w:r>
            <w:r w:rsidRPr="009166E2">
              <w:rPr>
                <w:sz w:val="19"/>
                <w:szCs w:val="19"/>
              </w:rPr>
              <w:t xml:space="preserve"> </w:t>
            </w:r>
          </w:p>
          <w:p w14:paraId="4065CCBC" w14:textId="77777777" w:rsidR="00535F2F" w:rsidRDefault="00535F2F" w:rsidP="00535F2F">
            <w:pPr>
              <w:contextualSpacing/>
              <w:jc w:val="left"/>
              <w:rPr>
                <w:sz w:val="19"/>
                <w:szCs w:val="19"/>
              </w:rPr>
            </w:pPr>
          </w:p>
          <w:p w14:paraId="79CA0344" w14:textId="76066DB5" w:rsidR="00535F2F" w:rsidRPr="009166E2" w:rsidRDefault="00535F2F" w:rsidP="00535F2F">
            <w:pPr>
              <w:contextualSpacing/>
              <w:jc w:val="left"/>
              <w:rPr>
                <w:sz w:val="19"/>
                <w:szCs w:val="19"/>
              </w:rPr>
            </w:pPr>
            <w:r w:rsidRPr="009166E2">
              <w:rPr>
                <w:sz w:val="19"/>
                <w:szCs w:val="19"/>
              </w:rPr>
              <w:t>Lowering of weir pool to -</w:t>
            </w:r>
            <w:r>
              <w:rPr>
                <w:sz w:val="19"/>
                <w:szCs w:val="19"/>
              </w:rPr>
              <w:t>4</w:t>
            </w:r>
            <w:r w:rsidRPr="009166E2">
              <w:rPr>
                <w:sz w:val="19"/>
                <w:szCs w:val="19"/>
              </w:rPr>
              <w:t xml:space="preserve">0 cm: </w:t>
            </w:r>
            <w:r w:rsidRPr="00DE6D07">
              <w:rPr>
                <w:sz w:val="19"/>
                <w:szCs w:val="19"/>
              </w:rPr>
              <w:t>1 June – 28 July 2021</w:t>
            </w:r>
            <w:r>
              <w:rPr>
                <w:sz w:val="19"/>
                <w:szCs w:val="19"/>
              </w:rPr>
              <w:t xml:space="preserve"> (m</w:t>
            </w:r>
            <w:r w:rsidRPr="009166E2">
              <w:rPr>
                <w:sz w:val="19"/>
                <w:szCs w:val="19"/>
              </w:rPr>
              <w:t xml:space="preserve">odelled gain: </w:t>
            </w:r>
            <w:r>
              <w:rPr>
                <w:sz w:val="19"/>
                <w:szCs w:val="19"/>
              </w:rPr>
              <w:t>6</w:t>
            </w:r>
            <w:r w:rsidRPr="009166E2">
              <w:rPr>
                <w:sz w:val="19"/>
                <w:szCs w:val="19"/>
              </w:rPr>
              <w:t>5 ML</w:t>
            </w:r>
            <w:r>
              <w:rPr>
                <w:sz w:val="19"/>
                <w:szCs w:val="19"/>
              </w:rPr>
              <w:t>)</w:t>
            </w:r>
          </w:p>
        </w:tc>
        <w:tc>
          <w:tcPr>
            <w:tcW w:w="1694" w:type="dxa"/>
          </w:tcPr>
          <w:p w14:paraId="52645414" w14:textId="77777777" w:rsidR="00535F2F" w:rsidRPr="0003365B" w:rsidRDefault="00535F2F" w:rsidP="00535F2F">
            <w:pPr>
              <w:contextualSpacing/>
              <w:jc w:val="left"/>
              <w:rPr>
                <w:sz w:val="19"/>
                <w:szCs w:val="19"/>
              </w:rPr>
            </w:pPr>
            <w:r w:rsidRPr="009166E2">
              <w:rPr>
                <w:sz w:val="19"/>
                <w:szCs w:val="19"/>
              </w:rPr>
              <w:t xml:space="preserve">Lowering of weir pool to -10 cm: </w:t>
            </w:r>
            <w:r w:rsidRPr="0003365B">
              <w:rPr>
                <w:sz w:val="19"/>
                <w:szCs w:val="19"/>
              </w:rPr>
              <w:t>1 June to 9 July 2021</w:t>
            </w:r>
            <w:r>
              <w:rPr>
                <w:sz w:val="19"/>
                <w:szCs w:val="19"/>
              </w:rPr>
              <w:t xml:space="preserve"> and</w:t>
            </w:r>
          </w:p>
          <w:p w14:paraId="3C703CD7" w14:textId="28B78650" w:rsidR="00535F2F" w:rsidRPr="009166E2" w:rsidRDefault="00535F2F" w:rsidP="00535F2F">
            <w:pPr>
              <w:contextualSpacing/>
              <w:jc w:val="left"/>
              <w:rPr>
                <w:sz w:val="19"/>
                <w:szCs w:val="19"/>
              </w:rPr>
            </w:pPr>
            <w:r w:rsidRPr="0003365B">
              <w:rPr>
                <w:sz w:val="19"/>
                <w:szCs w:val="19"/>
              </w:rPr>
              <w:t>10 December 2021 to 27 January 2022</w:t>
            </w:r>
          </w:p>
          <w:p w14:paraId="55EC2E0E" w14:textId="17E0DE29" w:rsidR="00535F2F" w:rsidRPr="009166E2" w:rsidRDefault="00535F2F" w:rsidP="00535F2F">
            <w:pPr>
              <w:contextualSpacing/>
              <w:jc w:val="left"/>
              <w:rPr>
                <w:sz w:val="19"/>
                <w:szCs w:val="19"/>
              </w:rPr>
            </w:pPr>
            <w:r>
              <w:rPr>
                <w:sz w:val="19"/>
                <w:szCs w:val="19"/>
              </w:rPr>
              <w:t>(m</w:t>
            </w:r>
            <w:r w:rsidRPr="009166E2">
              <w:rPr>
                <w:sz w:val="19"/>
                <w:szCs w:val="19"/>
              </w:rPr>
              <w:t xml:space="preserve">odelled gain: </w:t>
            </w:r>
            <w:r>
              <w:rPr>
                <w:sz w:val="19"/>
                <w:szCs w:val="19"/>
              </w:rPr>
              <w:t>656</w:t>
            </w:r>
            <w:r w:rsidRPr="009166E2">
              <w:rPr>
                <w:sz w:val="19"/>
                <w:szCs w:val="19"/>
              </w:rPr>
              <w:t> ML</w:t>
            </w:r>
            <w:r>
              <w:rPr>
                <w:sz w:val="19"/>
                <w:szCs w:val="19"/>
              </w:rPr>
              <w:t>)</w:t>
            </w:r>
          </w:p>
        </w:tc>
        <w:tc>
          <w:tcPr>
            <w:tcW w:w="2152" w:type="dxa"/>
          </w:tcPr>
          <w:p w14:paraId="345F138F" w14:textId="4DF36B1C" w:rsidR="00535F2F" w:rsidRPr="009166E2" w:rsidRDefault="00535F2F" w:rsidP="00535F2F">
            <w:pPr>
              <w:contextualSpacing/>
              <w:jc w:val="left"/>
              <w:rPr>
                <w:sz w:val="19"/>
                <w:szCs w:val="19"/>
              </w:rPr>
            </w:pPr>
            <w:r w:rsidRPr="009166E2">
              <w:rPr>
                <w:sz w:val="19"/>
                <w:szCs w:val="19"/>
              </w:rPr>
              <w:t>Lowering of weir pool to -</w:t>
            </w:r>
            <w:r>
              <w:rPr>
                <w:sz w:val="19"/>
                <w:szCs w:val="19"/>
              </w:rPr>
              <w:t>3</w:t>
            </w:r>
            <w:r w:rsidRPr="009166E2">
              <w:rPr>
                <w:sz w:val="19"/>
                <w:szCs w:val="19"/>
              </w:rPr>
              <w:t xml:space="preserve">0 cm: </w:t>
            </w:r>
            <w:r w:rsidRPr="0003365B">
              <w:rPr>
                <w:sz w:val="19"/>
                <w:szCs w:val="19"/>
              </w:rPr>
              <w:t>1 June to 31 July 2021</w:t>
            </w:r>
          </w:p>
          <w:p w14:paraId="60AFADB8" w14:textId="53F3E05E" w:rsidR="00535F2F" w:rsidRPr="009166E2" w:rsidRDefault="00535F2F" w:rsidP="00535F2F">
            <w:pPr>
              <w:contextualSpacing/>
              <w:jc w:val="left"/>
              <w:rPr>
                <w:sz w:val="19"/>
                <w:szCs w:val="19"/>
              </w:rPr>
            </w:pPr>
            <w:r>
              <w:rPr>
                <w:sz w:val="19"/>
                <w:szCs w:val="19"/>
              </w:rPr>
              <w:t>(m</w:t>
            </w:r>
            <w:r w:rsidRPr="009166E2">
              <w:rPr>
                <w:sz w:val="19"/>
                <w:szCs w:val="19"/>
              </w:rPr>
              <w:t xml:space="preserve">odelled gain: </w:t>
            </w:r>
            <w:r>
              <w:rPr>
                <w:sz w:val="19"/>
                <w:szCs w:val="19"/>
              </w:rPr>
              <w:t>234</w:t>
            </w:r>
            <w:r w:rsidRPr="009166E2">
              <w:rPr>
                <w:sz w:val="19"/>
                <w:szCs w:val="19"/>
              </w:rPr>
              <w:t> ML</w:t>
            </w:r>
            <w:r>
              <w:rPr>
                <w:sz w:val="19"/>
                <w:szCs w:val="19"/>
              </w:rPr>
              <w:t>)</w:t>
            </w:r>
          </w:p>
        </w:tc>
      </w:tr>
      <w:tr w:rsidR="00DD2080" w:rsidRPr="009166E2" w14:paraId="191788C2" w14:textId="77777777" w:rsidTr="00D37F9A">
        <w:trPr>
          <w:trHeight w:val="455"/>
        </w:trPr>
        <w:tc>
          <w:tcPr>
            <w:tcW w:w="1049" w:type="dxa"/>
          </w:tcPr>
          <w:p w14:paraId="6B770F95" w14:textId="76E7F0C3" w:rsidR="00DD2080" w:rsidRDefault="00DD2080" w:rsidP="00DD2080">
            <w:pPr>
              <w:contextualSpacing/>
              <w:rPr>
                <w:sz w:val="19"/>
                <w:szCs w:val="19"/>
              </w:rPr>
            </w:pPr>
            <w:r>
              <w:rPr>
                <w:sz w:val="19"/>
                <w:szCs w:val="19"/>
              </w:rPr>
              <w:t>2022-23</w:t>
            </w:r>
            <w:r w:rsidR="00004BA4" w:rsidRPr="00004BA4">
              <w:rPr>
                <w:sz w:val="19"/>
                <w:szCs w:val="19"/>
                <w:vertAlign w:val="superscript"/>
              </w:rPr>
              <w:t>#</w:t>
            </w:r>
          </w:p>
        </w:tc>
        <w:tc>
          <w:tcPr>
            <w:tcW w:w="1781" w:type="dxa"/>
          </w:tcPr>
          <w:p w14:paraId="30AB9DFB" w14:textId="57B1154F" w:rsidR="00DD2080" w:rsidRDefault="00DD2080" w:rsidP="00DD2080">
            <w:pPr>
              <w:contextualSpacing/>
              <w:jc w:val="left"/>
              <w:rPr>
                <w:sz w:val="19"/>
                <w:szCs w:val="19"/>
              </w:rPr>
            </w:pPr>
            <w:r w:rsidRPr="00F850EA">
              <w:rPr>
                <w:sz w:val="19"/>
                <w:szCs w:val="19"/>
              </w:rPr>
              <w:t>Lowering of weir pool to -40 cm: 9 May to 22 June 2023</w:t>
            </w:r>
            <w:r w:rsidR="00D37F9A">
              <w:rPr>
                <w:sz w:val="19"/>
                <w:szCs w:val="19"/>
              </w:rPr>
              <w:t xml:space="preserve"> (m</w:t>
            </w:r>
            <w:r w:rsidR="00D37F9A" w:rsidRPr="009166E2">
              <w:rPr>
                <w:sz w:val="19"/>
                <w:szCs w:val="19"/>
              </w:rPr>
              <w:t xml:space="preserve">odelled </w:t>
            </w:r>
            <w:r w:rsidR="00D37F9A">
              <w:rPr>
                <w:sz w:val="19"/>
                <w:szCs w:val="19"/>
              </w:rPr>
              <w:t>use/</w:t>
            </w:r>
            <w:r w:rsidR="00D37F9A" w:rsidRPr="009166E2">
              <w:rPr>
                <w:sz w:val="19"/>
                <w:szCs w:val="19"/>
              </w:rPr>
              <w:t xml:space="preserve">gain: </w:t>
            </w:r>
            <w:r w:rsidR="00D37F9A">
              <w:rPr>
                <w:sz w:val="19"/>
                <w:szCs w:val="19"/>
              </w:rPr>
              <w:t>0</w:t>
            </w:r>
            <w:r w:rsidR="00D37F9A" w:rsidRPr="009166E2">
              <w:rPr>
                <w:sz w:val="19"/>
                <w:szCs w:val="19"/>
              </w:rPr>
              <w:t> ML</w:t>
            </w:r>
            <w:r w:rsidR="00D37F9A">
              <w:rPr>
                <w:sz w:val="19"/>
                <w:szCs w:val="19"/>
              </w:rPr>
              <w:t>)</w:t>
            </w:r>
          </w:p>
          <w:p w14:paraId="519DBF77" w14:textId="77777777" w:rsidR="00DD2080" w:rsidRPr="009166E2" w:rsidRDefault="00DD2080" w:rsidP="00DD2080">
            <w:pPr>
              <w:contextualSpacing/>
              <w:jc w:val="left"/>
              <w:rPr>
                <w:sz w:val="19"/>
                <w:szCs w:val="19"/>
              </w:rPr>
            </w:pPr>
          </w:p>
        </w:tc>
        <w:tc>
          <w:tcPr>
            <w:tcW w:w="2340" w:type="dxa"/>
          </w:tcPr>
          <w:p w14:paraId="2BC70748" w14:textId="1F8A36FD" w:rsidR="00DD2080" w:rsidRPr="009166E2" w:rsidRDefault="00DD2080" w:rsidP="00DD2080">
            <w:pPr>
              <w:contextualSpacing/>
              <w:jc w:val="left"/>
              <w:rPr>
                <w:sz w:val="19"/>
                <w:szCs w:val="19"/>
              </w:rPr>
            </w:pPr>
            <w:r w:rsidRPr="00F850EA">
              <w:rPr>
                <w:sz w:val="19"/>
                <w:szCs w:val="19"/>
              </w:rPr>
              <w:t>Lowering of weir pool to -40 cm: 8 March – 30 June 2023</w:t>
            </w:r>
            <w:r w:rsidR="00D37F9A">
              <w:rPr>
                <w:sz w:val="19"/>
                <w:szCs w:val="19"/>
              </w:rPr>
              <w:t xml:space="preserve"> (m</w:t>
            </w:r>
            <w:r w:rsidR="00D37F9A" w:rsidRPr="009166E2">
              <w:rPr>
                <w:sz w:val="19"/>
                <w:szCs w:val="19"/>
              </w:rPr>
              <w:t xml:space="preserve">odelled </w:t>
            </w:r>
            <w:r w:rsidR="00D37F9A">
              <w:rPr>
                <w:sz w:val="19"/>
                <w:szCs w:val="19"/>
              </w:rPr>
              <w:t>use/</w:t>
            </w:r>
            <w:r w:rsidR="00D37F9A" w:rsidRPr="009166E2">
              <w:rPr>
                <w:sz w:val="19"/>
                <w:szCs w:val="19"/>
              </w:rPr>
              <w:t xml:space="preserve">gain: </w:t>
            </w:r>
            <w:r w:rsidR="00D37F9A">
              <w:rPr>
                <w:sz w:val="19"/>
                <w:szCs w:val="19"/>
              </w:rPr>
              <w:t>0</w:t>
            </w:r>
            <w:r w:rsidR="00D37F9A" w:rsidRPr="009166E2">
              <w:rPr>
                <w:sz w:val="19"/>
                <w:szCs w:val="19"/>
              </w:rPr>
              <w:t> ML</w:t>
            </w:r>
            <w:r w:rsidR="00D37F9A">
              <w:rPr>
                <w:sz w:val="19"/>
                <w:szCs w:val="19"/>
              </w:rPr>
              <w:t>)</w:t>
            </w:r>
          </w:p>
        </w:tc>
        <w:tc>
          <w:tcPr>
            <w:tcW w:w="1694" w:type="dxa"/>
          </w:tcPr>
          <w:p w14:paraId="0D6F20D6" w14:textId="39349281" w:rsidR="00DD2080" w:rsidRPr="009166E2" w:rsidRDefault="00DD2080" w:rsidP="00DD2080">
            <w:pPr>
              <w:contextualSpacing/>
              <w:jc w:val="left"/>
              <w:rPr>
                <w:sz w:val="19"/>
                <w:szCs w:val="19"/>
              </w:rPr>
            </w:pPr>
            <w:r w:rsidRPr="00F850EA">
              <w:rPr>
                <w:sz w:val="19"/>
                <w:szCs w:val="19"/>
              </w:rPr>
              <w:t>Lowering of weir pool to -10 cm: 23 February to 26 June 2023</w:t>
            </w:r>
            <w:r w:rsidR="00D37F9A">
              <w:rPr>
                <w:sz w:val="19"/>
                <w:szCs w:val="19"/>
              </w:rPr>
              <w:t xml:space="preserve"> (m</w:t>
            </w:r>
            <w:r w:rsidR="00D37F9A" w:rsidRPr="009166E2">
              <w:rPr>
                <w:sz w:val="19"/>
                <w:szCs w:val="19"/>
              </w:rPr>
              <w:t xml:space="preserve">odelled </w:t>
            </w:r>
            <w:r w:rsidR="00D37F9A">
              <w:rPr>
                <w:sz w:val="19"/>
                <w:szCs w:val="19"/>
              </w:rPr>
              <w:t>use/</w:t>
            </w:r>
            <w:r w:rsidR="00D37F9A" w:rsidRPr="009166E2">
              <w:rPr>
                <w:sz w:val="19"/>
                <w:szCs w:val="19"/>
              </w:rPr>
              <w:t xml:space="preserve">gain: </w:t>
            </w:r>
            <w:r w:rsidR="00D37F9A">
              <w:rPr>
                <w:sz w:val="19"/>
                <w:szCs w:val="19"/>
              </w:rPr>
              <w:t>0</w:t>
            </w:r>
            <w:r w:rsidR="00D37F9A" w:rsidRPr="009166E2">
              <w:rPr>
                <w:sz w:val="19"/>
                <w:szCs w:val="19"/>
              </w:rPr>
              <w:t> ML</w:t>
            </w:r>
            <w:r w:rsidR="00D37F9A">
              <w:rPr>
                <w:sz w:val="19"/>
                <w:szCs w:val="19"/>
              </w:rPr>
              <w:t>)</w:t>
            </w:r>
          </w:p>
        </w:tc>
        <w:tc>
          <w:tcPr>
            <w:tcW w:w="2152" w:type="dxa"/>
          </w:tcPr>
          <w:p w14:paraId="7B4B76BF" w14:textId="720C9F01" w:rsidR="00DD2080" w:rsidRPr="009166E2" w:rsidRDefault="00DD2080" w:rsidP="00DD2080">
            <w:pPr>
              <w:contextualSpacing/>
              <w:jc w:val="left"/>
              <w:rPr>
                <w:sz w:val="19"/>
                <w:szCs w:val="19"/>
              </w:rPr>
            </w:pPr>
            <w:r w:rsidRPr="00F850EA">
              <w:rPr>
                <w:sz w:val="19"/>
                <w:szCs w:val="19"/>
              </w:rPr>
              <w:t>Lowering of weir pool to -40 cm: 1 July to 18 September 202</w:t>
            </w:r>
            <w:r w:rsidR="00C720B7">
              <w:rPr>
                <w:sz w:val="19"/>
                <w:szCs w:val="19"/>
              </w:rPr>
              <w:t>2</w:t>
            </w:r>
            <w:r w:rsidR="00D37F9A">
              <w:rPr>
                <w:sz w:val="19"/>
                <w:szCs w:val="19"/>
              </w:rPr>
              <w:t xml:space="preserve"> (m</w:t>
            </w:r>
            <w:r w:rsidR="00D37F9A" w:rsidRPr="009166E2">
              <w:rPr>
                <w:sz w:val="19"/>
                <w:szCs w:val="19"/>
              </w:rPr>
              <w:t xml:space="preserve">odelled </w:t>
            </w:r>
            <w:r w:rsidR="00D37F9A">
              <w:rPr>
                <w:sz w:val="19"/>
                <w:szCs w:val="19"/>
              </w:rPr>
              <w:t>use/</w:t>
            </w:r>
            <w:r w:rsidR="00D37F9A" w:rsidRPr="009166E2">
              <w:rPr>
                <w:sz w:val="19"/>
                <w:szCs w:val="19"/>
              </w:rPr>
              <w:t xml:space="preserve">gain: </w:t>
            </w:r>
            <w:r w:rsidR="00D37F9A">
              <w:rPr>
                <w:sz w:val="19"/>
                <w:szCs w:val="19"/>
              </w:rPr>
              <w:t>0</w:t>
            </w:r>
            <w:r w:rsidR="00D37F9A" w:rsidRPr="009166E2">
              <w:rPr>
                <w:sz w:val="19"/>
                <w:szCs w:val="19"/>
              </w:rPr>
              <w:t> ML</w:t>
            </w:r>
            <w:r w:rsidR="00D37F9A">
              <w:rPr>
                <w:sz w:val="19"/>
                <w:szCs w:val="19"/>
              </w:rPr>
              <w:t>)</w:t>
            </w:r>
          </w:p>
        </w:tc>
      </w:tr>
      <w:tr w:rsidR="00C720B7" w:rsidRPr="009166E2" w14:paraId="716BCB37" w14:textId="77777777" w:rsidTr="00DD2080">
        <w:trPr>
          <w:trHeight w:val="988"/>
        </w:trPr>
        <w:tc>
          <w:tcPr>
            <w:tcW w:w="1049" w:type="dxa"/>
          </w:tcPr>
          <w:p w14:paraId="101BD594" w14:textId="693CE811" w:rsidR="00C720B7" w:rsidRPr="00DD2080" w:rsidRDefault="00C720B7" w:rsidP="00C720B7">
            <w:pPr>
              <w:contextualSpacing/>
              <w:rPr>
                <w:sz w:val="19"/>
                <w:szCs w:val="19"/>
                <w:highlight w:val="yellow"/>
              </w:rPr>
            </w:pPr>
            <w:r w:rsidRPr="00C720B7">
              <w:rPr>
                <w:sz w:val="19"/>
                <w:szCs w:val="19"/>
              </w:rPr>
              <w:t>2023-24</w:t>
            </w:r>
            <w:r w:rsidRPr="00C720B7">
              <w:rPr>
                <w:sz w:val="19"/>
                <w:szCs w:val="19"/>
                <w:vertAlign w:val="superscript"/>
              </w:rPr>
              <w:t>#</w:t>
            </w:r>
          </w:p>
        </w:tc>
        <w:tc>
          <w:tcPr>
            <w:tcW w:w="1781" w:type="dxa"/>
          </w:tcPr>
          <w:p w14:paraId="0FEF5EED" w14:textId="37749B71" w:rsidR="00C720B7" w:rsidRDefault="00C720B7" w:rsidP="00C720B7">
            <w:pPr>
              <w:contextualSpacing/>
              <w:jc w:val="left"/>
              <w:rPr>
                <w:sz w:val="19"/>
                <w:szCs w:val="19"/>
              </w:rPr>
            </w:pPr>
            <w:r w:rsidRPr="00F850EA">
              <w:rPr>
                <w:sz w:val="19"/>
                <w:szCs w:val="19"/>
              </w:rPr>
              <w:t>Lowering of weir pool to -</w:t>
            </w:r>
            <w:r>
              <w:rPr>
                <w:sz w:val="19"/>
                <w:szCs w:val="19"/>
              </w:rPr>
              <w:t>15</w:t>
            </w:r>
            <w:r w:rsidRPr="00F850EA">
              <w:rPr>
                <w:sz w:val="19"/>
                <w:szCs w:val="19"/>
              </w:rPr>
              <w:t xml:space="preserve"> cm: 9 </w:t>
            </w:r>
            <w:r>
              <w:rPr>
                <w:sz w:val="19"/>
                <w:szCs w:val="19"/>
              </w:rPr>
              <w:t>April</w:t>
            </w:r>
            <w:r w:rsidRPr="00F850EA">
              <w:rPr>
                <w:sz w:val="19"/>
                <w:szCs w:val="19"/>
              </w:rPr>
              <w:t xml:space="preserve"> to </w:t>
            </w:r>
            <w:r>
              <w:rPr>
                <w:sz w:val="19"/>
                <w:szCs w:val="19"/>
              </w:rPr>
              <w:t>1</w:t>
            </w:r>
            <w:r w:rsidRPr="00F850EA">
              <w:rPr>
                <w:sz w:val="19"/>
                <w:szCs w:val="19"/>
              </w:rPr>
              <w:t xml:space="preserve"> June 202</w:t>
            </w:r>
            <w:r>
              <w:rPr>
                <w:sz w:val="19"/>
                <w:szCs w:val="19"/>
              </w:rPr>
              <w:t>4 (m</w:t>
            </w:r>
            <w:r w:rsidRPr="009166E2">
              <w:rPr>
                <w:sz w:val="19"/>
                <w:szCs w:val="19"/>
              </w:rPr>
              <w:t xml:space="preserve">odelled </w:t>
            </w:r>
            <w:r>
              <w:rPr>
                <w:sz w:val="19"/>
                <w:szCs w:val="19"/>
              </w:rPr>
              <w:t>use/</w:t>
            </w:r>
            <w:r w:rsidRPr="009166E2">
              <w:rPr>
                <w:sz w:val="19"/>
                <w:szCs w:val="19"/>
              </w:rPr>
              <w:t xml:space="preserve">gain: </w:t>
            </w:r>
            <w:r>
              <w:rPr>
                <w:sz w:val="19"/>
                <w:szCs w:val="19"/>
              </w:rPr>
              <w:t>0</w:t>
            </w:r>
            <w:r w:rsidRPr="009166E2">
              <w:rPr>
                <w:sz w:val="19"/>
                <w:szCs w:val="19"/>
              </w:rPr>
              <w:t> ML</w:t>
            </w:r>
            <w:r>
              <w:rPr>
                <w:sz w:val="19"/>
                <w:szCs w:val="19"/>
              </w:rPr>
              <w:t>)</w:t>
            </w:r>
          </w:p>
          <w:p w14:paraId="16DD4371" w14:textId="77777777" w:rsidR="00C720B7" w:rsidRPr="009166E2" w:rsidRDefault="00C720B7" w:rsidP="00C720B7">
            <w:pPr>
              <w:contextualSpacing/>
              <w:jc w:val="left"/>
              <w:rPr>
                <w:sz w:val="19"/>
                <w:szCs w:val="19"/>
              </w:rPr>
            </w:pPr>
          </w:p>
        </w:tc>
        <w:tc>
          <w:tcPr>
            <w:tcW w:w="2340" w:type="dxa"/>
          </w:tcPr>
          <w:p w14:paraId="41711420" w14:textId="7CA3FA01" w:rsidR="00C720B7" w:rsidRPr="009166E2" w:rsidRDefault="00C720B7" w:rsidP="00C720B7">
            <w:pPr>
              <w:contextualSpacing/>
              <w:jc w:val="left"/>
              <w:rPr>
                <w:sz w:val="19"/>
                <w:szCs w:val="19"/>
              </w:rPr>
            </w:pPr>
            <w:r w:rsidRPr="00F850EA">
              <w:rPr>
                <w:sz w:val="19"/>
                <w:szCs w:val="19"/>
              </w:rPr>
              <w:t>Lowering of weir pool to -</w:t>
            </w:r>
            <w:r>
              <w:rPr>
                <w:sz w:val="19"/>
                <w:szCs w:val="19"/>
              </w:rPr>
              <w:t>1</w:t>
            </w:r>
            <w:r w:rsidRPr="00F850EA">
              <w:rPr>
                <w:sz w:val="19"/>
                <w:szCs w:val="19"/>
              </w:rPr>
              <w:t xml:space="preserve">0 cm: </w:t>
            </w:r>
            <w:r>
              <w:rPr>
                <w:sz w:val="19"/>
                <w:szCs w:val="19"/>
              </w:rPr>
              <w:t>5</w:t>
            </w:r>
            <w:r w:rsidRPr="00F850EA">
              <w:rPr>
                <w:sz w:val="19"/>
                <w:szCs w:val="19"/>
              </w:rPr>
              <w:t xml:space="preserve"> </w:t>
            </w:r>
            <w:r>
              <w:rPr>
                <w:sz w:val="19"/>
                <w:szCs w:val="19"/>
              </w:rPr>
              <w:t>April</w:t>
            </w:r>
            <w:r w:rsidRPr="00F850EA">
              <w:rPr>
                <w:sz w:val="19"/>
                <w:szCs w:val="19"/>
              </w:rPr>
              <w:t xml:space="preserve"> – </w:t>
            </w:r>
            <w:r>
              <w:rPr>
                <w:sz w:val="19"/>
                <w:szCs w:val="19"/>
              </w:rPr>
              <w:t>1</w:t>
            </w:r>
            <w:r w:rsidRPr="00F850EA">
              <w:rPr>
                <w:sz w:val="19"/>
                <w:szCs w:val="19"/>
              </w:rPr>
              <w:t xml:space="preserve"> June 202</w:t>
            </w:r>
            <w:r>
              <w:rPr>
                <w:sz w:val="19"/>
                <w:szCs w:val="19"/>
              </w:rPr>
              <w:t>4 (m</w:t>
            </w:r>
            <w:r w:rsidRPr="009166E2">
              <w:rPr>
                <w:sz w:val="19"/>
                <w:szCs w:val="19"/>
              </w:rPr>
              <w:t xml:space="preserve">odelled </w:t>
            </w:r>
            <w:r>
              <w:rPr>
                <w:sz w:val="19"/>
                <w:szCs w:val="19"/>
              </w:rPr>
              <w:t>use/</w:t>
            </w:r>
            <w:r w:rsidRPr="009166E2">
              <w:rPr>
                <w:sz w:val="19"/>
                <w:szCs w:val="19"/>
              </w:rPr>
              <w:t xml:space="preserve">gain: </w:t>
            </w:r>
            <w:r>
              <w:rPr>
                <w:sz w:val="19"/>
                <w:szCs w:val="19"/>
              </w:rPr>
              <w:t>0</w:t>
            </w:r>
            <w:r w:rsidRPr="009166E2">
              <w:rPr>
                <w:sz w:val="19"/>
                <w:szCs w:val="19"/>
              </w:rPr>
              <w:t> ML</w:t>
            </w:r>
            <w:r>
              <w:rPr>
                <w:sz w:val="19"/>
                <w:szCs w:val="19"/>
              </w:rPr>
              <w:t>)</w:t>
            </w:r>
          </w:p>
        </w:tc>
        <w:tc>
          <w:tcPr>
            <w:tcW w:w="1694" w:type="dxa"/>
          </w:tcPr>
          <w:p w14:paraId="2A1DF3CE" w14:textId="1654A8F1" w:rsidR="00C720B7" w:rsidRPr="009166E2" w:rsidRDefault="00C720B7" w:rsidP="00C720B7">
            <w:pPr>
              <w:contextualSpacing/>
              <w:jc w:val="left"/>
              <w:rPr>
                <w:sz w:val="19"/>
                <w:szCs w:val="19"/>
              </w:rPr>
            </w:pPr>
            <w:r w:rsidRPr="00F850EA">
              <w:rPr>
                <w:sz w:val="19"/>
                <w:szCs w:val="19"/>
              </w:rPr>
              <w:t xml:space="preserve">Lowering of weir pool to -10 cm: </w:t>
            </w:r>
            <w:r>
              <w:rPr>
                <w:sz w:val="19"/>
                <w:szCs w:val="19"/>
              </w:rPr>
              <w:t>8 April</w:t>
            </w:r>
            <w:r w:rsidRPr="00F850EA">
              <w:rPr>
                <w:sz w:val="19"/>
                <w:szCs w:val="19"/>
              </w:rPr>
              <w:t xml:space="preserve"> to </w:t>
            </w:r>
            <w:r>
              <w:rPr>
                <w:sz w:val="19"/>
                <w:szCs w:val="19"/>
              </w:rPr>
              <w:t xml:space="preserve">31 May </w:t>
            </w:r>
            <w:r w:rsidRPr="00F850EA">
              <w:rPr>
                <w:sz w:val="19"/>
                <w:szCs w:val="19"/>
              </w:rPr>
              <w:t>202</w:t>
            </w:r>
            <w:r>
              <w:rPr>
                <w:sz w:val="19"/>
                <w:szCs w:val="19"/>
              </w:rPr>
              <w:t>4 (m</w:t>
            </w:r>
            <w:r w:rsidRPr="009166E2">
              <w:rPr>
                <w:sz w:val="19"/>
                <w:szCs w:val="19"/>
              </w:rPr>
              <w:t xml:space="preserve">odelled </w:t>
            </w:r>
            <w:r>
              <w:rPr>
                <w:sz w:val="19"/>
                <w:szCs w:val="19"/>
              </w:rPr>
              <w:t>use/</w:t>
            </w:r>
            <w:r w:rsidRPr="009166E2">
              <w:rPr>
                <w:sz w:val="19"/>
                <w:szCs w:val="19"/>
              </w:rPr>
              <w:t xml:space="preserve">gain: </w:t>
            </w:r>
            <w:r>
              <w:rPr>
                <w:sz w:val="19"/>
                <w:szCs w:val="19"/>
              </w:rPr>
              <w:t>0</w:t>
            </w:r>
            <w:r w:rsidRPr="009166E2">
              <w:rPr>
                <w:sz w:val="19"/>
                <w:szCs w:val="19"/>
              </w:rPr>
              <w:t> ML</w:t>
            </w:r>
            <w:r>
              <w:rPr>
                <w:sz w:val="19"/>
                <w:szCs w:val="19"/>
              </w:rPr>
              <w:t>)</w:t>
            </w:r>
          </w:p>
        </w:tc>
        <w:tc>
          <w:tcPr>
            <w:tcW w:w="2152" w:type="dxa"/>
          </w:tcPr>
          <w:p w14:paraId="5A1EFA0E" w14:textId="2517CB89" w:rsidR="00C720B7" w:rsidRPr="009166E2" w:rsidRDefault="00C720B7" w:rsidP="00C720B7">
            <w:pPr>
              <w:contextualSpacing/>
              <w:jc w:val="left"/>
              <w:rPr>
                <w:sz w:val="19"/>
                <w:szCs w:val="19"/>
              </w:rPr>
            </w:pPr>
            <w:r w:rsidRPr="00F850EA">
              <w:rPr>
                <w:sz w:val="19"/>
                <w:szCs w:val="19"/>
              </w:rPr>
              <w:t>Lowering of weir pool to -</w:t>
            </w:r>
            <w:r>
              <w:rPr>
                <w:sz w:val="19"/>
                <w:szCs w:val="19"/>
              </w:rPr>
              <w:t>3</w:t>
            </w:r>
            <w:r w:rsidRPr="00F850EA">
              <w:rPr>
                <w:sz w:val="19"/>
                <w:szCs w:val="19"/>
              </w:rPr>
              <w:t xml:space="preserve">0 cm: </w:t>
            </w:r>
            <w:r>
              <w:rPr>
                <w:sz w:val="19"/>
                <w:szCs w:val="19"/>
              </w:rPr>
              <w:t>8 April</w:t>
            </w:r>
            <w:r w:rsidRPr="00F850EA">
              <w:rPr>
                <w:sz w:val="19"/>
                <w:szCs w:val="19"/>
              </w:rPr>
              <w:t xml:space="preserve"> to 18 </w:t>
            </w:r>
            <w:r>
              <w:rPr>
                <w:sz w:val="19"/>
                <w:szCs w:val="19"/>
              </w:rPr>
              <w:t>May 2024 (m</w:t>
            </w:r>
            <w:r w:rsidRPr="009166E2">
              <w:rPr>
                <w:sz w:val="19"/>
                <w:szCs w:val="19"/>
              </w:rPr>
              <w:t xml:space="preserve">odelled </w:t>
            </w:r>
            <w:r>
              <w:rPr>
                <w:sz w:val="19"/>
                <w:szCs w:val="19"/>
              </w:rPr>
              <w:t>use/</w:t>
            </w:r>
            <w:r w:rsidRPr="009166E2">
              <w:rPr>
                <w:sz w:val="19"/>
                <w:szCs w:val="19"/>
              </w:rPr>
              <w:t xml:space="preserve">gain: </w:t>
            </w:r>
            <w:r>
              <w:rPr>
                <w:sz w:val="19"/>
                <w:szCs w:val="19"/>
              </w:rPr>
              <w:t>0</w:t>
            </w:r>
            <w:r w:rsidRPr="009166E2">
              <w:rPr>
                <w:sz w:val="19"/>
                <w:szCs w:val="19"/>
              </w:rPr>
              <w:t> ML</w:t>
            </w:r>
            <w:r>
              <w:rPr>
                <w:sz w:val="19"/>
                <w:szCs w:val="19"/>
              </w:rPr>
              <w:t>)</w:t>
            </w:r>
          </w:p>
        </w:tc>
      </w:tr>
    </w:tbl>
    <w:p w14:paraId="4DE9A92C" w14:textId="3F8AC0C0" w:rsidR="00012593" w:rsidRDefault="00012593" w:rsidP="00BF1528">
      <w:pPr>
        <w:rPr>
          <w:b/>
          <w:bCs/>
          <w:i/>
          <w:iCs/>
        </w:rPr>
      </w:pPr>
      <w:r w:rsidRPr="00106C7A">
        <w:rPr>
          <w:sz w:val="18"/>
          <w:szCs w:val="16"/>
        </w:rPr>
        <w:t xml:space="preserve">*Raising of Lock 9 </w:t>
      </w:r>
      <w:r w:rsidR="00535F2F">
        <w:rPr>
          <w:sz w:val="18"/>
          <w:szCs w:val="16"/>
        </w:rPr>
        <w:t>in 2019-20</w:t>
      </w:r>
      <w:r w:rsidR="0088718F">
        <w:rPr>
          <w:sz w:val="18"/>
          <w:szCs w:val="16"/>
        </w:rPr>
        <w:t xml:space="preserve"> and Lock 8 in 2020-21</w:t>
      </w:r>
      <w:r w:rsidR="00535F2F">
        <w:rPr>
          <w:sz w:val="18"/>
          <w:szCs w:val="16"/>
        </w:rPr>
        <w:t xml:space="preserve"> </w:t>
      </w:r>
      <w:r w:rsidRPr="00106C7A">
        <w:rPr>
          <w:sz w:val="18"/>
          <w:szCs w:val="16"/>
        </w:rPr>
        <w:t>was operational only and therefore resulted in no modelled ‘use’.</w:t>
      </w:r>
    </w:p>
    <w:p w14:paraId="5C6B0570" w14:textId="770BC588" w:rsidR="00004BA4" w:rsidRPr="00004BA4" w:rsidRDefault="00004BA4" w:rsidP="00004BA4">
      <w:pPr>
        <w:rPr>
          <w:sz w:val="18"/>
          <w:szCs w:val="18"/>
        </w:rPr>
        <w:sectPr w:rsidR="00004BA4" w:rsidRPr="00004BA4" w:rsidSect="008D628A">
          <w:pgSz w:w="11906" w:h="16838"/>
          <w:pgMar w:top="1440" w:right="1440" w:bottom="1440" w:left="1440" w:header="709" w:footer="709" w:gutter="0"/>
          <w:cols w:space="708"/>
          <w:docGrid w:linePitch="360"/>
        </w:sectPr>
      </w:pPr>
      <w:r w:rsidRPr="00004BA4">
        <w:rPr>
          <w:sz w:val="18"/>
          <w:szCs w:val="18"/>
          <w:vertAlign w:val="superscript"/>
        </w:rPr>
        <w:t>#</w:t>
      </w:r>
      <w:r w:rsidRPr="00004BA4">
        <w:rPr>
          <w:sz w:val="18"/>
          <w:szCs w:val="18"/>
        </w:rPr>
        <w:t>In most years, hydrodynamic models are employed to estimate the incremental inundat</w:t>
      </w:r>
      <w:r w:rsidR="00C86C33">
        <w:rPr>
          <w:sz w:val="18"/>
          <w:szCs w:val="18"/>
        </w:rPr>
        <w:t>ed</w:t>
      </w:r>
      <w:r w:rsidRPr="00004BA4">
        <w:rPr>
          <w:sz w:val="18"/>
          <w:szCs w:val="18"/>
        </w:rPr>
        <w:t xml:space="preserve"> area associated with raising and lowering of the weir pools at Lock 7, 8, 9 and 15. An estimate of net water use across the pools is determined by identifying ‘losses’ during raising and ‘gains’ from lowering. This was not undertaken for 202</w:t>
      </w:r>
      <w:r w:rsidR="00C720B7">
        <w:rPr>
          <w:sz w:val="18"/>
          <w:szCs w:val="18"/>
        </w:rPr>
        <w:t>2</w:t>
      </w:r>
      <w:r w:rsidRPr="00004BA4">
        <w:rPr>
          <w:sz w:val="18"/>
          <w:szCs w:val="18"/>
        </w:rPr>
        <w:t>-2</w:t>
      </w:r>
      <w:r w:rsidR="00C720B7">
        <w:rPr>
          <w:sz w:val="18"/>
          <w:szCs w:val="18"/>
        </w:rPr>
        <w:t>3</w:t>
      </w:r>
      <w:r w:rsidRPr="00004BA4">
        <w:rPr>
          <w:sz w:val="18"/>
          <w:szCs w:val="18"/>
        </w:rPr>
        <w:t xml:space="preserve"> </w:t>
      </w:r>
      <w:r w:rsidR="00C720B7">
        <w:rPr>
          <w:sz w:val="18"/>
          <w:szCs w:val="18"/>
        </w:rPr>
        <w:t xml:space="preserve">and 2023-24 </w:t>
      </w:r>
      <w:r w:rsidRPr="00004BA4">
        <w:rPr>
          <w:sz w:val="18"/>
          <w:szCs w:val="18"/>
        </w:rPr>
        <w:t xml:space="preserve">as there were no raising actions, only weir pool lowerings that produce a water saving. As net water savings cannot be credited to the CEWH, the modelling was not undertaken and water use was determined as 0 ML. </w:t>
      </w:r>
    </w:p>
    <w:p w14:paraId="03D56521" w14:textId="77777777" w:rsidR="00971B24" w:rsidRPr="008737D3" w:rsidRDefault="00971B24" w:rsidP="00971B24">
      <w:pPr>
        <w:spacing w:before="0" w:after="0"/>
        <w:rPr>
          <w:b/>
          <w:i/>
          <w:color w:val="44546A" w:themeColor="text2"/>
          <w:sz w:val="24"/>
          <w:szCs w:val="24"/>
        </w:rPr>
      </w:pPr>
      <w:r w:rsidRPr="008737D3">
        <w:rPr>
          <w:b/>
          <w:i/>
          <w:color w:val="44546A" w:themeColor="text2"/>
          <w:sz w:val="24"/>
          <w:szCs w:val="24"/>
        </w:rPr>
        <w:lastRenderedPageBreak/>
        <w:t>Other watering events and management actions</w:t>
      </w:r>
    </w:p>
    <w:p w14:paraId="0167D3B1" w14:textId="29C5470F" w:rsidR="00B15ECA" w:rsidRPr="00B15ECA" w:rsidRDefault="00B15ECA" w:rsidP="00B15ECA">
      <w:pPr>
        <w:rPr>
          <w:highlight w:val="yellow"/>
        </w:rPr>
      </w:pPr>
      <w:r w:rsidRPr="00003CA8">
        <w:t>From 201</w:t>
      </w:r>
      <w:r w:rsidR="008737D3" w:rsidRPr="00003CA8">
        <w:t>9</w:t>
      </w:r>
      <w:r w:rsidRPr="00003CA8">
        <w:t>–20</w:t>
      </w:r>
      <w:r w:rsidR="008737D3" w:rsidRPr="00003CA8">
        <w:t>24</w:t>
      </w:r>
      <w:r w:rsidRPr="00003CA8">
        <w:t xml:space="preserve">, environmental water was delivered to the LMR channel, primarily as deliveries from return flows through coordinated watering events across the southern connected Basin, to achieve multi-site environmental outcomes. The major upstream watering events that were supported by environmental water and may be relevant to the evaluation in this report are summarised in Table B4. </w:t>
      </w:r>
      <w:r w:rsidR="00003CA8" w:rsidRPr="00003CA8">
        <w:t xml:space="preserve">Refer to the five-year LTIM report (Ye </w:t>
      </w:r>
      <w:r w:rsidR="00003CA8" w:rsidRPr="000D2C3D">
        <w:rPr>
          <w:i/>
          <w:iCs/>
        </w:rPr>
        <w:t>et al.</w:t>
      </w:r>
      <w:r w:rsidR="00003CA8" w:rsidRPr="00003CA8">
        <w:t xml:space="preserve"> 2020a) for a summary of </w:t>
      </w:r>
      <w:r w:rsidR="00003CA8">
        <w:t>upstream watering events</w:t>
      </w:r>
      <w:r w:rsidR="00003CA8" w:rsidRPr="00003CA8">
        <w:t xml:space="preserve"> from 2014–2019.</w:t>
      </w:r>
    </w:p>
    <w:p w14:paraId="78C9E988" w14:textId="2FF2E454" w:rsidR="00012593" w:rsidRDefault="00B15ECA" w:rsidP="00605FB2">
      <w:pPr>
        <w:pStyle w:val="Captions"/>
        <w:rPr>
          <w:bCs/>
          <w:i/>
          <w:iCs/>
        </w:rPr>
      </w:pPr>
      <w:bookmarkStart w:id="596" w:name="_Hlk207968953"/>
      <w:r w:rsidRPr="00003CA8">
        <w:t xml:space="preserve">Table B4. </w:t>
      </w:r>
      <w:r w:rsidR="00E074AE" w:rsidRPr="00003CA8">
        <w:t>Details</w:t>
      </w:r>
      <w:r w:rsidR="00E074AE" w:rsidRPr="00E074AE">
        <w:t xml:space="preserve"> for upstream watering events and management actions supported by environmental water (eWater) </w:t>
      </w:r>
      <w:r w:rsidR="00E074AE">
        <w:t>from</w:t>
      </w:r>
      <w:r w:rsidR="00E074AE" w:rsidRPr="00E074AE">
        <w:t xml:space="preserve"> 20</w:t>
      </w:r>
      <w:r w:rsidR="00E074AE">
        <w:t>19–2024</w:t>
      </w:r>
      <w:r w:rsidR="00E074AE" w:rsidRPr="00E074AE">
        <w:t xml:space="preserve"> (source: CEWH). CEW = Commonwealth environmental water, TLM = The Living Murray</w:t>
      </w:r>
      <w:r w:rsidR="00E074AE" w:rsidRPr="00003CA8">
        <w:t>, VEWH = Victorian Environmental Water Holder, MAA = Murray Additional Environmental Water Allowance, NSW AEW = Adaptive Environmental Water,</w:t>
      </w:r>
      <w:r w:rsidR="005458E9">
        <w:t xml:space="preserve"> NSW EWA = NSW Environmental Water,</w:t>
      </w:r>
      <w:r w:rsidRPr="00003CA8">
        <w:t xml:space="preserve"> IVT = Inter-Valley Transfer, RMIF = River Murray Increased Flows</w:t>
      </w:r>
      <w:r w:rsidR="00003CA8" w:rsidRPr="00003CA8">
        <w:t>, BM-EWA = Barmah Millewa Environmental Watering Allowanc</w:t>
      </w:r>
      <w:r w:rsidR="00435120" w:rsidRPr="00003CA8">
        <w:t>e.</w:t>
      </w:r>
      <w:r w:rsidR="00861429">
        <w:t xml:space="preserve"> SA border = South Australian border.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le showing details for upstream watering events and management actions supported by environmental water from 2019–2024. "/>
      </w:tblPr>
      <w:tblGrid>
        <w:gridCol w:w="1130"/>
        <w:gridCol w:w="1841"/>
        <w:gridCol w:w="9641"/>
        <w:gridCol w:w="1336"/>
      </w:tblGrid>
      <w:tr w:rsidR="00E074AE" w:rsidRPr="00040579" w14:paraId="58B786AC" w14:textId="77777777" w:rsidTr="0084137B">
        <w:trPr>
          <w:cantSplit/>
          <w:trHeight w:val="397"/>
          <w:tblHeader/>
        </w:trPr>
        <w:tc>
          <w:tcPr>
            <w:tcW w:w="405" w:type="pct"/>
            <w:tcBorders>
              <w:bottom w:val="single" w:sz="4" w:space="0" w:color="auto"/>
            </w:tcBorders>
            <w:vAlign w:val="center"/>
          </w:tcPr>
          <w:bookmarkEnd w:id="596"/>
          <w:p w14:paraId="75111045" w14:textId="31A361A6" w:rsidR="00E074AE" w:rsidRPr="00040579" w:rsidRDefault="00E074AE" w:rsidP="00E074AE">
            <w:pPr>
              <w:contextualSpacing/>
              <w:jc w:val="center"/>
              <w:rPr>
                <w:sz w:val="19"/>
                <w:szCs w:val="19"/>
              </w:rPr>
            </w:pPr>
            <w:r>
              <w:rPr>
                <w:sz w:val="19"/>
                <w:szCs w:val="19"/>
              </w:rPr>
              <w:t>Year</w:t>
            </w:r>
          </w:p>
        </w:tc>
        <w:tc>
          <w:tcPr>
            <w:tcW w:w="660" w:type="pct"/>
            <w:vAlign w:val="center"/>
          </w:tcPr>
          <w:p w14:paraId="342621D2" w14:textId="715E415E" w:rsidR="00E074AE" w:rsidRPr="00040579" w:rsidRDefault="00E074AE" w:rsidP="00E074AE">
            <w:pPr>
              <w:contextualSpacing/>
              <w:jc w:val="center"/>
              <w:rPr>
                <w:sz w:val="19"/>
                <w:szCs w:val="19"/>
              </w:rPr>
            </w:pPr>
            <w:r w:rsidRPr="00040579">
              <w:rPr>
                <w:sz w:val="19"/>
                <w:szCs w:val="19"/>
              </w:rPr>
              <w:t>Event</w:t>
            </w:r>
          </w:p>
        </w:tc>
        <w:tc>
          <w:tcPr>
            <w:tcW w:w="3456" w:type="pct"/>
            <w:vAlign w:val="center"/>
          </w:tcPr>
          <w:p w14:paraId="2AAA2FAA" w14:textId="07F489B4" w:rsidR="00E074AE" w:rsidRPr="00040579" w:rsidRDefault="00E074AE" w:rsidP="00E074AE">
            <w:pPr>
              <w:contextualSpacing/>
              <w:jc w:val="center"/>
              <w:rPr>
                <w:sz w:val="19"/>
                <w:szCs w:val="19"/>
              </w:rPr>
            </w:pPr>
            <w:r w:rsidRPr="00040579">
              <w:rPr>
                <w:sz w:val="19"/>
                <w:szCs w:val="19"/>
              </w:rPr>
              <w:t>Event description and timing</w:t>
            </w:r>
          </w:p>
        </w:tc>
        <w:tc>
          <w:tcPr>
            <w:tcW w:w="479" w:type="pct"/>
            <w:vAlign w:val="center"/>
          </w:tcPr>
          <w:p w14:paraId="5DF34554" w14:textId="77777777" w:rsidR="00E074AE" w:rsidRPr="00040579" w:rsidRDefault="00E074AE" w:rsidP="00E074AE">
            <w:pPr>
              <w:contextualSpacing/>
              <w:jc w:val="center"/>
              <w:rPr>
                <w:sz w:val="19"/>
                <w:szCs w:val="19"/>
              </w:rPr>
            </w:pPr>
            <w:r w:rsidRPr="00040579">
              <w:rPr>
                <w:sz w:val="19"/>
                <w:szCs w:val="19"/>
              </w:rPr>
              <w:t>Supporting eWater</w:t>
            </w:r>
          </w:p>
        </w:tc>
      </w:tr>
      <w:tr w:rsidR="00E074AE" w:rsidRPr="00040579" w14:paraId="4DFEA24D" w14:textId="77777777" w:rsidTr="0084137B">
        <w:trPr>
          <w:cantSplit/>
          <w:trHeight w:val="397"/>
        </w:trPr>
        <w:tc>
          <w:tcPr>
            <w:tcW w:w="405" w:type="pct"/>
            <w:tcBorders>
              <w:top w:val="single" w:sz="4" w:space="0" w:color="auto"/>
              <w:left w:val="single" w:sz="4" w:space="0" w:color="auto"/>
              <w:bottom w:val="nil"/>
              <w:right w:val="single" w:sz="4" w:space="0" w:color="auto"/>
            </w:tcBorders>
          </w:tcPr>
          <w:p w14:paraId="7A001E9A" w14:textId="4BD0BCD7" w:rsidR="00E074AE" w:rsidRPr="00E074AE" w:rsidRDefault="00E074AE" w:rsidP="00E074AE">
            <w:pPr>
              <w:contextualSpacing/>
              <w:rPr>
                <w:b/>
                <w:bCs/>
                <w:sz w:val="19"/>
                <w:szCs w:val="19"/>
              </w:rPr>
            </w:pPr>
            <w:r w:rsidRPr="00E074AE">
              <w:rPr>
                <w:b/>
                <w:bCs/>
                <w:sz w:val="19"/>
                <w:szCs w:val="19"/>
              </w:rPr>
              <w:t>2019-20</w:t>
            </w:r>
          </w:p>
          <w:p w14:paraId="13B6688D" w14:textId="63E5ED2D" w:rsidR="00E074AE" w:rsidRPr="00040579" w:rsidRDefault="00E074AE" w:rsidP="00E074AE">
            <w:pPr>
              <w:contextualSpacing/>
              <w:rPr>
                <w:sz w:val="19"/>
                <w:szCs w:val="19"/>
              </w:rPr>
            </w:pPr>
          </w:p>
        </w:tc>
        <w:tc>
          <w:tcPr>
            <w:tcW w:w="660" w:type="pct"/>
            <w:tcBorders>
              <w:left w:val="single" w:sz="4" w:space="0" w:color="auto"/>
            </w:tcBorders>
          </w:tcPr>
          <w:p w14:paraId="43E9CA94" w14:textId="0EA3F2EF" w:rsidR="00E074AE" w:rsidRPr="00E074AE" w:rsidRDefault="00E074AE" w:rsidP="00E074AE">
            <w:pPr>
              <w:rPr>
                <w:sz w:val="19"/>
                <w:szCs w:val="19"/>
              </w:rPr>
            </w:pPr>
            <w:r>
              <w:rPr>
                <w:sz w:val="19"/>
                <w:szCs w:val="19"/>
              </w:rPr>
              <w:t>‘Southern Spring Flow’</w:t>
            </w:r>
          </w:p>
        </w:tc>
        <w:tc>
          <w:tcPr>
            <w:tcW w:w="3456" w:type="pct"/>
          </w:tcPr>
          <w:p w14:paraId="57D5AA8F" w14:textId="5B1065A6" w:rsidR="00E074AE" w:rsidRPr="00305F83" w:rsidRDefault="00E074AE" w:rsidP="00737BA1">
            <w:pPr>
              <w:pStyle w:val="ListParagraph"/>
              <w:numPr>
                <w:ilvl w:val="0"/>
                <w:numId w:val="43"/>
              </w:numPr>
              <w:rPr>
                <w:sz w:val="19"/>
                <w:szCs w:val="19"/>
              </w:rPr>
            </w:pPr>
            <w:r w:rsidRPr="00305F83">
              <w:rPr>
                <w:sz w:val="19"/>
                <w:szCs w:val="19"/>
              </w:rPr>
              <w:t>Between July and October 2019, nearly 330,000 ML of environmental water was delivered from Hume Dam targeting environmental outcomes along 2,000 km of the Murray</w:t>
            </w:r>
            <w:r>
              <w:rPr>
                <w:sz w:val="19"/>
                <w:szCs w:val="19"/>
              </w:rPr>
              <w:t xml:space="preserve"> River</w:t>
            </w:r>
            <w:r w:rsidRPr="00305F83">
              <w:rPr>
                <w:sz w:val="19"/>
                <w:szCs w:val="19"/>
              </w:rPr>
              <w:t>.</w:t>
            </w:r>
          </w:p>
          <w:p w14:paraId="3AFD18C6" w14:textId="77777777" w:rsidR="00E074AE" w:rsidRPr="00305F83" w:rsidRDefault="00E074AE" w:rsidP="00737BA1">
            <w:pPr>
              <w:pStyle w:val="ListParagraph"/>
              <w:numPr>
                <w:ilvl w:val="0"/>
                <w:numId w:val="43"/>
              </w:numPr>
              <w:rPr>
                <w:sz w:val="19"/>
                <w:szCs w:val="19"/>
              </w:rPr>
            </w:pPr>
            <w:r w:rsidRPr="00305F83">
              <w:rPr>
                <w:sz w:val="19"/>
                <w:szCs w:val="19"/>
              </w:rPr>
              <w:t xml:space="preserve">This water provided benefits at Barmah-Millewa Forest, Gunbower Creek, Koondrook-Perricoota Forest, Lake Kramen at Hattah Lakes, Chowilla, the Edward-Kolety-Wakool and the Lower Lakes and Coorong, as well as the Murray River channel itself. </w:t>
            </w:r>
          </w:p>
          <w:p w14:paraId="1AAC4231" w14:textId="35BE6E09" w:rsidR="00E074AE" w:rsidRPr="00305F83" w:rsidRDefault="00E074AE" w:rsidP="00737BA1">
            <w:pPr>
              <w:pStyle w:val="ListParagraph"/>
              <w:numPr>
                <w:ilvl w:val="0"/>
                <w:numId w:val="43"/>
              </w:numPr>
              <w:rPr>
                <w:sz w:val="19"/>
                <w:szCs w:val="19"/>
              </w:rPr>
            </w:pPr>
            <w:r w:rsidRPr="00305F83">
              <w:rPr>
                <w:sz w:val="19"/>
                <w:szCs w:val="19"/>
              </w:rPr>
              <w:t xml:space="preserve">Environmental flows targeted up to 15,000 ML/d downstream of Yarrawonga, about half of what would have occurred naturally in winter/spring 2019-20. Based on inflows over winter and spring, flows would have naturally reached about 30,000 </w:t>
            </w:r>
            <w:r w:rsidR="00167193">
              <w:rPr>
                <w:sz w:val="19"/>
                <w:szCs w:val="19"/>
              </w:rPr>
              <w:t>ML/d</w:t>
            </w:r>
            <w:r w:rsidRPr="00305F83">
              <w:rPr>
                <w:sz w:val="19"/>
                <w:szCs w:val="19"/>
              </w:rPr>
              <w:t>, with overbank flows from July to October 2019.</w:t>
            </w:r>
          </w:p>
          <w:p w14:paraId="5D74189B" w14:textId="77777777" w:rsidR="00E074AE" w:rsidRPr="00305F83" w:rsidRDefault="00E074AE" w:rsidP="00737BA1">
            <w:pPr>
              <w:pStyle w:val="ListParagraph"/>
              <w:numPr>
                <w:ilvl w:val="0"/>
                <w:numId w:val="43"/>
              </w:numPr>
              <w:rPr>
                <w:sz w:val="19"/>
                <w:szCs w:val="19"/>
              </w:rPr>
            </w:pPr>
            <w:r w:rsidRPr="00305F83">
              <w:rPr>
                <w:sz w:val="19"/>
                <w:szCs w:val="19"/>
              </w:rPr>
              <w:t>The flows were designed to support a broad range of outcomes. In the Mid-Murray, this includes providing water to the wetland vegetation in Barmah-Millewa Forest (such as Moira grass), and improving habitat and food availability for native fish, such as Murray cod.</w:t>
            </w:r>
          </w:p>
          <w:p w14:paraId="49E0E519" w14:textId="77777777" w:rsidR="00E074AE" w:rsidRPr="00BD1431" w:rsidRDefault="00E074AE" w:rsidP="00737BA1">
            <w:pPr>
              <w:pStyle w:val="ListParagraph"/>
              <w:numPr>
                <w:ilvl w:val="0"/>
                <w:numId w:val="43"/>
              </w:numPr>
              <w:rPr>
                <w:sz w:val="19"/>
                <w:szCs w:val="19"/>
              </w:rPr>
            </w:pPr>
            <w:r w:rsidRPr="00305F83">
              <w:rPr>
                <w:sz w:val="19"/>
                <w:szCs w:val="19"/>
              </w:rPr>
              <w:t>The flows were timed to align with environmental flows from the Lower Goulburn, creating a pulse down the Murray</w:t>
            </w:r>
            <w:r>
              <w:rPr>
                <w:sz w:val="19"/>
                <w:szCs w:val="19"/>
              </w:rPr>
              <w:t xml:space="preserve"> River</w:t>
            </w:r>
            <w:r w:rsidRPr="00305F83">
              <w:rPr>
                <w:sz w:val="19"/>
                <w:szCs w:val="19"/>
              </w:rPr>
              <w:t>. This pulse aimed to improve productivity in the river (that is, supporting the river food chain (or food web)).</w:t>
            </w:r>
          </w:p>
        </w:tc>
        <w:tc>
          <w:tcPr>
            <w:tcW w:w="479" w:type="pct"/>
          </w:tcPr>
          <w:p w14:paraId="53C1D469" w14:textId="77777777" w:rsidR="00E074AE" w:rsidRPr="00040579" w:rsidRDefault="00E074AE" w:rsidP="00E074AE">
            <w:pPr>
              <w:contextualSpacing/>
              <w:rPr>
                <w:sz w:val="19"/>
                <w:szCs w:val="19"/>
              </w:rPr>
            </w:pPr>
            <w:r>
              <w:rPr>
                <w:sz w:val="19"/>
                <w:szCs w:val="19"/>
              </w:rPr>
              <w:t>CEW, TLM, RMIF</w:t>
            </w:r>
          </w:p>
        </w:tc>
      </w:tr>
      <w:tr w:rsidR="00E074AE" w:rsidRPr="00040579" w14:paraId="13B34132" w14:textId="77777777" w:rsidTr="0084137B">
        <w:trPr>
          <w:cantSplit/>
          <w:trHeight w:val="397"/>
        </w:trPr>
        <w:tc>
          <w:tcPr>
            <w:tcW w:w="405" w:type="pct"/>
            <w:tcBorders>
              <w:top w:val="nil"/>
              <w:left w:val="single" w:sz="4" w:space="0" w:color="auto"/>
              <w:bottom w:val="nil"/>
              <w:right w:val="single" w:sz="4" w:space="0" w:color="auto"/>
            </w:tcBorders>
          </w:tcPr>
          <w:p w14:paraId="3CA53BDD" w14:textId="06C8C951" w:rsidR="00E074AE" w:rsidRDefault="00E074AE" w:rsidP="00E074AE">
            <w:pPr>
              <w:contextualSpacing/>
              <w:rPr>
                <w:sz w:val="19"/>
                <w:szCs w:val="19"/>
              </w:rPr>
            </w:pPr>
          </w:p>
        </w:tc>
        <w:tc>
          <w:tcPr>
            <w:tcW w:w="660" w:type="pct"/>
            <w:tcBorders>
              <w:left w:val="single" w:sz="4" w:space="0" w:color="auto"/>
            </w:tcBorders>
          </w:tcPr>
          <w:p w14:paraId="49E75005" w14:textId="42AB6156" w:rsidR="00E074AE" w:rsidRPr="00E074AE" w:rsidRDefault="00E074AE" w:rsidP="00E074AE">
            <w:pPr>
              <w:rPr>
                <w:sz w:val="19"/>
                <w:szCs w:val="19"/>
              </w:rPr>
            </w:pPr>
            <w:r w:rsidRPr="00E074AE">
              <w:rPr>
                <w:sz w:val="19"/>
                <w:szCs w:val="19"/>
              </w:rPr>
              <w:t>Goulburn winter and  spring freshes</w:t>
            </w:r>
          </w:p>
        </w:tc>
        <w:tc>
          <w:tcPr>
            <w:tcW w:w="3456" w:type="pct"/>
          </w:tcPr>
          <w:p w14:paraId="29F66999" w14:textId="38EFAAE6" w:rsidR="00E074AE" w:rsidRDefault="00E074AE" w:rsidP="00737BA1">
            <w:pPr>
              <w:pStyle w:val="ListParagraph"/>
              <w:numPr>
                <w:ilvl w:val="0"/>
                <w:numId w:val="43"/>
              </w:numPr>
              <w:rPr>
                <w:sz w:val="19"/>
                <w:szCs w:val="19"/>
              </w:rPr>
            </w:pPr>
            <w:r w:rsidRPr="00D12A34">
              <w:rPr>
                <w:sz w:val="19"/>
                <w:szCs w:val="19"/>
              </w:rPr>
              <w:t>Following base</w:t>
            </w:r>
            <w:r>
              <w:rPr>
                <w:sz w:val="19"/>
                <w:szCs w:val="19"/>
              </w:rPr>
              <w:t xml:space="preserve"> </w:t>
            </w:r>
            <w:r w:rsidRPr="00D12A34">
              <w:rPr>
                <w:sz w:val="19"/>
                <w:szCs w:val="19"/>
              </w:rPr>
              <w:t xml:space="preserve">flows in June 2019, the winter fresh commenced at Murchison on 01 July 2019 and finished on 1 August 2019. Flows peaked at 9,549 </w:t>
            </w:r>
            <w:r w:rsidR="00167193">
              <w:rPr>
                <w:sz w:val="19"/>
                <w:szCs w:val="19"/>
              </w:rPr>
              <w:t>ML/d</w:t>
            </w:r>
            <w:r w:rsidRPr="00D12A34">
              <w:rPr>
                <w:sz w:val="19"/>
                <w:szCs w:val="19"/>
              </w:rPr>
              <w:t xml:space="preserve"> at Murchison, boosted by natural inflows. At McCoys Bridge the winter flow commenced on 6 July with a lower peak of 8,503 </w:t>
            </w:r>
            <w:r w:rsidR="00167193">
              <w:rPr>
                <w:sz w:val="19"/>
                <w:szCs w:val="19"/>
              </w:rPr>
              <w:t>ML/d</w:t>
            </w:r>
            <w:r w:rsidRPr="00D12A34">
              <w:rPr>
                <w:sz w:val="19"/>
                <w:szCs w:val="19"/>
              </w:rPr>
              <w:t>.</w:t>
            </w:r>
            <w:r>
              <w:rPr>
                <w:sz w:val="19"/>
                <w:szCs w:val="19"/>
              </w:rPr>
              <w:t xml:space="preserve"> </w:t>
            </w:r>
          </w:p>
          <w:p w14:paraId="6D3DE407" w14:textId="77777777" w:rsidR="00E074AE" w:rsidRPr="00D12A34" w:rsidRDefault="00E074AE" w:rsidP="00737BA1">
            <w:pPr>
              <w:pStyle w:val="ListParagraph"/>
              <w:numPr>
                <w:ilvl w:val="0"/>
                <w:numId w:val="43"/>
              </w:numPr>
              <w:rPr>
                <w:sz w:val="19"/>
                <w:szCs w:val="19"/>
              </w:rPr>
            </w:pPr>
            <w:r w:rsidRPr="00D12A34">
              <w:rPr>
                <w:sz w:val="19"/>
                <w:szCs w:val="19"/>
              </w:rPr>
              <w:t>Expected outcome</w:t>
            </w:r>
            <w:r>
              <w:rPr>
                <w:sz w:val="19"/>
                <w:szCs w:val="19"/>
              </w:rPr>
              <w:t xml:space="preserve"> of winter fre</w:t>
            </w:r>
            <w:r w:rsidRPr="00D12A34">
              <w:rPr>
                <w:sz w:val="19"/>
                <w:szCs w:val="19"/>
              </w:rPr>
              <w:t>s</w:t>
            </w:r>
            <w:r>
              <w:rPr>
                <w:sz w:val="19"/>
                <w:szCs w:val="19"/>
              </w:rPr>
              <w:t>h</w:t>
            </w:r>
            <w:r w:rsidRPr="00D12A34">
              <w:rPr>
                <w:sz w:val="19"/>
                <w:szCs w:val="19"/>
              </w:rPr>
              <w:t>: remove terrestrial vegetation and re-establish flood tolerant native vegetation; inundate benches to encourage plant germination; provide carbon (e.g. leaf litter) to the channel; and improve water quality and waterbug habitat.</w:t>
            </w:r>
          </w:p>
          <w:p w14:paraId="7A61CB63" w14:textId="77777777" w:rsidR="00E074AE" w:rsidRDefault="00E074AE" w:rsidP="00737BA1">
            <w:pPr>
              <w:pStyle w:val="ListParagraph"/>
              <w:numPr>
                <w:ilvl w:val="0"/>
                <w:numId w:val="43"/>
              </w:numPr>
              <w:rPr>
                <w:sz w:val="19"/>
                <w:szCs w:val="19"/>
              </w:rPr>
            </w:pPr>
            <w:r w:rsidRPr="00BD1431">
              <w:rPr>
                <w:sz w:val="19"/>
                <w:szCs w:val="19"/>
              </w:rPr>
              <w:t xml:space="preserve">The Goulburn spring </w:t>
            </w:r>
            <w:r>
              <w:rPr>
                <w:sz w:val="19"/>
                <w:szCs w:val="19"/>
              </w:rPr>
              <w:t>fresh</w:t>
            </w:r>
            <w:r w:rsidRPr="00BD1431">
              <w:rPr>
                <w:sz w:val="19"/>
                <w:szCs w:val="19"/>
              </w:rPr>
              <w:t xml:space="preserve"> delivered 135,923 ML from Eildon with the pulse commencing on 21 September and ending 19 October at McCoys Bridge. Before and after the spring pulse there was additional environmental water delivered as part of maintaining increased base</w:t>
            </w:r>
            <w:r>
              <w:rPr>
                <w:sz w:val="19"/>
                <w:szCs w:val="19"/>
              </w:rPr>
              <w:t xml:space="preserve"> </w:t>
            </w:r>
            <w:r w:rsidRPr="00BD1431">
              <w:rPr>
                <w:sz w:val="19"/>
                <w:szCs w:val="19"/>
              </w:rPr>
              <w:t>flows for the Goulburn River.</w:t>
            </w:r>
          </w:p>
          <w:p w14:paraId="14C49612" w14:textId="77777777" w:rsidR="00E074AE" w:rsidRPr="00BD1431" w:rsidRDefault="00E074AE" w:rsidP="00737BA1">
            <w:pPr>
              <w:pStyle w:val="ListParagraph"/>
              <w:numPr>
                <w:ilvl w:val="0"/>
                <w:numId w:val="43"/>
              </w:numPr>
              <w:rPr>
                <w:sz w:val="19"/>
                <w:szCs w:val="19"/>
              </w:rPr>
            </w:pPr>
            <w:r w:rsidRPr="00D12A34">
              <w:rPr>
                <w:sz w:val="19"/>
                <w:szCs w:val="19"/>
              </w:rPr>
              <w:t>Expected outcome</w:t>
            </w:r>
            <w:r>
              <w:rPr>
                <w:sz w:val="19"/>
                <w:szCs w:val="19"/>
              </w:rPr>
              <w:t xml:space="preserve"> of summer fre</w:t>
            </w:r>
            <w:r w:rsidRPr="00D12A34">
              <w:rPr>
                <w:sz w:val="19"/>
                <w:szCs w:val="19"/>
              </w:rPr>
              <w:t>s</w:t>
            </w:r>
            <w:r>
              <w:rPr>
                <w:sz w:val="19"/>
                <w:szCs w:val="19"/>
              </w:rPr>
              <w:t>h</w:t>
            </w:r>
            <w:r w:rsidRPr="00D12A34">
              <w:rPr>
                <w:sz w:val="19"/>
                <w:szCs w:val="19"/>
              </w:rPr>
              <w:t>:</w:t>
            </w:r>
            <w:r>
              <w:t xml:space="preserve"> </w:t>
            </w:r>
            <w:r w:rsidRPr="00D12A34">
              <w:rPr>
                <w:sz w:val="19"/>
                <w:szCs w:val="19"/>
              </w:rPr>
              <w:t>inundate vegetation on benches and the lower banks to facilitate recruitment, sustain growth, and encourage flowering, seed development and distribution.</w:t>
            </w:r>
          </w:p>
        </w:tc>
        <w:tc>
          <w:tcPr>
            <w:tcW w:w="479" w:type="pct"/>
          </w:tcPr>
          <w:p w14:paraId="54BDE2D1" w14:textId="77777777" w:rsidR="00E074AE" w:rsidRPr="00BD1431" w:rsidRDefault="00E074AE" w:rsidP="00E074AE">
            <w:pPr>
              <w:contextualSpacing/>
              <w:rPr>
                <w:sz w:val="19"/>
                <w:szCs w:val="19"/>
              </w:rPr>
            </w:pPr>
            <w:r>
              <w:rPr>
                <w:sz w:val="19"/>
                <w:szCs w:val="19"/>
              </w:rPr>
              <w:t>CEW, TLM, VEWH</w:t>
            </w:r>
          </w:p>
        </w:tc>
      </w:tr>
      <w:tr w:rsidR="00E074AE" w:rsidRPr="00040579" w14:paraId="2D702E2D" w14:textId="77777777" w:rsidTr="0084137B">
        <w:trPr>
          <w:cantSplit/>
          <w:trHeight w:val="397"/>
        </w:trPr>
        <w:tc>
          <w:tcPr>
            <w:tcW w:w="405" w:type="pct"/>
            <w:tcBorders>
              <w:top w:val="nil"/>
              <w:left w:val="single" w:sz="4" w:space="0" w:color="auto"/>
              <w:bottom w:val="single" w:sz="4" w:space="0" w:color="auto"/>
              <w:right w:val="single" w:sz="4" w:space="0" w:color="auto"/>
            </w:tcBorders>
          </w:tcPr>
          <w:p w14:paraId="5ED8E9C3" w14:textId="2B994C5B" w:rsidR="00E074AE" w:rsidRDefault="00E074AE" w:rsidP="00E074AE">
            <w:pPr>
              <w:contextualSpacing/>
              <w:rPr>
                <w:sz w:val="19"/>
                <w:szCs w:val="19"/>
              </w:rPr>
            </w:pPr>
          </w:p>
        </w:tc>
        <w:tc>
          <w:tcPr>
            <w:tcW w:w="660" w:type="pct"/>
            <w:tcBorders>
              <w:left w:val="single" w:sz="4" w:space="0" w:color="auto"/>
            </w:tcBorders>
          </w:tcPr>
          <w:p w14:paraId="6F2CF2B4" w14:textId="43C20805" w:rsidR="00E074AE" w:rsidRPr="00E074AE" w:rsidRDefault="00E074AE" w:rsidP="00E074AE">
            <w:pPr>
              <w:rPr>
                <w:sz w:val="19"/>
                <w:szCs w:val="19"/>
              </w:rPr>
            </w:pPr>
            <w:r w:rsidRPr="00E074AE">
              <w:rPr>
                <w:sz w:val="19"/>
                <w:szCs w:val="19"/>
              </w:rPr>
              <w:t>Barmah-Millewa Forest inundation</w:t>
            </w:r>
          </w:p>
        </w:tc>
        <w:tc>
          <w:tcPr>
            <w:tcW w:w="3456" w:type="pct"/>
          </w:tcPr>
          <w:p w14:paraId="428CCC6F" w14:textId="0CEEB337" w:rsidR="00E074AE" w:rsidRDefault="00E074AE" w:rsidP="00737BA1">
            <w:pPr>
              <w:pStyle w:val="ListParagraph"/>
              <w:numPr>
                <w:ilvl w:val="0"/>
                <w:numId w:val="42"/>
              </w:numPr>
              <w:rPr>
                <w:sz w:val="19"/>
                <w:szCs w:val="19"/>
              </w:rPr>
            </w:pPr>
            <w:r w:rsidRPr="00BD1431">
              <w:rPr>
                <w:sz w:val="19"/>
                <w:szCs w:val="19"/>
              </w:rPr>
              <w:t>Given that Barmah forest received the majority of flows in 2018-19, Millewa forest was the priority asset to receive water in 2019-20. The objective was to completely fill the Gulpa Wetlands (Reed Beds Swamp, Coppingers Swamp and Duck Lagoon) to provide optimal bittern nesting habitat over October</w:t>
            </w:r>
            <w:r>
              <w:rPr>
                <w:sz w:val="19"/>
                <w:szCs w:val="19"/>
              </w:rPr>
              <w:t>–</w:t>
            </w:r>
            <w:r w:rsidRPr="00BD1431">
              <w:rPr>
                <w:sz w:val="19"/>
                <w:szCs w:val="19"/>
              </w:rPr>
              <w:t xml:space="preserve">November 2019 and into December 2019. </w:t>
            </w:r>
          </w:p>
          <w:p w14:paraId="2E8B9C10" w14:textId="77777777" w:rsidR="00E074AE" w:rsidRPr="00BD1431" w:rsidRDefault="00E074AE" w:rsidP="00737BA1">
            <w:pPr>
              <w:pStyle w:val="ListParagraph"/>
              <w:numPr>
                <w:ilvl w:val="0"/>
                <w:numId w:val="42"/>
              </w:numPr>
              <w:rPr>
                <w:sz w:val="19"/>
                <w:szCs w:val="19"/>
              </w:rPr>
            </w:pPr>
            <w:r w:rsidRPr="00BD1431">
              <w:rPr>
                <w:sz w:val="19"/>
                <w:szCs w:val="19"/>
              </w:rPr>
              <w:t>Spring pulse started 1 September 2019 targeting 6+ weeks at 15,000 ML/d downstream of Yarrawonga, with a planned completion date of 28 October 2019 (at Yarrawonga).  An estimated 25% of Barmah-Millewa Forest was inundated as part of this flow event.</w:t>
            </w:r>
          </w:p>
          <w:p w14:paraId="3CEECE35" w14:textId="77777777" w:rsidR="00E074AE" w:rsidRPr="00BD1431" w:rsidRDefault="00E074AE" w:rsidP="00737BA1">
            <w:pPr>
              <w:pStyle w:val="ListParagraph"/>
              <w:numPr>
                <w:ilvl w:val="0"/>
                <w:numId w:val="42"/>
              </w:numPr>
              <w:rPr>
                <w:sz w:val="19"/>
                <w:szCs w:val="19"/>
              </w:rPr>
            </w:pPr>
            <w:r w:rsidRPr="00BD1431">
              <w:rPr>
                <w:sz w:val="19"/>
                <w:szCs w:val="19"/>
              </w:rPr>
              <w:t>Forest regulators on the Barmah Forest (Victoria) side of the Murray</w:t>
            </w:r>
            <w:r>
              <w:rPr>
                <w:sz w:val="19"/>
                <w:szCs w:val="19"/>
              </w:rPr>
              <w:t xml:space="preserve"> River</w:t>
            </w:r>
            <w:r w:rsidRPr="00BD1431">
              <w:rPr>
                <w:sz w:val="19"/>
                <w:szCs w:val="19"/>
              </w:rPr>
              <w:t xml:space="preserve"> were closed on 31 October 2019 to control giant rush encroachment and discourage unwanted colonial bird breeding. A small number of regulators in Millewa Forest (NSW) remained open until 30 November to allow Murray Cod and other native fish to complete their breeding cycle and have time to exit the forest creeks. Environmental water was used to cover additional use in the forest during this period.  </w:t>
            </w:r>
          </w:p>
          <w:p w14:paraId="30698A2B" w14:textId="77777777" w:rsidR="00E074AE" w:rsidRPr="00BD1431" w:rsidRDefault="00E074AE" w:rsidP="00737BA1">
            <w:pPr>
              <w:pStyle w:val="ListParagraph"/>
              <w:numPr>
                <w:ilvl w:val="0"/>
                <w:numId w:val="42"/>
              </w:numPr>
              <w:rPr>
                <w:sz w:val="19"/>
                <w:szCs w:val="19"/>
              </w:rPr>
            </w:pPr>
            <w:r w:rsidRPr="00BD1431">
              <w:rPr>
                <w:sz w:val="19"/>
                <w:szCs w:val="19"/>
              </w:rPr>
              <w:t>Further deliveries proceeded into December 2019 in the Gulpa Creek region (Coppingers swamp, duck lagoon and Reed Beds swamp) to support Australasian Bittern breeding. NSW TLM and NSW PEW covered this additional water use.</w:t>
            </w:r>
          </w:p>
        </w:tc>
        <w:tc>
          <w:tcPr>
            <w:tcW w:w="479" w:type="pct"/>
          </w:tcPr>
          <w:p w14:paraId="5BE64EF7" w14:textId="77777777" w:rsidR="00E074AE" w:rsidRPr="00040579" w:rsidRDefault="00E074AE" w:rsidP="00E074AE">
            <w:pPr>
              <w:contextualSpacing/>
              <w:rPr>
                <w:sz w:val="19"/>
                <w:szCs w:val="19"/>
              </w:rPr>
            </w:pPr>
            <w:r>
              <w:rPr>
                <w:sz w:val="19"/>
                <w:szCs w:val="19"/>
              </w:rPr>
              <w:t>CEW, TLM, RMIF, NSW MAA (PEW)</w:t>
            </w:r>
          </w:p>
        </w:tc>
      </w:tr>
      <w:tr w:rsidR="00E074AE" w:rsidRPr="00040579" w14:paraId="2D86B35B" w14:textId="77777777" w:rsidTr="0084137B">
        <w:trPr>
          <w:cantSplit/>
          <w:trHeight w:val="397"/>
        </w:trPr>
        <w:tc>
          <w:tcPr>
            <w:tcW w:w="405" w:type="pct"/>
            <w:tcBorders>
              <w:top w:val="single" w:sz="4" w:space="0" w:color="auto"/>
              <w:left w:val="single" w:sz="4" w:space="0" w:color="auto"/>
              <w:bottom w:val="nil"/>
              <w:right w:val="single" w:sz="4" w:space="0" w:color="auto"/>
            </w:tcBorders>
          </w:tcPr>
          <w:p w14:paraId="5488E320" w14:textId="331312D4" w:rsidR="00E074AE" w:rsidRPr="00EB6E85" w:rsidRDefault="00E074AE" w:rsidP="00E074AE">
            <w:pPr>
              <w:contextualSpacing/>
              <w:rPr>
                <w:sz w:val="19"/>
                <w:szCs w:val="19"/>
              </w:rPr>
            </w:pPr>
            <w:r w:rsidRPr="00E074AE">
              <w:rPr>
                <w:b/>
                <w:bCs/>
              </w:rPr>
              <w:lastRenderedPageBreak/>
              <w:t>2020-21</w:t>
            </w:r>
            <w:r w:rsidRPr="00EB6E85">
              <w:t xml:space="preserve"> </w:t>
            </w:r>
          </w:p>
        </w:tc>
        <w:tc>
          <w:tcPr>
            <w:tcW w:w="660" w:type="pct"/>
            <w:tcBorders>
              <w:left w:val="single" w:sz="4" w:space="0" w:color="auto"/>
            </w:tcBorders>
          </w:tcPr>
          <w:p w14:paraId="6B68746F" w14:textId="76A0C785" w:rsidR="00E074AE" w:rsidRPr="00E074AE" w:rsidRDefault="00E074AE" w:rsidP="00E074AE">
            <w:pPr>
              <w:rPr>
                <w:sz w:val="19"/>
                <w:szCs w:val="19"/>
              </w:rPr>
            </w:pPr>
            <w:r w:rsidRPr="00EB6E85">
              <w:t>‘Southern Spring Flow’</w:t>
            </w:r>
          </w:p>
        </w:tc>
        <w:tc>
          <w:tcPr>
            <w:tcW w:w="3456" w:type="pct"/>
          </w:tcPr>
          <w:p w14:paraId="227E1666" w14:textId="7DD1DDFF" w:rsidR="00E074AE" w:rsidRPr="00EB6E85" w:rsidRDefault="00E074AE" w:rsidP="00737BA1">
            <w:pPr>
              <w:pStyle w:val="ListParagraph"/>
              <w:numPr>
                <w:ilvl w:val="0"/>
                <w:numId w:val="40"/>
              </w:numPr>
              <w:rPr>
                <w:sz w:val="19"/>
                <w:szCs w:val="19"/>
              </w:rPr>
            </w:pPr>
            <w:r w:rsidRPr="00EB6E85">
              <w:rPr>
                <w:sz w:val="19"/>
                <w:szCs w:val="19"/>
              </w:rPr>
              <w:t>Spring/</w:t>
            </w:r>
            <w:r>
              <w:rPr>
                <w:sz w:val="19"/>
                <w:szCs w:val="19"/>
              </w:rPr>
              <w:t>s</w:t>
            </w:r>
            <w:r w:rsidRPr="00EB6E85">
              <w:rPr>
                <w:sz w:val="19"/>
                <w:szCs w:val="19"/>
              </w:rPr>
              <w:t xml:space="preserve">ummer </w:t>
            </w:r>
            <w:r>
              <w:rPr>
                <w:sz w:val="19"/>
                <w:szCs w:val="19"/>
              </w:rPr>
              <w:t>l</w:t>
            </w:r>
            <w:r w:rsidRPr="00EB6E85">
              <w:rPr>
                <w:sz w:val="19"/>
                <w:szCs w:val="19"/>
              </w:rPr>
              <w:t xml:space="preserve">arge </w:t>
            </w:r>
            <w:r>
              <w:rPr>
                <w:sz w:val="19"/>
                <w:szCs w:val="19"/>
              </w:rPr>
              <w:t>f</w:t>
            </w:r>
            <w:r w:rsidRPr="00EB6E85">
              <w:rPr>
                <w:sz w:val="19"/>
                <w:szCs w:val="19"/>
              </w:rPr>
              <w:t>resh targeting 12–15,000 ML/d for a minimum of 10 days, for faster flowing fish habitat, improved groundwater and surface water quality, increased golden and silver perch spawning response and aquatic productivity.</w:t>
            </w:r>
          </w:p>
          <w:p w14:paraId="5A2DFD60" w14:textId="77777777" w:rsidR="00E074AE" w:rsidRPr="00EB6E85" w:rsidRDefault="00E074AE" w:rsidP="00737BA1">
            <w:pPr>
              <w:pStyle w:val="ListParagraph"/>
              <w:numPr>
                <w:ilvl w:val="0"/>
                <w:numId w:val="39"/>
              </w:numPr>
              <w:rPr>
                <w:sz w:val="19"/>
                <w:szCs w:val="19"/>
              </w:rPr>
            </w:pPr>
            <w:r w:rsidRPr="00EB6E85">
              <w:rPr>
                <w:sz w:val="19"/>
                <w:szCs w:val="19"/>
              </w:rPr>
              <w:t>Timing of the Murray fresh/overbank pulse (Oct</w:t>
            </w:r>
            <w:r>
              <w:rPr>
                <w:sz w:val="19"/>
                <w:szCs w:val="19"/>
              </w:rPr>
              <w:t>ober–</w:t>
            </w:r>
            <w:r w:rsidRPr="00EB6E85">
              <w:rPr>
                <w:sz w:val="19"/>
                <w:szCs w:val="19"/>
              </w:rPr>
              <w:t>Dec</w:t>
            </w:r>
            <w:r>
              <w:rPr>
                <w:sz w:val="19"/>
                <w:szCs w:val="19"/>
              </w:rPr>
              <w:t>ember</w:t>
            </w:r>
            <w:r w:rsidRPr="00EB6E85">
              <w:rPr>
                <w:sz w:val="19"/>
                <w:szCs w:val="19"/>
              </w:rPr>
              <w:t>) was coordinated with the Goulburn and Murrumbidgee rivers as they main opportunity to provide for a system-scale pulse. Increased magnitude and duration of this event would provide improved outcomes; however, this would likely only be possible through high unregulated flow contributions from upstream tributaries including the Baaka (Lower-Darling).</w:t>
            </w:r>
          </w:p>
          <w:p w14:paraId="315E402A" w14:textId="77777777" w:rsidR="00E074AE" w:rsidRPr="00EB6E85" w:rsidRDefault="00E074AE" w:rsidP="00737BA1">
            <w:pPr>
              <w:pStyle w:val="ListParagraph"/>
              <w:numPr>
                <w:ilvl w:val="0"/>
                <w:numId w:val="39"/>
              </w:numPr>
              <w:rPr>
                <w:sz w:val="19"/>
                <w:szCs w:val="19"/>
              </w:rPr>
            </w:pPr>
            <w:r w:rsidRPr="00EB6E85">
              <w:rPr>
                <w:sz w:val="19"/>
                <w:szCs w:val="19"/>
              </w:rPr>
              <w:t>A combination of coordinated return flows from the Murray, Murrumbidgee (TLM) and Goulburn an order at the SA border, helped to shape the flows in the Lower Murray. As a result, a flow duration of &gt;15,000 ML/d for 3 weeks was achieved at the SA border with a peak just under 18,000 ML/d.</w:t>
            </w:r>
          </w:p>
          <w:p w14:paraId="07D06181" w14:textId="77777777" w:rsidR="00E074AE" w:rsidRPr="00EB6E85" w:rsidRDefault="00E074AE" w:rsidP="00737BA1">
            <w:pPr>
              <w:pStyle w:val="ListParagraph"/>
              <w:numPr>
                <w:ilvl w:val="0"/>
                <w:numId w:val="39"/>
              </w:numPr>
              <w:rPr>
                <w:sz w:val="19"/>
                <w:szCs w:val="19"/>
              </w:rPr>
            </w:pPr>
            <w:r w:rsidRPr="00EB6E85">
              <w:rPr>
                <w:sz w:val="19"/>
                <w:szCs w:val="19"/>
              </w:rPr>
              <w:t xml:space="preserve">The peak of the flow at the SA border was reduced by increased operational transfers from Hume and IVT delivery in the Goulburn (both of which reduced the amount of environmental water and subsequent return flows). Expert advice indicates that maximising both the height and duration of the peak flow into SA (to expand the amount of lotic habitat) will likely increase the potential for successful recruitment of native perch. </w:t>
            </w:r>
          </w:p>
          <w:p w14:paraId="603947F6" w14:textId="77777777" w:rsidR="00E074AE" w:rsidRPr="00EB6E85" w:rsidRDefault="00E074AE" w:rsidP="00737BA1">
            <w:pPr>
              <w:pStyle w:val="ListParagraph"/>
              <w:numPr>
                <w:ilvl w:val="0"/>
                <w:numId w:val="39"/>
              </w:numPr>
              <w:rPr>
                <w:sz w:val="19"/>
                <w:szCs w:val="19"/>
              </w:rPr>
            </w:pPr>
            <w:r w:rsidRPr="00EB6E85">
              <w:rPr>
                <w:sz w:val="19"/>
                <w:szCs w:val="19"/>
              </w:rPr>
              <w:t>To complement returns flows, maintain the peak and slow recession of the pulse, an additional 40 GL was ordered at the SA border and delivered during early December. This water was originally planned to be delivered later as part of the summer/autumn direct trade but was brought forward to coincide with the back part of the spring pulse. The earlier release specifically aimed to support perch spawning activity in the SA Murray detected by the Flow-MER program.</w:t>
            </w:r>
          </w:p>
        </w:tc>
        <w:tc>
          <w:tcPr>
            <w:tcW w:w="479" w:type="pct"/>
          </w:tcPr>
          <w:p w14:paraId="108A87C1" w14:textId="77777777" w:rsidR="00E074AE" w:rsidRPr="004A0458" w:rsidRDefault="00E074AE" w:rsidP="00E074AE">
            <w:pPr>
              <w:contextualSpacing/>
              <w:rPr>
                <w:sz w:val="19"/>
                <w:szCs w:val="19"/>
                <w:highlight w:val="yellow"/>
              </w:rPr>
            </w:pPr>
            <w:r w:rsidRPr="00A307BC">
              <w:rPr>
                <w:sz w:val="19"/>
                <w:szCs w:val="19"/>
              </w:rPr>
              <w:t>CEWO, TLM, VEWH and RMIF</w:t>
            </w:r>
          </w:p>
        </w:tc>
      </w:tr>
      <w:tr w:rsidR="00E074AE" w:rsidRPr="00040579" w14:paraId="6D4ACCCB" w14:textId="77777777" w:rsidTr="0084137B">
        <w:trPr>
          <w:cantSplit/>
          <w:trHeight w:val="397"/>
        </w:trPr>
        <w:tc>
          <w:tcPr>
            <w:tcW w:w="405" w:type="pct"/>
            <w:tcBorders>
              <w:top w:val="nil"/>
              <w:left w:val="single" w:sz="4" w:space="0" w:color="auto"/>
              <w:bottom w:val="nil"/>
              <w:right w:val="single" w:sz="4" w:space="0" w:color="auto"/>
            </w:tcBorders>
          </w:tcPr>
          <w:p w14:paraId="239B8566" w14:textId="11133A6C" w:rsidR="00E074AE" w:rsidRPr="00EB6E85" w:rsidRDefault="00E074AE" w:rsidP="00E074AE">
            <w:pPr>
              <w:contextualSpacing/>
            </w:pPr>
          </w:p>
        </w:tc>
        <w:tc>
          <w:tcPr>
            <w:tcW w:w="660" w:type="pct"/>
            <w:tcBorders>
              <w:left w:val="single" w:sz="4" w:space="0" w:color="auto"/>
            </w:tcBorders>
          </w:tcPr>
          <w:p w14:paraId="56817E47" w14:textId="5C975806" w:rsidR="00E074AE" w:rsidRPr="00E074AE" w:rsidRDefault="00E074AE" w:rsidP="00E074AE">
            <w:pPr>
              <w:rPr>
                <w:sz w:val="19"/>
                <w:szCs w:val="19"/>
              </w:rPr>
            </w:pPr>
            <w:r w:rsidRPr="00EB6E85">
              <w:t xml:space="preserve">Barmah-Millewa Forest </w:t>
            </w:r>
            <w:r>
              <w:t>regulator operation</w:t>
            </w:r>
          </w:p>
        </w:tc>
        <w:tc>
          <w:tcPr>
            <w:tcW w:w="3456" w:type="pct"/>
          </w:tcPr>
          <w:p w14:paraId="20595DA4" w14:textId="350E5D98" w:rsidR="00E074AE" w:rsidRPr="00EB6E85" w:rsidRDefault="00E074AE" w:rsidP="00737BA1">
            <w:pPr>
              <w:pStyle w:val="ListParagraph"/>
              <w:numPr>
                <w:ilvl w:val="0"/>
                <w:numId w:val="41"/>
              </w:numPr>
              <w:rPr>
                <w:sz w:val="19"/>
                <w:szCs w:val="19"/>
              </w:rPr>
            </w:pPr>
            <w:r w:rsidRPr="00EB6E85">
              <w:rPr>
                <w:sz w:val="19"/>
                <w:szCs w:val="19"/>
              </w:rPr>
              <w:t>The higher river levels from the spring watering action inundated around 25% of Barmah-Millewa Forest before returning to the Murray</w:t>
            </w:r>
            <w:r>
              <w:rPr>
                <w:sz w:val="19"/>
                <w:szCs w:val="19"/>
              </w:rPr>
              <w:t xml:space="preserve"> River</w:t>
            </w:r>
            <w:r w:rsidRPr="00EB6E85">
              <w:rPr>
                <w:sz w:val="19"/>
                <w:szCs w:val="19"/>
              </w:rPr>
              <w:t>. These flows were timed to coordinate with flows from the Goulburn, Murrumbidgee and Baaka (Lower-Darling) to create a flow pulse along the Murray River from Yarrawonga the Coorong in South Australia.</w:t>
            </w:r>
          </w:p>
          <w:p w14:paraId="1F6A3046" w14:textId="77777777" w:rsidR="00E074AE" w:rsidRPr="00EB6E85" w:rsidRDefault="00E074AE" w:rsidP="00737BA1">
            <w:pPr>
              <w:pStyle w:val="ListParagraph"/>
              <w:numPr>
                <w:ilvl w:val="0"/>
                <w:numId w:val="41"/>
              </w:numPr>
              <w:rPr>
                <w:sz w:val="19"/>
                <w:szCs w:val="19"/>
              </w:rPr>
            </w:pPr>
            <w:r w:rsidRPr="00EB6E85">
              <w:rPr>
                <w:sz w:val="19"/>
                <w:szCs w:val="19"/>
              </w:rPr>
              <w:t>Deliveries to the Barmah-Millewa forest (between August and December) were provided via various combinations of translucent regulator delivery, followed by overbank flows, then a return to translucent regulators with a total 31,834 ML delivered. This volume includes a small additional in-channel flow that was delivered to Barmah Forest between December and February to support waterbird breeding.</w:t>
            </w:r>
          </w:p>
          <w:p w14:paraId="47CAC326" w14:textId="77777777" w:rsidR="00E074AE" w:rsidRPr="00EB6E85" w:rsidRDefault="00E074AE" w:rsidP="00737BA1">
            <w:pPr>
              <w:pStyle w:val="ListParagraph"/>
              <w:numPr>
                <w:ilvl w:val="0"/>
                <w:numId w:val="41"/>
              </w:numPr>
              <w:rPr>
                <w:sz w:val="19"/>
                <w:szCs w:val="19"/>
              </w:rPr>
            </w:pPr>
            <w:r w:rsidRPr="00EB6E85">
              <w:rPr>
                <w:sz w:val="19"/>
                <w:szCs w:val="19"/>
              </w:rPr>
              <w:t xml:space="preserve">On 14 August 2020 environmental water holders decided to open regulators on both sides of the Barmah-Millewa forest as part of the planned in-channel open regulator strategy. Regulators were opened before flows exceeded 5,000 ML/d downstream of Yarrawonga to avoid delivery of a potentially damaging surge of water entering the creek network within the forest. </w:t>
            </w:r>
          </w:p>
          <w:p w14:paraId="48AD5ADA" w14:textId="77777777" w:rsidR="00E074AE" w:rsidRPr="00EB6E85" w:rsidRDefault="00E074AE" w:rsidP="00737BA1">
            <w:pPr>
              <w:pStyle w:val="ListParagraph"/>
              <w:numPr>
                <w:ilvl w:val="0"/>
                <w:numId w:val="40"/>
              </w:numPr>
              <w:rPr>
                <w:sz w:val="19"/>
                <w:szCs w:val="19"/>
              </w:rPr>
            </w:pPr>
            <w:r w:rsidRPr="00EB6E85">
              <w:rPr>
                <w:sz w:val="19"/>
                <w:szCs w:val="19"/>
              </w:rPr>
              <w:t>Regulators remained open on both sides of the river till 23 December 2020 to allow native fish to exit the forest and return to the Murray. Millewa Forest (NSW) regulators were closed on 23 December 2020 while some Barmah Forest (Victoria) regulators remained open until 22 February 2021 to allow small, extended deliveries to the Boals Deadwoods wetland to support colonial waterbird breeding – mainly white and straw-necked Ibis.</w:t>
            </w:r>
          </w:p>
        </w:tc>
        <w:tc>
          <w:tcPr>
            <w:tcW w:w="479" w:type="pct"/>
          </w:tcPr>
          <w:p w14:paraId="3D833310" w14:textId="77777777" w:rsidR="00E074AE" w:rsidRDefault="00E074AE" w:rsidP="00E074AE">
            <w:pPr>
              <w:contextualSpacing/>
              <w:rPr>
                <w:sz w:val="19"/>
                <w:szCs w:val="19"/>
                <w:highlight w:val="yellow"/>
              </w:rPr>
            </w:pPr>
            <w:r w:rsidRPr="00A307BC">
              <w:rPr>
                <w:sz w:val="19"/>
                <w:szCs w:val="19"/>
              </w:rPr>
              <w:t>VEWH, TLM and RMIF</w:t>
            </w:r>
          </w:p>
        </w:tc>
      </w:tr>
      <w:tr w:rsidR="00E074AE" w:rsidRPr="00040579" w14:paraId="16F0334F" w14:textId="77777777" w:rsidTr="0084137B">
        <w:trPr>
          <w:cantSplit/>
          <w:trHeight w:val="397"/>
        </w:trPr>
        <w:tc>
          <w:tcPr>
            <w:tcW w:w="405" w:type="pct"/>
            <w:tcBorders>
              <w:top w:val="nil"/>
              <w:left w:val="single" w:sz="4" w:space="0" w:color="auto"/>
              <w:bottom w:val="nil"/>
              <w:right w:val="single" w:sz="4" w:space="0" w:color="auto"/>
            </w:tcBorders>
          </w:tcPr>
          <w:p w14:paraId="699F7BBC" w14:textId="1DEEBDDC" w:rsidR="00E074AE" w:rsidRPr="00EB6E85" w:rsidRDefault="00E074AE" w:rsidP="00E074AE">
            <w:pPr>
              <w:contextualSpacing/>
              <w:rPr>
                <w:sz w:val="19"/>
                <w:szCs w:val="19"/>
              </w:rPr>
            </w:pPr>
          </w:p>
        </w:tc>
        <w:tc>
          <w:tcPr>
            <w:tcW w:w="660" w:type="pct"/>
            <w:tcBorders>
              <w:left w:val="single" w:sz="4" w:space="0" w:color="auto"/>
            </w:tcBorders>
          </w:tcPr>
          <w:p w14:paraId="79F86C79" w14:textId="3518CBBA" w:rsidR="00E074AE" w:rsidRPr="00E074AE" w:rsidRDefault="00E074AE" w:rsidP="00E074AE">
            <w:pPr>
              <w:rPr>
                <w:sz w:val="19"/>
                <w:szCs w:val="19"/>
              </w:rPr>
            </w:pPr>
            <w:r w:rsidRPr="00EB6E85">
              <w:t>Goulburn spring fresh</w:t>
            </w:r>
          </w:p>
        </w:tc>
        <w:tc>
          <w:tcPr>
            <w:tcW w:w="3456" w:type="pct"/>
          </w:tcPr>
          <w:p w14:paraId="265ABC08" w14:textId="63F0F47C" w:rsidR="00E074AE" w:rsidRDefault="00E074AE" w:rsidP="00E074AE">
            <w:pPr>
              <w:pStyle w:val="ListParagraph"/>
              <w:numPr>
                <w:ilvl w:val="0"/>
                <w:numId w:val="20"/>
              </w:numPr>
              <w:rPr>
                <w:sz w:val="19"/>
                <w:szCs w:val="19"/>
              </w:rPr>
            </w:pPr>
            <w:r w:rsidRPr="00033D6D">
              <w:rPr>
                <w:sz w:val="19"/>
                <w:szCs w:val="19"/>
              </w:rPr>
              <w:t>Wet conditions from May 2020 continued into the new water year with high natural flows negating the need for a winter fresh and e-water used to extend a natural flow in October to deliver a spring fresh.</w:t>
            </w:r>
          </w:p>
          <w:p w14:paraId="01EC457E" w14:textId="77777777" w:rsidR="00E074AE" w:rsidRDefault="00E074AE" w:rsidP="00E074AE">
            <w:pPr>
              <w:pStyle w:val="ListParagraph"/>
              <w:numPr>
                <w:ilvl w:val="0"/>
                <w:numId w:val="20"/>
              </w:numPr>
              <w:rPr>
                <w:sz w:val="19"/>
                <w:szCs w:val="19"/>
              </w:rPr>
            </w:pPr>
            <w:r w:rsidRPr="006F3E39">
              <w:rPr>
                <w:sz w:val="19"/>
                <w:szCs w:val="19"/>
              </w:rPr>
              <w:t xml:space="preserve">Natural high flows at Murchison continued from June 2020 until </w:t>
            </w:r>
            <w:r>
              <w:rPr>
                <w:sz w:val="19"/>
                <w:szCs w:val="19"/>
              </w:rPr>
              <w:t>7</w:t>
            </w:r>
            <w:r w:rsidRPr="006F3E39">
              <w:rPr>
                <w:sz w:val="19"/>
                <w:szCs w:val="19"/>
              </w:rPr>
              <w:t xml:space="preserve"> Sept</w:t>
            </w:r>
            <w:r>
              <w:rPr>
                <w:sz w:val="19"/>
                <w:szCs w:val="19"/>
              </w:rPr>
              <w:t>ember</w:t>
            </w:r>
            <w:r w:rsidRPr="006F3E39">
              <w:rPr>
                <w:sz w:val="19"/>
                <w:szCs w:val="19"/>
              </w:rPr>
              <w:t xml:space="preserve"> 2020.</w:t>
            </w:r>
            <w:r>
              <w:rPr>
                <w:sz w:val="19"/>
                <w:szCs w:val="19"/>
              </w:rPr>
              <w:t xml:space="preserve"> </w:t>
            </w:r>
            <w:r w:rsidRPr="006F3E39">
              <w:rPr>
                <w:sz w:val="19"/>
                <w:szCs w:val="19"/>
              </w:rPr>
              <w:t>To slow the recession of the natural high flow, e-water was released from Murchison commencing on 8 Sept 2020.</w:t>
            </w:r>
          </w:p>
          <w:p w14:paraId="6032AA4B" w14:textId="3FC3D3AA" w:rsidR="00E074AE" w:rsidRDefault="00E074AE" w:rsidP="00E074AE">
            <w:pPr>
              <w:pStyle w:val="ListParagraph"/>
              <w:numPr>
                <w:ilvl w:val="0"/>
                <w:numId w:val="20"/>
              </w:numPr>
              <w:rPr>
                <w:sz w:val="19"/>
                <w:szCs w:val="19"/>
              </w:rPr>
            </w:pPr>
            <w:r w:rsidRPr="00EB6E85">
              <w:rPr>
                <w:sz w:val="19"/>
                <w:szCs w:val="19"/>
              </w:rPr>
              <w:t xml:space="preserve">A series of watering actions in the Goulburn River delivered over 250 GL of environmental water from September to November (at McCoys Bridge). </w:t>
            </w:r>
            <w:r w:rsidRPr="006F3E39">
              <w:rPr>
                <w:sz w:val="19"/>
                <w:szCs w:val="19"/>
              </w:rPr>
              <w:t xml:space="preserve">At McCoys the peak of the fresh was 9,768 </w:t>
            </w:r>
            <w:r w:rsidR="00167193">
              <w:rPr>
                <w:sz w:val="19"/>
                <w:szCs w:val="19"/>
              </w:rPr>
              <w:t>ML/d</w:t>
            </w:r>
            <w:r w:rsidRPr="006F3E39">
              <w:rPr>
                <w:sz w:val="19"/>
                <w:szCs w:val="19"/>
              </w:rPr>
              <w:t xml:space="preserve"> on 14 Oct</w:t>
            </w:r>
            <w:r>
              <w:rPr>
                <w:sz w:val="19"/>
                <w:szCs w:val="19"/>
              </w:rPr>
              <w:t xml:space="preserve">ober. </w:t>
            </w:r>
            <w:r w:rsidRPr="00EB6E85">
              <w:rPr>
                <w:sz w:val="19"/>
                <w:szCs w:val="19"/>
              </w:rPr>
              <w:t>Additional environmental water was delivered to maintain increased baseflows for the Goulburn River both before and after the spring flows.</w:t>
            </w:r>
          </w:p>
          <w:p w14:paraId="12BBEFF2" w14:textId="77777777" w:rsidR="00E074AE" w:rsidRPr="00EB6E85" w:rsidRDefault="00E074AE" w:rsidP="00E074AE">
            <w:pPr>
              <w:pStyle w:val="ListParagraph"/>
              <w:numPr>
                <w:ilvl w:val="0"/>
                <w:numId w:val="20"/>
              </w:numPr>
              <w:rPr>
                <w:sz w:val="19"/>
                <w:szCs w:val="19"/>
              </w:rPr>
            </w:pPr>
            <w:r w:rsidRPr="006F3E39">
              <w:rPr>
                <w:sz w:val="19"/>
                <w:szCs w:val="19"/>
              </w:rPr>
              <w:t>IVT flows commenced on 14 Nov 2020, contributing water to the spring fresh together with CEW, VEWH and TLM.</w:t>
            </w:r>
          </w:p>
          <w:p w14:paraId="4EF0C239" w14:textId="58F9CF4E" w:rsidR="00E074AE" w:rsidRPr="00EB6E85" w:rsidRDefault="00E074AE" w:rsidP="00E074AE">
            <w:pPr>
              <w:pStyle w:val="ListParagraph"/>
              <w:numPr>
                <w:ilvl w:val="0"/>
                <w:numId w:val="20"/>
              </w:numPr>
              <w:rPr>
                <w:sz w:val="19"/>
                <w:szCs w:val="19"/>
              </w:rPr>
            </w:pPr>
            <w:r w:rsidRPr="00EB6E85">
              <w:rPr>
                <w:sz w:val="19"/>
                <w:szCs w:val="19"/>
              </w:rPr>
              <w:t xml:space="preserve">A combination of flow constraints and the delivery of Goulburn IVT </w:t>
            </w:r>
            <w:r>
              <w:rPr>
                <w:sz w:val="19"/>
                <w:szCs w:val="19"/>
              </w:rPr>
              <w:t>(</w:t>
            </w:r>
            <w:r w:rsidRPr="006F3E39">
              <w:rPr>
                <w:sz w:val="19"/>
                <w:szCs w:val="19"/>
              </w:rPr>
              <w:t>14 Nov 2020</w:t>
            </w:r>
            <w:r>
              <w:rPr>
                <w:sz w:val="19"/>
                <w:szCs w:val="19"/>
              </w:rPr>
              <w:t>–</w:t>
            </w:r>
            <w:r w:rsidRPr="006F3E39">
              <w:rPr>
                <w:sz w:val="19"/>
                <w:szCs w:val="19"/>
              </w:rPr>
              <w:t>27 May 2021</w:t>
            </w:r>
            <w:r>
              <w:rPr>
                <w:sz w:val="19"/>
                <w:szCs w:val="19"/>
              </w:rPr>
              <w:t>)</w:t>
            </w:r>
            <w:r w:rsidRPr="00EB6E85">
              <w:rPr>
                <w:sz w:val="19"/>
                <w:szCs w:val="19"/>
              </w:rPr>
              <w:t xml:space="preserve"> displaced environmental water from the hydrograph. Both of these issues result</w:t>
            </w:r>
            <w:r>
              <w:rPr>
                <w:sz w:val="19"/>
                <w:szCs w:val="19"/>
              </w:rPr>
              <w:t>ed</w:t>
            </w:r>
            <w:r w:rsidRPr="00EB6E85">
              <w:rPr>
                <w:sz w:val="19"/>
                <w:szCs w:val="19"/>
              </w:rPr>
              <w:t xml:space="preserve"> in a continued reduction of flows through the Goulburn, but also into the downstream Murray and across the SA border.</w:t>
            </w:r>
          </w:p>
        </w:tc>
        <w:tc>
          <w:tcPr>
            <w:tcW w:w="479" w:type="pct"/>
          </w:tcPr>
          <w:p w14:paraId="0557DE1A" w14:textId="77777777" w:rsidR="00E074AE" w:rsidRPr="004A0458" w:rsidRDefault="00E074AE" w:rsidP="00E074AE">
            <w:pPr>
              <w:contextualSpacing/>
              <w:rPr>
                <w:sz w:val="19"/>
                <w:szCs w:val="19"/>
                <w:highlight w:val="yellow"/>
              </w:rPr>
            </w:pPr>
            <w:r w:rsidRPr="008F662B">
              <w:rPr>
                <w:sz w:val="19"/>
                <w:szCs w:val="19"/>
              </w:rPr>
              <w:t>CEWO, VEWH</w:t>
            </w:r>
            <w:r>
              <w:rPr>
                <w:sz w:val="19"/>
                <w:szCs w:val="19"/>
              </w:rPr>
              <w:t>,</w:t>
            </w:r>
            <w:r w:rsidRPr="008F662B">
              <w:rPr>
                <w:sz w:val="19"/>
                <w:szCs w:val="19"/>
              </w:rPr>
              <w:t xml:space="preserve"> TLM</w:t>
            </w:r>
            <w:r>
              <w:rPr>
                <w:sz w:val="19"/>
                <w:szCs w:val="19"/>
              </w:rPr>
              <w:t xml:space="preserve"> and IVT</w:t>
            </w:r>
          </w:p>
        </w:tc>
      </w:tr>
      <w:tr w:rsidR="00E074AE" w:rsidRPr="00040579" w14:paraId="78433F15" w14:textId="77777777" w:rsidTr="0084137B">
        <w:trPr>
          <w:cantSplit/>
          <w:trHeight w:val="397"/>
        </w:trPr>
        <w:tc>
          <w:tcPr>
            <w:tcW w:w="405" w:type="pct"/>
            <w:tcBorders>
              <w:top w:val="nil"/>
              <w:left w:val="single" w:sz="4" w:space="0" w:color="auto"/>
              <w:bottom w:val="single" w:sz="4" w:space="0" w:color="auto"/>
              <w:right w:val="single" w:sz="4" w:space="0" w:color="auto"/>
            </w:tcBorders>
          </w:tcPr>
          <w:p w14:paraId="17ED2974" w14:textId="6AF66F85" w:rsidR="00E074AE" w:rsidRPr="00754761" w:rsidRDefault="00E074AE" w:rsidP="00E074AE">
            <w:pPr>
              <w:contextualSpacing/>
              <w:rPr>
                <w:highlight w:val="yellow"/>
              </w:rPr>
            </w:pPr>
          </w:p>
        </w:tc>
        <w:tc>
          <w:tcPr>
            <w:tcW w:w="660" w:type="pct"/>
            <w:tcBorders>
              <w:left w:val="single" w:sz="4" w:space="0" w:color="auto"/>
            </w:tcBorders>
          </w:tcPr>
          <w:p w14:paraId="538204B7" w14:textId="134C677B" w:rsidR="00E074AE" w:rsidRPr="00E074AE" w:rsidRDefault="00E074AE" w:rsidP="00E074AE">
            <w:pPr>
              <w:rPr>
                <w:sz w:val="19"/>
                <w:szCs w:val="19"/>
              </w:rPr>
            </w:pPr>
            <w:r w:rsidRPr="00017B33">
              <w:t>Lower Darling/Baaka channel</w:t>
            </w:r>
          </w:p>
        </w:tc>
        <w:tc>
          <w:tcPr>
            <w:tcW w:w="3456" w:type="pct"/>
          </w:tcPr>
          <w:p w14:paraId="005C131F" w14:textId="0C4C4896" w:rsidR="00E074AE" w:rsidRPr="00017B33" w:rsidRDefault="00E074AE" w:rsidP="00737BA1">
            <w:pPr>
              <w:pStyle w:val="ListParagraph"/>
              <w:numPr>
                <w:ilvl w:val="0"/>
                <w:numId w:val="37"/>
              </w:numPr>
              <w:rPr>
                <w:sz w:val="19"/>
                <w:szCs w:val="19"/>
              </w:rPr>
            </w:pPr>
            <w:r w:rsidRPr="00017B33">
              <w:rPr>
                <w:sz w:val="19"/>
                <w:szCs w:val="19"/>
              </w:rPr>
              <w:t>Through the first half of 2021, additional inflows (with protection of inflows in the northern NSW basin via new ‘first flush’ rules) resulted in the Menindee Lakes filling to over 1,000 gigalitres total storage (~63%), including inflows to the bottom lakes (Menindee and Cawndilla) for the first time since 2016-17. The increase in water availability provided an opportunity to deliver elevated baseflows to provide additional food resources and habitat for growing young fish that were spawned during the spring event.</w:t>
            </w:r>
          </w:p>
          <w:p w14:paraId="675646C7" w14:textId="157E1B45" w:rsidR="00E074AE" w:rsidRPr="00017B33" w:rsidRDefault="00E074AE" w:rsidP="00737BA1">
            <w:pPr>
              <w:pStyle w:val="ListParagraph"/>
              <w:numPr>
                <w:ilvl w:val="0"/>
                <w:numId w:val="37"/>
              </w:numPr>
              <w:rPr>
                <w:sz w:val="19"/>
                <w:szCs w:val="19"/>
              </w:rPr>
            </w:pPr>
            <w:r w:rsidRPr="00017B33">
              <w:rPr>
                <w:sz w:val="19"/>
                <w:szCs w:val="19"/>
              </w:rPr>
              <w:t>Commonwealth and TLM environmental allocations were used to increase minimum baseflows from 200</w:t>
            </w:r>
            <w:r>
              <w:rPr>
                <w:sz w:val="19"/>
                <w:szCs w:val="19"/>
              </w:rPr>
              <w:t> </w:t>
            </w:r>
            <w:r w:rsidR="00167193">
              <w:rPr>
                <w:sz w:val="19"/>
                <w:szCs w:val="19"/>
              </w:rPr>
              <w:t>ML/d</w:t>
            </w:r>
            <w:r w:rsidRPr="00017B33">
              <w:rPr>
                <w:sz w:val="19"/>
                <w:szCs w:val="19"/>
              </w:rPr>
              <w:t xml:space="preserve"> to 500 </w:t>
            </w:r>
            <w:r w:rsidR="00167193">
              <w:rPr>
                <w:sz w:val="19"/>
                <w:szCs w:val="19"/>
              </w:rPr>
              <w:t>ML/d</w:t>
            </w:r>
            <w:r w:rsidRPr="00017B33">
              <w:rPr>
                <w:sz w:val="19"/>
                <w:szCs w:val="19"/>
              </w:rPr>
              <w:t xml:space="preserve"> from 1 May to 30 June 2021 (and into 2021-22).</w:t>
            </w:r>
          </w:p>
          <w:p w14:paraId="73E63B2D" w14:textId="77777777" w:rsidR="00E074AE" w:rsidRPr="00017B33" w:rsidRDefault="00E074AE" w:rsidP="00737BA1">
            <w:pPr>
              <w:pStyle w:val="ListParagraph"/>
              <w:numPr>
                <w:ilvl w:val="0"/>
                <w:numId w:val="37"/>
              </w:numPr>
              <w:rPr>
                <w:sz w:val="19"/>
                <w:szCs w:val="19"/>
              </w:rPr>
            </w:pPr>
            <w:r w:rsidRPr="00017B33">
              <w:rPr>
                <w:sz w:val="19"/>
                <w:szCs w:val="19"/>
              </w:rPr>
              <w:t>As Menindee Lakes storage had risen above 640 GL during autumn and returned to MDBA control, the MDBA was able to call on releases from Menindee Lakes for operational purposes in the Murray</w:t>
            </w:r>
            <w:r>
              <w:rPr>
                <w:sz w:val="19"/>
                <w:szCs w:val="19"/>
              </w:rPr>
              <w:t xml:space="preserve"> River</w:t>
            </w:r>
            <w:r w:rsidRPr="00017B33">
              <w:rPr>
                <w:sz w:val="19"/>
                <w:szCs w:val="19"/>
              </w:rPr>
              <w:t>. Environmental releases were paused during late May/mid-June while operational releases were made by MDBA.</w:t>
            </w:r>
          </w:p>
          <w:p w14:paraId="62791160" w14:textId="77777777" w:rsidR="00E074AE" w:rsidRDefault="00E074AE" w:rsidP="00737BA1">
            <w:pPr>
              <w:pStyle w:val="ListParagraph"/>
              <w:numPr>
                <w:ilvl w:val="0"/>
                <w:numId w:val="37"/>
              </w:numPr>
              <w:rPr>
                <w:sz w:val="19"/>
                <w:szCs w:val="19"/>
              </w:rPr>
            </w:pPr>
            <w:r w:rsidRPr="00017B33">
              <w:rPr>
                <w:sz w:val="19"/>
                <w:szCs w:val="19"/>
              </w:rPr>
              <w:t xml:space="preserve">Environmental releases resumed once MDBA’s order was complete. </w:t>
            </w:r>
          </w:p>
          <w:p w14:paraId="599C7C98" w14:textId="77777777" w:rsidR="00E074AE" w:rsidRDefault="00E074AE" w:rsidP="00737BA1">
            <w:pPr>
              <w:pStyle w:val="ListParagraph"/>
              <w:numPr>
                <w:ilvl w:val="0"/>
                <w:numId w:val="37"/>
              </w:numPr>
              <w:rPr>
                <w:sz w:val="19"/>
                <w:szCs w:val="19"/>
              </w:rPr>
            </w:pPr>
            <w:r w:rsidRPr="00017B33">
              <w:rPr>
                <w:sz w:val="19"/>
                <w:szCs w:val="19"/>
              </w:rPr>
              <w:t>The</w:t>
            </w:r>
            <w:r>
              <w:rPr>
                <w:sz w:val="19"/>
                <w:szCs w:val="19"/>
              </w:rPr>
              <w:t xml:space="preserve"> May to June 2021</w:t>
            </w:r>
            <w:r w:rsidRPr="00017B33">
              <w:rPr>
                <w:sz w:val="19"/>
                <w:szCs w:val="19"/>
              </w:rPr>
              <w:t xml:space="preserve"> watering action </w:t>
            </w:r>
            <w:r>
              <w:rPr>
                <w:sz w:val="19"/>
                <w:szCs w:val="19"/>
              </w:rPr>
              <w:t>was</w:t>
            </w:r>
            <w:r w:rsidRPr="00017B33">
              <w:rPr>
                <w:sz w:val="19"/>
                <w:szCs w:val="19"/>
              </w:rPr>
              <w:t xml:space="preserve"> expected to:</w:t>
            </w:r>
          </w:p>
          <w:p w14:paraId="6364C28F" w14:textId="77777777" w:rsidR="00E074AE" w:rsidRPr="00017B33" w:rsidRDefault="00E074AE" w:rsidP="00737BA1">
            <w:pPr>
              <w:pStyle w:val="ListParagraph"/>
              <w:numPr>
                <w:ilvl w:val="0"/>
                <w:numId w:val="38"/>
              </w:numPr>
              <w:rPr>
                <w:sz w:val="19"/>
                <w:szCs w:val="19"/>
              </w:rPr>
            </w:pPr>
            <w:r w:rsidRPr="00017B33">
              <w:rPr>
                <w:sz w:val="19"/>
                <w:szCs w:val="19"/>
              </w:rPr>
              <w:t>inundate more of the river channel, providing increased food and habitat for growing young fish.</w:t>
            </w:r>
          </w:p>
          <w:p w14:paraId="2B88E502" w14:textId="77777777" w:rsidR="00E074AE" w:rsidRPr="00017B33" w:rsidRDefault="00E074AE" w:rsidP="00737BA1">
            <w:pPr>
              <w:pStyle w:val="ListParagraph"/>
              <w:numPr>
                <w:ilvl w:val="0"/>
                <w:numId w:val="38"/>
              </w:numPr>
              <w:rPr>
                <w:sz w:val="19"/>
                <w:szCs w:val="19"/>
              </w:rPr>
            </w:pPr>
            <w:r w:rsidRPr="00017B33">
              <w:rPr>
                <w:sz w:val="19"/>
                <w:szCs w:val="19"/>
              </w:rPr>
              <w:t>support the connection between the north and south of the Basin by ensuring some of the increased flows</w:t>
            </w:r>
            <w:r>
              <w:rPr>
                <w:sz w:val="19"/>
                <w:szCs w:val="19"/>
              </w:rPr>
              <w:t xml:space="preserve"> </w:t>
            </w:r>
            <w:r w:rsidRPr="00017B33">
              <w:rPr>
                <w:sz w:val="19"/>
                <w:szCs w:val="19"/>
              </w:rPr>
              <w:t>coming down the Barwon-Darling River make it all the way to the Murray River.</w:t>
            </w:r>
          </w:p>
        </w:tc>
        <w:tc>
          <w:tcPr>
            <w:tcW w:w="479" w:type="pct"/>
          </w:tcPr>
          <w:p w14:paraId="3DC63746" w14:textId="77777777" w:rsidR="00E074AE" w:rsidRPr="004A0458" w:rsidRDefault="00E074AE" w:rsidP="00E074AE">
            <w:pPr>
              <w:contextualSpacing/>
              <w:rPr>
                <w:sz w:val="19"/>
                <w:szCs w:val="19"/>
                <w:highlight w:val="yellow"/>
              </w:rPr>
            </w:pPr>
            <w:r w:rsidRPr="00017B33">
              <w:rPr>
                <w:sz w:val="19"/>
                <w:szCs w:val="19"/>
              </w:rPr>
              <w:t>CEW</w:t>
            </w:r>
            <w:r>
              <w:rPr>
                <w:sz w:val="19"/>
                <w:szCs w:val="19"/>
              </w:rPr>
              <w:t xml:space="preserve"> and</w:t>
            </w:r>
            <w:r w:rsidRPr="00017B33">
              <w:rPr>
                <w:sz w:val="19"/>
                <w:szCs w:val="19"/>
              </w:rPr>
              <w:t xml:space="preserve"> TLM</w:t>
            </w:r>
          </w:p>
        </w:tc>
      </w:tr>
      <w:tr w:rsidR="00E074AE" w:rsidRPr="00375E87" w14:paraId="351324FC" w14:textId="77777777" w:rsidTr="0084137B">
        <w:trPr>
          <w:cantSplit/>
          <w:trHeight w:val="397"/>
        </w:trPr>
        <w:tc>
          <w:tcPr>
            <w:tcW w:w="405" w:type="pct"/>
            <w:tcBorders>
              <w:top w:val="single" w:sz="4" w:space="0" w:color="auto"/>
              <w:left w:val="single" w:sz="4" w:space="0" w:color="auto"/>
              <w:bottom w:val="nil"/>
              <w:right w:val="single" w:sz="4" w:space="0" w:color="auto"/>
            </w:tcBorders>
          </w:tcPr>
          <w:p w14:paraId="6F4D2FCA" w14:textId="09D5BC03" w:rsidR="00E074AE" w:rsidRPr="00E074AE" w:rsidRDefault="00E074AE" w:rsidP="00E074AE">
            <w:pPr>
              <w:contextualSpacing/>
              <w:rPr>
                <w:b/>
                <w:bCs/>
              </w:rPr>
            </w:pPr>
            <w:r w:rsidRPr="00E074AE">
              <w:rPr>
                <w:b/>
                <w:bCs/>
              </w:rPr>
              <w:lastRenderedPageBreak/>
              <w:t>2021-22</w:t>
            </w:r>
          </w:p>
          <w:p w14:paraId="723C12E8" w14:textId="0B212FEA" w:rsidR="00E074AE" w:rsidRPr="00375E87" w:rsidRDefault="00E074AE" w:rsidP="00E074AE">
            <w:pPr>
              <w:contextualSpacing/>
            </w:pPr>
          </w:p>
        </w:tc>
        <w:tc>
          <w:tcPr>
            <w:tcW w:w="660" w:type="pct"/>
            <w:tcBorders>
              <w:left w:val="single" w:sz="4" w:space="0" w:color="auto"/>
            </w:tcBorders>
          </w:tcPr>
          <w:p w14:paraId="7BC05DA0" w14:textId="7AF22106" w:rsidR="00E074AE" w:rsidRDefault="00E074AE" w:rsidP="00E074AE">
            <w:pPr>
              <w:rPr>
                <w:b/>
                <w:bCs/>
                <w:i/>
                <w:iCs/>
                <w:sz w:val="19"/>
                <w:szCs w:val="19"/>
              </w:rPr>
            </w:pPr>
            <w:r w:rsidRPr="00375E87">
              <w:t>Barmah-Millewa Forest regulator operation</w:t>
            </w:r>
          </w:p>
        </w:tc>
        <w:tc>
          <w:tcPr>
            <w:tcW w:w="3456" w:type="pct"/>
          </w:tcPr>
          <w:p w14:paraId="05AE5023" w14:textId="6129B776" w:rsidR="00E074AE" w:rsidRPr="00DE6056" w:rsidRDefault="00E074AE" w:rsidP="00E074AE">
            <w:pPr>
              <w:rPr>
                <w:b/>
                <w:bCs/>
                <w:i/>
                <w:iCs/>
                <w:sz w:val="19"/>
                <w:szCs w:val="19"/>
              </w:rPr>
            </w:pPr>
            <w:r>
              <w:rPr>
                <w:b/>
                <w:bCs/>
                <w:i/>
                <w:iCs/>
                <w:sz w:val="19"/>
                <w:szCs w:val="19"/>
              </w:rPr>
              <w:t>Spring pulse</w:t>
            </w:r>
          </w:p>
          <w:p w14:paraId="0B44F9F4" w14:textId="77777777" w:rsidR="00E074AE" w:rsidRDefault="00E074AE" w:rsidP="00E074AE">
            <w:pPr>
              <w:pStyle w:val="ListParagraph"/>
              <w:numPr>
                <w:ilvl w:val="0"/>
                <w:numId w:val="20"/>
              </w:numPr>
              <w:rPr>
                <w:sz w:val="19"/>
                <w:szCs w:val="19"/>
              </w:rPr>
            </w:pPr>
            <w:r w:rsidRPr="00657137">
              <w:rPr>
                <w:sz w:val="19"/>
                <w:szCs w:val="19"/>
              </w:rPr>
              <w:t>Expected outcomes: Supply nutrients and carbon to rivers to support aquatic food webs; Mobilise and export organic matter from low lying wetlands in cooler months (reducing risk of low-oxygen water events); Build native fish condition, movement and spawning; Boost productivity; Support riparian vegetation fringing the river and creeks, and in low-lying wetlands; Increase the availability of habitat and food for native fish and waterbirds; Support native fish spawning.</w:t>
            </w:r>
          </w:p>
          <w:p w14:paraId="7035B1B2" w14:textId="71F32BB8" w:rsidR="00E074AE" w:rsidRDefault="00E074AE" w:rsidP="00E074AE">
            <w:pPr>
              <w:pStyle w:val="ListParagraph"/>
              <w:numPr>
                <w:ilvl w:val="0"/>
                <w:numId w:val="20"/>
              </w:numPr>
              <w:rPr>
                <w:sz w:val="19"/>
                <w:szCs w:val="19"/>
              </w:rPr>
            </w:pPr>
            <w:r w:rsidRPr="00657137">
              <w:rPr>
                <w:sz w:val="19"/>
                <w:szCs w:val="19"/>
              </w:rPr>
              <w:t xml:space="preserve">Wetter antecedent conditions provided natural cues in preceding months. Modelled natural flows </w:t>
            </w:r>
            <w:r w:rsidR="009B34FC">
              <w:rPr>
                <w:sz w:val="19"/>
                <w:szCs w:val="19"/>
              </w:rPr>
              <w:t>downstream of</w:t>
            </w:r>
            <w:r w:rsidRPr="00657137">
              <w:rPr>
                <w:sz w:val="19"/>
                <w:szCs w:val="19"/>
              </w:rPr>
              <w:t xml:space="preserve"> Yarrawonga showed a late June pulse of ~30,000 M</w:t>
            </w:r>
            <w:r w:rsidR="00167193">
              <w:rPr>
                <w:sz w:val="19"/>
                <w:szCs w:val="19"/>
              </w:rPr>
              <w:t>L</w:t>
            </w:r>
            <w:r w:rsidRPr="00657137">
              <w:rPr>
                <w:sz w:val="19"/>
                <w:szCs w:val="19"/>
              </w:rPr>
              <w:t>/d and two pulses &gt;45,000 M</w:t>
            </w:r>
            <w:r w:rsidR="00167193">
              <w:rPr>
                <w:sz w:val="19"/>
                <w:szCs w:val="19"/>
              </w:rPr>
              <w:t>L</w:t>
            </w:r>
            <w:r w:rsidRPr="00657137">
              <w:rPr>
                <w:sz w:val="19"/>
                <w:szCs w:val="19"/>
              </w:rPr>
              <w:t xml:space="preserve">/d in late July and in early August. </w:t>
            </w:r>
          </w:p>
          <w:p w14:paraId="56EEF25F" w14:textId="2AB8716D" w:rsidR="00E074AE" w:rsidRPr="00657137" w:rsidRDefault="00E074AE" w:rsidP="00E074AE">
            <w:pPr>
              <w:pStyle w:val="ListParagraph"/>
              <w:numPr>
                <w:ilvl w:val="0"/>
                <w:numId w:val="20"/>
              </w:numPr>
              <w:rPr>
                <w:sz w:val="19"/>
                <w:szCs w:val="19"/>
              </w:rPr>
            </w:pPr>
            <w:r w:rsidRPr="00657137">
              <w:rPr>
                <w:sz w:val="19"/>
                <w:szCs w:val="19"/>
              </w:rPr>
              <w:t xml:space="preserve">Environmental releases were made between airspace operations. Water order was reduced to 12,000 ML/d for 12 days to conserve the water resource for the primary Spring Action but returned to 15,000 ML/d once resource availability improved. Environmental water was made available for use when airspace operations ceased as part of a ‘managed recession’ strategy to avoid a ‘cliff-drop’ hydrograph. Note: the planned flow target of 18,000 ML/d </w:t>
            </w:r>
            <w:r w:rsidR="009B34FC">
              <w:rPr>
                <w:sz w:val="19"/>
                <w:szCs w:val="19"/>
              </w:rPr>
              <w:t>downstream of</w:t>
            </w:r>
            <w:r w:rsidRPr="00657137">
              <w:rPr>
                <w:sz w:val="19"/>
                <w:szCs w:val="19"/>
              </w:rPr>
              <w:t xml:space="preserve"> Yarrawonga could not be delivered due to Bullatale Creek community concerns.</w:t>
            </w:r>
          </w:p>
        </w:tc>
        <w:tc>
          <w:tcPr>
            <w:tcW w:w="479" w:type="pct"/>
          </w:tcPr>
          <w:p w14:paraId="27D51854" w14:textId="77777777" w:rsidR="00E074AE" w:rsidRPr="00375E87" w:rsidRDefault="00E074AE" w:rsidP="00E074AE">
            <w:pPr>
              <w:contextualSpacing/>
              <w:rPr>
                <w:sz w:val="19"/>
                <w:szCs w:val="19"/>
              </w:rPr>
            </w:pPr>
            <w:r>
              <w:rPr>
                <w:sz w:val="19"/>
                <w:szCs w:val="19"/>
              </w:rPr>
              <w:t>CEW, TLM, VEWH, BM-EWA</w:t>
            </w:r>
          </w:p>
        </w:tc>
      </w:tr>
      <w:tr w:rsidR="00E074AE" w:rsidRPr="00375E87" w14:paraId="17C477EF" w14:textId="77777777" w:rsidTr="0084137B">
        <w:trPr>
          <w:cantSplit/>
          <w:trHeight w:val="397"/>
        </w:trPr>
        <w:tc>
          <w:tcPr>
            <w:tcW w:w="405" w:type="pct"/>
            <w:tcBorders>
              <w:top w:val="nil"/>
              <w:left w:val="single" w:sz="4" w:space="0" w:color="auto"/>
              <w:bottom w:val="nil"/>
              <w:right w:val="single" w:sz="4" w:space="0" w:color="auto"/>
            </w:tcBorders>
          </w:tcPr>
          <w:p w14:paraId="3A7EA28D" w14:textId="707C8856" w:rsidR="00E074AE" w:rsidRPr="00375E87" w:rsidRDefault="00E074AE" w:rsidP="00E074AE">
            <w:pPr>
              <w:contextualSpacing/>
              <w:rPr>
                <w:sz w:val="19"/>
                <w:szCs w:val="19"/>
              </w:rPr>
            </w:pPr>
          </w:p>
        </w:tc>
        <w:tc>
          <w:tcPr>
            <w:tcW w:w="660" w:type="pct"/>
            <w:tcBorders>
              <w:left w:val="single" w:sz="4" w:space="0" w:color="auto"/>
            </w:tcBorders>
          </w:tcPr>
          <w:p w14:paraId="02FAC5DC" w14:textId="35E9CFE7" w:rsidR="00E074AE" w:rsidRPr="00DE6056" w:rsidRDefault="00E074AE" w:rsidP="00E074AE">
            <w:pPr>
              <w:rPr>
                <w:b/>
                <w:bCs/>
                <w:i/>
                <w:iCs/>
                <w:sz w:val="19"/>
                <w:szCs w:val="19"/>
              </w:rPr>
            </w:pPr>
            <w:r w:rsidRPr="00375E87">
              <w:t xml:space="preserve">Goulburn </w:t>
            </w:r>
            <w:r>
              <w:t>winter and spring</w:t>
            </w:r>
            <w:r w:rsidRPr="00375E87">
              <w:t xml:space="preserve"> fresh</w:t>
            </w:r>
            <w:r>
              <w:t>es</w:t>
            </w:r>
          </w:p>
        </w:tc>
        <w:tc>
          <w:tcPr>
            <w:tcW w:w="3456" w:type="pct"/>
          </w:tcPr>
          <w:p w14:paraId="272ECE3F" w14:textId="1FA681C2" w:rsidR="00E074AE" w:rsidRPr="00DE6056" w:rsidRDefault="00E074AE" w:rsidP="00E074AE">
            <w:pPr>
              <w:rPr>
                <w:b/>
                <w:bCs/>
                <w:i/>
                <w:iCs/>
                <w:sz w:val="19"/>
                <w:szCs w:val="19"/>
              </w:rPr>
            </w:pPr>
            <w:r w:rsidRPr="00DE6056">
              <w:rPr>
                <w:b/>
                <w:bCs/>
                <w:i/>
                <w:iCs/>
                <w:sz w:val="19"/>
                <w:szCs w:val="19"/>
              </w:rPr>
              <w:t>Winter fresh</w:t>
            </w:r>
          </w:p>
          <w:p w14:paraId="49AB0441" w14:textId="77777777" w:rsidR="00E074AE" w:rsidRDefault="00E074AE" w:rsidP="00E074AE">
            <w:pPr>
              <w:pStyle w:val="ListParagraph"/>
              <w:numPr>
                <w:ilvl w:val="0"/>
                <w:numId w:val="20"/>
              </w:numPr>
              <w:rPr>
                <w:sz w:val="19"/>
                <w:szCs w:val="19"/>
              </w:rPr>
            </w:pPr>
            <w:r>
              <w:rPr>
                <w:sz w:val="19"/>
                <w:szCs w:val="19"/>
              </w:rPr>
              <w:t xml:space="preserve">Expected outcomes: </w:t>
            </w:r>
            <w:r w:rsidRPr="009325C9">
              <w:rPr>
                <w:sz w:val="19"/>
                <w:szCs w:val="19"/>
              </w:rPr>
              <w:t>To</w:t>
            </w:r>
            <w:r>
              <w:rPr>
                <w:sz w:val="19"/>
                <w:szCs w:val="19"/>
              </w:rPr>
              <w:t>:</w:t>
            </w:r>
            <w:r w:rsidRPr="009325C9">
              <w:rPr>
                <w:sz w:val="19"/>
                <w:szCs w:val="19"/>
              </w:rPr>
              <w:t xml:space="preserve"> provide cues to platypus to build their nests higher on the bank; start channel forming processes if flows are over 7,500 ML/d; benefit lamprey migration from South Australia when delivered during July/August</w:t>
            </w:r>
            <w:r>
              <w:rPr>
                <w:sz w:val="19"/>
                <w:szCs w:val="19"/>
              </w:rPr>
              <w:t xml:space="preserve">; </w:t>
            </w:r>
            <w:r w:rsidRPr="009325C9">
              <w:rPr>
                <w:sz w:val="19"/>
                <w:szCs w:val="19"/>
              </w:rPr>
              <w:t>improve abundance of macroinvertebrates; maintain lower and mid-bank vegetation; and increase instream habitat complexity e.g. movement of sediment through the system and maintenance of deep pools.</w:t>
            </w:r>
          </w:p>
          <w:p w14:paraId="40CF0263" w14:textId="77777777" w:rsidR="00E074AE" w:rsidRDefault="00E074AE" w:rsidP="00E074AE">
            <w:pPr>
              <w:pStyle w:val="ListParagraph"/>
              <w:numPr>
                <w:ilvl w:val="0"/>
                <w:numId w:val="20"/>
              </w:numPr>
              <w:rPr>
                <w:sz w:val="19"/>
                <w:szCs w:val="19"/>
              </w:rPr>
            </w:pPr>
            <w:r w:rsidRPr="00DE6056">
              <w:rPr>
                <w:sz w:val="19"/>
                <w:szCs w:val="19"/>
              </w:rPr>
              <w:t>A winter fresh was delivered with a peak over 7,076 ML/d at Murchison on 22 July 2022 and 9,306 ML/d on 25 July 2022 at McCoys Bridge.</w:t>
            </w:r>
            <w:r>
              <w:rPr>
                <w:sz w:val="19"/>
                <w:szCs w:val="19"/>
              </w:rPr>
              <w:t xml:space="preserve"> </w:t>
            </w:r>
            <w:r w:rsidRPr="00DE6056">
              <w:rPr>
                <w:sz w:val="19"/>
                <w:szCs w:val="19"/>
              </w:rPr>
              <w:t>At McCoys Bridge there were 12 days over 7,300 ML/d with the target flow being met and ecological outcomes likely achieved.</w:t>
            </w:r>
            <w:r>
              <w:rPr>
                <w:sz w:val="19"/>
                <w:szCs w:val="19"/>
              </w:rPr>
              <w:t xml:space="preserve"> </w:t>
            </w:r>
          </w:p>
          <w:p w14:paraId="609B6276" w14:textId="77777777" w:rsidR="00E074AE" w:rsidRDefault="00E074AE" w:rsidP="00E074AE">
            <w:pPr>
              <w:pStyle w:val="ListParagraph"/>
              <w:numPr>
                <w:ilvl w:val="0"/>
                <w:numId w:val="20"/>
              </w:numPr>
              <w:rPr>
                <w:sz w:val="19"/>
                <w:szCs w:val="19"/>
              </w:rPr>
            </w:pPr>
            <w:r w:rsidRPr="00DE6056">
              <w:rPr>
                <w:sz w:val="19"/>
                <w:szCs w:val="19"/>
              </w:rPr>
              <w:t>Following the delivery of the planned winter fresh natural flows achieved a second, smaller winter fresh with a peak of 4,684 ML per day on 9 Aug 2021 at Murchison and 6,001 on 11 Aug at McCoys Bridge. The average flow at Murchison was 2,977 ML/d and McCoys 4,242 ML/d.</w:t>
            </w:r>
            <w:r>
              <w:rPr>
                <w:sz w:val="19"/>
                <w:szCs w:val="19"/>
              </w:rPr>
              <w:t xml:space="preserve"> </w:t>
            </w:r>
            <w:r w:rsidRPr="00DE6056">
              <w:rPr>
                <w:sz w:val="19"/>
                <w:szCs w:val="19"/>
              </w:rPr>
              <w:t>This natural flow met the target of delivering variable flows over winter and the ecological outcomes were likely met.</w:t>
            </w:r>
          </w:p>
          <w:p w14:paraId="441D222F" w14:textId="77777777" w:rsidR="00E074AE" w:rsidRPr="009325C9" w:rsidRDefault="00E074AE" w:rsidP="00E074AE">
            <w:pPr>
              <w:rPr>
                <w:b/>
                <w:bCs/>
                <w:i/>
                <w:iCs/>
                <w:sz w:val="19"/>
                <w:szCs w:val="19"/>
              </w:rPr>
            </w:pPr>
            <w:r>
              <w:rPr>
                <w:b/>
                <w:bCs/>
                <w:i/>
                <w:iCs/>
                <w:sz w:val="19"/>
                <w:szCs w:val="19"/>
              </w:rPr>
              <w:t>Early s</w:t>
            </w:r>
            <w:r w:rsidRPr="009325C9">
              <w:rPr>
                <w:b/>
                <w:bCs/>
                <w:i/>
                <w:iCs/>
                <w:sz w:val="19"/>
                <w:szCs w:val="19"/>
              </w:rPr>
              <w:t>pring fresh</w:t>
            </w:r>
          </w:p>
          <w:p w14:paraId="2CB52C55" w14:textId="77777777" w:rsidR="00E074AE" w:rsidRPr="009325C9" w:rsidRDefault="00E074AE" w:rsidP="00E074AE">
            <w:pPr>
              <w:pStyle w:val="ListParagraph"/>
              <w:numPr>
                <w:ilvl w:val="0"/>
                <w:numId w:val="20"/>
              </w:numPr>
              <w:rPr>
                <w:sz w:val="19"/>
                <w:szCs w:val="19"/>
              </w:rPr>
            </w:pPr>
            <w:r>
              <w:rPr>
                <w:sz w:val="19"/>
                <w:szCs w:val="19"/>
              </w:rPr>
              <w:t xml:space="preserve">Expected outcomes: </w:t>
            </w:r>
            <w:r w:rsidRPr="009325C9">
              <w:rPr>
                <w:sz w:val="19"/>
                <w:szCs w:val="19"/>
              </w:rPr>
              <w:t>Prime the system and drive the food cycle by provide conditions for lower bank vegetation establishment and maintenance including: transporting plant propagules; increasing moisture in bank soils; driving germination; establishing new plants and encouraging the growth of existing plants.</w:t>
            </w:r>
          </w:p>
          <w:p w14:paraId="3D7288C1" w14:textId="77777777" w:rsidR="00E074AE" w:rsidRPr="009325C9" w:rsidRDefault="00E074AE" w:rsidP="00E074AE">
            <w:pPr>
              <w:pStyle w:val="ListParagraph"/>
              <w:numPr>
                <w:ilvl w:val="0"/>
                <w:numId w:val="20"/>
              </w:numPr>
              <w:rPr>
                <w:sz w:val="19"/>
                <w:szCs w:val="19"/>
              </w:rPr>
            </w:pPr>
            <w:r w:rsidRPr="009325C9">
              <w:rPr>
                <w:sz w:val="19"/>
                <w:szCs w:val="19"/>
              </w:rPr>
              <w:t xml:space="preserve">Improves macroinvertebrate habitat by scouring and transporting fine sediment. </w:t>
            </w:r>
          </w:p>
          <w:p w14:paraId="6DF51FB7" w14:textId="77777777" w:rsidR="00E074AE" w:rsidRDefault="00E074AE" w:rsidP="00E074AE">
            <w:pPr>
              <w:pStyle w:val="ListParagraph"/>
              <w:numPr>
                <w:ilvl w:val="0"/>
                <w:numId w:val="20"/>
              </w:numPr>
              <w:rPr>
                <w:sz w:val="19"/>
                <w:szCs w:val="19"/>
              </w:rPr>
            </w:pPr>
            <w:r w:rsidRPr="009325C9">
              <w:rPr>
                <w:sz w:val="19"/>
                <w:szCs w:val="19"/>
              </w:rPr>
              <w:t>Provide cues for spawning and migration for flood-specialist native fish.</w:t>
            </w:r>
            <w:r>
              <w:rPr>
                <w:sz w:val="19"/>
                <w:szCs w:val="19"/>
              </w:rPr>
              <w:t xml:space="preserve"> </w:t>
            </w:r>
            <w:r w:rsidRPr="009325C9">
              <w:rPr>
                <w:sz w:val="19"/>
                <w:szCs w:val="19"/>
              </w:rPr>
              <w:t>The spring fresh at Murchison reached a peak of 7,604 ML/d on 10 Oct 2022, with 4 days above 7,300 ML/d. With added tributary inflows, the peak at McCoys was 7,963 ML/d on 13 Oct, with 6 days above 7,300 ML/d.</w:t>
            </w:r>
            <w:r>
              <w:rPr>
                <w:sz w:val="19"/>
                <w:szCs w:val="19"/>
              </w:rPr>
              <w:t xml:space="preserve"> </w:t>
            </w:r>
            <w:r w:rsidRPr="009325C9">
              <w:rPr>
                <w:sz w:val="19"/>
                <w:szCs w:val="19"/>
              </w:rPr>
              <w:t>With the systems being wet as a result of high winter flows, this slightly reduced spring fresh is likely to have achieved the expected ecological outcomes.</w:t>
            </w:r>
          </w:p>
          <w:p w14:paraId="6FCE93E2" w14:textId="77777777" w:rsidR="00E074AE" w:rsidRPr="009325C9" w:rsidRDefault="00E074AE" w:rsidP="00E074AE">
            <w:pPr>
              <w:rPr>
                <w:b/>
                <w:bCs/>
                <w:i/>
                <w:iCs/>
                <w:sz w:val="19"/>
                <w:szCs w:val="19"/>
              </w:rPr>
            </w:pPr>
            <w:r w:rsidRPr="009325C9">
              <w:rPr>
                <w:b/>
                <w:bCs/>
                <w:i/>
                <w:iCs/>
                <w:sz w:val="19"/>
                <w:szCs w:val="19"/>
              </w:rPr>
              <w:t>Late spring fresh</w:t>
            </w:r>
          </w:p>
          <w:p w14:paraId="630C2E39" w14:textId="77777777" w:rsidR="00E074AE" w:rsidRDefault="00E074AE" w:rsidP="00E074AE">
            <w:pPr>
              <w:pStyle w:val="ListParagraph"/>
              <w:numPr>
                <w:ilvl w:val="0"/>
                <w:numId w:val="20"/>
              </w:numPr>
              <w:rPr>
                <w:sz w:val="19"/>
                <w:szCs w:val="19"/>
              </w:rPr>
            </w:pPr>
            <w:r w:rsidRPr="009325C9">
              <w:rPr>
                <w:sz w:val="19"/>
                <w:szCs w:val="19"/>
              </w:rPr>
              <w:t>Expected outcomes: For native fish spawning (including golden perch and silver perch). To: scour old biofilms from hard substrates, improving food resources for macroinvertebrates;</w:t>
            </w:r>
            <w:r>
              <w:rPr>
                <w:sz w:val="19"/>
                <w:szCs w:val="19"/>
              </w:rPr>
              <w:t xml:space="preserve"> </w:t>
            </w:r>
            <w:r w:rsidRPr="009325C9">
              <w:rPr>
                <w:sz w:val="19"/>
                <w:szCs w:val="19"/>
              </w:rPr>
              <w:t>transport fine sediments, to maintain instream habitat.</w:t>
            </w:r>
          </w:p>
          <w:p w14:paraId="65563AEA" w14:textId="77777777" w:rsidR="00E074AE" w:rsidRPr="009325C9" w:rsidRDefault="00E074AE" w:rsidP="00E074AE">
            <w:pPr>
              <w:pStyle w:val="ListParagraph"/>
              <w:numPr>
                <w:ilvl w:val="0"/>
                <w:numId w:val="20"/>
              </w:numPr>
              <w:rPr>
                <w:sz w:val="19"/>
                <w:szCs w:val="19"/>
              </w:rPr>
            </w:pPr>
            <w:r w:rsidRPr="009325C9">
              <w:rPr>
                <w:sz w:val="19"/>
                <w:szCs w:val="19"/>
              </w:rPr>
              <w:lastRenderedPageBreak/>
              <w:t>Murchison: Low flows below 1,000 ML/d after the spring fresh were delivered for 12 days before a natural event occurred, commencing on 10 Nov and peaking at 4,419 on 15 Nov 2022. The flow was of a short, sharp duration and CEW delivery recommenced on 20 Nov to reduce the steep recession and avoid damage to the riverbank. This natural flow, although lower than if flows for a late spring fresh had been planned, may have achieved some fish spawning outcomes. This natural flow also interrupted the managed low flows being delivered and may have adversely impacted the vegetation growth.</w:t>
            </w:r>
          </w:p>
          <w:p w14:paraId="381F06AA" w14:textId="77777777" w:rsidR="00E074AE" w:rsidRPr="00375E87" w:rsidRDefault="00E074AE" w:rsidP="00E074AE">
            <w:pPr>
              <w:pStyle w:val="ListParagraph"/>
              <w:numPr>
                <w:ilvl w:val="0"/>
                <w:numId w:val="20"/>
              </w:numPr>
              <w:rPr>
                <w:sz w:val="19"/>
                <w:szCs w:val="19"/>
              </w:rPr>
            </w:pPr>
            <w:r w:rsidRPr="009325C9">
              <w:rPr>
                <w:sz w:val="19"/>
                <w:szCs w:val="19"/>
              </w:rPr>
              <w:t>McCoys Bridge:</w:t>
            </w:r>
            <w:r>
              <w:rPr>
                <w:sz w:val="19"/>
                <w:szCs w:val="19"/>
              </w:rPr>
              <w:t xml:space="preserve"> </w:t>
            </w:r>
            <w:r w:rsidRPr="009325C9">
              <w:rPr>
                <w:sz w:val="19"/>
                <w:szCs w:val="19"/>
              </w:rPr>
              <w:t>Flows had not fallen back to low flow levels (average 1,186 over the first 12 days) before flows increased due to the natural flow event. A peak of 4,066 was on 19 Nov, and CEW was delivered to slow the recession of the fresh.</w:t>
            </w:r>
          </w:p>
        </w:tc>
        <w:tc>
          <w:tcPr>
            <w:tcW w:w="479" w:type="pct"/>
          </w:tcPr>
          <w:p w14:paraId="194F7191" w14:textId="77777777" w:rsidR="00E074AE" w:rsidRPr="00375E87" w:rsidRDefault="00E074AE" w:rsidP="00E074AE">
            <w:pPr>
              <w:contextualSpacing/>
              <w:rPr>
                <w:sz w:val="19"/>
                <w:szCs w:val="19"/>
              </w:rPr>
            </w:pPr>
            <w:r>
              <w:rPr>
                <w:sz w:val="19"/>
                <w:szCs w:val="19"/>
              </w:rPr>
              <w:lastRenderedPageBreak/>
              <w:t>CEW, TLM</w:t>
            </w:r>
          </w:p>
        </w:tc>
      </w:tr>
      <w:tr w:rsidR="00E074AE" w:rsidRPr="00040579" w14:paraId="2691B656" w14:textId="77777777" w:rsidTr="0084137B">
        <w:trPr>
          <w:cantSplit/>
          <w:trHeight w:val="397"/>
        </w:trPr>
        <w:tc>
          <w:tcPr>
            <w:tcW w:w="405" w:type="pct"/>
            <w:tcBorders>
              <w:top w:val="nil"/>
              <w:left w:val="single" w:sz="4" w:space="0" w:color="auto"/>
              <w:bottom w:val="nil"/>
              <w:right w:val="single" w:sz="4" w:space="0" w:color="auto"/>
            </w:tcBorders>
          </w:tcPr>
          <w:p w14:paraId="6739BE66" w14:textId="1E5096D6" w:rsidR="00E074AE" w:rsidRPr="00375E87" w:rsidRDefault="00E074AE" w:rsidP="00E074AE">
            <w:pPr>
              <w:contextualSpacing/>
            </w:pPr>
          </w:p>
        </w:tc>
        <w:tc>
          <w:tcPr>
            <w:tcW w:w="660" w:type="pct"/>
            <w:tcBorders>
              <w:left w:val="single" w:sz="4" w:space="0" w:color="auto"/>
            </w:tcBorders>
          </w:tcPr>
          <w:p w14:paraId="3808FF9E" w14:textId="65D999F9" w:rsidR="00E074AE" w:rsidRPr="000E0EDC" w:rsidRDefault="00E074AE" w:rsidP="00E074AE">
            <w:pPr>
              <w:rPr>
                <w:sz w:val="19"/>
                <w:szCs w:val="19"/>
              </w:rPr>
            </w:pPr>
            <w:r w:rsidRPr="000E0EDC">
              <w:t>Lower Darling/Baaka &amp; Great Darling Anabranch</w:t>
            </w:r>
          </w:p>
        </w:tc>
        <w:tc>
          <w:tcPr>
            <w:tcW w:w="3456" w:type="pct"/>
          </w:tcPr>
          <w:p w14:paraId="07A7DF93" w14:textId="1DC1DD72" w:rsidR="00E074AE" w:rsidRDefault="00E074AE" w:rsidP="0044256A">
            <w:pPr>
              <w:rPr>
                <w:sz w:val="19"/>
                <w:szCs w:val="19"/>
              </w:rPr>
            </w:pPr>
            <w:r w:rsidRPr="000E0EDC">
              <w:rPr>
                <w:sz w:val="19"/>
                <w:szCs w:val="19"/>
              </w:rPr>
              <w:t>Primary outcomes:</w:t>
            </w:r>
            <w:r w:rsidR="0044256A">
              <w:rPr>
                <w:sz w:val="19"/>
                <w:szCs w:val="19"/>
              </w:rPr>
              <w:t xml:space="preserve"> </w:t>
            </w:r>
            <w:r>
              <w:rPr>
                <w:sz w:val="19"/>
                <w:szCs w:val="19"/>
              </w:rPr>
              <w:t>S</w:t>
            </w:r>
            <w:r w:rsidRPr="000E0EDC">
              <w:rPr>
                <w:sz w:val="19"/>
                <w:szCs w:val="19"/>
              </w:rPr>
              <w:t>upport native fish (primarily Murray cod (</w:t>
            </w:r>
            <w:r w:rsidRPr="00840E45">
              <w:rPr>
                <w:i/>
                <w:iCs/>
                <w:sz w:val="19"/>
                <w:szCs w:val="19"/>
              </w:rPr>
              <w:t>Maccullochella peelii</w:t>
            </w:r>
            <w:r w:rsidRPr="000E0EDC">
              <w:rPr>
                <w:sz w:val="19"/>
                <w:szCs w:val="19"/>
              </w:rPr>
              <w:t>)) spawning, recruitment and larval dispersal in the Lower Darling/Baaka main channel</w:t>
            </w:r>
            <w:r w:rsidR="0044256A">
              <w:rPr>
                <w:sz w:val="19"/>
                <w:szCs w:val="19"/>
              </w:rPr>
              <w:t xml:space="preserve">; </w:t>
            </w:r>
            <w:r w:rsidRPr="000E0EDC">
              <w:rPr>
                <w:sz w:val="19"/>
                <w:szCs w:val="19"/>
              </w:rPr>
              <w:t>Support golden perch (</w:t>
            </w:r>
            <w:r w:rsidRPr="00840E45">
              <w:rPr>
                <w:i/>
                <w:iCs/>
                <w:sz w:val="19"/>
                <w:szCs w:val="19"/>
              </w:rPr>
              <w:t>Macquaria ambigua</w:t>
            </w:r>
            <w:r w:rsidRPr="000E0EDC">
              <w:rPr>
                <w:sz w:val="19"/>
                <w:szCs w:val="19"/>
              </w:rPr>
              <w:t>) and silver perch (</w:t>
            </w:r>
            <w:r w:rsidRPr="00612B3D">
              <w:rPr>
                <w:i/>
                <w:iCs/>
                <w:sz w:val="19"/>
                <w:szCs w:val="19"/>
              </w:rPr>
              <w:t>Bidyanus bidyanus</w:t>
            </w:r>
            <w:r w:rsidRPr="000E0EDC">
              <w:rPr>
                <w:sz w:val="19"/>
                <w:szCs w:val="19"/>
              </w:rPr>
              <w:t>) spawning and dispersal to both the Lower Darling/Baaka and Great Darling Anabranch and ultimately to the River Murray.</w:t>
            </w:r>
            <w:r w:rsidR="0044256A">
              <w:rPr>
                <w:sz w:val="19"/>
                <w:szCs w:val="19"/>
              </w:rPr>
              <w:t xml:space="preserve"> </w:t>
            </w:r>
            <w:r w:rsidRPr="000E0EDC">
              <w:rPr>
                <w:sz w:val="19"/>
                <w:szCs w:val="19"/>
              </w:rPr>
              <w:t>Other expected outcomes include:</w:t>
            </w:r>
            <w:r w:rsidR="0044256A">
              <w:rPr>
                <w:sz w:val="19"/>
                <w:szCs w:val="19"/>
              </w:rPr>
              <w:t xml:space="preserve"> </w:t>
            </w:r>
            <w:r w:rsidRPr="000E0EDC">
              <w:rPr>
                <w:sz w:val="19"/>
                <w:szCs w:val="19"/>
              </w:rPr>
              <w:t>Contribute to the maintenance of critical habitat, water quality, food resources and the provision of localised refuge sites</w:t>
            </w:r>
            <w:r w:rsidR="0044256A">
              <w:rPr>
                <w:sz w:val="19"/>
                <w:szCs w:val="19"/>
              </w:rPr>
              <w:t xml:space="preserve">; </w:t>
            </w:r>
            <w:r w:rsidRPr="000E0EDC">
              <w:rPr>
                <w:sz w:val="19"/>
                <w:szCs w:val="19"/>
              </w:rPr>
              <w:t>Improve water quality by managing algal blooms and/or hypoxic blackwater events as needed and where feasible</w:t>
            </w:r>
            <w:r w:rsidR="0044256A">
              <w:rPr>
                <w:sz w:val="19"/>
                <w:szCs w:val="19"/>
              </w:rPr>
              <w:t xml:space="preserve">; </w:t>
            </w:r>
            <w:r w:rsidRPr="000E0EDC">
              <w:rPr>
                <w:sz w:val="19"/>
                <w:szCs w:val="19"/>
              </w:rPr>
              <w:t>Support riparian vegetation (e.g. river red gums), waterbirds, invertebrates and frogs</w:t>
            </w:r>
            <w:r w:rsidR="0044256A">
              <w:rPr>
                <w:sz w:val="19"/>
                <w:szCs w:val="19"/>
              </w:rPr>
              <w:t xml:space="preserve">; </w:t>
            </w:r>
            <w:r w:rsidRPr="000E0EDC">
              <w:rPr>
                <w:sz w:val="19"/>
                <w:szCs w:val="19"/>
              </w:rPr>
              <w:t>Transport propagules and nutrients to the lower River Murray</w:t>
            </w:r>
            <w:r w:rsidR="0044256A">
              <w:rPr>
                <w:sz w:val="19"/>
                <w:szCs w:val="19"/>
              </w:rPr>
              <w:t xml:space="preserve">; </w:t>
            </w:r>
            <w:r w:rsidRPr="000E0EDC">
              <w:rPr>
                <w:sz w:val="19"/>
                <w:szCs w:val="19"/>
              </w:rPr>
              <w:t>Contribute to longitudinal connectivity, including connectivity with the Murray and contribution to end of system flows to the Coorong and Murray Mouth.</w:t>
            </w:r>
          </w:p>
          <w:p w14:paraId="6F3890AB" w14:textId="77777777" w:rsidR="00E074AE" w:rsidRPr="000E0EDC" w:rsidRDefault="00E074AE" w:rsidP="00E074AE">
            <w:pPr>
              <w:rPr>
                <w:b/>
                <w:bCs/>
                <w:i/>
                <w:iCs/>
                <w:sz w:val="19"/>
                <w:szCs w:val="19"/>
              </w:rPr>
            </w:pPr>
            <w:r w:rsidRPr="000E0EDC">
              <w:rPr>
                <w:b/>
                <w:bCs/>
                <w:i/>
                <w:iCs/>
                <w:sz w:val="19"/>
                <w:szCs w:val="19"/>
              </w:rPr>
              <w:t>Lower Darling/Baaka channel</w:t>
            </w:r>
          </w:p>
          <w:p w14:paraId="6812F51E" w14:textId="77777777" w:rsidR="00E074AE" w:rsidRDefault="00E074AE" w:rsidP="00E074AE">
            <w:pPr>
              <w:pStyle w:val="ListParagraph"/>
              <w:numPr>
                <w:ilvl w:val="0"/>
                <w:numId w:val="21"/>
              </w:numPr>
              <w:rPr>
                <w:sz w:val="19"/>
                <w:szCs w:val="19"/>
              </w:rPr>
            </w:pPr>
            <w:r w:rsidRPr="000E0EDC">
              <w:rPr>
                <w:sz w:val="19"/>
                <w:szCs w:val="19"/>
              </w:rPr>
              <w:t>Environmental water releases of 300 ML/d added to water sharing plan minimum baseflows of 200 ML/d to achieve elevated baseflows of 500 ML/d for 59 days.</w:t>
            </w:r>
          </w:p>
          <w:p w14:paraId="3A52699F" w14:textId="77777777" w:rsidR="00E074AE" w:rsidRPr="000E0EDC" w:rsidRDefault="00E074AE" w:rsidP="00E074AE">
            <w:pPr>
              <w:pStyle w:val="ListParagraph"/>
              <w:numPr>
                <w:ilvl w:val="0"/>
                <w:numId w:val="21"/>
              </w:numPr>
              <w:rPr>
                <w:sz w:val="19"/>
                <w:szCs w:val="19"/>
              </w:rPr>
            </w:pPr>
            <w:r w:rsidRPr="000E0EDC">
              <w:rPr>
                <w:sz w:val="19"/>
                <w:szCs w:val="19"/>
              </w:rPr>
              <w:t>On 30 August 2021, environmental water releases (TLM and CEW) were increased towards a target flow rate of 1,200 ML/d at Weir 32 to begin providing additional food resources and breeding habitat to support the spring Murray cod nesting period.</w:t>
            </w:r>
          </w:p>
          <w:p w14:paraId="06AADDEB" w14:textId="77777777" w:rsidR="00E074AE" w:rsidRPr="000E0EDC" w:rsidRDefault="00E074AE" w:rsidP="00E074AE">
            <w:pPr>
              <w:pStyle w:val="ListParagraph"/>
              <w:numPr>
                <w:ilvl w:val="0"/>
                <w:numId w:val="21"/>
              </w:numPr>
              <w:rPr>
                <w:sz w:val="19"/>
                <w:szCs w:val="19"/>
              </w:rPr>
            </w:pPr>
            <w:r w:rsidRPr="000E0EDC">
              <w:rPr>
                <w:sz w:val="19"/>
                <w:szCs w:val="19"/>
              </w:rPr>
              <w:t>By sourcing a portion of these flows from Lake Wetherell, an additional benefit was provided enroute in terms of flushing an algal bloom near the township of Menindee.</w:t>
            </w:r>
          </w:p>
          <w:p w14:paraId="64103C16" w14:textId="77777777" w:rsidR="00E074AE" w:rsidRPr="000E0EDC" w:rsidRDefault="00E074AE" w:rsidP="00E074AE">
            <w:pPr>
              <w:pStyle w:val="ListParagraph"/>
              <w:numPr>
                <w:ilvl w:val="0"/>
                <w:numId w:val="21"/>
              </w:numPr>
              <w:rPr>
                <w:sz w:val="19"/>
                <w:szCs w:val="19"/>
              </w:rPr>
            </w:pPr>
            <w:r w:rsidRPr="000E0EDC">
              <w:rPr>
                <w:sz w:val="19"/>
                <w:szCs w:val="19"/>
              </w:rPr>
              <w:t xml:space="preserve">The size of the elevated baseflows were planned based on current water management plans, available water allocations, forecasts of Menindee Lakes storage longevity and advice from fisheries scientists. </w:t>
            </w:r>
          </w:p>
          <w:p w14:paraId="5DDE0F47" w14:textId="77777777" w:rsidR="00E074AE" w:rsidRDefault="00E074AE" w:rsidP="00E074AE">
            <w:pPr>
              <w:pStyle w:val="ListParagraph"/>
              <w:numPr>
                <w:ilvl w:val="0"/>
                <w:numId w:val="21"/>
              </w:numPr>
              <w:rPr>
                <w:sz w:val="19"/>
                <w:szCs w:val="19"/>
              </w:rPr>
            </w:pPr>
            <w:r w:rsidRPr="000E0EDC">
              <w:rPr>
                <w:sz w:val="19"/>
                <w:szCs w:val="19"/>
              </w:rPr>
              <w:t>On 25 September operational ‘spill’ releases commenced to manage lake levels and allow river operators to capture surplus inflows arriving at Menindee Lakes following considerable rainfall in the Barwon-Darling system.</w:t>
            </w:r>
          </w:p>
          <w:p w14:paraId="2AFCF73A" w14:textId="77777777" w:rsidR="00E074AE" w:rsidRPr="000E0EDC" w:rsidRDefault="00E074AE" w:rsidP="00E074AE">
            <w:pPr>
              <w:pStyle w:val="ListParagraph"/>
              <w:numPr>
                <w:ilvl w:val="0"/>
                <w:numId w:val="21"/>
              </w:numPr>
              <w:rPr>
                <w:sz w:val="19"/>
                <w:szCs w:val="19"/>
              </w:rPr>
            </w:pPr>
            <w:r w:rsidRPr="000E0EDC">
              <w:rPr>
                <w:sz w:val="19"/>
                <w:szCs w:val="19"/>
              </w:rPr>
              <w:t>Following a period of operational spill from 25 September to 23 October 2022, operational spill releases would have been reduced to 1,900 ML/d.</w:t>
            </w:r>
          </w:p>
          <w:p w14:paraId="45A53D25" w14:textId="77777777" w:rsidR="00E074AE" w:rsidRPr="000E0EDC" w:rsidRDefault="00E074AE" w:rsidP="00E074AE">
            <w:pPr>
              <w:pStyle w:val="ListParagraph"/>
              <w:numPr>
                <w:ilvl w:val="0"/>
                <w:numId w:val="21"/>
              </w:numPr>
              <w:rPr>
                <w:sz w:val="19"/>
                <w:szCs w:val="19"/>
              </w:rPr>
            </w:pPr>
            <w:r w:rsidRPr="000E0EDC">
              <w:rPr>
                <w:sz w:val="19"/>
                <w:szCs w:val="19"/>
              </w:rPr>
              <w:t>Water for the environment (TLM) was added to maintain flows around 2,500 ML/d between 24 October and 27 November, to avoid a drop in flows following the operational spill and associated risk of Murray cod nest abandonment.</w:t>
            </w:r>
          </w:p>
          <w:p w14:paraId="6F277C72" w14:textId="77777777" w:rsidR="00E074AE" w:rsidRDefault="00E074AE" w:rsidP="00E074AE">
            <w:pPr>
              <w:pStyle w:val="ListParagraph"/>
              <w:numPr>
                <w:ilvl w:val="0"/>
                <w:numId w:val="21"/>
              </w:numPr>
              <w:rPr>
                <w:sz w:val="19"/>
                <w:szCs w:val="19"/>
              </w:rPr>
            </w:pPr>
            <w:r w:rsidRPr="000E0EDC">
              <w:rPr>
                <w:sz w:val="19"/>
                <w:szCs w:val="19"/>
              </w:rPr>
              <w:t>From 28 November 2021 onwards, the Menindee Lakes were managed for flood operations as a result of continuing high flows from the northern Basin system.</w:t>
            </w:r>
          </w:p>
          <w:p w14:paraId="58DE109B" w14:textId="77777777" w:rsidR="00E074AE" w:rsidRPr="000E0EDC" w:rsidRDefault="00E074AE" w:rsidP="00E074AE">
            <w:pPr>
              <w:rPr>
                <w:b/>
                <w:bCs/>
                <w:i/>
                <w:iCs/>
                <w:sz w:val="19"/>
                <w:szCs w:val="19"/>
              </w:rPr>
            </w:pPr>
            <w:r>
              <w:rPr>
                <w:b/>
                <w:bCs/>
                <w:i/>
                <w:iCs/>
                <w:sz w:val="19"/>
                <w:szCs w:val="19"/>
              </w:rPr>
              <w:lastRenderedPageBreak/>
              <w:t>Darling Anabranch</w:t>
            </w:r>
          </w:p>
          <w:p w14:paraId="5A2FF96D" w14:textId="77777777" w:rsidR="00E074AE" w:rsidRPr="000E0EDC" w:rsidRDefault="00E074AE" w:rsidP="00E074AE">
            <w:pPr>
              <w:pStyle w:val="ListParagraph"/>
              <w:numPr>
                <w:ilvl w:val="0"/>
                <w:numId w:val="21"/>
              </w:numPr>
              <w:rPr>
                <w:sz w:val="19"/>
                <w:szCs w:val="19"/>
              </w:rPr>
            </w:pPr>
            <w:r w:rsidRPr="000E0EDC">
              <w:rPr>
                <w:sz w:val="19"/>
                <w:szCs w:val="19"/>
              </w:rPr>
              <w:t>Following high inflows to the Menindee Lakes which filled all lakes including Lake Cawndilla, releases from Lake Cawndilla using operational ‘spill’ commenced on 25 September 2022 targeting approximately 1,000 ML/d.</w:t>
            </w:r>
          </w:p>
          <w:p w14:paraId="7D80B2BF" w14:textId="77777777" w:rsidR="00E074AE" w:rsidRPr="000E0EDC" w:rsidRDefault="00E074AE" w:rsidP="00E074AE">
            <w:pPr>
              <w:pStyle w:val="ListParagraph"/>
              <w:numPr>
                <w:ilvl w:val="0"/>
                <w:numId w:val="21"/>
              </w:numPr>
              <w:rPr>
                <w:sz w:val="19"/>
                <w:szCs w:val="19"/>
              </w:rPr>
            </w:pPr>
            <w:r w:rsidRPr="000E0EDC">
              <w:rPr>
                <w:sz w:val="19"/>
                <w:szCs w:val="19"/>
              </w:rPr>
              <w:t>This was the first flow to the Anabranch in almost 5 years.</w:t>
            </w:r>
          </w:p>
          <w:p w14:paraId="4D5635A8" w14:textId="77777777" w:rsidR="00E074AE" w:rsidRPr="000E0EDC" w:rsidRDefault="00E074AE" w:rsidP="00E074AE">
            <w:pPr>
              <w:pStyle w:val="ListParagraph"/>
              <w:numPr>
                <w:ilvl w:val="0"/>
                <w:numId w:val="21"/>
              </w:numPr>
              <w:rPr>
                <w:sz w:val="19"/>
                <w:szCs w:val="19"/>
              </w:rPr>
            </w:pPr>
            <w:r w:rsidRPr="000E0EDC">
              <w:rPr>
                <w:sz w:val="19"/>
                <w:szCs w:val="19"/>
              </w:rPr>
              <w:t xml:space="preserve">Operational spill ceased on 23 October, so CEW was used to continue the target flow of 1,000 ML/d to continue the flow’s path to the River Murray. </w:t>
            </w:r>
          </w:p>
          <w:p w14:paraId="7F555A00" w14:textId="77777777" w:rsidR="00E074AE" w:rsidRPr="000E0EDC" w:rsidRDefault="00E074AE" w:rsidP="00E074AE">
            <w:pPr>
              <w:pStyle w:val="ListParagraph"/>
              <w:numPr>
                <w:ilvl w:val="0"/>
                <w:numId w:val="21"/>
              </w:numPr>
              <w:rPr>
                <w:sz w:val="19"/>
                <w:szCs w:val="19"/>
              </w:rPr>
            </w:pPr>
            <w:r w:rsidRPr="000E0EDC">
              <w:rPr>
                <w:sz w:val="19"/>
                <w:szCs w:val="19"/>
              </w:rPr>
              <w:t>Kangaroo and Packers Lakes were partly filled with a mix of operational spill followed by environmental water, as both lakes no longer have regulating structures. The filling of these lakes is expected to have been beneficial to fish and waterbird populations, vegetation and the overall health of the local ecosystem.</w:t>
            </w:r>
          </w:p>
          <w:p w14:paraId="086AA864" w14:textId="77777777" w:rsidR="00E074AE" w:rsidRDefault="00E074AE" w:rsidP="00E074AE">
            <w:pPr>
              <w:pStyle w:val="ListParagraph"/>
              <w:numPr>
                <w:ilvl w:val="0"/>
                <w:numId w:val="21"/>
              </w:numPr>
              <w:rPr>
                <w:sz w:val="19"/>
                <w:szCs w:val="19"/>
              </w:rPr>
            </w:pPr>
            <w:r w:rsidRPr="000E0EDC">
              <w:rPr>
                <w:sz w:val="19"/>
                <w:szCs w:val="19"/>
              </w:rPr>
              <w:t>From 28 November, operational spill recommenced, targeting 2,000 ML/d as part of Menindee Lakes flood operations.</w:t>
            </w:r>
          </w:p>
          <w:p w14:paraId="7ECAB780" w14:textId="77777777" w:rsidR="00E074AE" w:rsidRPr="000E0EDC" w:rsidRDefault="00E074AE" w:rsidP="00E074AE">
            <w:pPr>
              <w:pStyle w:val="ListParagraph"/>
              <w:numPr>
                <w:ilvl w:val="0"/>
                <w:numId w:val="21"/>
              </w:numPr>
              <w:rPr>
                <w:sz w:val="19"/>
                <w:szCs w:val="19"/>
              </w:rPr>
            </w:pPr>
            <w:r w:rsidRPr="000E0EDC">
              <w:rPr>
                <w:sz w:val="19"/>
                <w:szCs w:val="19"/>
              </w:rPr>
              <w:t>Following three months of flood operational releases to the Anabranch, operational flows were planned to cease.</w:t>
            </w:r>
          </w:p>
          <w:p w14:paraId="41EEAC06" w14:textId="77777777" w:rsidR="00E074AE" w:rsidRPr="000E0EDC" w:rsidRDefault="00E074AE" w:rsidP="00E074AE">
            <w:pPr>
              <w:pStyle w:val="ListParagraph"/>
              <w:numPr>
                <w:ilvl w:val="0"/>
                <w:numId w:val="21"/>
              </w:numPr>
              <w:rPr>
                <w:sz w:val="19"/>
                <w:szCs w:val="19"/>
              </w:rPr>
            </w:pPr>
            <w:r w:rsidRPr="000E0EDC">
              <w:rPr>
                <w:sz w:val="19"/>
                <w:szCs w:val="19"/>
              </w:rPr>
              <w:t>NSW environmental water was provided from 2 March 2022 to ensure that river flow was maintained and benefits to local ecology would continue to be provided.</w:t>
            </w:r>
          </w:p>
          <w:p w14:paraId="7C4A4C33" w14:textId="77777777" w:rsidR="00E074AE" w:rsidRPr="000E0EDC" w:rsidRDefault="00E074AE" w:rsidP="00E074AE">
            <w:pPr>
              <w:pStyle w:val="ListParagraph"/>
              <w:numPr>
                <w:ilvl w:val="0"/>
                <w:numId w:val="21"/>
              </w:numPr>
              <w:rPr>
                <w:sz w:val="19"/>
                <w:szCs w:val="19"/>
              </w:rPr>
            </w:pPr>
            <w:r w:rsidRPr="000E0EDC">
              <w:rPr>
                <w:sz w:val="19"/>
                <w:szCs w:val="19"/>
              </w:rPr>
              <w:t>From 19 March 2022, operational spill recommenced and continued for the remainder of the water year.</w:t>
            </w:r>
          </w:p>
        </w:tc>
        <w:tc>
          <w:tcPr>
            <w:tcW w:w="479" w:type="pct"/>
          </w:tcPr>
          <w:p w14:paraId="495A418E" w14:textId="77777777" w:rsidR="00E074AE" w:rsidRPr="00375E87" w:rsidRDefault="00E074AE" w:rsidP="00E074AE">
            <w:pPr>
              <w:contextualSpacing/>
              <w:rPr>
                <w:sz w:val="19"/>
                <w:szCs w:val="19"/>
              </w:rPr>
            </w:pPr>
            <w:r>
              <w:rPr>
                <w:sz w:val="19"/>
                <w:szCs w:val="19"/>
              </w:rPr>
              <w:lastRenderedPageBreak/>
              <w:t>CEW, TLM and NSW AEW</w:t>
            </w:r>
          </w:p>
        </w:tc>
      </w:tr>
      <w:tr w:rsidR="00E074AE" w:rsidRPr="00040579" w14:paraId="7E8B7BA6" w14:textId="77777777" w:rsidTr="0084137B">
        <w:trPr>
          <w:cantSplit/>
          <w:trHeight w:val="397"/>
        </w:trPr>
        <w:tc>
          <w:tcPr>
            <w:tcW w:w="405" w:type="pct"/>
            <w:tcBorders>
              <w:top w:val="nil"/>
              <w:left w:val="single" w:sz="4" w:space="0" w:color="auto"/>
              <w:bottom w:val="single" w:sz="4" w:space="0" w:color="auto"/>
              <w:right w:val="single" w:sz="4" w:space="0" w:color="auto"/>
            </w:tcBorders>
          </w:tcPr>
          <w:p w14:paraId="3F0CBB3D" w14:textId="0D981454" w:rsidR="00E074AE" w:rsidRPr="000E0EDC" w:rsidRDefault="00E074AE" w:rsidP="00E074AE">
            <w:pPr>
              <w:contextualSpacing/>
            </w:pPr>
          </w:p>
        </w:tc>
        <w:tc>
          <w:tcPr>
            <w:tcW w:w="660" w:type="pct"/>
            <w:tcBorders>
              <w:left w:val="single" w:sz="4" w:space="0" w:color="auto"/>
            </w:tcBorders>
          </w:tcPr>
          <w:p w14:paraId="45E0CD0B" w14:textId="67F4C31E" w:rsidR="00E074AE" w:rsidRPr="00E074AE" w:rsidRDefault="00E074AE" w:rsidP="00E074AE">
            <w:pPr>
              <w:rPr>
                <w:sz w:val="19"/>
                <w:szCs w:val="19"/>
              </w:rPr>
            </w:pPr>
            <w:r>
              <w:t>Hattah Lakes floodplain and wetland inundation</w:t>
            </w:r>
          </w:p>
        </w:tc>
        <w:tc>
          <w:tcPr>
            <w:tcW w:w="3456" w:type="pct"/>
          </w:tcPr>
          <w:p w14:paraId="6677DD43" w14:textId="493E7499" w:rsidR="00E074AE" w:rsidRDefault="00E074AE" w:rsidP="00737BA1">
            <w:pPr>
              <w:pStyle w:val="ListParagraph"/>
              <w:numPr>
                <w:ilvl w:val="0"/>
                <w:numId w:val="36"/>
              </w:numPr>
              <w:rPr>
                <w:sz w:val="19"/>
                <w:szCs w:val="19"/>
              </w:rPr>
            </w:pPr>
            <w:r w:rsidRPr="001B6EED">
              <w:rPr>
                <w:sz w:val="19"/>
                <w:szCs w:val="19"/>
              </w:rPr>
              <w:t>Expected outcomes: Stimulating growth and improve the condition of river red gums; Stimulating new growth of aquatic vegetation; Inundating dry wetlands to release carbon and nutrients to increase food</w:t>
            </w:r>
            <w:r>
              <w:rPr>
                <w:sz w:val="19"/>
                <w:szCs w:val="19"/>
              </w:rPr>
              <w:t xml:space="preserve"> </w:t>
            </w:r>
            <w:r w:rsidRPr="001B6EED">
              <w:rPr>
                <w:sz w:val="19"/>
                <w:szCs w:val="19"/>
              </w:rPr>
              <w:t>web productivity; Providing breeding habitat for waterbirds; Providing spawning and recruitment habitat for small-bodied native fish; Providing modest connections to allow native fish and carbon and nutrients to move between the lakes to the Murray River.</w:t>
            </w:r>
          </w:p>
          <w:p w14:paraId="1F7045D5" w14:textId="77777777" w:rsidR="00E074AE" w:rsidRPr="001B6EED" w:rsidRDefault="00E074AE" w:rsidP="00737BA1">
            <w:pPr>
              <w:pStyle w:val="ListParagraph"/>
              <w:numPr>
                <w:ilvl w:val="0"/>
                <w:numId w:val="36"/>
              </w:numPr>
              <w:rPr>
                <w:sz w:val="19"/>
                <w:szCs w:val="19"/>
              </w:rPr>
            </w:pPr>
            <w:r w:rsidRPr="001B6EED">
              <w:rPr>
                <w:sz w:val="19"/>
                <w:szCs w:val="19"/>
              </w:rPr>
              <w:t>Commencement of the watering action was delayed due to an issue with power cables, which was resolved in time for the watering action to proceed during spring. The River Murray was unregulated due to high flow conditions during the period Hattah was filled. This meant that unregulated entitlements held by VEWH and TLM were used preferentially to VEWH and CEWO regulated allocations that can be used outside of the unregulated flow event.</w:t>
            </w:r>
          </w:p>
          <w:p w14:paraId="3133C4D6" w14:textId="77777777" w:rsidR="00E074AE" w:rsidRDefault="00E074AE" w:rsidP="00737BA1">
            <w:pPr>
              <w:pStyle w:val="ListParagraph"/>
              <w:numPr>
                <w:ilvl w:val="0"/>
                <w:numId w:val="36"/>
              </w:numPr>
              <w:rPr>
                <w:sz w:val="19"/>
                <w:szCs w:val="19"/>
              </w:rPr>
            </w:pPr>
            <w:r w:rsidRPr="001B6EED">
              <w:rPr>
                <w:sz w:val="19"/>
                <w:szCs w:val="19"/>
              </w:rPr>
              <w:t>Following delivery</w:t>
            </w:r>
            <w:r>
              <w:rPr>
                <w:sz w:val="19"/>
                <w:szCs w:val="19"/>
              </w:rPr>
              <w:t xml:space="preserve"> (</w:t>
            </w:r>
            <w:r w:rsidRPr="00971B24">
              <w:rPr>
                <w:sz w:val="19"/>
                <w:szCs w:val="19"/>
              </w:rPr>
              <w:t>7 October–25 November 2021</w:t>
            </w:r>
            <w:r>
              <w:rPr>
                <w:sz w:val="19"/>
                <w:szCs w:val="19"/>
              </w:rPr>
              <w:t>)</w:t>
            </w:r>
            <w:r w:rsidRPr="001B6EED">
              <w:rPr>
                <w:sz w:val="19"/>
                <w:szCs w:val="19"/>
              </w:rPr>
              <w:t>, water was retained in the lakes for approximately 10 days until both Messengers and Oatey’s Regulators were opened in stages to draw water back off the floodplain. The release continued until mid-February when the retention level of the lakes was reached (~42.5m AHD).</w:t>
            </w:r>
          </w:p>
          <w:p w14:paraId="2A131205" w14:textId="77777777" w:rsidR="00E074AE" w:rsidRPr="000E0EDC" w:rsidRDefault="00E074AE" w:rsidP="00737BA1">
            <w:pPr>
              <w:pStyle w:val="ListParagraph"/>
              <w:numPr>
                <w:ilvl w:val="0"/>
                <w:numId w:val="36"/>
              </w:numPr>
              <w:rPr>
                <w:sz w:val="19"/>
                <w:szCs w:val="19"/>
              </w:rPr>
            </w:pPr>
            <w:r w:rsidRPr="00971B24">
              <w:rPr>
                <w:sz w:val="19"/>
                <w:szCs w:val="19"/>
              </w:rPr>
              <w:t>A height of 44.07 m AHD was achieved across the system, exceeding the target of 43.5 m AHD (Mallee CMA 2022)</w:t>
            </w:r>
            <w:r>
              <w:rPr>
                <w:sz w:val="19"/>
                <w:szCs w:val="19"/>
              </w:rPr>
              <w:t>.</w:t>
            </w:r>
          </w:p>
        </w:tc>
        <w:tc>
          <w:tcPr>
            <w:tcW w:w="479" w:type="pct"/>
          </w:tcPr>
          <w:p w14:paraId="38A72036" w14:textId="77777777" w:rsidR="00E074AE" w:rsidRDefault="00E074AE" w:rsidP="00E074AE">
            <w:pPr>
              <w:contextualSpacing/>
              <w:rPr>
                <w:sz w:val="19"/>
                <w:szCs w:val="19"/>
              </w:rPr>
            </w:pPr>
            <w:r>
              <w:rPr>
                <w:sz w:val="19"/>
                <w:szCs w:val="19"/>
              </w:rPr>
              <w:t>No eWater</w:t>
            </w:r>
          </w:p>
        </w:tc>
      </w:tr>
      <w:tr w:rsidR="00E074AE" w:rsidRPr="00375E87" w14:paraId="2F430EC1" w14:textId="77777777" w:rsidTr="0084137B">
        <w:trPr>
          <w:trHeight w:val="397"/>
        </w:trPr>
        <w:tc>
          <w:tcPr>
            <w:tcW w:w="405" w:type="pct"/>
            <w:tcBorders>
              <w:top w:val="single" w:sz="4" w:space="0" w:color="auto"/>
              <w:left w:val="single" w:sz="4" w:space="0" w:color="auto"/>
              <w:bottom w:val="nil"/>
              <w:right w:val="single" w:sz="4" w:space="0" w:color="auto"/>
            </w:tcBorders>
          </w:tcPr>
          <w:p w14:paraId="0F5F2D9E" w14:textId="1766BEB0" w:rsidR="00E074AE" w:rsidRPr="00E074AE" w:rsidRDefault="00E074AE" w:rsidP="00E074AE">
            <w:pPr>
              <w:contextualSpacing/>
              <w:rPr>
                <w:b/>
                <w:bCs/>
              </w:rPr>
            </w:pPr>
            <w:r w:rsidRPr="00E074AE">
              <w:rPr>
                <w:b/>
                <w:bCs/>
              </w:rPr>
              <w:t>2022-23</w:t>
            </w:r>
          </w:p>
          <w:p w14:paraId="6C7A218F" w14:textId="14B74BB0" w:rsidR="00E074AE" w:rsidRPr="00EA0065" w:rsidRDefault="00E074AE" w:rsidP="00E074AE">
            <w:pPr>
              <w:contextualSpacing/>
            </w:pPr>
          </w:p>
        </w:tc>
        <w:tc>
          <w:tcPr>
            <w:tcW w:w="660" w:type="pct"/>
            <w:tcBorders>
              <w:left w:val="single" w:sz="4" w:space="0" w:color="auto"/>
            </w:tcBorders>
          </w:tcPr>
          <w:p w14:paraId="5BE05589" w14:textId="53F4F3F8" w:rsidR="00E074AE" w:rsidRPr="00EA0065" w:rsidRDefault="00E074AE" w:rsidP="00E074AE">
            <w:pPr>
              <w:rPr>
                <w:b/>
                <w:bCs/>
                <w:i/>
                <w:iCs/>
                <w:sz w:val="19"/>
                <w:szCs w:val="19"/>
              </w:rPr>
            </w:pPr>
            <w:r w:rsidRPr="00EA0065">
              <w:t xml:space="preserve">Barmah-Millewa Forest </w:t>
            </w:r>
            <w:r>
              <w:t>inundation</w:t>
            </w:r>
          </w:p>
        </w:tc>
        <w:tc>
          <w:tcPr>
            <w:tcW w:w="3456" w:type="pct"/>
          </w:tcPr>
          <w:p w14:paraId="246648FC" w14:textId="6F144E42" w:rsidR="00E074AE" w:rsidRPr="00EA0065" w:rsidRDefault="00E074AE" w:rsidP="00E074AE">
            <w:pPr>
              <w:rPr>
                <w:b/>
                <w:bCs/>
                <w:i/>
                <w:iCs/>
                <w:sz w:val="19"/>
                <w:szCs w:val="19"/>
              </w:rPr>
            </w:pPr>
            <w:r w:rsidRPr="00EA0065">
              <w:rPr>
                <w:b/>
                <w:bCs/>
                <w:i/>
                <w:iCs/>
                <w:sz w:val="19"/>
                <w:szCs w:val="19"/>
              </w:rPr>
              <w:t>Winter pulse</w:t>
            </w:r>
          </w:p>
          <w:p w14:paraId="030AC3E4" w14:textId="77777777" w:rsidR="00E074AE" w:rsidRDefault="00E074AE" w:rsidP="00E074AE">
            <w:pPr>
              <w:pStyle w:val="ListParagraph"/>
              <w:numPr>
                <w:ilvl w:val="0"/>
                <w:numId w:val="20"/>
              </w:numPr>
              <w:rPr>
                <w:sz w:val="19"/>
                <w:szCs w:val="19"/>
              </w:rPr>
            </w:pPr>
            <w:r w:rsidRPr="00EA0065">
              <w:rPr>
                <w:sz w:val="19"/>
                <w:szCs w:val="19"/>
              </w:rPr>
              <w:t>Expected outcomes: Supply nutrients and carbon to rivers to support aquatic food webs; Mobilise and export organic matter from low lying wetlands in cooler months (reducing risk of low-oxygen water events); Build native fish condition, movement and spawning; Boost productivity; Support riparian vegetation fringing the river and creeks, and in low-lying wetlands; Increase the availability of habitat and food for native fish and waterbirds; Support native fish spawning.</w:t>
            </w:r>
          </w:p>
          <w:p w14:paraId="4F09BB39" w14:textId="11B5F02A" w:rsidR="00E074AE" w:rsidRPr="00EA0065" w:rsidRDefault="00E074AE" w:rsidP="00E074AE">
            <w:pPr>
              <w:pStyle w:val="ListParagraph"/>
              <w:numPr>
                <w:ilvl w:val="0"/>
                <w:numId w:val="20"/>
              </w:numPr>
              <w:rPr>
                <w:sz w:val="19"/>
                <w:szCs w:val="19"/>
              </w:rPr>
            </w:pPr>
            <w:r w:rsidRPr="000930A4">
              <w:rPr>
                <w:sz w:val="19"/>
                <w:szCs w:val="19"/>
              </w:rPr>
              <w:t xml:space="preserve">Water for the environment was used for a </w:t>
            </w:r>
            <w:r>
              <w:rPr>
                <w:sz w:val="19"/>
                <w:szCs w:val="19"/>
              </w:rPr>
              <w:t>l</w:t>
            </w:r>
            <w:r w:rsidRPr="000930A4">
              <w:rPr>
                <w:sz w:val="19"/>
                <w:szCs w:val="19"/>
              </w:rPr>
              <w:t xml:space="preserve">arge </w:t>
            </w:r>
            <w:r>
              <w:rPr>
                <w:sz w:val="19"/>
                <w:szCs w:val="19"/>
              </w:rPr>
              <w:t>f</w:t>
            </w:r>
            <w:r w:rsidRPr="000930A4">
              <w:rPr>
                <w:sz w:val="19"/>
                <w:szCs w:val="19"/>
              </w:rPr>
              <w:t>resh in winter (~85</w:t>
            </w:r>
            <w:r w:rsidR="006937BA">
              <w:rPr>
                <w:sz w:val="19"/>
                <w:szCs w:val="19"/>
              </w:rPr>
              <w:t xml:space="preserve"> </w:t>
            </w:r>
            <w:r w:rsidRPr="000930A4">
              <w:rPr>
                <w:sz w:val="19"/>
                <w:szCs w:val="19"/>
              </w:rPr>
              <w:t>GL) which commenced in July as part of a managed a recession following June pre-releases. This Watering Action was targeting flows at 15,000 ML/d downstream of Yarrawonga. The overbank delivery action was short-lived (19 days</w:t>
            </w:r>
            <w:r>
              <w:rPr>
                <w:sz w:val="19"/>
                <w:szCs w:val="19"/>
              </w:rPr>
              <w:t xml:space="preserve"> - 20 July to 6 August</w:t>
            </w:r>
            <w:r w:rsidRPr="000930A4">
              <w:rPr>
                <w:sz w:val="19"/>
                <w:szCs w:val="19"/>
              </w:rPr>
              <w:t>) as significant rainfall in the upper Murray catchment resulted in higher flows and ‘unregulated’ conditions which persisted to December.</w:t>
            </w:r>
          </w:p>
          <w:p w14:paraId="436058CB" w14:textId="76414D28" w:rsidR="00E074AE" w:rsidRDefault="00E074AE" w:rsidP="00E074AE">
            <w:pPr>
              <w:pStyle w:val="ListParagraph"/>
              <w:numPr>
                <w:ilvl w:val="0"/>
                <w:numId w:val="20"/>
              </w:numPr>
              <w:rPr>
                <w:sz w:val="19"/>
                <w:szCs w:val="19"/>
              </w:rPr>
            </w:pPr>
            <w:r w:rsidRPr="00EA0065">
              <w:rPr>
                <w:sz w:val="19"/>
                <w:szCs w:val="19"/>
              </w:rPr>
              <w:lastRenderedPageBreak/>
              <w:t xml:space="preserve">Environmental releases were made between airspace operations. No BMF ‘initial use’ due to wetter conditions in June and July before environmental deliveries commenced. Wetter winter conditions and high portfolio availability enabled the large fresh to be commenced in July. Late in the water year MDBA RMO reported that flow rates through the Barmah-Choke were likely to alter (i.e. reduce) due to changes in geomorphology as a result of flooding. Note: as in previous years, the planned flow target of 18,000 ML/d </w:t>
            </w:r>
            <w:r w:rsidR="009B34FC">
              <w:rPr>
                <w:sz w:val="19"/>
                <w:szCs w:val="19"/>
              </w:rPr>
              <w:t>downstream of</w:t>
            </w:r>
            <w:r w:rsidRPr="00EA0065">
              <w:rPr>
                <w:sz w:val="19"/>
                <w:szCs w:val="19"/>
              </w:rPr>
              <w:t xml:space="preserve"> Yarrawonga could not be delivered due to Bullatale Creek community concerns.</w:t>
            </w:r>
          </w:p>
          <w:p w14:paraId="7A0727F5" w14:textId="77777777" w:rsidR="00E074AE" w:rsidRPr="00EA0065" w:rsidRDefault="00E074AE" w:rsidP="00E074AE">
            <w:pPr>
              <w:rPr>
                <w:b/>
                <w:bCs/>
                <w:i/>
                <w:iCs/>
                <w:sz w:val="19"/>
                <w:szCs w:val="19"/>
              </w:rPr>
            </w:pPr>
            <w:r>
              <w:rPr>
                <w:b/>
                <w:bCs/>
                <w:i/>
                <w:iCs/>
                <w:sz w:val="19"/>
                <w:szCs w:val="19"/>
              </w:rPr>
              <w:t>In-channel managed deliveries</w:t>
            </w:r>
          </w:p>
          <w:p w14:paraId="7F94EA12" w14:textId="77777777" w:rsidR="00E074AE" w:rsidRPr="00EA0065" w:rsidRDefault="00E074AE" w:rsidP="00E074AE">
            <w:pPr>
              <w:pStyle w:val="ListParagraph"/>
              <w:numPr>
                <w:ilvl w:val="0"/>
                <w:numId w:val="20"/>
              </w:numPr>
              <w:rPr>
                <w:sz w:val="19"/>
                <w:szCs w:val="19"/>
              </w:rPr>
            </w:pPr>
            <w:r w:rsidRPr="00EA0065">
              <w:rPr>
                <w:sz w:val="19"/>
                <w:szCs w:val="19"/>
              </w:rPr>
              <w:t>Expected outcomes: Support colonial waterbird breeding in Boals Deadwoods (Barmah Forest); Support waterbird breeding in the Gulpa wetlands complex (Millewa Forest); Provide cues to native fish—Fish Exit Strategy—to support fish departure from the forest once all forest regulators are closed.</w:t>
            </w:r>
          </w:p>
          <w:p w14:paraId="0EE4AF5A" w14:textId="12FB9A35" w:rsidR="00E074AE" w:rsidRPr="000930A4" w:rsidRDefault="00E074AE" w:rsidP="00E074AE">
            <w:pPr>
              <w:pStyle w:val="ListParagraph"/>
              <w:numPr>
                <w:ilvl w:val="0"/>
                <w:numId w:val="20"/>
              </w:numPr>
              <w:rPr>
                <w:sz w:val="19"/>
                <w:szCs w:val="19"/>
              </w:rPr>
            </w:pPr>
            <w:r w:rsidRPr="000930A4">
              <w:rPr>
                <w:sz w:val="19"/>
                <w:szCs w:val="19"/>
              </w:rPr>
              <w:t>Environmental water deliveries recommenced in late December 2022 to support colonial waterbird breeding in Boals Deadwoods (Barmah Forest) and in the Reed Bed wetlands (Millewa Forest) (~115</w:t>
            </w:r>
            <w:r>
              <w:rPr>
                <w:sz w:val="19"/>
                <w:szCs w:val="19"/>
              </w:rPr>
              <w:t xml:space="preserve"> </w:t>
            </w:r>
            <w:r w:rsidRPr="000930A4">
              <w:rPr>
                <w:sz w:val="19"/>
                <w:szCs w:val="19"/>
              </w:rPr>
              <w:t>GL, 39 days). Once again environmental water deliveries were interrupted due to pre-releases. Delivery recommenced in early February to provide cues to for native fish to leave the Barmah Millewa Forest (BMF) once all forest river regulators were closed (~8</w:t>
            </w:r>
            <w:r>
              <w:rPr>
                <w:sz w:val="19"/>
                <w:szCs w:val="19"/>
              </w:rPr>
              <w:t xml:space="preserve"> </w:t>
            </w:r>
            <w:r w:rsidRPr="000930A4">
              <w:rPr>
                <w:sz w:val="19"/>
                <w:szCs w:val="19"/>
              </w:rPr>
              <w:t xml:space="preserve">GL, 12 days). BMF regulators were opened at the beginning of the water year with regulators on both side of the forest remaining open </w:t>
            </w:r>
            <w:r w:rsidR="00167193">
              <w:rPr>
                <w:sz w:val="19"/>
                <w:szCs w:val="19"/>
              </w:rPr>
              <w:t>until</w:t>
            </w:r>
            <w:r w:rsidR="00167193" w:rsidRPr="000930A4">
              <w:rPr>
                <w:sz w:val="19"/>
                <w:szCs w:val="19"/>
              </w:rPr>
              <w:t xml:space="preserve"> </w:t>
            </w:r>
            <w:r w:rsidRPr="000930A4">
              <w:rPr>
                <w:sz w:val="19"/>
                <w:szCs w:val="19"/>
              </w:rPr>
              <w:t xml:space="preserve">17 February 2023. </w:t>
            </w:r>
          </w:p>
          <w:p w14:paraId="7627B814" w14:textId="77777777" w:rsidR="00E074AE" w:rsidRPr="00EA0065" w:rsidRDefault="00E074AE" w:rsidP="00E074AE">
            <w:pPr>
              <w:pStyle w:val="ListParagraph"/>
              <w:numPr>
                <w:ilvl w:val="0"/>
                <w:numId w:val="20"/>
              </w:numPr>
              <w:rPr>
                <w:sz w:val="19"/>
                <w:szCs w:val="19"/>
              </w:rPr>
            </w:pPr>
            <w:r w:rsidRPr="00EA0065">
              <w:rPr>
                <w:sz w:val="19"/>
                <w:szCs w:val="19"/>
              </w:rPr>
              <w:t>Environmental water was made available for use when airspace operations ceased as part of a ‘managed recession’ strategy to avoid a ‘cliff-drop’ hydrograph. See discussion below for detail.</w:t>
            </w:r>
            <w:r>
              <w:rPr>
                <w:sz w:val="19"/>
                <w:szCs w:val="19"/>
              </w:rPr>
              <w:t xml:space="preserve"> </w:t>
            </w:r>
            <w:r w:rsidRPr="00EA0065">
              <w:rPr>
                <w:sz w:val="19"/>
                <w:szCs w:val="19"/>
              </w:rPr>
              <w:t>Environmental water releases were not continuous during these dates due to interruptions from pre-releases.</w:t>
            </w:r>
          </w:p>
        </w:tc>
        <w:tc>
          <w:tcPr>
            <w:tcW w:w="479" w:type="pct"/>
          </w:tcPr>
          <w:p w14:paraId="6CCDD3CB" w14:textId="77777777" w:rsidR="00E074AE" w:rsidRPr="0035226C" w:rsidRDefault="00E074AE" w:rsidP="00E074AE">
            <w:pPr>
              <w:contextualSpacing/>
              <w:rPr>
                <w:sz w:val="19"/>
                <w:szCs w:val="19"/>
                <w:highlight w:val="yellow"/>
              </w:rPr>
            </w:pPr>
            <w:r w:rsidRPr="00EA0065">
              <w:rPr>
                <w:sz w:val="19"/>
                <w:szCs w:val="19"/>
              </w:rPr>
              <w:lastRenderedPageBreak/>
              <w:t>CEW, TLM, MAA, VEWH</w:t>
            </w:r>
            <w:r>
              <w:rPr>
                <w:sz w:val="19"/>
                <w:szCs w:val="19"/>
              </w:rPr>
              <w:t xml:space="preserve"> and</w:t>
            </w:r>
            <w:r w:rsidRPr="00EA0065">
              <w:rPr>
                <w:sz w:val="19"/>
                <w:szCs w:val="19"/>
              </w:rPr>
              <w:t xml:space="preserve"> RMIF</w:t>
            </w:r>
          </w:p>
        </w:tc>
      </w:tr>
      <w:tr w:rsidR="00D50566" w:rsidRPr="001E3845" w14:paraId="34B814E4" w14:textId="77777777" w:rsidTr="0084137B">
        <w:trPr>
          <w:trHeight w:val="397"/>
        </w:trPr>
        <w:tc>
          <w:tcPr>
            <w:tcW w:w="405" w:type="pct"/>
            <w:tcBorders>
              <w:top w:val="nil"/>
              <w:left w:val="single" w:sz="4" w:space="0" w:color="auto"/>
              <w:bottom w:val="nil"/>
              <w:right w:val="single" w:sz="4" w:space="0" w:color="auto"/>
            </w:tcBorders>
          </w:tcPr>
          <w:p w14:paraId="3A99CD44" w14:textId="6BC603A2" w:rsidR="00D50566" w:rsidRPr="00916618" w:rsidRDefault="00D50566" w:rsidP="00E074AE">
            <w:pPr>
              <w:contextualSpacing/>
              <w:rPr>
                <w:sz w:val="19"/>
                <w:szCs w:val="19"/>
              </w:rPr>
            </w:pPr>
          </w:p>
        </w:tc>
        <w:tc>
          <w:tcPr>
            <w:tcW w:w="660" w:type="pct"/>
            <w:tcBorders>
              <w:left w:val="single" w:sz="4" w:space="0" w:color="auto"/>
            </w:tcBorders>
          </w:tcPr>
          <w:p w14:paraId="1B81FED3" w14:textId="7740526C" w:rsidR="00D50566" w:rsidRPr="001E3845" w:rsidRDefault="00D50566" w:rsidP="00E074AE">
            <w:pPr>
              <w:rPr>
                <w:b/>
                <w:bCs/>
                <w:i/>
                <w:iCs/>
                <w:sz w:val="19"/>
                <w:szCs w:val="19"/>
              </w:rPr>
            </w:pPr>
            <w:r w:rsidRPr="00916618">
              <w:t xml:space="preserve">Goulburn winter </w:t>
            </w:r>
            <w:r>
              <w:t xml:space="preserve">fresh </w:t>
            </w:r>
            <w:r w:rsidRPr="00916618">
              <w:t xml:space="preserve">and </w:t>
            </w:r>
            <w:r>
              <w:t>s</w:t>
            </w:r>
            <w:r w:rsidRPr="00916618">
              <w:t>pring</w:t>
            </w:r>
            <w:r>
              <w:t>–</w:t>
            </w:r>
            <w:r w:rsidRPr="00916618">
              <w:t>winter low flows</w:t>
            </w:r>
          </w:p>
        </w:tc>
        <w:tc>
          <w:tcPr>
            <w:tcW w:w="3456" w:type="pct"/>
          </w:tcPr>
          <w:p w14:paraId="39648AA9" w14:textId="3E454E26" w:rsidR="00D50566" w:rsidRPr="001E3845" w:rsidRDefault="00D50566" w:rsidP="00E074AE">
            <w:pPr>
              <w:rPr>
                <w:b/>
                <w:bCs/>
                <w:i/>
                <w:iCs/>
                <w:sz w:val="19"/>
                <w:szCs w:val="19"/>
              </w:rPr>
            </w:pPr>
            <w:r w:rsidRPr="001E3845">
              <w:rPr>
                <w:b/>
                <w:bCs/>
                <w:i/>
                <w:iCs/>
                <w:sz w:val="19"/>
                <w:szCs w:val="19"/>
              </w:rPr>
              <w:t>Winter fresh</w:t>
            </w:r>
          </w:p>
          <w:p w14:paraId="612850E1" w14:textId="77777777" w:rsidR="00D50566" w:rsidRPr="001E3845" w:rsidRDefault="00D50566" w:rsidP="00E074AE">
            <w:pPr>
              <w:pStyle w:val="ListParagraph"/>
              <w:numPr>
                <w:ilvl w:val="0"/>
                <w:numId w:val="20"/>
              </w:numPr>
              <w:rPr>
                <w:sz w:val="19"/>
                <w:szCs w:val="19"/>
              </w:rPr>
            </w:pPr>
            <w:r w:rsidRPr="001E3845">
              <w:rPr>
                <w:sz w:val="19"/>
                <w:szCs w:val="19"/>
              </w:rPr>
              <w:t xml:space="preserve">Primary expected outcomes: Encourage the establishment of stream bank and in-channel vegetation by supporting the recruitment of aquatic and riparian vegetation to improve stream bank stability; Support native fish by providing suitable habitat and food resources during the year for supporting recruitment success;  Maintain water quality and suitable habitat to support native fish survival and condition and macroinvertebrate abundance and diversity (through </w:t>
            </w:r>
            <w:r w:rsidRPr="001E3845">
              <w:rPr>
                <w:sz w:val="19"/>
                <w:szCs w:val="19"/>
              </w:rPr>
              <w:lastRenderedPageBreak/>
              <w:t>submergence of snags, increasing the availability of slack and deep-water habitat and encouraging aquatic vegetation and planktonic production for food). Secondary expected outcomes: Support longitudinal connectivity along Victorian rivers and to the River Murray for environmental functions such as nutrient and sediment transport, organism dispersal and water quality.</w:t>
            </w:r>
          </w:p>
          <w:p w14:paraId="62B3BF9F" w14:textId="0191D5F2" w:rsidR="00D50566" w:rsidRDefault="00D50566" w:rsidP="00E074AE">
            <w:pPr>
              <w:pStyle w:val="ListParagraph"/>
              <w:numPr>
                <w:ilvl w:val="0"/>
                <w:numId w:val="20"/>
              </w:numPr>
              <w:rPr>
                <w:sz w:val="19"/>
                <w:szCs w:val="19"/>
              </w:rPr>
            </w:pPr>
            <w:r w:rsidRPr="001E3845">
              <w:rPr>
                <w:sz w:val="19"/>
                <w:szCs w:val="19"/>
              </w:rPr>
              <w:t xml:space="preserve">A winter fresh was delivered from the 22 July to the 22 August 2022 with CEW, TLM water and other flows. Tributary inflows were intended to be used to reach the peak flow rate, however due to dry conditions in July, Lake Eildon was the main water source (with releases peaking at 7,700 </w:t>
            </w:r>
            <w:r w:rsidR="00167193">
              <w:rPr>
                <w:sz w:val="19"/>
                <w:szCs w:val="19"/>
              </w:rPr>
              <w:t>ML/d</w:t>
            </w:r>
            <w:r w:rsidRPr="001E3845">
              <w:rPr>
                <w:sz w:val="19"/>
                <w:szCs w:val="19"/>
              </w:rPr>
              <w:t xml:space="preserve">). The maximum flow rate at McCoy’s Bridge was approximately 8,700 </w:t>
            </w:r>
            <w:r w:rsidR="00167193">
              <w:rPr>
                <w:sz w:val="19"/>
                <w:szCs w:val="19"/>
              </w:rPr>
              <w:t>ML/d</w:t>
            </w:r>
            <w:r w:rsidRPr="001E3845">
              <w:rPr>
                <w:sz w:val="19"/>
                <w:szCs w:val="19"/>
              </w:rPr>
              <w:t xml:space="preserve">. There were also minor (200-300 </w:t>
            </w:r>
            <w:r w:rsidR="00167193">
              <w:rPr>
                <w:sz w:val="19"/>
                <w:szCs w:val="19"/>
              </w:rPr>
              <w:t>ML/d</w:t>
            </w:r>
            <w:r w:rsidRPr="001E3845">
              <w:rPr>
                <w:sz w:val="19"/>
                <w:szCs w:val="19"/>
              </w:rPr>
              <w:t xml:space="preserve">) tributary contributions in the lower Goulburn from Seven Creeks and the Broken River. </w:t>
            </w:r>
          </w:p>
          <w:p w14:paraId="24CB2894" w14:textId="77777777" w:rsidR="00D50566" w:rsidRPr="001E3845" w:rsidRDefault="00D50566" w:rsidP="00E074AE">
            <w:pPr>
              <w:pStyle w:val="ListParagraph"/>
              <w:numPr>
                <w:ilvl w:val="0"/>
                <w:numId w:val="20"/>
              </w:numPr>
              <w:rPr>
                <w:sz w:val="19"/>
                <w:szCs w:val="19"/>
              </w:rPr>
            </w:pPr>
            <w:r w:rsidRPr="001E3845">
              <w:rPr>
                <w:sz w:val="19"/>
                <w:szCs w:val="19"/>
              </w:rPr>
              <w:t>Following the winter fresh variable baseflows were delivered using tributary flows to reach flow targets downstream of Goulburn Weir.</w:t>
            </w:r>
          </w:p>
          <w:p w14:paraId="20E08C3C" w14:textId="3D7E1265" w:rsidR="00D50566" w:rsidRPr="001E3845" w:rsidRDefault="00D50566" w:rsidP="00E074AE">
            <w:pPr>
              <w:pStyle w:val="ListParagraph"/>
              <w:numPr>
                <w:ilvl w:val="0"/>
                <w:numId w:val="20"/>
              </w:numPr>
              <w:rPr>
                <w:sz w:val="19"/>
                <w:szCs w:val="19"/>
              </w:rPr>
            </w:pPr>
            <w:r w:rsidRPr="001E3845">
              <w:rPr>
                <w:sz w:val="19"/>
                <w:szCs w:val="19"/>
              </w:rPr>
              <w:t>From September until mid-December very high natural flows were observed, with a peak of over 80,000</w:t>
            </w:r>
            <w:r w:rsidR="00167193">
              <w:rPr>
                <w:sz w:val="19"/>
                <w:szCs w:val="19"/>
              </w:rPr>
              <w:t xml:space="preserve"> </w:t>
            </w:r>
            <w:r w:rsidRPr="001E3845">
              <w:rPr>
                <w:sz w:val="19"/>
                <w:szCs w:val="19"/>
              </w:rPr>
              <w:t>ML/d at McCoy’s Bridge in October. These unregulated spring flows provided several freshes that were substantially larger than what is possible through environmental water deliveries. Flows met and well exceeded the early spring fresh targets (10,500</w:t>
            </w:r>
            <w:r w:rsidR="00167193">
              <w:rPr>
                <w:sz w:val="19"/>
                <w:szCs w:val="19"/>
              </w:rPr>
              <w:t xml:space="preserve"> ML/d</w:t>
            </w:r>
            <w:r w:rsidRPr="001E3845">
              <w:rPr>
                <w:sz w:val="19"/>
                <w:szCs w:val="19"/>
              </w:rPr>
              <w:t xml:space="preserve"> for 7 days), and late spring fresh targets (up to 7,500</w:t>
            </w:r>
            <w:r w:rsidR="00167193">
              <w:rPr>
                <w:sz w:val="19"/>
                <w:szCs w:val="19"/>
              </w:rPr>
              <w:t xml:space="preserve"> ML/d</w:t>
            </w:r>
            <w:r w:rsidRPr="001E3845">
              <w:rPr>
                <w:sz w:val="19"/>
                <w:szCs w:val="19"/>
              </w:rPr>
              <w:t xml:space="preserve"> for 2 days). Record rainfall and river flows resulted in low demand for IVT delivery and environmental water was used to meet watering actions over summer and autumn.</w:t>
            </w:r>
          </w:p>
          <w:p w14:paraId="6170A4CC" w14:textId="2428D6FD" w:rsidR="00D50566" w:rsidRPr="001E3845" w:rsidRDefault="00D50566" w:rsidP="00E074AE">
            <w:pPr>
              <w:pStyle w:val="ListParagraph"/>
              <w:numPr>
                <w:ilvl w:val="0"/>
                <w:numId w:val="20"/>
              </w:numPr>
              <w:rPr>
                <w:sz w:val="19"/>
                <w:szCs w:val="19"/>
              </w:rPr>
            </w:pPr>
            <w:r w:rsidRPr="001E3845">
              <w:rPr>
                <w:sz w:val="19"/>
                <w:szCs w:val="19"/>
              </w:rPr>
              <w:t>Following the delivery of the planned winter fresh natural flows achieved a second, smaller winter fresh with a peak of 4,684 ML</w:t>
            </w:r>
            <w:r w:rsidR="00167193">
              <w:rPr>
                <w:sz w:val="19"/>
                <w:szCs w:val="19"/>
              </w:rPr>
              <w:t>/</w:t>
            </w:r>
            <w:r w:rsidRPr="001E3845">
              <w:rPr>
                <w:sz w:val="19"/>
                <w:szCs w:val="19"/>
              </w:rPr>
              <w:t>d on 9 Aug 2021 at Murchison and 6,001 on 11 Aug at McCoys Bridge. The average flow at Murchison was 2,977 ML/d and McCoys 4,242 ML/d. This natural flow met the target of delivering variable flows over winter and the ecological outcomes were likely met.</w:t>
            </w:r>
          </w:p>
          <w:p w14:paraId="396F1F7E" w14:textId="77777777" w:rsidR="00D50566" w:rsidRPr="001E3845" w:rsidRDefault="00D50566" w:rsidP="00E074AE">
            <w:pPr>
              <w:rPr>
                <w:b/>
                <w:bCs/>
                <w:i/>
                <w:iCs/>
                <w:sz w:val="19"/>
                <w:szCs w:val="19"/>
              </w:rPr>
            </w:pPr>
            <w:r w:rsidRPr="001E3845">
              <w:rPr>
                <w:b/>
                <w:bCs/>
                <w:i/>
                <w:iCs/>
                <w:sz w:val="19"/>
                <w:szCs w:val="19"/>
              </w:rPr>
              <w:t>Spring/autumn/winter low flows</w:t>
            </w:r>
          </w:p>
          <w:p w14:paraId="77180880" w14:textId="77777777" w:rsidR="00D50566" w:rsidRPr="001E3845" w:rsidRDefault="00D50566" w:rsidP="00E074AE">
            <w:pPr>
              <w:pStyle w:val="ListParagraph"/>
              <w:numPr>
                <w:ilvl w:val="0"/>
                <w:numId w:val="20"/>
              </w:numPr>
              <w:rPr>
                <w:sz w:val="19"/>
                <w:szCs w:val="19"/>
              </w:rPr>
            </w:pPr>
            <w:r w:rsidRPr="001E3845">
              <w:rPr>
                <w:sz w:val="19"/>
                <w:szCs w:val="19"/>
              </w:rPr>
              <w:t xml:space="preserve">Provide cues to Platypus to build their nests higher on the bank to prevent later flooding; Encourage the establishment of stream bank and in-channel vegetation by supporting the recruitment of aquatic and riparian vegetation to improve stream bank stability. Secondary expected outcomes: Disrupt biofilms, move fine sediment and entrain organic matter in-stream </w:t>
            </w:r>
            <w:r w:rsidRPr="001E3845">
              <w:rPr>
                <w:sz w:val="19"/>
                <w:szCs w:val="19"/>
              </w:rPr>
              <w:lastRenderedPageBreak/>
              <w:t>to support ecosystem function. Support longitudinal connectivity along Victorian rivers and to the River Murray for environmental functions such as nutrient and sediment transport, organism dispersal and water quality.</w:t>
            </w:r>
          </w:p>
          <w:p w14:paraId="700B0DA2" w14:textId="77777777" w:rsidR="00D50566" w:rsidRPr="001E3845" w:rsidRDefault="00D50566" w:rsidP="00E074AE">
            <w:pPr>
              <w:pStyle w:val="ListParagraph"/>
              <w:numPr>
                <w:ilvl w:val="0"/>
                <w:numId w:val="20"/>
              </w:numPr>
              <w:rPr>
                <w:sz w:val="19"/>
                <w:szCs w:val="19"/>
              </w:rPr>
            </w:pPr>
            <w:r w:rsidRPr="001E3845">
              <w:rPr>
                <w:sz w:val="19"/>
                <w:szCs w:val="19"/>
              </w:rPr>
              <w:t xml:space="preserve">Following floodplain inundation and the slow recession leading into summer, Goulburn Water Quality Reserve (WQR) was used from early December to provide refuge habitat from potential hypoxic conditions in the lower Goulburn River. Water was delivered through irrigation outfalls to provide discrete refuge. </w:t>
            </w:r>
          </w:p>
          <w:p w14:paraId="7316F8DC" w14:textId="37A92ACC" w:rsidR="00D50566" w:rsidRPr="001E3845" w:rsidRDefault="00D50566" w:rsidP="00E074AE">
            <w:pPr>
              <w:pStyle w:val="ListParagraph"/>
              <w:numPr>
                <w:ilvl w:val="0"/>
                <w:numId w:val="20"/>
              </w:numPr>
              <w:rPr>
                <w:sz w:val="19"/>
                <w:szCs w:val="19"/>
              </w:rPr>
            </w:pPr>
            <w:r w:rsidRPr="001E3845">
              <w:rPr>
                <w:sz w:val="19"/>
                <w:szCs w:val="19"/>
              </w:rPr>
              <w:t xml:space="preserve">From early January 2023, this water was switched from WQR to environmental water. The use of environmental water for this purpose is considered delivery of baseflows and was included in the total order for Goulburn River baseflows. A maximum of 100 </w:t>
            </w:r>
            <w:r w:rsidR="00167193">
              <w:rPr>
                <w:sz w:val="19"/>
                <w:szCs w:val="19"/>
              </w:rPr>
              <w:t>ML/d</w:t>
            </w:r>
            <w:r w:rsidRPr="001E3845">
              <w:rPr>
                <w:sz w:val="19"/>
                <w:szCs w:val="19"/>
              </w:rPr>
              <w:t xml:space="preserve"> can be delivered through irrigation outfalls.</w:t>
            </w:r>
          </w:p>
          <w:p w14:paraId="5355F73F" w14:textId="77777777" w:rsidR="00D50566" w:rsidRPr="001E3845" w:rsidRDefault="00D50566" w:rsidP="00E074AE">
            <w:pPr>
              <w:pStyle w:val="ListParagraph"/>
              <w:numPr>
                <w:ilvl w:val="0"/>
                <w:numId w:val="20"/>
              </w:numPr>
              <w:rPr>
                <w:sz w:val="19"/>
                <w:szCs w:val="19"/>
              </w:rPr>
            </w:pPr>
            <w:r w:rsidRPr="001E3845">
              <w:rPr>
                <w:sz w:val="19"/>
                <w:szCs w:val="19"/>
              </w:rPr>
              <w:t>Variable baseflow deliveries targeting 700–1,000 ML/d resumed on 6 January 2023 after the high unregulated flows in Spring. CEW and TLM environmental water were delivered alongside other flows to target this variable flow rate.</w:t>
            </w:r>
          </w:p>
          <w:p w14:paraId="23FB184F" w14:textId="77777777" w:rsidR="00D50566" w:rsidRPr="001E3845" w:rsidRDefault="00D50566" w:rsidP="00E074AE">
            <w:pPr>
              <w:pStyle w:val="ListParagraph"/>
              <w:numPr>
                <w:ilvl w:val="0"/>
                <w:numId w:val="20"/>
              </w:numPr>
              <w:rPr>
                <w:sz w:val="19"/>
                <w:szCs w:val="19"/>
              </w:rPr>
            </w:pPr>
            <w:r w:rsidRPr="001E3845">
              <w:rPr>
                <w:sz w:val="19"/>
                <w:szCs w:val="19"/>
              </w:rPr>
              <w:t>An Autumn fresh was planned March/April 2023 to attract golden and silver perch into the river. This was not delivered due to concerns from multiple stakeholders that the fresh may lead to adverse outcomes, in particular movement of large numbers of carp into the Goulburn River and damage to late littoral vegetation germination. Scientists advised that many of the ecological outcomes usually targeted for vegetation, fish and instream condition had already been met by natural flows.</w:t>
            </w:r>
          </w:p>
          <w:p w14:paraId="72E0622B" w14:textId="77777777" w:rsidR="00D50566" w:rsidRPr="001E3845" w:rsidRDefault="00D50566" w:rsidP="00E074AE">
            <w:pPr>
              <w:pStyle w:val="ListParagraph"/>
              <w:numPr>
                <w:ilvl w:val="0"/>
                <w:numId w:val="20"/>
              </w:numPr>
              <w:rPr>
                <w:sz w:val="19"/>
                <w:szCs w:val="19"/>
              </w:rPr>
            </w:pPr>
            <w:r w:rsidRPr="001E3845">
              <w:rPr>
                <w:sz w:val="19"/>
                <w:szCs w:val="19"/>
              </w:rPr>
              <w:t>After the cancellation of the Autumn fresh, an IVT pulse with a peak flow of 2,939 ML/d was delivered in Autumn 2023 from the 22 March to 5 April 2023.</w:t>
            </w:r>
          </w:p>
          <w:p w14:paraId="2522F2CD" w14:textId="77777777" w:rsidR="00D50566" w:rsidRPr="001E3845" w:rsidRDefault="00D50566" w:rsidP="00E074AE">
            <w:pPr>
              <w:pStyle w:val="ListParagraph"/>
              <w:numPr>
                <w:ilvl w:val="0"/>
                <w:numId w:val="20"/>
              </w:numPr>
              <w:rPr>
                <w:sz w:val="19"/>
                <w:szCs w:val="19"/>
              </w:rPr>
            </w:pPr>
            <w:r w:rsidRPr="001E3845">
              <w:rPr>
                <w:sz w:val="19"/>
                <w:szCs w:val="19"/>
              </w:rPr>
              <w:t xml:space="preserve">The short IVT pulse did not appear to have any adverse outcomes on vegetation. </w:t>
            </w:r>
          </w:p>
          <w:p w14:paraId="48C95A98" w14:textId="77777777" w:rsidR="00D50566" w:rsidRPr="001E3845" w:rsidRDefault="00D50566" w:rsidP="00E074AE">
            <w:pPr>
              <w:pStyle w:val="ListParagraph"/>
              <w:numPr>
                <w:ilvl w:val="0"/>
                <w:numId w:val="20"/>
              </w:numPr>
              <w:rPr>
                <w:sz w:val="19"/>
                <w:szCs w:val="19"/>
              </w:rPr>
            </w:pPr>
            <w:r w:rsidRPr="001E3845">
              <w:rPr>
                <w:sz w:val="19"/>
                <w:szCs w:val="19"/>
              </w:rPr>
              <w:t xml:space="preserve">Following the IVT pulse, VEWH environmental water was used to deliver baseflows targeting 700 ML/d to 1000 ML/d from 11 May to 4 June 2023. CEW was then delivered to meet baseflow targets from 5–12 June. From 12 June high natural flows came through the system and environmental water delivery deliveries were paused. </w:t>
            </w:r>
          </w:p>
        </w:tc>
        <w:tc>
          <w:tcPr>
            <w:tcW w:w="479" w:type="pct"/>
          </w:tcPr>
          <w:p w14:paraId="6FA554EE" w14:textId="77777777" w:rsidR="00D50566" w:rsidRPr="001E3845" w:rsidRDefault="00D50566" w:rsidP="00E074AE">
            <w:pPr>
              <w:contextualSpacing/>
              <w:rPr>
                <w:sz w:val="19"/>
                <w:szCs w:val="19"/>
              </w:rPr>
            </w:pPr>
            <w:r w:rsidRPr="001E3845">
              <w:rPr>
                <w:sz w:val="19"/>
                <w:szCs w:val="19"/>
              </w:rPr>
              <w:lastRenderedPageBreak/>
              <w:t>CEW, TLM</w:t>
            </w:r>
            <w:r>
              <w:rPr>
                <w:sz w:val="19"/>
                <w:szCs w:val="19"/>
              </w:rPr>
              <w:t>, VEWH</w:t>
            </w:r>
          </w:p>
        </w:tc>
      </w:tr>
      <w:tr w:rsidR="00D50566" w:rsidRPr="00375E87" w14:paraId="5D631BB1" w14:textId="77777777" w:rsidTr="0084137B">
        <w:trPr>
          <w:trHeight w:val="397"/>
        </w:trPr>
        <w:tc>
          <w:tcPr>
            <w:tcW w:w="405" w:type="pct"/>
            <w:tcBorders>
              <w:top w:val="nil"/>
              <w:left w:val="single" w:sz="4" w:space="0" w:color="auto"/>
              <w:bottom w:val="single" w:sz="4" w:space="0" w:color="auto"/>
              <w:right w:val="single" w:sz="4" w:space="0" w:color="auto"/>
            </w:tcBorders>
          </w:tcPr>
          <w:p w14:paraId="15062DFF" w14:textId="268642B5" w:rsidR="00D50566" w:rsidRPr="002D3513" w:rsidRDefault="00D50566" w:rsidP="00E074AE">
            <w:pPr>
              <w:contextualSpacing/>
            </w:pPr>
          </w:p>
        </w:tc>
        <w:tc>
          <w:tcPr>
            <w:tcW w:w="660" w:type="pct"/>
            <w:tcBorders>
              <w:left w:val="single" w:sz="4" w:space="0" w:color="auto"/>
            </w:tcBorders>
          </w:tcPr>
          <w:p w14:paraId="22F0B006" w14:textId="79A6F78F" w:rsidR="00D50566" w:rsidRPr="002D3513" w:rsidRDefault="00D50566" w:rsidP="00E074AE">
            <w:pPr>
              <w:rPr>
                <w:b/>
                <w:bCs/>
                <w:i/>
                <w:iCs/>
                <w:sz w:val="19"/>
                <w:szCs w:val="19"/>
              </w:rPr>
            </w:pPr>
            <w:r w:rsidRPr="002D3513">
              <w:t xml:space="preserve">Lower Darling/Baaka </w:t>
            </w:r>
            <w:r w:rsidRPr="002D3513">
              <w:lastRenderedPageBreak/>
              <w:t>&amp; Great Darling Anabranch</w:t>
            </w:r>
          </w:p>
        </w:tc>
        <w:tc>
          <w:tcPr>
            <w:tcW w:w="3456" w:type="pct"/>
          </w:tcPr>
          <w:p w14:paraId="291F47D6" w14:textId="71EECF56" w:rsidR="00D50566" w:rsidRPr="002D3513" w:rsidRDefault="00D50566" w:rsidP="00E074AE">
            <w:pPr>
              <w:rPr>
                <w:b/>
                <w:bCs/>
                <w:i/>
                <w:iCs/>
                <w:sz w:val="19"/>
                <w:szCs w:val="19"/>
              </w:rPr>
            </w:pPr>
            <w:r w:rsidRPr="002D3513">
              <w:rPr>
                <w:b/>
                <w:bCs/>
                <w:i/>
                <w:iCs/>
                <w:sz w:val="19"/>
                <w:szCs w:val="19"/>
              </w:rPr>
              <w:lastRenderedPageBreak/>
              <w:t>Lower Darling/Baaka channel baseflows</w:t>
            </w:r>
          </w:p>
          <w:p w14:paraId="30139910" w14:textId="77777777" w:rsidR="00D50566" w:rsidRPr="002D3513" w:rsidRDefault="00D50566" w:rsidP="00E074AE">
            <w:pPr>
              <w:pStyle w:val="ListParagraph"/>
              <w:numPr>
                <w:ilvl w:val="0"/>
                <w:numId w:val="21"/>
              </w:numPr>
              <w:rPr>
                <w:sz w:val="19"/>
                <w:szCs w:val="19"/>
              </w:rPr>
            </w:pPr>
            <w:r w:rsidRPr="002D3513">
              <w:rPr>
                <w:sz w:val="19"/>
                <w:szCs w:val="19"/>
              </w:rPr>
              <w:t xml:space="preserve">Expected outcomes: Support native fish in the lower Darling/Baaka during the autumn 2023 fish deaths event, by contributing to the maintenance of critical habitat, water quality and the </w:t>
            </w:r>
            <w:r w:rsidRPr="002D3513">
              <w:rPr>
                <w:sz w:val="19"/>
                <w:szCs w:val="19"/>
              </w:rPr>
              <w:lastRenderedPageBreak/>
              <w:t>provision of localised refuge site from hypoxic water (primary outcome); Support surviving native fish, by providing additional habitat and food resources for mature and juvenile fish; Facilitate continued movement and dispersal of golden perch and other native fish within the lower Darling/Baaka; Contribute to mobilisation and transport of nutrients, carbon cycling and biotic dispersal; Extend post-flood inundation of riparian and low-lying wetland vegetation; Contribute to providing feeding habitat for water-dependent bird species.</w:t>
            </w:r>
          </w:p>
          <w:p w14:paraId="7AE3B6C0" w14:textId="77777777" w:rsidR="00D50566" w:rsidRPr="002D3513" w:rsidRDefault="00D50566" w:rsidP="00E074AE">
            <w:pPr>
              <w:pStyle w:val="ListParagraph"/>
              <w:numPr>
                <w:ilvl w:val="0"/>
                <w:numId w:val="21"/>
              </w:numPr>
              <w:rPr>
                <w:sz w:val="19"/>
                <w:szCs w:val="19"/>
              </w:rPr>
            </w:pPr>
            <w:r w:rsidRPr="002D3513">
              <w:rPr>
                <w:sz w:val="19"/>
                <w:szCs w:val="19"/>
              </w:rPr>
              <w:t>Following an extended period of flooding, a hypoxic event commenced in the lower Darling/Baaka river in February 2023, primarily in the 30km reach immediately downstream of Lakes Pamamaroo and Wetherell at Menindee.</w:t>
            </w:r>
          </w:p>
          <w:p w14:paraId="0CE6EFF2" w14:textId="77777777" w:rsidR="00D50566" w:rsidRPr="002D3513" w:rsidRDefault="00D50566" w:rsidP="00E074AE">
            <w:pPr>
              <w:pStyle w:val="ListParagraph"/>
              <w:numPr>
                <w:ilvl w:val="0"/>
                <w:numId w:val="21"/>
              </w:numPr>
              <w:rPr>
                <w:sz w:val="19"/>
                <w:szCs w:val="19"/>
              </w:rPr>
            </w:pPr>
            <w:r w:rsidRPr="002D3513">
              <w:rPr>
                <w:sz w:val="19"/>
                <w:szCs w:val="19"/>
              </w:rPr>
              <w:t>30,000 ML of Environmental Water Allowance (EWA) under the NSW Murray Lower-Darling Water Sharing Plan was released from 24 February to 15 March 2023, to provide sufficient flow to maintain dissolved oxygen at levels critical for native fish survival.</w:t>
            </w:r>
          </w:p>
          <w:p w14:paraId="128FC4B3" w14:textId="77777777" w:rsidR="00D50566" w:rsidRPr="002D3513" w:rsidRDefault="00D50566" w:rsidP="00E074AE">
            <w:pPr>
              <w:pStyle w:val="ListParagraph"/>
              <w:numPr>
                <w:ilvl w:val="0"/>
                <w:numId w:val="21"/>
              </w:numPr>
              <w:rPr>
                <w:sz w:val="19"/>
                <w:szCs w:val="19"/>
              </w:rPr>
            </w:pPr>
            <w:r w:rsidRPr="002D3513">
              <w:rPr>
                <w:sz w:val="19"/>
                <w:szCs w:val="19"/>
              </w:rPr>
              <w:t xml:space="preserve">Upon exhaustion of the EWA, a combination of TLM, Commonwealth and NSW held environmental water was used for the remainder of the water year to continue mitigating the risk of further fish deaths. </w:t>
            </w:r>
          </w:p>
          <w:p w14:paraId="3079B9D4" w14:textId="77777777" w:rsidR="00D50566" w:rsidRPr="002D3513" w:rsidRDefault="00D50566" w:rsidP="00E074AE">
            <w:pPr>
              <w:pStyle w:val="ListParagraph"/>
              <w:numPr>
                <w:ilvl w:val="0"/>
                <w:numId w:val="21"/>
              </w:numPr>
              <w:rPr>
                <w:sz w:val="19"/>
                <w:szCs w:val="19"/>
              </w:rPr>
            </w:pPr>
            <w:r w:rsidRPr="002D3513">
              <w:rPr>
                <w:sz w:val="19"/>
                <w:szCs w:val="19"/>
              </w:rPr>
              <w:t>The flow rate of water releases was informed by intensive water quality monitoring, modelling of dissolved oxygen behaviour and expert advice via the NSW-led hypoxic water response group that CEWH staff participated in.</w:t>
            </w:r>
          </w:p>
          <w:p w14:paraId="48DAD9B3" w14:textId="77777777" w:rsidR="00D50566" w:rsidRPr="002D3513" w:rsidRDefault="00D50566" w:rsidP="00E074AE">
            <w:pPr>
              <w:pStyle w:val="ListParagraph"/>
              <w:numPr>
                <w:ilvl w:val="0"/>
                <w:numId w:val="21"/>
              </w:numPr>
              <w:rPr>
                <w:sz w:val="19"/>
                <w:szCs w:val="19"/>
              </w:rPr>
            </w:pPr>
            <w:r w:rsidRPr="002D3513">
              <w:rPr>
                <w:sz w:val="19"/>
                <w:szCs w:val="19"/>
              </w:rPr>
              <w:t>Return flows 83,204 ML CEW (40,322 ML NSW and 42,881 ML Victorian allocation) and 75,356 ML (61,062 ML NSW and 14,294 ML Victorian).</w:t>
            </w:r>
          </w:p>
          <w:p w14:paraId="0EDE8025" w14:textId="77777777" w:rsidR="00D50566" w:rsidRPr="002D3513" w:rsidRDefault="00D50566" w:rsidP="00E074AE">
            <w:pPr>
              <w:rPr>
                <w:b/>
                <w:bCs/>
                <w:i/>
                <w:iCs/>
                <w:sz w:val="19"/>
                <w:szCs w:val="19"/>
              </w:rPr>
            </w:pPr>
            <w:r w:rsidRPr="002D3513">
              <w:rPr>
                <w:b/>
                <w:bCs/>
                <w:i/>
                <w:iCs/>
                <w:sz w:val="19"/>
                <w:szCs w:val="19"/>
              </w:rPr>
              <w:t>Darling Anabranch baseflows</w:t>
            </w:r>
          </w:p>
          <w:p w14:paraId="08E6D64C" w14:textId="77777777" w:rsidR="00D50566" w:rsidRPr="002D3513" w:rsidRDefault="00D50566" w:rsidP="00E074AE">
            <w:pPr>
              <w:pStyle w:val="ListParagraph"/>
              <w:numPr>
                <w:ilvl w:val="0"/>
                <w:numId w:val="21"/>
              </w:numPr>
              <w:rPr>
                <w:sz w:val="19"/>
                <w:szCs w:val="19"/>
              </w:rPr>
            </w:pPr>
            <w:r w:rsidRPr="002D3513">
              <w:rPr>
                <w:sz w:val="19"/>
                <w:szCs w:val="19"/>
              </w:rPr>
              <w:t>Expected outcomes: Facilitate continued dispersal of golden perch along the Great Darling Anabranch to the River Murray post-flood; Support native fish and other aquatic biota by maintaining critical habitat, water quality and localised refuge from potential algae and hypoxic water issues; Support surviving native fish, by providing additional habitat and food resources for mature and juvenile fish; Contribute to mobilisation and transport of nutrients, carbon cycling and biotic dispersal; Extend post-flood inundation of riparian and low-lying wetland vegetation along the Great Darling Anabranch and connected lakes including river red gum, black box, lignum and non-woody vegetation; Contribute to providing feeding habitat for water dependent bird species and adjacent woodland bird communities.</w:t>
            </w:r>
          </w:p>
          <w:p w14:paraId="1AB7E6B2" w14:textId="77777777" w:rsidR="00D50566" w:rsidRPr="002D3513" w:rsidRDefault="00D50566" w:rsidP="00E074AE">
            <w:pPr>
              <w:pStyle w:val="ListParagraph"/>
              <w:numPr>
                <w:ilvl w:val="0"/>
                <w:numId w:val="21"/>
              </w:numPr>
              <w:rPr>
                <w:sz w:val="19"/>
                <w:szCs w:val="19"/>
              </w:rPr>
            </w:pPr>
            <w:r w:rsidRPr="002D3513">
              <w:rPr>
                <w:sz w:val="19"/>
                <w:szCs w:val="19"/>
              </w:rPr>
              <w:lastRenderedPageBreak/>
              <w:t>Following an extended period of flooding, environmental water was used to provide continued connection from Lake Cawndilla through to mid-way down the Anabranch where flows continued to move back into the channel from floodplain lakes for the remainder of the water year.</w:t>
            </w:r>
          </w:p>
          <w:p w14:paraId="1C1A0046" w14:textId="77777777" w:rsidR="00D50566" w:rsidRPr="002D3513" w:rsidRDefault="00D50566" w:rsidP="00E074AE">
            <w:pPr>
              <w:pStyle w:val="ListParagraph"/>
              <w:numPr>
                <w:ilvl w:val="0"/>
                <w:numId w:val="21"/>
              </w:numPr>
              <w:rPr>
                <w:sz w:val="19"/>
                <w:szCs w:val="19"/>
              </w:rPr>
            </w:pPr>
            <w:r w:rsidRPr="002D3513">
              <w:rPr>
                <w:sz w:val="19"/>
                <w:szCs w:val="19"/>
              </w:rPr>
              <w:t xml:space="preserve">The flow rate was adaptively managed in response to field observations and water quality monitoring. </w:t>
            </w:r>
          </w:p>
          <w:p w14:paraId="2C894D74" w14:textId="77777777" w:rsidR="00D50566" w:rsidRPr="002D3513" w:rsidRDefault="00D50566" w:rsidP="00E074AE">
            <w:pPr>
              <w:pStyle w:val="ListParagraph"/>
              <w:numPr>
                <w:ilvl w:val="0"/>
                <w:numId w:val="21"/>
              </w:numPr>
              <w:rPr>
                <w:sz w:val="19"/>
                <w:szCs w:val="19"/>
              </w:rPr>
            </w:pPr>
            <w:r w:rsidRPr="002D3513">
              <w:rPr>
                <w:sz w:val="19"/>
                <w:szCs w:val="19"/>
              </w:rPr>
              <w:t>To reduce the risk of hypoxic conditions occurring, releases were maintained at ~1,000 ML/d initially then 700 ML/d, then 350 ML/d until mid-May, before being gradually reduced to a baseflow of around 50 ML/d over winter.</w:t>
            </w:r>
          </w:p>
          <w:p w14:paraId="2A6D34AE" w14:textId="77777777" w:rsidR="00D50566" w:rsidRPr="002D3513" w:rsidRDefault="00D50566" w:rsidP="00E074AE">
            <w:pPr>
              <w:pStyle w:val="ListParagraph"/>
              <w:numPr>
                <w:ilvl w:val="0"/>
                <w:numId w:val="21"/>
              </w:numPr>
              <w:rPr>
                <w:sz w:val="19"/>
                <w:szCs w:val="19"/>
              </w:rPr>
            </w:pPr>
            <w:r w:rsidRPr="002D3513">
              <w:rPr>
                <w:sz w:val="19"/>
                <w:szCs w:val="19"/>
              </w:rPr>
              <w:t>While 50 ML/d would not normally enable connectivity through the Anabranch, on the recession of a large flood with substantial volumes returning from the Anabranch lakes to the channel, the flow rate was sufficient to maintain connectivity through the upper Anabranch upstream of the draining lakes.</w:t>
            </w:r>
          </w:p>
          <w:p w14:paraId="3A8AD360" w14:textId="77777777" w:rsidR="00D50566" w:rsidRPr="002D3513" w:rsidRDefault="00D50566" w:rsidP="00E074AE">
            <w:pPr>
              <w:pStyle w:val="ListParagraph"/>
              <w:numPr>
                <w:ilvl w:val="0"/>
                <w:numId w:val="21"/>
              </w:numPr>
              <w:rPr>
                <w:sz w:val="19"/>
                <w:szCs w:val="19"/>
              </w:rPr>
            </w:pPr>
            <w:r w:rsidRPr="002D3513">
              <w:rPr>
                <w:sz w:val="19"/>
                <w:szCs w:val="19"/>
              </w:rPr>
              <w:t>Return flows 59,530 ML CEW.</w:t>
            </w:r>
          </w:p>
        </w:tc>
        <w:tc>
          <w:tcPr>
            <w:tcW w:w="479" w:type="pct"/>
          </w:tcPr>
          <w:p w14:paraId="7ADBCD62" w14:textId="77777777" w:rsidR="00D50566" w:rsidRPr="0035226C" w:rsidRDefault="00D50566" w:rsidP="00E074AE">
            <w:pPr>
              <w:contextualSpacing/>
              <w:rPr>
                <w:sz w:val="19"/>
                <w:szCs w:val="19"/>
                <w:highlight w:val="yellow"/>
              </w:rPr>
            </w:pPr>
            <w:r w:rsidRPr="006A7C5F">
              <w:rPr>
                <w:sz w:val="19"/>
                <w:szCs w:val="19"/>
              </w:rPr>
              <w:lastRenderedPageBreak/>
              <w:t>CEW, TLM and NSW AEW</w:t>
            </w:r>
          </w:p>
        </w:tc>
      </w:tr>
      <w:tr w:rsidR="00131AE0" w:rsidRPr="00375E87" w14:paraId="49DDCD6C" w14:textId="77777777" w:rsidTr="0084137B">
        <w:trPr>
          <w:trHeight w:val="397"/>
        </w:trPr>
        <w:tc>
          <w:tcPr>
            <w:tcW w:w="405" w:type="pct"/>
            <w:vMerge w:val="restart"/>
            <w:tcBorders>
              <w:top w:val="single" w:sz="4" w:space="0" w:color="auto"/>
              <w:left w:val="single" w:sz="4" w:space="0" w:color="auto"/>
              <w:right w:val="single" w:sz="4" w:space="0" w:color="auto"/>
            </w:tcBorders>
          </w:tcPr>
          <w:p w14:paraId="502CBBFB" w14:textId="4F64CDCD" w:rsidR="00131AE0" w:rsidRPr="00003CA8" w:rsidRDefault="00131AE0" w:rsidP="00E074AE">
            <w:pPr>
              <w:contextualSpacing/>
              <w:rPr>
                <w:b/>
                <w:bCs/>
              </w:rPr>
            </w:pPr>
            <w:r w:rsidRPr="008B218E">
              <w:rPr>
                <w:b/>
                <w:bCs/>
              </w:rPr>
              <w:lastRenderedPageBreak/>
              <w:t>2023-24</w:t>
            </w:r>
          </w:p>
        </w:tc>
        <w:tc>
          <w:tcPr>
            <w:tcW w:w="660" w:type="pct"/>
            <w:tcBorders>
              <w:left w:val="single" w:sz="4" w:space="0" w:color="auto"/>
            </w:tcBorders>
          </w:tcPr>
          <w:p w14:paraId="5F347921" w14:textId="69CD7132" w:rsidR="00131AE0" w:rsidRPr="0084137B" w:rsidRDefault="00131AE0" w:rsidP="00E074AE">
            <w:pPr>
              <w:rPr>
                <w:highlight w:val="yellow"/>
              </w:rPr>
            </w:pPr>
            <w:r w:rsidRPr="008B218E">
              <w:t>Goulburn</w:t>
            </w:r>
            <w:r w:rsidR="008B218E" w:rsidRPr="008B218E">
              <w:t xml:space="preserve"> River</w:t>
            </w:r>
            <w:r w:rsidR="008B218E">
              <w:t xml:space="preserve"> spring freshes and unregulated flood</w:t>
            </w:r>
          </w:p>
        </w:tc>
        <w:tc>
          <w:tcPr>
            <w:tcW w:w="3456" w:type="pct"/>
          </w:tcPr>
          <w:p w14:paraId="0C224D02" w14:textId="4CD43BD1" w:rsidR="005A0DF3" w:rsidRPr="005A0DF3" w:rsidRDefault="005A0DF3" w:rsidP="005A0DF3">
            <w:pPr>
              <w:rPr>
                <w:sz w:val="19"/>
                <w:szCs w:val="19"/>
              </w:rPr>
            </w:pPr>
            <w:r w:rsidRPr="005A0DF3">
              <w:rPr>
                <w:i/>
                <w:iCs/>
                <w:sz w:val="19"/>
                <w:szCs w:val="19"/>
              </w:rPr>
              <w:t>Expected outcomes:</w:t>
            </w:r>
            <w:r w:rsidRPr="005A0DF3">
              <w:rPr>
                <w:sz w:val="19"/>
                <w:szCs w:val="19"/>
              </w:rPr>
              <w:t xml:space="preserve"> Primary: Encourage the establishment of stream bank and in-channel vegetation by supporting the recruitment of aquatic and riparian vegetation to improve stream bank stability; Provide breeding and movement opportunities for native fish by providing flow cues, suitable habitat and food resources during the year to support recruitment success; Maintain water quality and suitable habitat to support native fish survival and condition and macroinvertebrate abundance and diversity (through submergence of snags, increasing the availability of slack and deep-water habitat and encouraging aquatic vegetation and planktonic production for food). Secondary: Disrupt biofilms, move fine sediment and entrain organic matter in-stream to support ecosystem function. Support longitudinal connectivity along Victorian rivers and to the River Murray for environmental functions such as nutrient and sediment transport, organism dispersal and water quality; </w:t>
            </w:r>
            <w:r w:rsidRPr="005A0DF3">
              <w:rPr>
                <w:sz w:val="19"/>
                <w:szCs w:val="19"/>
                <w:u w:val="single"/>
              </w:rPr>
              <w:t>Use return flows in the lower River Murray to contribute to the protection, maintenance and improvement of the diversity and condition of water dependent native flora and fauna (such as native fish species), water quality and ecosystem functions.</w:t>
            </w:r>
          </w:p>
          <w:p w14:paraId="0A359A59" w14:textId="420D1D1A" w:rsidR="008B218E" w:rsidRPr="005A0DF3" w:rsidRDefault="008B218E" w:rsidP="005A0DF3">
            <w:pPr>
              <w:rPr>
                <w:sz w:val="19"/>
                <w:szCs w:val="19"/>
              </w:rPr>
            </w:pPr>
            <w:r w:rsidRPr="005A0DF3">
              <w:rPr>
                <w:b/>
                <w:bCs/>
                <w:i/>
                <w:iCs/>
                <w:sz w:val="19"/>
                <w:szCs w:val="19"/>
              </w:rPr>
              <w:t>Early spring fresh</w:t>
            </w:r>
          </w:p>
          <w:p w14:paraId="4278E151" w14:textId="6E4FFC47" w:rsidR="00124930" w:rsidRPr="00124930" w:rsidRDefault="00124930" w:rsidP="00124930">
            <w:pPr>
              <w:pStyle w:val="ListParagraph"/>
              <w:numPr>
                <w:ilvl w:val="0"/>
                <w:numId w:val="49"/>
              </w:numPr>
              <w:rPr>
                <w:sz w:val="19"/>
                <w:szCs w:val="19"/>
              </w:rPr>
            </w:pPr>
            <w:r w:rsidRPr="00124930">
              <w:rPr>
                <w:sz w:val="19"/>
                <w:szCs w:val="19"/>
              </w:rPr>
              <w:lastRenderedPageBreak/>
              <w:t xml:space="preserve">High river flows through winter generated by rainfall in June resulted in unregulated flow events in the Goulburn from July to the end of August. </w:t>
            </w:r>
          </w:p>
          <w:p w14:paraId="35BD1971" w14:textId="77777777" w:rsidR="00124930" w:rsidRDefault="00124930" w:rsidP="00124930">
            <w:pPr>
              <w:pStyle w:val="ListParagraph"/>
              <w:numPr>
                <w:ilvl w:val="0"/>
                <w:numId w:val="49"/>
              </w:numPr>
              <w:rPr>
                <w:sz w:val="19"/>
                <w:szCs w:val="19"/>
              </w:rPr>
            </w:pPr>
            <w:r w:rsidRPr="00124930">
              <w:rPr>
                <w:sz w:val="19"/>
                <w:szCs w:val="19"/>
              </w:rPr>
              <w:t xml:space="preserve">In anticipation of potential future unregulated flow events, the spring fresh was delivered early from the 4 September – 6 October using 73.8 GL of CEW. Environmental water holders and the Goulburn Broken CMA showed foresight in delivering the spring fresh early to achieve both environmental and portfolio outcomes prior to unregulated flows. </w:t>
            </w:r>
          </w:p>
          <w:p w14:paraId="7BC7D94D" w14:textId="3732DFB6" w:rsidR="00124930" w:rsidRPr="00124930" w:rsidRDefault="00124930" w:rsidP="00124930">
            <w:pPr>
              <w:pStyle w:val="ListParagraph"/>
              <w:numPr>
                <w:ilvl w:val="0"/>
                <w:numId w:val="49"/>
              </w:numPr>
              <w:rPr>
                <w:sz w:val="19"/>
                <w:szCs w:val="19"/>
              </w:rPr>
            </w:pPr>
            <w:r w:rsidRPr="00124930">
              <w:rPr>
                <w:sz w:val="19"/>
                <w:szCs w:val="19"/>
              </w:rPr>
              <w:t>Following the delivery of the spring fresh, heavy rainfall in October caused major storages to spill and inundate floodplains, although not to the extent of 2022–23.</w:t>
            </w:r>
          </w:p>
          <w:p w14:paraId="551AFC8A" w14:textId="62CA08FE" w:rsidR="008B218E" w:rsidRPr="008B218E" w:rsidRDefault="008B218E" w:rsidP="00124930">
            <w:pPr>
              <w:rPr>
                <w:sz w:val="19"/>
                <w:szCs w:val="19"/>
              </w:rPr>
            </w:pPr>
            <w:r>
              <w:rPr>
                <w:b/>
                <w:bCs/>
                <w:i/>
                <w:iCs/>
                <w:sz w:val="19"/>
                <w:szCs w:val="19"/>
              </w:rPr>
              <w:t>Late spring fresh</w:t>
            </w:r>
          </w:p>
          <w:p w14:paraId="150C4F48" w14:textId="4A3B5D21" w:rsidR="00124930" w:rsidRPr="00124930" w:rsidRDefault="00124930" w:rsidP="00124930">
            <w:pPr>
              <w:pStyle w:val="ListParagraph"/>
              <w:numPr>
                <w:ilvl w:val="0"/>
                <w:numId w:val="49"/>
              </w:numPr>
              <w:rPr>
                <w:sz w:val="19"/>
                <w:szCs w:val="19"/>
              </w:rPr>
            </w:pPr>
            <w:r w:rsidRPr="00124930">
              <w:rPr>
                <w:sz w:val="19"/>
                <w:szCs w:val="19"/>
              </w:rPr>
              <w:t xml:space="preserve">Upon the return to regulated conditions, variable low flows and a late spring fresh were delivered throughout November and December. </w:t>
            </w:r>
          </w:p>
          <w:p w14:paraId="204BFCE1" w14:textId="33794DCD" w:rsidR="00124930" w:rsidRDefault="00124930" w:rsidP="00124930">
            <w:pPr>
              <w:pStyle w:val="ListParagraph"/>
              <w:numPr>
                <w:ilvl w:val="0"/>
                <w:numId w:val="49"/>
              </w:numPr>
              <w:rPr>
                <w:sz w:val="19"/>
                <w:szCs w:val="19"/>
              </w:rPr>
            </w:pPr>
            <w:r w:rsidRPr="00124930">
              <w:rPr>
                <w:sz w:val="19"/>
                <w:szCs w:val="19"/>
              </w:rPr>
              <w:t xml:space="preserve">Variable low flows were delivered between 31 October 2023–16 November 2024 and 17 February–28 June 2024 using a total of 56.8 GL of CEW, with breaks in between delivery due to the delivery of IVT pulses and unregulated flows. </w:t>
            </w:r>
          </w:p>
          <w:p w14:paraId="5DB141DB" w14:textId="1649235C" w:rsidR="008B218E" w:rsidRPr="008B218E" w:rsidRDefault="008B218E" w:rsidP="008B218E">
            <w:pPr>
              <w:rPr>
                <w:sz w:val="19"/>
                <w:szCs w:val="19"/>
              </w:rPr>
            </w:pPr>
            <w:r>
              <w:rPr>
                <w:b/>
                <w:bCs/>
                <w:i/>
                <w:iCs/>
                <w:sz w:val="19"/>
                <w:szCs w:val="19"/>
              </w:rPr>
              <w:t>Flood recession flow</w:t>
            </w:r>
          </w:p>
          <w:p w14:paraId="36AC9D4A" w14:textId="2A84EAAA" w:rsidR="008B218E" w:rsidRDefault="00124930" w:rsidP="008B218E">
            <w:pPr>
              <w:pStyle w:val="ListParagraph"/>
              <w:numPr>
                <w:ilvl w:val="0"/>
                <w:numId w:val="49"/>
              </w:numPr>
              <w:rPr>
                <w:sz w:val="19"/>
                <w:szCs w:val="19"/>
              </w:rPr>
            </w:pPr>
            <w:r w:rsidRPr="00124930">
              <w:rPr>
                <w:sz w:val="19"/>
                <w:szCs w:val="19"/>
              </w:rPr>
              <w:t>An unseasonal heavy rain event occurred in January 2024 that resulted in a return to unregulated conditions and overbank flows in the Lower Goulburn. Environmental water was used to provide recession flow from 26 January 2024 – 16 February 2024 using 44.5</w:t>
            </w:r>
            <w:r w:rsidR="00167193">
              <w:rPr>
                <w:sz w:val="19"/>
                <w:szCs w:val="19"/>
              </w:rPr>
              <w:t xml:space="preserve"> </w:t>
            </w:r>
            <w:r w:rsidRPr="00124930">
              <w:rPr>
                <w:sz w:val="19"/>
                <w:szCs w:val="19"/>
              </w:rPr>
              <w:t>GL of CEW to slow the decrease of flow peaks to protect river banks and address water quality issues. Variable baseflows continued after the recession flow was delivered.</w:t>
            </w:r>
          </w:p>
          <w:p w14:paraId="7B17C4DF" w14:textId="3340F592" w:rsidR="00124930" w:rsidRPr="0084137B" w:rsidRDefault="00124930" w:rsidP="008B218E">
            <w:pPr>
              <w:pStyle w:val="ListParagraph"/>
              <w:numPr>
                <w:ilvl w:val="0"/>
                <w:numId w:val="49"/>
              </w:numPr>
              <w:rPr>
                <w:sz w:val="19"/>
                <w:szCs w:val="19"/>
              </w:rPr>
            </w:pPr>
            <w:r w:rsidRPr="00124930">
              <w:rPr>
                <w:sz w:val="19"/>
                <w:szCs w:val="19"/>
              </w:rPr>
              <w:t>The overbank events throughout much of the year were much higher than what could have been achieved using environmental water and as such environmental objectives were met or exceeded planned outcomes in the Lower Goulburn. As a result, the autumn fresh was not delivered in 2024 due to the overbank event in January which had met or exceeded ecological requirements of the Autumn fresh.</w:t>
            </w:r>
          </w:p>
        </w:tc>
        <w:tc>
          <w:tcPr>
            <w:tcW w:w="479" w:type="pct"/>
          </w:tcPr>
          <w:p w14:paraId="59E88FB4" w14:textId="5DADB2AC" w:rsidR="00131AE0" w:rsidRPr="0084137B" w:rsidRDefault="0084137B" w:rsidP="00E074AE">
            <w:pPr>
              <w:contextualSpacing/>
              <w:rPr>
                <w:sz w:val="19"/>
                <w:szCs w:val="19"/>
              </w:rPr>
            </w:pPr>
            <w:r w:rsidRPr="0084137B">
              <w:rPr>
                <w:sz w:val="19"/>
                <w:szCs w:val="19"/>
              </w:rPr>
              <w:lastRenderedPageBreak/>
              <w:t>IVT, TLM, CEWH and VEWH</w:t>
            </w:r>
          </w:p>
        </w:tc>
      </w:tr>
      <w:tr w:rsidR="00131AE0" w:rsidRPr="00375E87" w14:paraId="6D6D2E9D" w14:textId="77777777" w:rsidTr="0084137B">
        <w:trPr>
          <w:trHeight w:val="397"/>
        </w:trPr>
        <w:tc>
          <w:tcPr>
            <w:tcW w:w="405" w:type="pct"/>
            <w:vMerge/>
            <w:tcBorders>
              <w:left w:val="single" w:sz="4" w:space="0" w:color="auto"/>
              <w:right w:val="single" w:sz="4" w:space="0" w:color="auto"/>
            </w:tcBorders>
          </w:tcPr>
          <w:p w14:paraId="327C4138" w14:textId="77777777" w:rsidR="00131AE0" w:rsidRPr="00003CA8" w:rsidRDefault="00131AE0" w:rsidP="00E074AE">
            <w:pPr>
              <w:contextualSpacing/>
              <w:rPr>
                <w:b/>
                <w:bCs/>
                <w:highlight w:val="yellow"/>
              </w:rPr>
            </w:pPr>
          </w:p>
        </w:tc>
        <w:tc>
          <w:tcPr>
            <w:tcW w:w="660" w:type="pct"/>
            <w:tcBorders>
              <w:left w:val="single" w:sz="4" w:space="0" w:color="auto"/>
            </w:tcBorders>
          </w:tcPr>
          <w:p w14:paraId="63DED663" w14:textId="4EB1F83E" w:rsidR="00131AE0" w:rsidRPr="00762996" w:rsidRDefault="00131AE0" w:rsidP="00E074AE">
            <w:r w:rsidRPr="00762996">
              <w:t>Murrumbidgee</w:t>
            </w:r>
            <w:r w:rsidR="008B218E" w:rsidRPr="00762996">
              <w:t xml:space="preserve"> River</w:t>
            </w:r>
            <w:r w:rsidR="005458E9">
              <w:t xml:space="preserve"> flows</w:t>
            </w:r>
          </w:p>
        </w:tc>
        <w:tc>
          <w:tcPr>
            <w:tcW w:w="3456" w:type="pct"/>
          </w:tcPr>
          <w:p w14:paraId="736A0A1D" w14:textId="4E8F0149" w:rsidR="005A0DF3" w:rsidRPr="005A0DF3" w:rsidRDefault="005A0DF3" w:rsidP="005A0DF3">
            <w:pPr>
              <w:rPr>
                <w:sz w:val="19"/>
                <w:szCs w:val="19"/>
              </w:rPr>
            </w:pPr>
            <w:r w:rsidRPr="005A0DF3">
              <w:rPr>
                <w:i/>
                <w:iCs/>
                <w:sz w:val="19"/>
                <w:szCs w:val="19"/>
              </w:rPr>
              <w:t>Expected outcomes</w:t>
            </w:r>
            <w:r>
              <w:rPr>
                <w:sz w:val="19"/>
                <w:szCs w:val="19"/>
              </w:rPr>
              <w:t xml:space="preserve">: Primary: </w:t>
            </w:r>
            <w:r w:rsidRPr="005A0DF3">
              <w:rPr>
                <w:sz w:val="19"/>
                <w:szCs w:val="19"/>
              </w:rPr>
              <w:t xml:space="preserve">Maintain native fish populations by providing limited variation in river height (&lt;10% daily discharge variation) to support breeding and cod nesting; provide opportunities for lateral and longitudinal movement and dispersal through temporary floodplain-river connection and </w:t>
            </w:r>
            <w:r w:rsidRPr="005A0DF3">
              <w:rPr>
                <w:sz w:val="19"/>
                <w:szCs w:val="19"/>
              </w:rPr>
              <w:lastRenderedPageBreak/>
              <w:t>removal of lower Murrumbidgee weirs</w:t>
            </w:r>
            <w:r>
              <w:rPr>
                <w:sz w:val="19"/>
                <w:szCs w:val="19"/>
              </w:rPr>
              <w:t xml:space="preserve">; </w:t>
            </w:r>
            <w:r w:rsidRPr="005A0DF3">
              <w:rPr>
                <w:sz w:val="19"/>
                <w:szCs w:val="19"/>
              </w:rPr>
              <w:t>Maintain elevated end of system baseflows at Balranald to avoid poor water quality and increasing available fish habitat</w:t>
            </w:r>
            <w:r>
              <w:rPr>
                <w:sz w:val="19"/>
                <w:szCs w:val="19"/>
              </w:rPr>
              <w:t xml:space="preserve">; </w:t>
            </w:r>
            <w:r w:rsidRPr="005A0DF3">
              <w:rPr>
                <w:sz w:val="19"/>
                <w:szCs w:val="19"/>
                <w:u w:val="single"/>
              </w:rPr>
              <w:t>Contribute flows to end-of-basin flow outcomes (including critical flowing water in the Lower Murray).</w:t>
            </w:r>
            <w:r w:rsidRPr="005A0DF3">
              <w:rPr>
                <w:sz w:val="19"/>
                <w:szCs w:val="19"/>
              </w:rPr>
              <w:t xml:space="preserve"> </w:t>
            </w:r>
            <w:r>
              <w:rPr>
                <w:sz w:val="19"/>
                <w:szCs w:val="19"/>
              </w:rPr>
              <w:t xml:space="preserve">Secondary: </w:t>
            </w:r>
            <w:r w:rsidRPr="005A0DF3">
              <w:rPr>
                <w:sz w:val="19"/>
                <w:szCs w:val="19"/>
              </w:rPr>
              <w:t>Promote mobilisation, transport and dispersal, of biotic and abiotic material (e.g. sediment, nutrients and organic matter) as well as enabling migration/dispersal of water dependent animals between in-channel and wetland/floodplain habitats through increasing lateral and longitudinal connectivity.</w:t>
            </w:r>
          </w:p>
          <w:p w14:paraId="5A68378C" w14:textId="6A9BBB37" w:rsidR="00124930" w:rsidRPr="00762996" w:rsidRDefault="00124930" w:rsidP="00124930">
            <w:pPr>
              <w:rPr>
                <w:b/>
                <w:bCs/>
                <w:i/>
                <w:iCs/>
                <w:sz w:val="19"/>
                <w:szCs w:val="19"/>
              </w:rPr>
            </w:pPr>
            <w:r w:rsidRPr="00762996">
              <w:rPr>
                <w:b/>
                <w:bCs/>
                <w:i/>
                <w:iCs/>
                <w:sz w:val="19"/>
                <w:szCs w:val="19"/>
              </w:rPr>
              <w:t>Spring flows</w:t>
            </w:r>
          </w:p>
          <w:p w14:paraId="48FADE2D" w14:textId="4FEC8C1E" w:rsidR="00124930" w:rsidRPr="00762996" w:rsidRDefault="00124930" w:rsidP="00131AE0">
            <w:pPr>
              <w:pStyle w:val="ListParagraph"/>
              <w:numPr>
                <w:ilvl w:val="0"/>
                <w:numId w:val="48"/>
              </w:numPr>
              <w:rPr>
                <w:sz w:val="19"/>
                <w:szCs w:val="19"/>
              </w:rPr>
            </w:pPr>
            <w:r w:rsidRPr="00762996">
              <w:rPr>
                <w:sz w:val="19"/>
                <w:szCs w:val="19"/>
              </w:rPr>
              <w:t>Delivery of environmental water commenced on 2 September to provide steady flows down the Murrumbidgee River channel to support cod nesting. This was followed by a dispersal pulse in late November.</w:t>
            </w:r>
            <w:r w:rsidR="00762996" w:rsidRPr="00762996">
              <w:rPr>
                <w:sz w:val="19"/>
                <w:szCs w:val="19"/>
              </w:rPr>
              <w:t xml:space="preserve"> </w:t>
            </w:r>
          </w:p>
          <w:p w14:paraId="51356377" w14:textId="72028B6A" w:rsidR="00124930" w:rsidRPr="00762996" w:rsidRDefault="00124930" w:rsidP="00131AE0">
            <w:pPr>
              <w:pStyle w:val="ListParagraph"/>
              <w:numPr>
                <w:ilvl w:val="0"/>
                <w:numId w:val="48"/>
              </w:numPr>
              <w:rPr>
                <w:sz w:val="19"/>
                <w:szCs w:val="19"/>
              </w:rPr>
            </w:pPr>
            <w:r w:rsidRPr="00762996">
              <w:rPr>
                <w:sz w:val="19"/>
                <w:szCs w:val="19"/>
              </w:rPr>
              <w:t>CEWH SA Lower Murray Delivery Officer advised that water levels were likely to drop below targeted SA 20,000ML/d mid-October to November. Requested Murrumbidgee water to be used to fill the gap before Goulburn water met demand and therefore help maintain critical flowing water habitat at the border and beyond. Flow rates increased from 4</w:t>
            </w:r>
            <w:r w:rsidR="00167193">
              <w:rPr>
                <w:sz w:val="19"/>
                <w:szCs w:val="19"/>
              </w:rPr>
              <w:t>,</w:t>
            </w:r>
            <w:r w:rsidRPr="00762996">
              <w:rPr>
                <w:sz w:val="19"/>
                <w:szCs w:val="19"/>
              </w:rPr>
              <w:t>500</w:t>
            </w:r>
            <w:r w:rsidR="00167193">
              <w:rPr>
                <w:sz w:val="19"/>
                <w:szCs w:val="19"/>
              </w:rPr>
              <w:t xml:space="preserve"> ML/d</w:t>
            </w:r>
            <w:r w:rsidRPr="00762996">
              <w:rPr>
                <w:sz w:val="19"/>
                <w:szCs w:val="19"/>
              </w:rPr>
              <w:t xml:space="preserve"> to 9</w:t>
            </w:r>
            <w:r w:rsidR="00167193">
              <w:rPr>
                <w:sz w:val="19"/>
                <w:szCs w:val="19"/>
              </w:rPr>
              <w:t>,</w:t>
            </w:r>
            <w:r w:rsidRPr="00762996">
              <w:rPr>
                <w:sz w:val="19"/>
                <w:szCs w:val="19"/>
              </w:rPr>
              <w:t>700</w:t>
            </w:r>
            <w:r w:rsidR="00167193">
              <w:rPr>
                <w:sz w:val="19"/>
                <w:szCs w:val="19"/>
              </w:rPr>
              <w:t xml:space="preserve"> ML/d</w:t>
            </w:r>
            <w:r w:rsidRPr="00762996">
              <w:rPr>
                <w:sz w:val="19"/>
                <w:szCs w:val="19"/>
              </w:rPr>
              <w:t xml:space="preserve"> on 5/10/2023 at Darlington Point. Because of these large flows, e-water was used to allow for a steady recession rate of 500</w:t>
            </w:r>
            <w:r w:rsidR="00167193">
              <w:rPr>
                <w:sz w:val="19"/>
                <w:szCs w:val="19"/>
              </w:rPr>
              <w:t xml:space="preserve"> ML/d</w:t>
            </w:r>
            <w:r w:rsidRPr="00762996">
              <w:rPr>
                <w:sz w:val="19"/>
                <w:szCs w:val="19"/>
              </w:rPr>
              <w:t xml:space="preserve"> until the river came back to 4</w:t>
            </w:r>
            <w:r w:rsidR="006937BA">
              <w:rPr>
                <w:sz w:val="19"/>
                <w:szCs w:val="19"/>
              </w:rPr>
              <w:t>,</w:t>
            </w:r>
            <w:r w:rsidRPr="00762996">
              <w:rPr>
                <w:sz w:val="19"/>
                <w:szCs w:val="19"/>
              </w:rPr>
              <w:t>500</w:t>
            </w:r>
            <w:r w:rsidR="00167193">
              <w:rPr>
                <w:sz w:val="19"/>
                <w:szCs w:val="19"/>
              </w:rPr>
              <w:t xml:space="preserve"> ML/d</w:t>
            </w:r>
            <w:r w:rsidRPr="00762996">
              <w:rPr>
                <w:sz w:val="19"/>
                <w:szCs w:val="19"/>
              </w:rPr>
              <w:t>.</w:t>
            </w:r>
          </w:p>
          <w:p w14:paraId="3F21255B" w14:textId="403850CF" w:rsidR="00762996" w:rsidRPr="00762996" w:rsidRDefault="00762996" w:rsidP="00131AE0">
            <w:pPr>
              <w:pStyle w:val="ListParagraph"/>
              <w:numPr>
                <w:ilvl w:val="0"/>
                <w:numId w:val="48"/>
              </w:numPr>
              <w:rPr>
                <w:sz w:val="19"/>
                <w:szCs w:val="19"/>
              </w:rPr>
            </w:pPr>
            <w:r w:rsidRPr="00762996">
              <w:rPr>
                <w:sz w:val="19"/>
                <w:szCs w:val="19"/>
              </w:rPr>
              <w:t>Spring cod nesting flows and dispersal: 254,070 ML (149,630 ML CEW).</w:t>
            </w:r>
          </w:p>
          <w:p w14:paraId="44745E8A" w14:textId="3FAF9116" w:rsidR="00762996" w:rsidRPr="00762996" w:rsidRDefault="00762996" w:rsidP="00762996">
            <w:pPr>
              <w:rPr>
                <w:b/>
                <w:bCs/>
                <w:i/>
                <w:iCs/>
                <w:sz w:val="19"/>
                <w:szCs w:val="19"/>
              </w:rPr>
            </w:pPr>
            <w:r w:rsidRPr="00762996">
              <w:rPr>
                <w:b/>
                <w:bCs/>
                <w:i/>
                <w:iCs/>
                <w:sz w:val="19"/>
                <w:szCs w:val="19"/>
              </w:rPr>
              <w:t>Opportunistic summer flows</w:t>
            </w:r>
          </w:p>
          <w:p w14:paraId="24C6F789" w14:textId="7E25CB07" w:rsidR="00124930" w:rsidRPr="00762996" w:rsidRDefault="00762996" w:rsidP="00131AE0">
            <w:pPr>
              <w:pStyle w:val="ListParagraph"/>
              <w:numPr>
                <w:ilvl w:val="0"/>
                <w:numId w:val="48"/>
              </w:numPr>
              <w:rPr>
                <w:sz w:val="19"/>
                <w:szCs w:val="19"/>
              </w:rPr>
            </w:pPr>
            <w:r w:rsidRPr="00762996">
              <w:rPr>
                <w:sz w:val="19"/>
                <w:szCs w:val="19"/>
              </w:rPr>
              <w:t>At the end of January 2024, environmental water was opportunistically delivered from Tombullen, Hay and Maude weirs to piggyback on surplus flows. The objective of this flow was to target native fish movement, including creating a temporary floodplain-river interaction with the Lowbidgee Lakes (Yanga Lake and possibly Tala Lake). Opportunistic fish pulse in January: 13,206 ML CEW</w:t>
            </w:r>
            <w:r w:rsidR="00245E9A">
              <w:rPr>
                <w:sz w:val="19"/>
                <w:szCs w:val="19"/>
              </w:rPr>
              <w:t>.</w:t>
            </w:r>
          </w:p>
          <w:p w14:paraId="62FE113A" w14:textId="1055ED97" w:rsidR="00762996" w:rsidRPr="00762996" w:rsidRDefault="00762996" w:rsidP="00762996">
            <w:pPr>
              <w:rPr>
                <w:b/>
                <w:bCs/>
                <w:i/>
                <w:iCs/>
                <w:sz w:val="19"/>
                <w:szCs w:val="19"/>
              </w:rPr>
            </w:pPr>
            <w:r w:rsidRPr="00762996">
              <w:rPr>
                <w:b/>
                <w:bCs/>
                <w:i/>
                <w:iCs/>
                <w:sz w:val="19"/>
                <w:szCs w:val="19"/>
              </w:rPr>
              <w:t>Autumn pulse</w:t>
            </w:r>
          </w:p>
          <w:p w14:paraId="6CE30975" w14:textId="7DDA2D2D" w:rsidR="00762996" w:rsidRPr="00762996" w:rsidRDefault="00762996" w:rsidP="00131AE0">
            <w:pPr>
              <w:pStyle w:val="ListParagraph"/>
              <w:numPr>
                <w:ilvl w:val="0"/>
                <w:numId w:val="48"/>
              </w:numPr>
              <w:rPr>
                <w:sz w:val="19"/>
                <w:szCs w:val="19"/>
              </w:rPr>
            </w:pPr>
            <w:r w:rsidRPr="00762996">
              <w:rPr>
                <w:sz w:val="19"/>
                <w:szCs w:val="19"/>
              </w:rPr>
              <w:t xml:space="preserve">From the end of February to 4 April, consistent with Murrumbidgee LTWP, CEW was delivered to maintain flows of 500 ML/d at Balranald above end of system (EOS) 180 ML/d requirements to provide expanded fish habitat and maintain water quality. From 4 April, flows were increased to increase in-stream habitat and speed up the drawdown of Redbank and Maude weir pools </w:t>
            </w:r>
            <w:r w:rsidRPr="00762996">
              <w:rPr>
                <w:sz w:val="19"/>
                <w:szCs w:val="19"/>
              </w:rPr>
              <w:lastRenderedPageBreak/>
              <w:t>to get them out ahead of the planned fish Autumn fish pulse. Elevated baseflow at Balranald - 500 ML/d, increasing to 1</w:t>
            </w:r>
            <w:r w:rsidR="006937BA">
              <w:rPr>
                <w:sz w:val="19"/>
                <w:szCs w:val="19"/>
              </w:rPr>
              <w:t>,</w:t>
            </w:r>
            <w:r w:rsidRPr="00762996">
              <w:rPr>
                <w:sz w:val="19"/>
                <w:szCs w:val="19"/>
              </w:rPr>
              <w:t>000 ML from 4/4: 24,569 ML (13,399 ML CEW).</w:t>
            </w:r>
          </w:p>
          <w:p w14:paraId="76D37405" w14:textId="7F2C5415" w:rsidR="00762996" w:rsidRPr="00762996" w:rsidRDefault="00762996" w:rsidP="00131AE0">
            <w:pPr>
              <w:pStyle w:val="ListParagraph"/>
              <w:numPr>
                <w:ilvl w:val="0"/>
                <w:numId w:val="48"/>
              </w:numPr>
              <w:rPr>
                <w:sz w:val="19"/>
                <w:szCs w:val="19"/>
              </w:rPr>
            </w:pPr>
            <w:r w:rsidRPr="00762996">
              <w:rPr>
                <w:sz w:val="19"/>
                <w:szCs w:val="19"/>
              </w:rPr>
              <w:t>The Autumn fish pulse targeted 5</w:t>
            </w:r>
            <w:r w:rsidR="006937BA">
              <w:rPr>
                <w:sz w:val="19"/>
                <w:szCs w:val="19"/>
              </w:rPr>
              <w:t>,</w:t>
            </w:r>
            <w:r w:rsidRPr="00762996">
              <w:rPr>
                <w:sz w:val="19"/>
                <w:szCs w:val="19"/>
              </w:rPr>
              <w:t>000-5</w:t>
            </w:r>
            <w:r w:rsidR="006937BA">
              <w:rPr>
                <w:sz w:val="19"/>
                <w:szCs w:val="19"/>
              </w:rPr>
              <w:t>,</w:t>
            </w:r>
            <w:r w:rsidRPr="00762996">
              <w:rPr>
                <w:sz w:val="19"/>
                <w:szCs w:val="19"/>
              </w:rPr>
              <w:t>500 ML/d for 5-10 days with 15% recession at Balranald. Autumn fish pulse: 91,684 ML (27,000 ML CEW).</w:t>
            </w:r>
          </w:p>
        </w:tc>
        <w:tc>
          <w:tcPr>
            <w:tcW w:w="479" w:type="pct"/>
          </w:tcPr>
          <w:p w14:paraId="2916DEC7" w14:textId="3C410DBE" w:rsidR="00131AE0" w:rsidRPr="00762996" w:rsidRDefault="00131AE0" w:rsidP="00E074AE">
            <w:pPr>
              <w:contextualSpacing/>
              <w:rPr>
                <w:sz w:val="19"/>
                <w:szCs w:val="19"/>
              </w:rPr>
            </w:pPr>
            <w:r w:rsidRPr="00762996">
              <w:rPr>
                <w:sz w:val="19"/>
                <w:szCs w:val="19"/>
              </w:rPr>
              <w:lastRenderedPageBreak/>
              <w:t>CEW</w:t>
            </w:r>
            <w:r w:rsidR="00762996">
              <w:rPr>
                <w:sz w:val="19"/>
                <w:szCs w:val="19"/>
              </w:rPr>
              <w:t>, NSW EWA, TLM</w:t>
            </w:r>
          </w:p>
        </w:tc>
      </w:tr>
      <w:tr w:rsidR="00131AE0" w:rsidRPr="00375E87" w14:paraId="2A7BF3BD" w14:textId="77777777" w:rsidTr="0084137B">
        <w:trPr>
          <w:trHeight w:val="397"/>
        </w:trPr>
        <w:tc>
          <w:tcPr>
            <w:tcW w:w="405" w:type="pct"/>
            <w:vMerge/>
            <w:tcBorders>
              <w:left w:val="single" w:sz="4" w:space="0" w:color="auto"/>
              <w:right w:val="single" w:sz="4" w:space="0" w:color="auto"/>
            </w:tcBorders>
          </w:tcPr>
          <w:p w14:paraId="2A41D78E" w14:textId="77777777" w:rsidR="00131AE0" w:rsidRPr="00003CA8" w:rsidRDefault="00131AE0" w:rsidP="00E074AE">
            <w:pPr>
              <w:contextualSpacing/>
              <w:rPr>
                <w:b/>
                <w:bCs/>
                <w:highlight w:val="yellow"/>
              </w:rPr>
            </w:pPr>
          </w:p>
        </w:tc>
        <w:tc>
          <w:tcPr>
            <w:tcW w:w="660" w:type="pct"/>
            <w:tcBorders>
              <w:left w:val="single" w:sz="4" w:space="0" w:color="auto"/>
            </w:tcBorders>
          </w:tcPr>
          <w:p w14:paraId="3AF73741" w14:textId="5CC8A91D" w:rsidR="00131AE0" w:rsidRPr="0084137B" w:rsidRDefault="00131AE0" w:rsidP="00E074AE">
            <w:pPr>
              <w:rPr>
                <w:highlight w:val="yellow"/>
              </w:rPr>
            </w:pPr>
            <w:r w:rsidRPr="00914B53">
              <w:t>Barmah-Millewa Forest</w:t>
            </w:r>
          </w:p>
        </w:tc>
        <w:tc>
          <w:tcPr>
            <w:tcW w:w="3456" w:type="pct"/>
          </w:tcPr>
          <w:p w14:paraId="25D24C79" w14:textId="2860B8DE" w:rsidR="009449C8" w:rsidRPr="00914B53" w:rsidRDefault="009449C8" w:rsidP="00E074AE">
            <w:pPr>
              <w:rPr>
                <w:b/>
                <w:bCs/>
                <w:i/>
                <w:iCs/>
                <w:sz w:val="19"/>
                <w:szCs w:val="19"/>
              </w:rPr>
            </w:pPr>
            <w:r w:rsidRPr="00914B53">
              <w:rPr>
                <w:b/>
                <w:bCs/>
                <w:i/>
                <w:iCs/>
                <w:sz w:val="19"/>
                <w:szCs w:val="19"/>
              </w:rPr>
              <w:t>Unregulated flows</w:t>
            </w:r>
          </w:p>
          <w:p w14:paraId="3445ABCD" w14:textId="1F0EE715" w:rsidR="00131AE0" w:rsidRPr="00914B53" w:rsidRDefault="009449C8" w:rsidP="009449C8">
            <w:pPr>
              <w:pStyle w:val="ListParagraph"/>
              <w:numPr>
                <w:ilvl w:val="0"/>
                <w:numId w:val="50"/>
              </w:numPr>
              <w:rPr>
                <w:sz w:val="19"/>
                <w:szCs w:val="19"/>
              </w:rPr>
            </w:pPr>
            <w:r w:rsidRPr="00914B53">
              <w:rPr>
                <w:sz w:val="19"/>
                <w:szCs w:val="19"/>
              </w:rPr>
              <w:t>Unregulated conditions June, July and August (10 June–1 September) of 2023 meant environmental water requirements were largely met by unregulated flow events. During this time Barmah-Millewa Forest regulators were fully open to allow water to enter low-lying areas of the floodplain to support riparian vegetation fringing the river and creeks, and in low-lying wetlands, increase the availability of habitat and food for native fish and waterbirds, and maintain water quality in Barmah–Millewa creeks.</w:t>
            </w:r>
          </w:p>
          <w:p w14:paraId="08BC6920" w14:textId="77777777" w:rsidR="009449C8" w:rsidRPr="00914B53" w:rsidRDefault="009449C8" w:rsidP="00E074AE">
            <w:pPr>
              <w:rPr>
                <w:b/>
                <w:bCs/>
                <w:i/>
                <w:iCs/>
                <w:sz w:val="19"/>
                <w:szCs w:val="19"/>
              </w:rPr>
            </w:pPr>
            <w:r w:rsidRPr="00914B53">
              <w:rPr>
                <w:b/>
                <w:bCs/>
                <w:i/>
                <w:iCs/>
                <w:sz w:val="19"/>
                <w:szCs w:val="19"/>
              </w:rPr>
              <w:t>Spring Fresh</w:t>
            </w:r>
          </w:p>
          <w:p w14:paraId="3AFC5E63" w14:textId="613186C3" w:rsidR="008C56C4" w:rsidRPr="008C56C4" w:rsidRDefault="008C56C4" w:rsidP="000D1816">
            <w:pPr>
              <w:pStyle w:val="ListParagraph"/>
              <w:numPr>
                <w:ilvl w:val="0"/>
                <w:numId w:val="50"/>
              </w:numPr>
              <w:rPr>
                <w:sz w:val="19"/>
                <w:szCs w:val="19"/>
              </w:rPr>
            </w:pPr>
            <w:r w:rsidRPr="008C56C4">
              <w:rPr>
                <w:sz w:val="19"/>
                <w:szCs w:val="19"/>
              </w:rPr>
              <w:t>Expected outcomes: Supply nutrients and carbon to rivers to support aquatic food webs; Mobilise and export organic matter from low lying wetlands in cooler months (reducing risk of low-oxygen water events); Build native fish condition, movement and spawning; Boost ecosystem productivity; Support riparian vegetation fringing the river and creeks, and in low-lying wetlands; Increase the availability of habitat and food for native fish and waterbirds; Support native fish spawning</w:t>
            </w:r>
            <w:r>
              <w:rPr>
                <w:sz w:val="19"/>
                <w:szCs w:val="19"/>
              </w:rPr>
              <w:t>.</w:t>
            </w:r>
          </w:p>
          <w:p w14:paraId="3AC150CA" w14:textId="6A257B69" w:rsidR="00914B53" w:rsidRPr="00914B53" w:rsidRDefault="00914B53" w:rsidP="00914B53">
            <w:pPr>
              <w:pStyle w:val="ListParagraph"/>
              <w:numPr>
                <w:ilvl w:val="0"/>
                <w:numId w:val="50"/>
              </w:numPr>
              <w:rPr>
                <w:sz w:val="19"/>
                <w:szCs w:val="19"/>
              </w:rPr>
            </w:pPr>
            <w:r w:rsidRPr="00914B53">
              <w:rPr>
                <w:sz w:val="19"/>
                <w:szCs w:val="19"/>
              </w:rPr>
              <w:t>When the river returned to regulated conditions, environmental water mangers began delivering managed overbank flows targeting 3.0 m at Tocumwal as a winter/spring fresh.</w:t>
            </w:r>
          </w:p>
          <w:p w14:paraId="25452CF0" w14:textId="67F85452" w:rsidR="00914B53" w:rsidRPr="00914B53" w:rsidRDefault="00914B53" w:rsidP="00914B53">
            <w:pPr>
              <w:pStyle w:val="ListParagraph"/>
              <w:numPr>
                <w:ilvl w:val="0"/>
                <w:numId w:val="50"/>
              </w:numPr>
              <w:rPr>
                <w:sz w:val="19"/>
                <w:szCs w:val="19"/>
              </w:rPr>
            </w:pPr>
            <w:r w:rsidRPr="00914B53">
              <w:rPr>
                <w:sz w:val="19"/>
                <w:szCs w:val="19"/>
              </w:rPr>
              <w:t xml:space="preserve">Unregulated conditions reduced on 7 October 2023 (7 October – 21 October) and winter/spring environmental water deliveries were paused for 11 days from 3 October and recommenced on 13 October. The spring fresh was then delivered uninterrupted until 5 December. The event had a total duration of 82 days. </w:t>
            </w:r>
          </w:p>
          <w:p w14:paraId="390F9C32" w14:textId="2D657D86" w:rsidR="009449C8" w:rsidRPr="00914B53" w:rsidRDefault="00914B53" w:rsidP="00914B53">
            <w:pPr>
              <w:pStyle w:val="ListParagraph"/>
              <w:numPr>
                <w:ilvl w:val="0"/>
                <w:numId w:val="50"/>
              </w:numPr>
              <w:rPr>
                <w:sz w:val="19"/>
                <w:szCs w:val="19"/>
              </w:rPr>
            </w:pPr>
            <w:r w:rsidRPr="00914B53">
              <w:rPr>
                <w:sz w:val="19"/>
                <w:szCs w:val="19"/>
              </w:rPr>
              <w:t xml:space="preserve">In December 2023, a total of 7.4 of NSW and Victorian TLM environmental water was delivered to Barmah-Millewa Forest to facilitate fish exit from the forest back into the Murray River.  </w:t>
            </w:r>
          </w:p>
        </w:tc>
        <w:tc>
          <w:tcPr>
            <w:tcW w:w="479" w:type="pct"/>
          </w:tcPr>
          <w:p w14:paraId="26E7ED01" w14:textId="704C7C3B" w:rsidR="00131AE0" w:rsidRPr="0084137B" w:rsidRDefault="00660AE6" w:rsidP="00E074AE">
            <w:pPr>
              <w:contextualSpacing/>
              <w:rPr>
                <w:sz w:val="19"/>
                <w:szCs w:val="19"/>
                <w:highlight w:val="yellow"/>
              </w:rPr>
            </w:pPr>
            <w:r w:rsidRPr="00660AE6">
              <w:rPr>
                <w:sz w:val="19"/>
                <w:szCs w:val="19"/>
              </w:rPr>
              <w:t>CEW, TLM, VEWH, NSW and Vic EWA</w:t>
            </w:r>
          </w:p>
        </w:tc>
      </w:tr>
      <w:tr w:rsidR="00131AE0" w:rsidRPr="00375E87" w14:paraId="59491BEE" w14:textId="77777777" w:rsidTr="0084137B">
        <w:trPr>
          <w:trHeight w:val="397"/>
        </w:trPr>
        <w:tc>
          <w:tcPr>
            <w:tcW w:w="405" w:type="pct"/>
            <w:vMerge/>
            <w:tcBorders>
              <w:left w:val="single" w:sz="4" w:space="0" w:color="auto"/>
              <w:bottom w:val="single" w:sz="4" w:space="0" w:color="auto"/>
              <w:right w:val="single" w:sz="4" w:space="0" w:color="auto"/>
            </w:tcBorders>
          </w:tcPr>
          <w:p w14:paraId="32D109EF" w14:textId="77777777" w:rsidR="00131AE0" w:rsidRPr="00003CA8" w:rsidRDefault="00131AE0" w:rsidP="00E074AE">
            <w:pPr>
              <w:contextualSpacing/>
              <w:rPr>
                <w:b/>
                <w:bCs/>
                <w:highlight w:val="yellow"/>
              </w:rPr>
            </w:pPr>
          </w:p>
        </w:tc>
        <w:tc>
          <w:tcPr>
            <w:tcW w:w="660" w:type="pct"/>
            <w:tcBorders>
              <w:left w:val="single" w:sz="4" w:space="0" w:color="auto"/>
            </w:tcBorders>
          </w:tcPr>
          <w:p w14:paraId="1876EA7F" w14:textId="1613D9BC" w:rsidR="00131AE0" w:rsidRPr="00245E9A" w:rsidRDefault="00131AE0" w:rsidP="00E074AE">
            <w:r w:rsidRPr="00245E9A">
              <w:t>Great Darling Anabranch</w:t>
            </w:r>
            <w:r w:rsidR="005A0DF3">
              <w:t xml:space="preserve"> </w:t>
            </w:r>
          </w:p>
        </w:tc>
        <w:tc>
          <w:tcPr>
            <w:tcW w:w="3456" w:type="pct"/>
          </w:tcPr>
          <w:p w14:paraId="50804469" w14:textId="6EFA5ECD" w:rsidR="008C56C4" w:rsidRPr="008C56C4" w:rsidRDefault="008C56C4" w:rsidP="008C56C4">
            <w:pPr>
              <w:rPr>
                <w:b/>
                <w:bCs/>
                <w:i/>
                <w:iCs/>
                <w:sz w:val="19"/>
                <w:szCs w:val="19"/>
              </w:rPr>
            </w:pPr>
            <w:r w:rsidRPr="008C56C4">
              <w:rPr>
                <w:b/>
                <w:bCs/>
                <w:i/>
                <w:iCs/>
                <w:sz w:val="19"/>
                <w:szCs w:val="19"/>
              </w:rPr>
              <w:t>Releases from Lake Cawndilla</w:t>
            </w:r>
          </w:p>
          <w:p w14:paraId="4351EF81" w14:textId="165831EE" w:rsidR="0044256A" w:rsidRDefault="0044256A" w:rsidP="00245E9A">
            <w:pPr>
              <w:pStyle w:val="ListParagraph"/>
              <w:numPr>
                <w:ilvl w:val="0"/>
                <w:numId w:val="47"/>
              </w:numPr>
              <w:rPr>
                <w:sz w:val="19"/>
                <w:szCs w:val="19"/>
              </w:rPr>
            </w:pPr>
            <w:r>
              <w:rPr>
                <w:sz w:val="19"/>
                <w:szCs w:val="19"/>
              </w:rPr>
              <w:t xml:space="preserve">Expected outcomes: </w:t>
            </w:r>
            <w:r w:rsidRPr="0044256A">
              <w:rPr>
                <w:sz w:val="19"/>
                <w:szCs w:val="19"/>
              </w:rPr>
              <w:t xml:space="preserve">These flows aimed to maintain connectivity for native fish movement in the upper Anabranch while also supporting riparian vegetation and providing food and habitat for fish, birds and other fauna. </w:t>
            </w:r>
          </w:p>
          <w:p w14:paraId="250EC75B" w14:textId="315920F4" w:rsidR="00775B26" w:rsidRPr="00245E9A" w:rsidRDefault="00775B26" w:rsidP="00245E9A">
            <w:pPr>
              <w:pStyle w:val="ListParagraph"/>
              <w:numPr>
                <w:ilvl w:val="0"/>
                <w:numId w:val="47"/>
              </w:numPr>
              <w:rPr>
                <w:sz w:val="19"/>
                <w:szCs w:val="19"/>
              </w:rPr>
            </w:pPr>
            <w:r w:rsidRPr="00245E9A">
              <w:rPr>
                <w:sz w:val="19"/>
                <w:szCs w:val="19"/>
              </w:rPr>
              <w:t>Novel arrangements were trialled in 2023-24 where during the period 11 December to 11 January 2024 some of the MDBA’s operational call on water from Menindee Lakes was transferred from Lake Cawndilla down the Anabranch</w:t>
            </w:r>
            <w:r w:rsidR="00245E9A" w:rsidRPr="00245E9A">
              <w:rPr>
                <w:sz w:val="19"/>
                <w:szCs w:val="19"/>
              </w:rPr>
              <w:t>, with CEW used to cover the marginal additional losses associated with the flow compared to if the same operational release had been supplied via the lower Darling/Baaka. CEW: 16,194 ML (8,097 ML each NSW and Victorian allocation)</w:t>
            </w:r>
          </w:p>
        </w:tc>
        <w:tc>
          <w:tcPr>
            <w:tcW w:w="479" w:type="pct"/>
          </w:tcPr>
          <w:p w14:paraId="4302B0E5" w14:textId="44D5A80A" w:rsidR="00131AE0" w:rsidRPr="00245E9A" w:rsidRDefault="00775B26" w:rsidP="00E074AE">
            <w:pPr>
              <w:contextualSpacing/>
              <w:rPr>
                <w:sz w:val="19"/>
                <w:szCs w:val="19"/>
              </w:rPr>
            </w:pPr>
            <w:r w:rsidRPr="00245E9A">
              <w:rPr>
                <w:sz w:val="19"/>
                <w:szCs w:val="19"/>
              </w:rPr>
              <w:t>CEW</w:t>
            </w:r>
          </w:p>
        </w:tc>
      </w:tr>
    </w:tbl>
    <w:p w14:paraId="728D3C56" w14:textId="0D4ED1D5" w:rsidR="00E3316C" w:rsidRDefault="00E3316C" w:rsidP="00BB6D22">
      <w:pPr>
        <w:rPr>
          <w:b/>
          <w:i/>
          <w:color w:val="44546A" w:themeColor="text2"/>
          <w:sz w:val="24"/>
          <w:szCs w:val="24"/>
          <w:highlight w:val="yellow"/>
        </w:rPr>
        <w:sectPr w:rsidR="00E3316C" w:rsidSect="008D628A">
          <w:pgSz w:w="16838" w:h="11906" w:orient="landscape"/>
          <w:pgMar w:top="1440" w:right="1440" w:bottom="1440" w:left="1440" w:header="709" w:footer="709" w:gutter="0"/>
          <w:cols w:space="708"/>
          <w:docGrid w:linePitch="360"/>
        </w:sectPr>
      </w:pPr>
    </w:p>
    <w:p w14:paraId="6AB790AD" w14:textId="7F702205" w:rsidR="0023685A" w:rsidRPr="00813412" w:rsidRDefault="00CD6314" w:rsidP="00411026">
      <w:pPr>
        <w:pStyle w:val="Heading1"/>
        <w:numPr>
          <w:ilvl w:val="0"/>
          <w:numId w:val="0"/>
        </w:numPr>
        <w:ind w:left="851" w:hanging="851"/>
      </w:pPr>
      <w:bookmarkStart w:id="597" w:name="_Toc200467874"/>
      <w:r w:rsidRPr="00620A12">
        <w:lastRenderedPageBreak/>
        <w:t xml:space="preserve">Appendix </w:t>
      </w:r>
      <w:r w:rsidR="00145C00" w:rsidRPr="00620A12">
        <w:t>C</w:t>
      </w:r>
      <w:r w:rsidRPr="00620A12">
        <w:t xml:space="preserve">: </w:t>
      </w:r>
      <w:r w:rsidR="00703A9B" w:rsidRPr="00620A12">
        <w:t>Supplementary i</w:t>
      </w:r>
      <w:r w:rsidRPr="00620A12">
        <w:t>nformation</w:t>
      </w:r>
      <w:r w:rsidR="00703A9B" w:rsidRPr="00620A12">
        <w:t xml:space="preserve"> for indicators</w:t>
      </w:r>
      <w:bookmarkStart w:id="598" w:name="_Ref57300094"/>
      <w:bookmarkEnd w:id="597"/>
    </w:p>
    <w:p w14:paraId="2924293B" w14:textId="0413173D" w:rsidR="0065397A" w:rsidRDefault="0065397A" w:rsidP="0065397A">
      <w:pPr>
        <w:pStyle w:val="Caption"/>
        <w:rPr>
          <w:color w:val="44546A" w:themeColor="text2"/>
          <w:sz w:val="26"/>
          <w:szCs w:val="26"/>
        </w:rPr>
      </w:pPr>
      <w:bookmarkStart w:id="599" w:name="_Hlk101888909"/>
      <w:bookmarkEnd w:id="598"/>
      <w:r w:rsidRPr="00813412">
        <w:rPr>
          <w:color w:val="44546A" w:themeColor="text2"/>
          <w:sz w:val="26"/>
          <w:szCs w:val="26"/>
        </w:rPr>
        <w:t>Matter Transport and Coorong Habitat</w:t>
      </w:r>
    </w:p>
    <w:p w14:paraId="6A4295B2" w14:textId="01FBF040" w:rsidR="00620A12" w:rsidRDefault="00620A12" w:rsidP="00620A12">
      <w:r>
        <w:t xml:space="preserve">This supplementary document includes supporting information and materials for Section </w:t>
      </w:r>
      <w:r>
        <w:fldChar w:fldCharType="begin"/>
      </w:r>
      <w:r>
        <w:instrText xml:space="preserve"> REF _Ref127874546 \r \h </w:instrText>
      </w:r>
      <w:r>
        <w:fldChar w:fldCharType="separate"/>
      </w:r>
      <w:r w:rsidR="00102828">
        <w:t>2.3</w:t>
      </w:r>
      <w:r>
        <w:fldChar w:fldCharType="end"/>
      </w:r>
      <w:r>
        <w:t xml:space="preserve"> ‘Matter Transport and Coorong habitat’. The following figures</w:t>
      </w:r>
      <w:r w:rsidR="00373ECE">
        <w:t xml:space="preserve"> and tables</w:t>
      </w:r>
      <w:r>
        <w:t xml:space="preserve"> are provided in this appendix:</w:t>
      </w:r>
    </w:p>
    <w:p w14:paraId="1775CA33" w14:textId="77777777" w:rsidR="00620A12" w:rsidRDefault="00620A12" w:rsidP="00737BA1">
      <w:pPr>
        <w:pStyle w:val="ListParagraph"/>
        <w:numPr>
          <w:ilvl w:val="0"/>
          <w:numId w:val="22"/>
        </w:numPr>
      </w:pPr>
      <w:r>
        <w:t xml:space="preserve">Figure C1: </w:t>
      </w:r>
      <w:r w:rsidRPr="00E37C42">
        <w:t>(upper panel) CDM model domain with bathymetry and site map for boundary inputs; and (lower panel) zonal definition of areas for sediment materials and model performance analysis.</w:t>
      </w:r>
    </w:p>
    <w:p w14:paraId="1CDAB5A9" w14:textId="189FF9C8" w:rsidR="00620A12" w:rsidRDefault="00620A12" w:rsidP="00737BA1">
      <w:pPr>
        <w:pStyle w:val="ListParagraph"/>
        <w:numPr>
          <w:ilvl w:val="0"/>
          <w:numId w:val="22"/>
        </w:numPr>
      </w:pPr>
      <w:r>
        <w:t>Figure C2: Overview of boundary conditions</w:t>
      </w:r>
      <w:r w:rsidRPr="009C367A">
        <w:t xml:space="preserve"> </w:t>
      </w:r>
      <w:r>
        <w:t>from July 2017 to June 2024</w:t>
      </w:r>
      <w:r w:rsidR="001046D3">
        <w:t>.</w:t>
      </w:r>
    </w:p>
    <w:p w14:paraId="526C60A8" w14:textId="45E27C78" w:rsidR="001046D3" w:rsidRDefault="001046D3" w:rsidP="001046D3">
      <w:pPr>
        <w:pStyle w:val="ListParagraph"/>
        <w:numPr>
          <w:ilvl w:val="0"/>
          <w:numId w:val="22"/>
        </w:numPr>
      </w:pPr>
      <w:r>
        <w:t xml:space="preserve">Figure C3: Example of the 7-year model validation at the centre of the Coorong South Lagoon for elevation, salinity, temperature and nitrogen. </w:t>
      </w:r>
    </w:p>
    <w:p w14:paraId="0D77D18A" w14:textId="77777777" w:rsidR="00620A12" w:rsidRDefault="00620A12" w:rsidP="00737BA1">
      <w:pPr>
        <w:pStyle w:val="ListParagraph"/>
        <w:numPr>
          <w:ilvl w:val="0"/>
          <w:numId w:val="22"/>
        </w:numPr>
      </w:pPr>
      <w:r>
        <w:t>Table</w:t>
      </w:r>
      <w:r w:rsidRPr="00925A7D">
        <w:t xml:space="preserve"> </w:t>
      </w:r>
      <w:r>
        <w:t>C1:</w:t>
      </w:r>
      <w:r w:rsidRPr="00925A7D">
        <w:t xml:space="preserve">  </w:t>
      </w:r>
      <w:r>
        <w:t>CDM performance overview</w:t>
      </w:r>
      <w:r w:rsidRPr="00925A7D">
        <w:t xml:space="preserve">.  </w:t>
      </w:r>
    </w:p>
    <w:p w14:paraId="7651714E" w14:textId="6335090A" w:rsidR="00373ECE" w:rsidRDefault="00373ECE" w:rsidP="00737BA1">
      <w:pPr>
        <w:pStyle w:val="ListParagraph"/>
        <w:numPr>
          <w:ilvl w:val="0"/>
          <w:numId w:val="22"/>
        </w:numPr>
      </w:pPr>
      <w:r>
        <w:t xml:space="preserve">Table C2: </w:t>
      </w:r>
      <w:r w:rsidRPr="00373ECE">
        <w:t>Matter Transport evaluation questions and answers from previous annual report</w:t>
      </w:r>
      <w:r>
        <w:t>s.</w:t>
      </w:r>
    </w:p>
    <w:p w14:paraId="48AE5700" w14:textId="55A4EFB7" w:rsidR="00620A12" w:rsidRDefault="00620A12" w:rsidP="00737BA1">
      <w:pPr>
        <w:pStyle w:val="ListParagraph"/>
        <w:numPr>
          <w:ilvl w:val="0"/>
          <w:numId w:val="22"/>
        </w:numPr>
      </w:pPr>
      <w:r>
        <w:t>Table C</w:t>
      </w:r>
      <w:r w:rsidR="00373ECE">
        <w:t>3</w:t>
      </w:r>
      <w:r>
        <w:t xml:space="preserve">: </w:t>
      </w:r>
      <w:r w:rsidRPr="00E10940">
        <w:t>Summary of lethal concentration</w:t>
      </w:r>
      <w:r>
        <w:t xml:space="preserve"> of salinity for seven fish species.</w:t>
      </w:r>
    </w:p>
    <w:p w14:paraId="634C79DB" w14:textId="338D1D84" w:rsidR="00620A12" w:rsidRDefault="00620A12" w:rsidP="00737BA1">
      <w:pPr>
        <w:pStyle w:val="ListParagraph"/>
        <w:numPr>
          <w:ilvl w:val="0"/>
          <w:numId w:val="22"/>
        </w:numPr>
      </w:pPr>
      <w:r>
        <w:t>Table C</w:t>
      </w:r>
      <w:r w:rsidR="00373ECE">
        <w:t>4</w:t>
      </w:r>
      <w:r>
        <w:t>: Fish habitat suitability functions.</w:t>
      </w:r>
    </w:p>
    <w:p w14:paraId="07EBC51E" w14:textId="77777777" w:rsidR="00620A12" w:rsidRPr="008C56C4" w:rsidRDefault="00620A12" w:rsidP="00620A12">
      <w:r>
        <w:t xml:space="preserve">Further supporting materials </w:t>
      </w:r>
      <w:r w:rsidRPr="008C56C4">
        <w:t>of plots and summary tables for result comparison between the modelling scenarios are available on request including:</w:t>
      </w:r>
    </w:p>
    <w:p w14:paraId="7AF5BB5B" w14:textId="77777777" w:rsidR="00620A12" w:rsidRPr="008C56C4" w:rsidRDefault="00620A12" w:rsidP="00737BA1">
      <w:pPr>
        <w:pStyle w:val="ListParagraph"/>
        <w:numPr>
          <w:ilvl w:val="0"/>
          <w:numId w:val="23"/>
        </w:numPr>
      </w:pPr>
      <w:r w:rsidRPr="008C56C4">
        <w:t>Model performance summary: time series plots of key water quality parameters from the ‘base-case’ scenario against observations in selected zones (zonal definition provided in Figure C2), and model performance scores; enclosed in the supplementary folder ‘CDM performance’;</w:t>
      </w:r>
    </w:p>
    <w:p w14:paraId="40217963" w14:textId="77777777" w:rsidR="00620A12" w:rsidRPr="008C56C4" w:rsidRDefault="00620A12" w:rsidP="00737BA1">
      <w:pPr>
        <w:pStyle w:val="ListParagraph"/>
        <w:numPr>
          <w:ilvl w:val="0"/>
          <w:numId w:val="23"/>
        </w:numPr>
      </w:pPr>
      <w:r w:rsidRPr="008C56C4">
        <w:t xml:space="preserve">Scenarios – timeseries: time series plots of key water quality parameters predicted from the ‘no CEW’ and ‘no eWater’ scenarios against the ‘base-case’ scenario in selected zones; enclosed in the supplementary folder ‘Scenarios – timeseries’; </w:t>
      </w:r>
    </w:p>
    <w:p w14:paraId="5F3A9105" w14:textId="77777777" w:rsidR="00620A12" w:rsidRPr="008C56C4" w:rsidRDefault="00620A12" w:rsidP="00737BA1">
      <w:pPr>
        <w:pStyle w:val="ListParagraph"/>
        <w:numPr>
          <w:ilvl w:val="0"/>
          <w:numId w:val="23"/>
        </w:numPr>
      </w:pPr>
      <w:r w:rsidRPr="008C56C4">
        <w:t>Scenarios – transect: transect plots of key water quality parameters predicted from the ‘no CEW’ and ‘no eWater’ scenarios against the ‘base-case’ scenario in selected zones; enclosed in the supplementary folder ‘Scenarios – transect;</w:t>
      </w:r>
    </w:p>
    <w:p w14:paraId="64DA66A6" w14:textId="77777777" w:rsidR="00620A12" w:rsidRPr="008C56C4" w:rsidRDefault="00620A12" w:rsidP="00737BA1">
      <w:pPr>
        <w:pStyle w:val="ListParagraph"/>
        <w:numPr>
          <w:ilvl w:val="0"/>
          <w:numId w:val="23"/>
        </w:numPr>
      </w:pPr>
      <w:r w:rsidRPr="008C56C4">
        <w:t>Salt and nutrient transport summary: summary tables of salt and nutrient fluxes through barrages, Murray Mouth, Pelican Point (southward to North Lagoon), and Parnka Point (southward to South Lagoon) of all 5 scenarios; enclosed in the supplementary folder ‘Salt and nutrient transport summary’;</w:t>
      </w:r>
    </w:p>
    <w:p w14:paraId="29A0D57C" w14:textId="77777777" w:rsidR="00620A12" w:rsidRPr="008C56C4" w:rsidRDefault="00620A12" w:rsidP="00737BA1">
      <w:pPr>
        <w:pStyle w:val="ListParagraph"/>
        <w:numPr>
          <w:ilvl w:val="0"/>
          <w:numId w:val="23"/>
        </w:numPr>
      </w:pPr>
      <w:r w:rsidRPr="008C56C4">
        <w:t>Salinity and nutrient mean/median concentration summary: summary tables of mean and median salinity and nutrient concentrations at Murray Mouth, Long Point (North Lagoon), and Woods well (South Lagoon) of all 5 scenarios; enclosed in the supplementary folder ‘salinity and nutrient mean median concentration summary’.</w:t>
      </w:r>
    </w:p>
    <w:p w14:paraId="1A2AAE19" w14:textId="77777777" w:rsidR="00620A12" w:rsidRDefault="00620A12" w:rsidP="00620A12">
      <w:pPr>
        <w:pStyle w:val="ListParagraph"/>
      </w:pPr>
    </w:p>
    <w:p w14:paraId="7265A376" w14:textId="77777777" w:rsidR="00620A12" w:rsidRDefault="00620A12" w:rsidP="00620A12">
      <w:pPr>
        <w:spacing w:before="0" w:after="160" w:line="259" w:lineRule="auto"/>
        <w:jc w:val="left"/>
      </w:pPr>
    </w:p>
    <w:p w14:paraId="403CD06A" w14:textId="77777777" w:rsidR="00620A12" w:rsidRDefault="00620A12" w:rsidP="00620A12">
      <w:pPr>
        <w:spacing w:before="0" w:after="160" w:line="259" w:lineRule="auto"/>
        <w:jc w:val="left"/>
      </w:pPr>
    </w:p>
    <w:p w14:paraId="781457BC" w14:textId="77777777" w:rsidR="00620A12" w:rsidRDefault="00620A12" w:rsidP="00620A12">
      <w:pPr>
        <w:spacing w:before="0" w:after="160" w:line="259" w:lineRule="auto"/>
        <w:jc w:val="left"/>
      </w:pPr>
      <w:r>
        <w:rPr>
          <w:noProof/>
        </w:rPr>
        <w:lastRenderedPageBreak/>
        <w:drawing>
          <wp:inline distT="0" distB="0" distL="0" distR="0" wp14:anchorId="4883A0AE" wp14:editId="0F0077DE">
            <wp:extent cx="5731510" cy="7677785"/>
            <wp:effectExtent l="0" t="0" r="2540" b="0"/>
            <wp:docPr id="17" name="Picture 17" descr="Map of the Coorong showing CDM model domain with bathymetry and site map for boundary inputs; and  zonal definition of areas for sediment materials and model performance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ap of the Coorong showing CDM model domain with bathymetry and site map for boundary inputs; and  zonal definition of areas for sediment materials and model performance analysis."/>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731510" cy="7677785"/>
                    </a:xfrm>
                    <a:prstGeom prst="rect">
                      <a:avLst/>
                    </a:prstGeom>
                    <a:noFill/>
                    <a:ln>
                      <a:noFill/>
                    </a:ln>
                  </pic:spPr>
                </pic:pic>
              </a:graphicData>
            </a:graphic>
          </wp:inline>
        </w:drawing>
      </w:r>
    </w:p>
    <w:p w14:paraId="3F76B059" w14:textId="77777777" w:rsidR="00620A12" w:rsidRDefault="00620A12" w:rsidP="00605FB2">
      <w:pPr>
        <w:pStyle w:val="Captions"/>
      </w:pPr>
      <w:r w:rsidRPr="007B50DC">
        <w:t xml:space="preserve">Figure </w:t>
      </w:r>
      <w:r>
        <w:t>C</w:t>
      </w:r>
      <w:r w:rsidRPr="007B50DC">
        <w:t>1.</w:t>
      </w:r>
      <w:r>
        <w:t xml:space="preserve"> (upper panel) CDM model domain with bathymetry and site map for boundary inputs; and (lower panel) zonal definition of areas for sediment materials and model performance analysis.</w:t>
      </w:r>
    </w:p>
    <w:p w14:paraId="47581349" w14:textId="77777777" w:rsidR="00620A12" w:rsidRDefault="00620A12" w:rsidP="00620A12">
      <w:pPr>
        <w:spacing w:before="0" w:after="160" w:line="259" w:lineRule="auto"/>
        <w:jc w:val="left"/>
      </w:pPr>
    </w:p>
    <w:p w14:paraId="18E89FE7" w14:textId="77777777" w:rsidR="00620A12" w:rsidRDefault="00620A12" w:rsidP="00620A12">
      <w:pPr>
        <w:pStyle w:val="EndNoteBibliography"/>
        <w:spacing w:before="0" w:after="0" w:line="360" w:lineRule="auto"/>
        <w:contextualSpacing/>
        <w:jc w:val="left"/>
        <w:sectPr w:rsidR="00620A12" w:rsidSect="00620A12">
          <w:pgSz w:w="11906" w:h="16838"/>
          <w:pgMar w:top="1440" w:right="1440" w:bottom="1440" w:left="1440" w:header="709" w:footer="709" w:gutter="0"/>
          <w:cols w:space="708"/>
          <w:docGrid w:linePitch="360"/>
        </w:sectPr>
      </w:pPr>
    </w:p>
    <w:p w14:paraId="2F4B263A" w14:textId="77777777" w:rsidR="00620A12" w:rsidRDefault="00620A12" w:rsidP="00620A12">
      <w:pPr>
        <w:spacing w:before="0" w:after="160" w:line="259" w:lineRule="auto"/>
        <w:jc w:val="center"/>
      </w:pPr>
      <w:r w:rsidRPr="00AE345D">
        <w:lastRenderedPageBreak/>
        <w:t xml:space="preserve"> </w:t>
      </w:r>
      <w:r>
        <w:rPr>
          <w:noProof/>
        </w:rPr>
        <w:drawing>
          <wp:inline distT="0" distB="0" distL="0" distR="0" wp14:anchorId="3C0A5B32" wp14:editId="61D93DD8">
            <wp:extent cx="8863330" cy="4771390"/>
            <wp:effectExtent l="0" t="0" r="0" b="0"/>
            <wp:docPr id="848547519" name="Picture 2" descr="Graphs showing overview of boundary conditions from July 2017 to June 2024 including tidal elevations at Victor Harbor, total barrage flow rate, salt creek flow rate, air temperature, daily rainfall and wind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547519" name="Picture 2" descr="Graphs showing overview of boundary conditions from July 2017 to June 2024 including tidal elevations at Victor Harbor, total barrage flow rate, salt creek flow rate, air temperature, daily rainfall and wind conditions."/>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8863330" cy="4771390"/>
                    </a:xfrm>
                    <a:prstGeom prst="rect">
                      <a:avLst/>
                    </a:prstGeom>
                    <a:noFill/>
                    <a:ln>
                      <a:noFill/>
                    </a:ln>
                  </pic:spPr>
                </pic:pic>
              </a:graphicData>
            </a:graphic>
          </wp:inline>
        </w:drawing>
      </w:r>
    </w:p>
    <w:p w14:paraId="08E06D9E" w14:textId="7DDBA7C2" w:rsidR="00787B2C" w:rsidRDefault="00620A12" w:rsidP="00605FB2">
      <w:pPr>
        <w:pStyle w:val="Captions"/>
        <w:rPr>
          <w:rFonts w:ascii="Calibri" w:eastAsiaTheme="minorHAnsi" w:hAnsi="Calibri" w:cs="Calibri"/>
          <w:noProof/>
          <w:szCs w:val="22"/>
        </w:rPr>
      </w:pPr>
      <w:r w:rsidRPr="0044645D">
        <w:t xml:space="preserve">Figure </w:t>
      </w:r>
      <w:r>
        <w:t>C2</w:t>
      </w:r>
      <w:r w:rsidRPr="0044645D">
        <w:t>.</w:t>
      </w:r>
      <w:r>
        <w:t xml:space="preserve"> Overview of boundary conditions</w:t>
      </w:r>
      <w:r w:rsidRPr="009C367A">
        <w:t xml:space="preserve"> </w:t>
      </w:r>
      <w:r>
        <w:t>from July 2017 to June 2024. (a) Tidal elevations at Victor Harbor; (b) total barrage flow rate; (c) Salt Creek flow rate; (d) air temperature; (e) daily rainfall rate, and (f) rose-chart of wind conditions. The gray lines in figure (a) – (e) indicate the raw data and the dark lines indicate the monthly-average boundary conditions.</w:t>
      </w:r>
      <w:r w:rsidR="00787B2C">
        <w:br w:type="page"/>
      </w:r>
    </w:p>
    <w:p w14:paraId="2A6E1262" w14:textId="77777777" w:rsidR="00620A12" w:rsidRDefault="00620A12" w:rsidP="00620A12">
      <w:pPr>
        <w:pStyle w:val="EndNoteBibliography"/>
        <w:spacing w:before="0" w:after="0" w:line="360" w:lineRule="auto"/>
        <w:contextualSpacing/>
        <w:jc w:val="left"/>
        <w:sectPr w:rsidR="00620A12" w:rsidSect="00620A12">
          <w:pgSz w:w="16838" w:h="11906" w:orient="landscape"/>
          <w:pgMar w:top="1440" w:right="1440" w:bottom="1440" w:left="1440" w:header="709" w:footer="709" w:gutter="0"/>
          <w:cols w:space="708"/>
          <w:docGrid w:linePitch="360"/>
        </w:sectPr>
      </w:pPr>
    </w:p>
    <w:p w14:paraId="37A8B949" w14:textId="77777777" w:rsidR="001046D3" w:rsidRDefault="001046D3" w:rsidP="001046D3">
      <w:pPr>
        <w:spacing w:before="0" w:after="160" w:line="259" w:lineRule="auto"/>
        <w:jc w:val="center"/>
      </w:pPr>
      <w:r>
        <w:rPr>
          <w:noProof/>
        </w:rPr>
        <w:lastRenderedPageBreak/>
        <w:drawing>
          <wp:inline distT="0" distB="0" distL="0" distR="0" wp14:anchorId="43CF54DB" wp14:editId="1D4EF6BC">
            <wp:extent cx="4089400" cy="1993329"/>
            <wp:effectExtent l="0" t="0" r="0" b="635"/>
            <wp:docPr id="1329685206" name="Picture 43" descr="A graph showing example validation plots comparing conditions in the South Lagoon for water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85206" name="Picture 43" descr="A graph showing example validation plots comparing conditions in the South Lagoon for water level."/>
                    <pic:cNvPicPr/>
                  </pic:nvPicPr>
                  <pic:blipFill rotWithShape="1">
                    <a:blip r:embed="rId150" cstate="print">
                      <a:extLst>
                        <a:ext uri="{28A0092B-C50C-407E-A947-70E740481C1C}">
                          <a14:useLocalDpi xmlns:a14="http://schemas.microsoft.com/office/drawing/2010/main" val="0"/>
                        </a:ext>
                      </a:extLst>
                    </a:blip>
                    <a:srcRect t="2513"/>
                    <a:stretch>
                      <a:fillRect/>
                    </a:stretch>
                  </pic:blipFill>
                  <pic:spPr bwMode="auto">
                    <a:xfrm>
                      <a:off x="0" y="0"/>
                      <a:ext cx="4107934" cy="200236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C46F4B6" wp14:editId="346A84A6">
            <wp:extent cx="4089400" cy="2044700"/>
            <wp:effectExtent l="0" t="0" r="0" b="0"/>
            <wp:docPr id="945499452" name="Picture 44" descr="A graph showing example validation plots comparing conditions in the South Lagoon for sal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99452" name="Picture 44" descr="A graph showing example validation plots comparing conditions in the South Lagoon for salinity."/>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4098000" cy="2049000"/>
                    </a:xfrm>
                    <a:prstGeom prst="rect">
                      <a:avLst/>
                    </a:prstGeom>
                  </pic:spPr>
                </pic:pic>
              </a:graphicData>
            </a:graphic>
          </wp:inline>
        </w:drawing>
      </w:r>
      <w:r>
        <w:rPr>
          <w:noProof/>
        </w:rPr>
        <w:drawing>
          <wp:inline distT="0" distB="0" distL="0" distR="0" wp14:anchorId="2E01EDA5" wp14:editId="61009ED6">
            <wp:extent cx="4089679" cy="2044840"/>
            <wp:effectExtent l="0" t="0" r="0" b="0"/>
            <wp:docPr id="1114797930" name="Picture 45" descr="A graph showing example validation plots comparing conditions in the South Lagoon for temper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97930" name="Picture 45" descr="A graph showing example validation plots comparing conditions in the South Lagoon for temperature."/>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4112181" cy="2056091"/>
                    </a:xfrm>
                    <a:prstGeom prst="rect">
                      <a:avLst/>
                    </a:prstGeom>
                  </pic:spPr>
                </pic:pic>
              </a:graphicData>
            </a:graphic>
          </wp:inline>
        </w:drawing>
      </w:r>
      <w:r>
        <w:rPr>
          <w:noProof/>
        </w:rPr>
        <w:drawing>
          <wp:inline distT="0" distB="0" distL="0" distR="0" wp14:anchorId="67C3A17C" wp14:editId="31D61D84">
            <wp:extent cx="3978908" cy="1931541"/>
            <wp:effectExtent l="0" t="0" r="0" b="0"/>
            <wp:docPr id="1497622006" name="Picture 46" descr="A graph showing example validation plots comparing conditions in the South Lagoon for nitr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622006" name="Picture 46" descr="A graph showing example validation plots comparing conditions in the South Lagoon for nitrogen."/>
                    <pic:cNvPicPr/>
                  </pic:nvPicPr>
                  <pic:blipFill rotWithShape="1">
                    <a:blip r:embed="rId153" cstate="print">
                      <a:extLst>
                        <a:ext uri="{28A0092B-C50C-407E-A947-70E740481C1C}">
                          <a14:useLocalDpi xmlns:a14="http://schemas.microsoft.com/office/drawing/2010/main" val="0"/>
                        </a:ext>
                      </a:extLst>
                    </a:blip>
                    <a:srcRect b="2911"/>
                    <a:stretch>
                      <a:fillRect/>
                    </a:stretch>
                  </pic:blipFill>
                  <pic:spPr bwMode="auto">
                    <a:xfrm>
                      <a:off x="0" y="0"/>
                      <a:ext cx="3998796" cy="1941196"/>
                    </a:xfrm>
                    <a:prstGeom prst="rect">
                      <a:avLst/>
                    </a:prstGeom>
                    <a:ln>
                      <a:noFill/>
                    </a:ln>
                    <a:extLst>
                      <a:ext uri="{53640926-AAD7-44D8-BBD7-CCE9431645EC}">
                        <a14:shadowObscured xmlns:a14="http://schemas.microsoft.com/office/drawing/2010/main"/>
                      </a:ext>
                    </a:extLst>
                  </pic:spPr>
                </pic:pic>
              </a:graphicData>
            </a:graphic>
          </wp:inline>
        </w:drawing>
      </w:r>
    </w:p>
    <w:p w14:paraId="5ED8F22B" w14:textId="77777777" w:rsidR="001046D3" w:rsidRDefault="001046D3" w:rsidP="00605FB2">
      <w:pPr>
        <w:pStyle w:val="Captions"/>
      </w:pPr>
      <w:r w:rsidRPr="007B50DC">
        <w:t xml:space="preserve">Figure </w:t>
      </w:r>
      <w:r>
        <w:t>C3</w:t>
      </w:r>
      <w:r w:rsidRPr="007B50DC">
        <w:t>.</w:t>
      </w:r>
      <w:r>
        <w:t xml:space="preserve"> Example validation plots comparing conditions in the South Lagoon for water level (upper panel), salinity (second panel), temperature (third panel) and nitrogen (bottom panel), for the 7-year assessment period. See Table C1 for detailed error statistics.</w:t>
      </w:r>
    </w:p>
    <w:p w14:paraId="06C519E9" w14:textId="0743BED4" w:rsidR="00620A12" w:rsidRPr="004E189E" w:rsidRDefault="00620A12" w:rsidP="00605FB2">
      <w:pPr>
        <w:pStyle w:val="Captions"/>
      </w:pPr>
      <w:bookmarkStart w:id="600" w:name="_Hlk207968985"/>
      <w:r w:rsidRPr="004E189E">
        <w:lastRenderedPageBreak/>
        <w:t>Table C1</w:t>
      </w:r>
      <w:r w:rsidR="001409B6">
        <w:t>.</w:t>
      </w:r>
      <w:r w:rsidRPr="004E189E">
        <w:t xml:space="preserve"> Coorong Dynamics Model performance summary</w:t>
      </w:r>
      <w:r w:rsidR="00830716">
        <w:t>.</w:t>
      </w:r>
    </w:p>
    <w:bookmarkEnd w:id="600"/>
    <w:p w14:paraId="527FB1D8" w14:textId="16596FD8" w:rsidR="00620A12" w:rsidRDefault="00620A12" w:rsidP="001409B6">
      <w:r w:rsidRPr="004E189E">
        <w:t>The model outputs are validated against measured data on water elevation, salinity and temperature. R is the correlation coefficient. MAE is mean absolute error, a measure of errors between paired observations expressing the same phenomenon</w:t>
      </w:r>
      <w:r w:rsidR="0009632D">
        <w:t>,</w:t>
      </w:r>
      <w:r w:rsidRPr="004E189E">
        <w:t xml:space="preserve"> i</w:t>
      </w:r>
      <w:r w:rsidR="0009632D">
        <w:t>.</w:t>
      </w:r>
      <w:r w:rsidRPr="004E189E">
        <w:t>e</w:t>
      </w:r>
      <w:r w:rsidR="0009632D">
        <w:t>.</w:t>
      </w:r>
      <w:r w:rsidRPr="004E189E">
        <w:t xml:space="preserve"> the model and the monitored data. T</w:t>
      </w:r>
      <w:r w:rsidRPr="004E189E">
        <w:rPr>
          <w:color w:val="474747"/>
          <w:shd w:val="clear" w:color="auto" w:fill="FFFFFF"/>
        </w:rPr>
        <w:t>he bias is an estimation of the difference between th</w:t>
      </w:r>
      <w:r w:rsidR="0009632D">
        <w:rPr>
          <w:color w:val="474747"/>
          <w:shd w:val="clear" w:color="auto" w:fill="FFFFFF"/>
        </w:rPr>
        <w:t>e</w:t>
      </w:r>
      <w:r w:rsidRPr="004E189E">
        <w:rPr>
          <w:color w:val="474747"/>
          <w:shd w:val="clear" w:color="auto" w:fill="FFFFFF"/>
        </w:rPr>
        <w:t>s</w:t>
      </w:r>
      <w:r w:rsidR="0009632D">
        <w:rPr>
          <w:color w:val="474747"/>
          <w:shd w:val="clear" w:color="auto" w:fill="FFFFFF"/>
        </w:rPr>
        <w:t>e</w:t>
      </w:r>
      <w:r w:rsidRPr="004E189E">
        <w:rPr>
          <w:color w:val="474747"/>
          <w:shd w:val="clear" w:color="auto" w:fill="FFFFFF"/>
        </w:rPr>
        <w:t xml:space="preserve"> models expected value and the true value of the parameter being simulated (water elevation is mAHD).</w:t>
      </w:r>
    </w:p>
    <w:p w14:paraId="07D6A023" w14:textId="77777777" w:rsidR="00620A12" w:rsidRDefault="00620A12" w:rsidP="00620A12">
      <w:pPr>
        <w:pStyle w:val="EndNoteBibliography"/>
        <w:spacing w:before="0" w:after="0" w:line="360" w:lineRule="auto"/>
        <w:contextualSpacing/>
        <w:jc w:val="center"/>
      </w:pPr>
      <w:r w:rsidRPr="006F4774">
        <w:drawing>
          <wp:inline distT="0" distB="0" distL="0" distR="0" wp14:anchorId="25C2D82C" wp14:editId="6670DDD7">
            <wp:extent cx="5731510" cy="1960880"/>
            <wp:effectExtent l="0" t="0" r="2540" b="1270"/>
            <wp:docPr id="1720299044" name="Picture 5" descr="Summary of Coorong Dynamics Model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299044" name="Picture 5" descr="Summary of Coorong Dynamics Model performance."/>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731510" cy="1960880"/>
                    </a:xfrm>
                    <a:prstGeom prst="rect">
                      <a:avLst/>
                    </a:prstGeom>
                    <a:noFill/>
                    <a:ln>
                      <a:noFill/>
                    </a:ln>
                  </pic:spPr>
                </pic:pic>
              </a:graphicData>
            </a:graphic>
          </wp:inline>
        </w:drawing>
      </w:r>
    </w:p>
    <w:p w14:paraId="4FCA0B12" w14:textId="77777777" w:rsidR="00620A12" w:rsidRDefault="00620A12" w:rsidP="00620A12">
      <w:pPr>
        <w:pStyle w:val="EndNoteBibliography"/>
        <w:spacing w:before="0" w:after="0" w:line="360" w:lineRule="auto"/>
        <w:contextualSpacing/>
        <w:jc w:val="center"/>
      </w:pPr>
    </w:p>
    <w:p w14:paraId="15179FC3" w14:textId="77777777" w:rsidR="00620A12" w:rsidRDefault="00620A12" w:rsidP="00620A12">
      <w:pPr>
        <w:pStyle w:val="EndNoteBibliography"/>
        <w:spacing w:before="0" w:after="0" w:line="360" w:lineRule="auto"/>
        <w:contextualSpacing/>
        <w:jc w:val="center"/>
      </w:pPr>
      <w:r w:rsidRPr="006F4774">
        <w:drawing>
          <wp:inline distT="0" distB="0" distL="0" distR="0" wp14:anchorId="7B481764" wp14:editId="6D40FFC8">
            <wp:extent cx="5731510" cy="1960880"/>
            <wp:effectExtent l="0" t="0" r="2540" b="1270"/>
            <wp:docPr id="1890309784" name="Picture 6" descr="Summary of Coorong Dynamics Model performan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309784" name="Picture 6" descr="Summary of Coorong Dynamics Model performance.">
                      <a:extLst>
                        <a:ext uri="{C183D7F6-B498-43B3-948B-1728B52AA6E4}">
                          <adec:decorative xmlns:adec="http://schemas.microsoft.com/office/drawing/2017/decorative" val="0"/>
                        </a:ext>
                      </a:extLst>
                    </pic:cNvPr>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731510" cy="1960880"/>
                    </a:xfrm>
                    <a:prstGeom prst="rect">
                      <a:avLst/>
                    </a:prstGeom>
                    <a:noFill/>
                    <a:ln>
                      <a:noFill/>
                    </a:ln>
                  </pic:spPr>
                </pic:pic>
              </a:graphicData>
            </a:graphic>
          </wp:inline>
        </w:drawing>
      </w:r>
    </w:p>
    <w:p w14:paraId="4658B6BC" w14:textId="77777777" w:rsidR="00620A12" w:rsidRDefault="00620A12" w:rsidP="00620A12">
      <w:pPr>
        <w:pStyle w:val="EndNoteBibliography"/>
        <w:spacing w:before="0" w:after="0" w:line="360" w:lineRule="auto"/>
        <w:contextualSpacing/>
        <w:jc w:val="center"/>
      </w:pPr>
    </w:p>
    <w:p w14:paraId="54671B4B" w14:textId="77777777" w:rsidR="00620A12" w:rsidRDefault="00620A12" w:rsidP="00620A12">
      <w:pPr>
        <w:pStyle w:val="EndNoteBibliography"/>
        <w:spacing w:before="0" w:after="0" w:line="360" w:lineRule="auto"/>
        <w:contextualSpacing/>
        <w:jc w:val="center"/>
      </w:pPr>
      <w:r w:rsidRPr="006F4774">
        <w:drawing>
          <wp:inline distT="0" distB="0" distL="0" distR="0" wp14:anchorId="4799A18D" wp14:editId="30321FB2">
            <wp:extent cx="5731510" cy="1960880"/>
            <wp:effectExtent l="0" t="0" r="2540" b="1270"/>
            <wp:docPr id="92481866" name="Picture 7" descr="Summary of Coorong Dynamics Model performan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1866" name="Picture 7" descr="Summary of Coorong Dynamics Model performance.">
                      <a:extLst>
                        <a:ext uri="{C183D7F6-B498-43B3-948B-1728B52AA6E4}">
                          <adec:decorative xmlns:adec="http://schemas.microsoft.com/office/drawing/2017/decorative" val="0"/>
                        </a:ext>
                      </a:extLst>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731510" cy="1960880"/>
                    </a:xfrm>
                    <a:prstGeom prst="rect">
                      <a:avLst/>
                    </a:prstGeom>
                    <a:noFill/>
                    <a:ln>
                      <a:noFill/>
                    </a:ln>
                  </pic:spPr>
                </pic:pic>
              </a:graphicData>
            </a:graphic>
          </wp:inline>
        </w:drawing>
      </w:r>
    </w:p>
    <w:p w14:paraId="73EA27DD" w14:textId="482D2D6D" w:rsidR="00FB33C3" w:rsidRDefault="00FB33C3" w:rsidP="00620A12">
      <w:pPr>
        <w:spacing w:before="0" w:after="160" w:line="259" w:lineRule="auto"/>
        <w:jc w:val="left"/>
      </w:pPr>
    </w:p>
    <w:p w14:paraId="3FC2BDAF" w14:textId="77777777" w:rsidR="00FB33C3" w:rsidRDefault="00FB33C3" w:rsidP="00620A12">
      <w:pPr>
        <w:spacing w:before="0" w:after="160" w:line="259" w:lineRule="auto"/>
        <w:jc w:val="left"/>
      </w:pPr>
    </w:p>
    <w:p w14:paraId="599D37D7" w14:textId="77777777" w:rsidR="00FB33C3" w:rsidRDefault="00FB33C3" w:rsidP="00620A12">
      <w:pPr>
        <w:spacing w:before="0" w:after="160" w:line="259" w:lineRule="auto"/>
        <w:jc w:val="left"/>
        <w:sectPr w:rsidR="00FB33C3" w:rsidSect="000325B1">
          <w:pgSz w:w="11906" w:h="16838"/>
          <w:pgMar w:top="1440" w:right="1440" w:bottom="1440" w:left="1440" w:header="709" w:footer="709" w:gutter="0"/>
          <w:cols w:space="708"/>
          <w:docGrid w:linePitch="360"/>
        </w:sectPr>
      </w:pPr>
    </w:p>
    <w:p w14:paraId="7149F161" w14:textId="4C098F2D" w:rsidR="008A5E01" w:rsidRDefault="00605FB2" w:rsidP="00605FB2">
      <w:r>
        <w:lastRenderedPageBreak/>
        <w:t>Table C2 shows t</w:t>
      </w:r>
      <w:r w:rsidR="008A5E01" w:rsidRPr="00605FB2">
        <w:t xml:space="preserve">he salt export and salinity data </w:t>
      </w:r>
      <w:r>
        <w:t xml:space="preserve">due to the contribution by Commonwealth environmental water reported in the previous annual report (Ye </w:t>
      </w:r>
      <w:r w:rsidRPr="00605FB2">
        <w:rPr>
          <w:i/>
          <w:iCs/>
        </w:rPr>
        <w:t>et al.</w:t>
      </w:r>
      <w:r>
        <w:t xml:space="preserve"> 2023). The numbers </w:t>
      </w:r>
      <w:r w:rsidR="008A5E01" w:rsidRPr="00605FB2">
        <w:t xml:space="preserve">reflect the most updated </w:t>
      </w:r>
      <w:r w:rsidRPr="00605FB2">
        <w:t>modelling</w:t>
      </w:r>
      <w:r w:rsidR="008A5E01" w:rsidRPr="00605FB2">
        <w:t xml:space="preserve"> approach in that evaluation year. Data reported for years 2014-15 to 2016-17 are from the large domain model previously used in the LTIM reporting</w:t>
      </w:r>
      <w:r>
        <w:t xml:space="preserve"> (Ye </w:t>
      </w:r>
      <w:r w:rsidRPr="00605FB2">
        <w:rPr>
          <w:i/>
          <w:iCs/>
        </w:rPr>
        <w:t>et al.</w:t>
      </w:r>
      <w:r>
        <w:t xml:space="preserve"> 2020)</w:t>
      </w:r>
      <w:r w:rsidR="008A5E01" w:rsidRPr="00605FB2">
        <w:t xml:space="preserve">. The numbers for 2017-18 to 2021-22 are from an updated model approach, incorporating the CDM model (Ye et al. 2023). The numbers for 2022-23 are from the current (2023-24) modelling approach, which uses a different salinity reference site in </w:t>
      </w:r>
      <w:r w:rsidR="00BF195B">
        <w:t xml:space="preserve">the middle of </w:t>
      </w:r>
      <w:r w:rsidR="008A5E01" w:rsidRPr="00605FB2">
        <w:t>Lake Alexandrina</w:t>
      </w:r>
      <w:r w:rsidR="00783563">
        <w:t xml:space="preserve">, and </w:t>
      </w:r>
      <w:r w:rsidR="00123C95">
        <w:t>utilises</w:t>
      </w:r>
      <w:r w:rsidR="00783563">
        <w:t xml:space="preserve"> </w:t>
      </w:r>
      <w:r w:rsidR="00123C95">
        <w:t>the most recent version</w:t>
      </w:r>
      <w:r w:rsidR="00783563">
        <w:t xml:space="preserve"> of the barrage calculator</w:t>
      </w:r>
      <w:r w:rsidR="00123C95">
        <w:t xml:space="preserve"> for flow estimation</w:t>
      </w:r>
      <w:r w:rsidR="008A5E01" w:rsidRPr="00605FB2">
        <w:t>.</w:t>
      </w:r>
      <w:r w:rsidR="00123C95">
        <w:t xml:space="preserve"> In previous annual reports, higher salinities were predicted to go </w:t>
      </w:r>
      <w:r w:rsidR="008C35B1">
        <w:t xml:space="preserve">through </w:t>
      </w:r>
      <w:r w:rsidR="00123C95">
        <w:t>the barrage due to salt-water leakage through the barrages</w:t>
      </w:r>
      <w:r w:rsidR="00411BEB">
        <w:t xml:space="preserve"> causing high salinities immediately upstream of the barrage structures that were not representative of the general river water flowing over the domain and leading to</w:t>
      </w:r>
      <w:r w:rsidR="00123C95">
        <w:t xml:space="preserve"> an overestimation of the </w:t>
      </w:r>
      <w:r w:rsidR="009C5899">
        <w:t xml:space="preserve">salt delivered </w:t>
      </w:r>
      <w:r w:rsidR="008C35B1">
        <w:t xml:space="preserve">out of </w:t>
      </w:r>
      <w:r w:rsidR="009C5899">
        <w:t xml:space="preserve">the wider basin. </w:t>
      </w:r>
    </w:p>
    <w:p w14:paraId="1DF92F12" w14:textId="77777777" w:rsidR="00605FB2" w:rsidRPr="008C35B1" w:rsidRDefault="00605FB2" w:rsidP="00605FB2"/>
    <w:p w14:paraId="7B1415F9" w14:textId="29DBD367" w:rsidR="00FB33C3" w:rsidRPr="00605FB2" w:rsidRDefault="00FB33C3" w:rsidP="00605FB2">
      <w:pPr>
        <w:pStyle w:val="Captions"/>
      </w:pPr>
      <w:bookmarkStart w:id="601" w:name="_Hlk207969008"/>
      <w:r w:rsidRPr="00605FB2">
        <w:t xml:space="preserve">Table C2. Matter Transport evaluation questions and answers from the previous annual report (e.g. Ye </w:t>
      </w:r>
      <w:r w:rsidRPr="00605FB2">
        <w:rPr>
          <w:i/>
          <w:iCs/>
        </w:rPr>
        <w:t>et al.</w:t>
      </w:r>
      <w:r w:rsidRPr="00605FB2">
        <w:t xml:space="preserve"> 2024), prior to the remodeling of data in July 2025, using the updated model. This evaluation table presents annual values taken from those respective annual reports and does not reflect the model updates that have occurred since that year. CEW = Commonwealth environmental water.</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6"/>
        <w:gridCol w:w="2565"/>
        <w:gridCol w:w="1281"/>
        <w:gridCol w:w="1028"/>
        <w:gridCol w:w="1025"/>
        <w:gridCol w:w="1152"/>
        <w:gridCol w:w="1028"/>
        <w:gridCol w:w="1025"/>
        <w:gridCol w:w="1025"/>
        <w:gridCol w:w="1056"/>
        <w:gridCol w:w="1413"/>
      </w:tblGrid>
      <w:tr w:rsidR="00FB33C3" w:rsidRPr="004561A6" w14:paraId="0FE40660" w14:textId="77777777" w:rsidTr="00185995">
        <w:trPr>
          <w:cantSplit/>
          <w:trHeight w:val="20"/>
          <w:tblHeader/>
        </w:trPr>
        <w:tc>
          <w:tcPr>
            <w:tcW w:w="1350" w:type="pct"/>
            <w:gridSpan w:val="2"/>
            <w:vMerge w:val="restart"/>
            <w:tcBorders>
              <w:top w:val="single" w:sz="4" w:space="0" w:color="auto"/>
              <w:left w:val="single" w:sz="4" w:space="0" w:color="auto"/>
              <w:bottom w:val="single" w:sz="4" w:space="0" w:color="auto"/>
              <w:right w:val="single" w:sz="4" w:space="0" w:color="auto"/>
            </w:tcBorders>
            <w:hideMark/>
          </w:tcPr>
          <w:bookmarkEnd w:id="601"/>
          <w:p w14:paraId="4C9BE5AC" w14:textId="77777777" w:rsidR="00FB33C3" w:rsidRPr="004561A6" w:rsidRDefault="00FB33C3" w:rsidP="00185995">
            <w:pPr>
              <w:jc w:val="center"/>
              <w:rPr>
                <w:rFonts w:cs="Arial"/>
                <w:b/>
                <w:sz w:val="18"/>
                <w:szCs w:val="18"/>
              </w:rPr>
            </w:pPr>
            <w:r>
              <w:rPr>
                <w:rFonts w:cs="Arial"/>
                <w:b/>
                <w:sz w:val="18"/>
                <w:szCs w:val="18"/>
              </w:rPr>
              <w:t>CEWH</w:t>
            </w:r>
            <w:r w:rsidRPr="004561A6">
              <w:rPr>
                <w:rFonts w:cs="Arial"/>
                <w:b/>
                <w:sz w:val="18"/>
                <w:szCs w:val="18"/>
              </w:rPr>
              <w:t xml:space="preserve"> evaluation questions </w:t>
            </w:r>
          </w:p>
        </w:tc>
        <w:tc>
          <w:tcPr>
            <w:tcW w:w="3650" w:type="pct"/>
            <w:gridSpan w:val="9"/>
            <w:tcBorders>
              <w:top w:val="single" w:sz="4" w:space="0" w:color="auto"/>
              <w:left w:val="single" w:sz="4" w:space="0" w:color="auto"/>
              <w:bottom w:val="single" w:sz="4" w:space="0" w:color="auto"/>
              <w:right w:val="single" w:sz="4" w:space="0" w:color="auto"/>
            </w:tcBorders>
            <w:vAlign w:val="bottom"/>
            <w:hideMark/>
          </w:tcPr>
          <w:p w14:paraId="13C6C6D6" w14:textId="534A455E" w:rsidR="00FB33C3" w:rsidRPr="004561A6" w:rsidRDefault="00FB33C3" w:rsidP="00185995">
            <w:pPr>
              <w:jc w:val="center"/>
              <w:rPr>
                <w:rFonts w:cs="Arial"/>
                <w:b/>
                <w:sz w:val="18"/>
                <w:szCs w:val="18"/>
              </w:rPr>
            </w:pPr>
            <w:r w:rsidRPr="004561A6">
              <w:rPr>
                <w:rFonts w:cs="Arial"/>
                <w:b/>
                <w:sz w:val="18"/>
                <w:szCs w:val="18"/>
              </w:rPr>
              <w:t>Outcomes of CEW delivery</w:t>
            </w:r>
            <w:r>
              <w:rPr>
                <w:rFonts w:cs="Arial"/>
                <w:b/>
                <w:sz w:val="18"/>
                <w:szCs w:val="18"/>
              </w:rPr>
              <w:t>*</w:t>
            </w:r>
          </w:p>
        </w:tc>
      </w:tr>
      <w:tr w:rsidR="00335D8B" w:rsidRPr="004561A6" w14:paraId="3D600610" w14:textId="77777777" w:rsidTr="00185995">
        <w:trPr>
          <w:cantSplit/>
          <w:trHeight w:val="20"/>
          <w:tblHeader/>
        </w:trPr>
        <w:tc>
          <w:tcPr>
            <w:tcW w:w="1350" w:type="pct"/>
            <w:gridSpan w:val="2"/>
            <w:vMerge/>
            <w:tcBorders>
              <w:top w:val="single" w:sz="4" w:space="0" w:color="auto"/>
              <w:left w:val="single" w:sz="4" w:space="0" w:color="auto"/>
              <w:bottom w:val="single" w:sz="4" w:space="0" w:color="auto"/>
              <w:right w:val="single" w:sz="4" w:space="0" w:color="auto"/>
            </w:tcBorders>
            <w:vAlign w:val="center"/>
            <w:hideMark/>
          </w:tcPr>
          <w:p w14:paraId="22E4455A" w14:textId="77777777" w:rsidR="00FB33C3" w:rsidRPr="004561A6" w:rsidRDefault="00FB33C3" w:rsidP="00185995">
            <w:pPr>
              <w:spacing w:before="0" w:after="0" w:line="256" w:lineRule="auto"/>
              <w:jc w:val="left"/>
              <w:rPr>
                <w:rFonts w:cs="Arial"/>
                <w:b/>
                <w:sz w:val="18"/>
                <w:szCs w:val="18"/>
              </w:rPr>
            </w:pPr>
          </w:p>
        </w:tc>
        <w:tc>
          <w:tcPr>
            <w:tcW w:w="466" w:type="pct"/>
            <w:tcBorders>
              <w:top w:val="single" w:sz="4" w:space="0" w:color="auto"/>
              <w:left w:val="single" w:sz="4" w:space="0" w:color="auto"/>
              <w:bottom w:val="single" w:sz="4" w:space="0" w:color="auto"/>
              <w:right w:val="single" w:sz="4" w:space="0" w:color="auto"/>
            </w:tcBorders>
            <w:vAlign w:val="bottom"/>
            <w:hideMark/>
          </w:tcPr>
          <w:p w14:paraId="2A454DD6" w14:textId="77777777" w:rsidR="00FB33C3" w:rsidRPr="004561A6" w:rsidRDefault="00FB33C3" w:rsidP="00185995">
            <w:pPr>
              <w:jc w:val="center"/>
              <w:rPr>
                <w:rFonts w:cs="Arial"/>
                <w:b/>
                <w:sz w:val="18"/>
                <w:szCs w:val="18"/>
              </w:rPr>
            </w:pPr>
            <w:r w:rsidRPr="004561A6">
              <w:rPr>
                <w:rFonts w:cs="Arial"/>
                <w:b/>
                <w:sz w:val="18"/>
                <w:szCs w:val="18"/>
              </w:rPr>
              <w:t>14-15</w:t>
            </w:r>
          </w:p>
        </w:tc>
        <w:tc>
          <w:tcPr>
            <w:tcW w:w="374" w:type="pct"/>
            <w:tcBorders>
              <w:top w:val="single" w:sz="4" w:space="0" w:color="auto"/>
              <w:left w:val="single" w:sz="4" w:space="0" w:color="auto"/>
              <w:bottom w:val="single" w:sz="4" w:space="0" w:color="auto"/>
              <w:right w:val="single" w:sz="4" w:space="0" w:color="auto"/>
            </w:tcBorders>
            <w:vAlign w:val="bottom"/>
            <w:hideMark/>
          </w:tcPr>
          <w:p w14:paraId="3FC7D0CD" w14:textId="77777777" w:rsidR="00FB33C3" w:rsidRPr="004561A6" w:rsidRDefault="00FB33C3" w:rsidP="00185995">
            <w:pPr>
              <w:jc w:val="center"/>
              <w:rPr>
                <w:rFonts w:cs="Arial"/>
                <w:b/>
                <w:sz w:val="18"/>
                <w:szCs w:val="18"/>
              </w:rPr>
            </w:pPr>
            <w:r w:rsidRPr="004561A6">
              <w:rPr>
                <w:rFonts w:cs="Arial"/>
                <w:b/>
                <w:sz w:val="18"/>
                <w:szCs w:val="18"/>
              </w:rPr>
              <w:t>15-16</w:t>
            </w:r>
          </w:p>
        </w:tc>
        <w:tc>
          <w:tcPr>
            <w:tcW w:w="373" w:type="pct"/>
            <w:tcBorders>
              <w:top w:val="single" w:sz="4" w:space="0" w:color="auto"/>
              <w:left w:val="single" w:sz="4" w:space="0" w:color="auto"/>
              <w:bottom w:val="single" w:sz="4" w:space="0" w:color="auto"/>
              <w:right w:val="single" w:sz="4" w:space="0" w:color="auto"/>
            </w:tcBorders>
            <w:vAlign w:val="bottom"/>
            <w:hideMark/>
          </w:tcPr>
          <w:p w14:paraId="6FA21BF1" w14:textId="77777777" w:rsidR="00FB33C3" w:rsidRPr="004561A6" w:rsidRDefault="00FB33C3" w:rsidP="00185995">
            <w:pPr>
              <w:jc w:val="center"/>
              <w:rPr>
                <w:rFonts w:cs="Arial"/>
                <w:b/>
                <w:sz w:val="18"/>
                <w:szCs w:val="18"/>
              </w:rPr>
            </w:pPr>
            <w:r w:rsidRPr="004561A6">
              <w:rPr>
                <w:rFonts w:cs="Arial"/>
                <w:b/>
                <w:sz w:val="18"/>
                <w:szCs w:val="18"/>
              </w:rPr>
              <w:t>16-17</w:t>
            </w:r>
          </w:p>
        </w:tc>
        <w:tc>
          <w:tcPr>
            <w:tcW w:w="419" w:type="pct"/>
            <w:tcBorders>
              <w:top w:val="single" w:sz="4" w:space="0" w:color="auto"/>
              <w:left w:val="single" w:sz="4" w:space="0" w:color="auto"/>
              <w:bottom w:val="single" w:sz="4" w:space="0" w:color="auto"/>
              <w:right w:val="single" w:sz="4" w:space="0" w:color="auto"/>
            </w:tcBorders>
            <w:vAlign w:val="bottom"/>
            <w:hideMark/>
          </w:tcPr>
          <w:p w14:paraId="3916D3BA" w14:textId="77777777" w:rsidR="00FB33C3" w:rsidRPr="004561A6" w:rsidRDefault="00FB33C3" w:rsidP="00185995">
            <w:pPr>
              <w:jc w:val="center"/>
              <w:rPr>
                <w:rFonts w:cs="Arial"/>
                <w:b/>
                <w:sz w:val="18"/>
                <w:szCs w:val="18"/>
              </w:rPr>
            </w:pPr>
            <w:r w:rsidRPr="004561A6">
              <w:rPr>
                <w:rFonts w:cs="Arial"/>
                <w:b/>
                <w:sz w:val="18"/>
                <w:szCs w:val="18"/>
              </w:rPr>
              <w:t>17-18</w:t>
            </w:r>
          </w:p>
        </w:tc>
        <w:tc>
          <w:tcPr>
            <w:tcW w:w="374" w:type="pct"/>
            <w:tcBorders>
              <w:top w:val="single" w:sz="4" w:space="0" w:color="auto"/>
              <w:left w:val="single" w:sz="4" w:space="0" w:color="auto"/>
              <w:bottom w:val="single" w:sz="4" w:space="0" w:color="auto"/>
              <w:right w:val="single" w:sz="4" w:space="0" w:color="auto"/>
            </w:tcBorders>
            <w:vAlign w:val="bottom"/>
            <w:hideMark/>
          </w:tcPr>
          <w:p w14:paraId="3BC5650E" w14:textId="77777777" w:rsidR="00FB33C3" w:rsidRPr="004561A6" w:rsidRDefault="00FB33C3" w:rsidP="00185995">
            <w:pPr>
              <w:jc w:val="center"/>
              <w:rPr>
                <w:rFonts w:cs="Arial"/>
                <w:b/>
                <w:sz w:val="18"/>
                <w:szCs w:val="18"/>
              </w:rPr>
            </w:pPr>
            <w:r w:rsidRPr="004561A6">
              <w:rPr>
                <w:rFonts w:cs="Arial"/>
                <w:b/>
                <w:sz w:val="18"/>
                <w:szCs w:val="18"/>
              </w:rPr>
              <w:t>18-19</w:t>
            </w:r>
          </w:p>
        </w:tc>
        <w:tc>
          <w:tcPr>
            <w:tcW w:w="373" w:type="pct"/>
            <w:tcBorders>
              <w:top w:val="single" w:sz="4" w:space="0" w:color="auto"/>
              <w:left w:val="single" w:sz="4" w:space="0" w:color="auto"/>
              <w:bottom w:val="single" w:sz="4" w:space="0" w:color="auto"/>
              <w:right w:val="single" w:sz="4" w:space="0" w:color="auto"/>
            </w:tcBorders>
            <w:hideMark/>
          </w:tcPr>
          <w:p w14:paraId="1EC2A5CD" w14:textId="77777777" w:rsidR="00FB33C3" w:rsidRPr="004561A6" w:rsidRDefault="00FB33C3" w:rsidP="00185995">
            <w:pPr>
              <w:jc w:val="center"/>
              <w:rPr>
                <w:rFonts w:cs="Arial"/>
                <w:b/>
                <w:sz w:val="18"/>
                <w:szCs w:val="18"/>
              </w:rPr>
            </w:pPr>
            <w:r w:rsidRPr="004561A6">
              <w:rPr>
                <w:rFonts w:cs="Arial"/>
                <w:b/>
                <w:sz w:val="18"/>
                <w:szCs w:val="18"/>
              </w:rPr>
              <w:t>19-20</w:t>
            </w:r>
          </w:p>
        </w:tc>
        <w:tc>
          <w:tcPr>
            <w:tcW w:w="373" w:type="pct"/>
            <w:tcBorders>
              <w:top w:val="single" w:sz="4" w:space="0" w:color="auto"/>
              <w:left w:val="single" w:sz="4" w:space="0" w:color="auto"/>
              <w:bottom w:val="single" w:sz="4" w:space="0" w:color="auto"/>
              <w:right w:val="single" w:sz="4" w:space="0" w:color="auto"/>
            </w:tcBorders>
          </w:tcPr>
          <w:p w14:paraId="2C5F698A" w14:textId="77777777" w:rsidR="00FB33C3" w:rsidRPr="004561A6" w:rsidRDefault="00FB33C3" w:rsidP="00185995">
            <w:pPr>
              <w:jc w:val="center"/>
              <w:rPr>
                <w:rFonts w:cs="Arial"/>
                <w:b/>
                <w:sz w:val="18"/>
                <w:szCs w:val="18"/>
              </w:rPr>
            </w:pPr>
            <w:r w:rsidRPr="004561A6">
              <w:rPr>
                <w:rFonts w:cs="Arial"/>
                <w:b/>
                <w:sz w:val="18"/>
                <w:szCs w:val="18"/>
              </w:rPr>
              <w:t>20-21</w:t>
            </w:r>
          </w:p>
        </w:tc>
        <w:tc>
          <w:tcPr>
            <w:tcW w:w="384" w:type="pct"/>
            <w:tcBorders>
              <w:top w:val="single" w:sz="4" w:space="0" w:color="auto"/>
              <w:left w:val="single" w:sz="4" w:space="0" w:color="auto"/>
              <w:bottom w:val="single" w:sz="4" w:space="0" w:color="auto"/>
              <w:right w:val="single" w:sz="4" w:space="0" w:color="auto"/>
            </w:tcBorders>
          </w:tcPr>
          <w:p w14:paraId="63609238" w14:textId="77777777" w:rsidR="00FB33C3" w:rsidRPr="004561A6" w:rsidRDefault="00FB33C3" w:rsidP="00185995">
            <w:pPr>
              <w:jc w:val="center"/>
              <w:rPr>
                <w:rFonts w:cs="Arial"/>
                <w:b/>
                <w:sz w:val="18"/>
                <w:szCs w:val="18"/>
              </w:rPr>
            </w:pPr>
            <w:r w:rsidRPr="004561A6">
              <w:rPr>
                <w:rFonts w:cs="Arial"/>
                <w:b/>
                <w:sz w:val="18"/>
                <w:szCs w:val="18"/>
              </w:rPr>
              <w:t>21-22</w:t>
            </w:r>
          </w:p>
        </w:tc>
        <w:tc>
          <w:tcPr>
            <w:tcW w:w="515" w:type="pct"/>
            <w:tcBorders>
              <w:top w:val="single" w:sz="4" w:space="0" w:color="auto"/>
              <w:left w:val="single" w:sz="4" w:space="0" w:color="auto"/>
              <w:bottom w:val="single" w:sz="4" w:space="0" w:color="auto"/>
              <w:right w:val="single" w:sz="4" w:space="0" w:color="auto"/>
            </w:tcBorders>
          </w:tcPr>
          <w:p w14:paraId="0AD66C4D" w14:textId="77777777" w:rsidR="00FB33C3" w:rsidRPr="004561A6" w:rsidRDefault="00FB33C3" w:rsidP="00185995">
            <w:pPr>
              <w:jc w:val="center"/>
              <w:rPr>
                <w:rFonts w:cs="Arial"/>
                <w:b/>
                <w:sz w:val="18"/>
                <w:szCs w:val="18"/>
              </w:rPr>
            </w:pPr>
            <w:r>
              <w:rPr>
                <w:rFonts w:cs="Arial"/>
                <w:b/>
                <w:sz w:val="18"/>
                <w:szCs w:val="18"/>
              </w:rPr>
              <w:t>22-23</w:t>
            </w:r>
          </w:p>
        </w:tc>
      </w:tr>
      <w:tr w:rsidR="00335D8B" w:rsidRPr="004561A6" w14:paraId="30218B50" w14:textId="77777777" w:rsidTr="00185995">
        <w:trPr>
          <w:cantSplit/>
          <w:trHeight w:val="20"/>
        </w:trPr>
        <w:tc>
          <w:tcPr>
            <w:tcW w:w="417" w:type="pct"/>
            <w:vMerge w:val="restart"/>
            <w:tcBorders>
              <w:top w:val="single" w:sz="4" w:space="0" w:color="auto"/>
              <w:left w:val="single" w:sz="4" w:space="0" w:color="auto"/>
              <w:bottom w:val="nil"/>
              <w:right w:val="single" w:sz="4" w:space="0" w:color="auto"/>
            </w:tcBorders>
          </w:tcPr>
          <w:p w14:paraId="72024C13" w14:textId="77777777" w:rsidR="00FB33C3" w:rsidRPr="004561A6" w:rsidRDefault="00FB33C3" w:rsidP="00185995">
            <w:pPr>
              <w:contextualSpacing/>
              <w:jc w:val="left"/>
              <w:rPr>
                <w:rFonts w:cs="Arial"/>
                <w:color w:val="auto"/>
                <w:sz w:val="18"/>
                <w:szCs w:val="18"/>
              </w:rPr>
            </w:pPr>
            <w:r w:rsidRPr="004561A6">
              <w:rPr>
                <w:sz w:val="18"/>
                <w:szCs w:val="18"/>
              </w:rPr>
              <w:t>What did CEW contribute to salinity:</w:t>
            </w:r>
          </w:p>
          <w:p w14:paraId="5D2D5E40" w14:textId="77777777" w:rsidR="00FB33C3" w:rsidRPr="004561A6" w:rsidRDefault="00FB33C3" w:rsidP="00185995">
            <w:pPr>
              <w:contextualSpacing/>
              <w:jc w:val="left"/>
              <w:rPr>
                <w:rFonts w:cs="Arial"/>
                <w:color w:val="auto"/>
                <w:sz w:val="18"/>
                <w:szCs w:val="18"/>
              </w:rPr>
            </w:pPr>
          </w:p>
        </w:tc>
        <w:tc>
          <w:tcPr>
            <w:tcW w:w="932" w:type="pct"/>
            <w:tcBorders>
              <w:top w:val="single" w:sz="4" w:space="0" w:color="auto"/>
              <w:left w:val="single" w:sz="4" w:space="0" w:color="auto"/>
              <w:bottom w:val="single" w:sz="4" w:space="0" w:color="auto"/>
              <w:right w:val="single" w:sz="4" w:space="0" w:color="auto"/>
            </w:tcBorders>
          </w:tcPr>
          <w:p w14:paraId="3085A613" w14:textId="77777777" w:rsidR="00FB33C3" w:rsidRPr="004561A6" w:rsidRDefault="00FB33C3" w:rsidP="00185995">
            <w:pPr>
              <w:contextualSpacing/>
              <w:jc w:val="right"/>
              <w:rPr>
                <w:rFonts w:cs="Arial"/>
                <w:color w:val="auto"/>
                <w:sz w:val="18"/>
                <w:szCs w:val="18"/>
              </w:rPr>
            </w:pPr>
            <w:r w:rsidRPr="004561A6">
              <w:rPr>
                <w:rFonts w:cs="Arial"/>
                <w:color w:val="auto"/>
                <w:sz w:val="18"/>
                <w:szCs w:val="18"/>
              </w:rPr>
              <w:t>Levels?</w:t>
            </w:r>
          </w:p>
          <w:p w14:paraId="1241052A" w14:textId="77777777" w:rsidR="00FB33C3" w:rsidRPr="004561A6" w:rsidRDefault="00FB33C3" w:rsidP="00185995">
            <w:pPr>
              <w:contextualSpacing/>
              <w:jc w:val="right"/>
              <w:rPr>
                <w:rFonts w:cs="Arial"/>
                <w:color w:val="auto"/>
                <w:sz w:val="18"/>
                <w:szCs w:val="18"/>
              </w:rPr>
            </w:pPr>
            <w:r w:rsidRPr="004561A6">
              <w:rPr>
                <w:rFonts w:cs="Arial"/>
                <w:color w:val="auto"/>
                <w:sz w:val="18"/>
                <w:szCs w:val="18"/>
              </w:rPr>
              <w:t xml:space="preserve">Reduction due to CEW (Median salinity presented, </w:t>
            </w:r>
            <w:r>
              <w:rPr>
                <w:rFonts w:cs="Arial"/>
                <w:color w:val="auto"/>
                <w:sz w:val="18"/>
                <w:szCs w:val="18"/>
              </w:rPr>
              <w:t>PSU</w:t>
            </w:r>
            <w:r w:rsidRPr="004561A6">
              <w:rPr>
                <w:rFonts w:cs="Arial"/>
                <w:color w:val="auto"/>
                <w:sz w:val="18"/>
                <w:szCs w:val="18"/>
              </w:rPr>
              <w:t xml:space="preserve">) </w:t>
            </w:r>
          </w:p>
          <w:p w14:paraId="636FE310" w14:textId="77777777" w:rsidR="00FB33C3" w:rsidRPr="004561A6" w:rsidRDefault="00FB33C3" w:rsidP="00185995">
            <w:pPr>
              <w:contextualSpacing/>
              <w:jc w:val="right"/>
              <w:rPr>
                <w:rFonts w:cs="Arial"/>
                <w:color w:val="auto"/>
                <w:sz w:val="18"/>
                <w:szCs w:val="18"/>
              </w:rPr>
            </w:pPr>
            <w:r w:rsidRPr="004561A6">
              <w:rPr>
                <w:rFonts w:cs="Arial"/>
                <w:color w:val="auto"/>
                <w:sz w:val="18"/>
                <w:szCs w:val="18"/>
              </w:rPr>
              <w:t>At the Murray Mouth</w:t>
            </w:r>
          </w:p>
        </w:tc>
        <w:tc>
          <w:tcPr>
            <w:tcW w:w="466" w:type="pct"/>
            <w:tcBorders>
              <w:top w:val="single" w:sz="4" w:space="0" w:color="auto"/>
              <w:left w:val="single" w:sz="4" w:space="0" w:color="auto"/>
              <w:bottom w:val="single" w:sz="4" w:space="0" w:color="auto"/>
              <w:right w:val="single" w:sz="4" w:space="0" w:color="auto"/>
            </w:tcBorders>
            <w:shd w:val="clear" w:color="auto" w:fill="70AD47" w:themeFill="accent6"/>
            <w:hideMark/>
          </w:tcPr>
          <w:p w14:paraId="5666CF9A" w14:textId="3A67408E" w:rsidR="00FB33C3" w:rsidRPr="004561A6" w:rsidRDefault="00FB33C3" w:rsidP="00185995">
            <w:pPr>
              <w:contextualSpacing/>
              <w:jc w:val="left"/>
              <w:rPr>
                <w:rFonts w:cs="Arial"/>
                <w:color w:val="auto"/>
                <w:sz w:val="18"/>
                <w:szCs w:val="18"/>
              </w:rPr>
            </w:pPr>
            <w:r w:rsidRPr="004561A6">
              <w:rPr>
                <w:rFonts w:cs="Arial"/>
                <w:sz w:val="18"/>
                <w:szCs w:val="18"/>
              </w:rPr>
              <w:t xml:space="preserve">From 34.6 to 24.0 </w:t>
            </w:r>
          </w:p>
        </w:tc>
        <w:tc>
          <w:tcPr>
            <w:tcW w:w="374" w:type="pct"/>
            <w:tcBorders>
              <w:top w:val="single" w:sz="4" w:space="0" w:color="auto"/>
              <w:left w:val="single" w:sz="4" w:space="0" w:color="auto"/>
              <w:bottom w:val="single" w:sz="4" w:space="0" w:color="auto"/>
              <w:right w:val="single" w:sz="4" w:space="0" w:color="auto"/>
            </w:tcBorders>
            <w:shd w:val="clear" w:color="auto" w:fill="A8D08D"/>
            <w:hideMark/>
          </w:tcPr>
          <w:p w14:paraId="41372B46" w14:textId="0FCBB82E" w:rsidR="00FB33C3" w:rsidRPr="004561A6" w:rsidRDefault="00FB33C3" w:rsidP="00185995">
            <w:pPr>
              <w:contextualSpacing/>
              <w:jc w:val="left"/>
              <w:rPr>
                <w:rFonts w:cs="Arial"/>
                <w:color w:val="auto"/>
                <w:sz w:val="18"/>
                <w:szCs w:val="18"/>
              </w:rPr>
            </w:pPr>
            <w:r w:rsidRPr="004561A6">
              <w:rPr>
                <w:rFonts w:cs="Arial"/>
                <w:sz w:val="18"/>
                <w:szCs w:val="18"/>
              </w:rPr>
              <w:t>From 35.1 to 29.7</w:t>
            </w:r>
          </w:p>
        </w:tc>
        <w:tc>
          <w:tcPr>
            <w:tcW w:w="373" w:type="pct"/>
            <w:tcBorders>
              <w:top w:val="single" w:sz="4" w:space="0" w:color="auto"/>
              <w:left w:val="single" w:sz="4" w:space="0" w:color="auto"/>
              <w:bottom w:val="single" w:sz="4" w:space="0" w:color="auto"/>
              <w:right w:val="single" w:sz="4" w:space="0" w:color="auto"/>
            </w:tcBorders>
            <w:shd w:val="clear" w:color="auto" w:fill="70AD47" w:themeFill="accent6"/>
            <w:hideMark/>
          </w:tcPr>
          <w:p w14:paraId="7C83FE95" w14:textId="09A2047C" w:rsidR="00FB33C3" w:rsidRPr="004561A6" w:rsidRDefault="00FB33C3" w:rsidP="00185995">
            <w:pPr>
              <w:contextualSpacing/>
              <w:jc w:val="left"/>
              <w:rPr>
                <w:rFonts w:cs="Arial"/>
                <w:color w:val="auto"/>
                <w:sz w:val="18"/>
                <w:szCs w:val="18"/>
              </w:rPr>
            </w:pPr>
            <w:r w:rsidRPr="004561A6">
              <w:rPr>
                <w:rFonts w:cs="Arial"/>
                <w:sz w:val="18"/>
                <w:szCs w:val="18"/>
              </w:rPr>
              <w:t xml:space="preserve">From 21.6 to 11.3 </w:t>
            </w:r>
          </w:p>
        </w:tc>
        <w:tc>
          <w:tcPr>
            <w:tcW w:w="419" w:type="pct"/>
            <w:tcBorders>
              <w:top w:val="single" w:sz="4" w:space="0" w:color="auto"/>
              <w:left w:val="single" w:sz="4" w:space="0" w:color="auto"/>
              <w:bottom w:val="single" w:sz="4" w:space="0" w:color="auto"/>
              <w:right w:val="single" w:sz="4" w:space="0" w:color="auto"/>
            </w:tcBorders>
            <w:shd w:val="clear" w:color="auto" w:fill="5B9BD5"/>
            <w:hideMark/>
          </w:tcPr>
          <w:p w14:paraId="6ECA9861" w14:textId="12011CEA" w:rsidR="00FB33C3" w:rsidRPr="004561A6" w:rsidRDefault="00FB33C3" w:rsidP="00185995">
            <w:pPr>
              <w:contextualSpacing/>
              <w:jc w:val="left"/>
              <w:rPr>
                <w:rFonts w:cs="Arial"/>
                <w:color w:val="auto"/>
                <w:sz w:val="18"/>
                <w:szCs w:val="18"/>
              </w:rPr>
            </w:pPr>
            <w:r w:rsidRPr="004561A6">
              <w:rPr>
                <w:rFonts w:cs="Arial"/>
                <w:color w:val="auto"/>
                <w:sz w:val="18"/>
                <w:szCs w:val="18"/>
              </w:rPr>
              <w:t>From 31.3 to 12.0</w:t>
            </w:r>
            <w:r w:rsidRPr="004561A6">
              <w:rPr>
                <w:rFonts w:cs="Arial"/>
                <w:sz w:val="18"/>
                <w:szCs w:val="18"/>
              </w:rPr>
              <w:t xml:space="preserve"> </w:t>
            </w:r>
            <w:r w:rsidRPr="004561A6">
              <w:rPr>
                <w:rFonts w:cs="Arial"/>
                <w:color w:val="auto"/>
                <w:sz w:val="18"/>
                <w:szCs w:val="18"/>
              </w:rPr>
              <w:t xml:space="preserve"> </w:t>
            </w:r>
          </w:p>
        </w:tc>
        <w:tc>
          <w:tcPr>
            <w:tcW w:w="374" w:type="pct"/>
            <w:tcBorders>
              <w:top w:val="single" w:sz="4" w:space="0" w:color="auto"/>
              <w:left w:val="single" w:sz="4" w:space="0" w:color="auto"/>
              <w:bottom w:val="single" w:sz="4" w:space="0" w:color="auto"/>
              <w:right w:val="single" w:sz="4" w:space="0" w:color="auto"/>
            </w:tcBorders>
            <w:shd w:val="clear" w:color="auto" w:fill="5B9BD5"/>
            <w:hideMark/>
          </w:tcPr>
          <w:p w14:paraId="6D44C3FC" w14:textId="2158BD61" w:rsidR="00FB33C3" w:rsidRPr="004561A6" w:rsidRDefault="00FB33C3" w:rsidP="00185995">
            <w:pPr>
              <w:contextualSpacing/>
              <w:jc w:val="left"/>
              <w:rPr>
                <w:rFonts w:cs="Arial"/>
                <w:color w:val="auto"/>
                <w:sz w:val="18"/>
                <w:szCs w:val="18"/>
              </w:rPr>
            </w:pPr>
            <w:r w:rsidRPr="004561A6">
              <w:rPr>
                <w:rFonts w:cs="Arial"/>
                <w:color w:val="auto"/>
                <w:sz w:val="18"/>
                <w:szCs w:val="18"/>
              </w:rPr>
              <w:t>From 35.8 to 18.9</w:t>
            </w:r>
            <w:r w:rsidRPr="004561A6">
              <w:rPr>
                <w:rFonts w:cs="Arial"/>
                <w:sz w:val="18"/>
                <w:szCs w:val="18"/>
              </w:rPr>
              <w:t xml:space="preserve"> </w:t>
            </w:r>
            <w:r w:rsidRPr="004561A6">
              <w:rPr>
                <w:rFonts w:cs="Arial"/>
                <w:color w:val="auto"/>
                <w:sz w:val="18"/>
                <w:szCs w:val="18"/>
              </w:rPr>
              <w:t xml:space="preserve">  </w:t>
            </w:r>
          </w:p>
        </w:tc>
        <w:tc>
          <w:tcPr>
            <w:tcW w:w="373" w:type="pct"/>
            <w:tcBorders>
              <w:top w:val="single" w:sz="4" w:space="0" w:color="auto"/>
              <w:left w:val="single" w:sz="4" w:space="0" w:color="auto"/>
              <w:bottom w:val="single" w:sz="4" w:space="0" w:color="auto"/>
              <w:right w:val="single" w:sz="4" w:space="0" w:color="auto"/>
            </w:tcBorders>
            <w:shd w:val="clear" w:color="auto" w:fill="70AD47"/>
            <w:hideMark/>
          </w:tcPr>
          <w:p w14:paraId="021F9968" w14:textId="1535968F" w:rsidR="00FB33C3" w:rsidRPr="004561A6" w:rsidRDefault="00FB33C3" w:rsidP="00185995">
            <w:pPr>
              <w:contextualSpacing/>
              <w:jc w:val="left"/>
              <w:rPr>
                <w:rFonts w:cs="Arial"/>
                <w:color w:val="auto"/>
                <w:sz w:val="18"/>
                <w:szCs w:val="18"/>
              </w:rPr>
            </w:pPr>
            <w:r w:rsidRPr="004561A6">
              <w:rPr>
                <w:rFonts w:cs="Arial"/>
                <w:color w:val="auto"/>
                <w:sz w:val="18"/>
                <w:szCs w:val="18"/>
              </w:rPr>
              <w:t>From 35.5 to 21.1</w:t>
            </w:r>
            <w:r w:rsidRPr="004561A6">
              <w:rPr>
                <w:rFonts w:cs="Arial"/>
                <w:sz w:val="18"/>
                <w:szCs w:val="18"/>
              </w:rPr>
              <w:t xml:space="preserve"> </w:t>
            </w:r>
            <w:r w:rsidRPr="004561A6">
              <w:rPr>
                <w:rFonts w:cs="Arial"/>
                <w:color w:val="auto"/>
                <w:sz w:val="18"/>
                <w:szCs w:val="18"/>
              </w:rPr>
              <w:t xml:space="preserve"> </w:t>
            </w:r>
          </w:p>
        </w:tc>
        <w:tc>
          <w:tcPr>
            <w:tcW w:w="373" w:type="pct"/>
            <w:tcBorders>
              <w:top w:val="single" w:sz="4" w:space="0" w:color="auto"/>
              <w:left w:val="single" w:sz="4" w:space="0" w:color="auto"/>
              <w:bottom w:val="single" w:sz="4" w:space="0" w:color="auto"/>
              <w:right w:val="single" w:sz="4" w:space="0" w:color="auto"/>
            </w:tcBorders>
            <w:shd w:val="clear" w:color="auto" w:fill="5B9BD5"/>
          </w:tcPr>
          <w:p w14:paraId="114CCBD4" w14:textId="2C0E1971" w:rsidR="00FB33C3" w:rsidRPr="004561A6" w:rsidRDefault="00FB33C3" w:rsidP="00185995">
            <w:pPr>
              <w:contextualSpacing/>
              <w:jc w:val="left"/>
              <w:rPr>
                <w:rFonts w:cs="Arial"/>
                <w:color w:val="auto"/>
                <w:sz w:val="18"/>
                <w:szCs w:val="18"/>
              </w:rPr>
            </w:pPr>
            <w:r w:rsidRPr="004561A6">
              <w:rPr>
                <w:rFonts w:cs="Arial"/>
                <w:color w:val="auto"/>
                <w:sz w:val="18"/>
                <w:szCs w:val="18"/>
              </w:rPr>
              <w:t xml:space="preserve">From 33.9 to 13.2 </w:t>
            </w:r>
          </w:p>
        </w:tc>
        <w:tc>
          <w:tcPr>
            <w:tcW w:w="384"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A343B77" w14:textId="07970371" w:rsidR="00FB33C3" w:rsidRPr="004561A6" w:rsidRDefault="00FB33C3" w:rsidP="00185995">
            <w:pPr>
              <w:rPr>
                <w:sz w:val="18"/>
                <w:szCs w:val="18"/>
              </w:rPr>
            </w:pPr>
            <w:r w:rsidRPr="004561A6">
              <w:rPr>
                <w:sz w:val="18"/>
                <w:szCs w:val="18"/>
              </w:rPr>
              <w:t>From 0.8 to 0.6</w:t>
            </w:r>
          </w:p>
        </w:tc>
        <w:tc>
          <w:tcPr>
            <w:tcW w:w="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0DA1E98" w14:textId="77777777" w:rsidR="00FB33C3" w:rsidRPr="004561A6" w:rsidRDefault="00FB33C3" w:rsidP="00185995">
            <w:pPr>
              <w:rPr>
                <w:sz w:val="18"/>
                <w:szCs w:val="18"/>
              </w:rPr>
            </w:pPr>
            <w:r w:rsidRPr="004561A6">
              <w:rPr>
                <w:sz w:val="18"/>
                <w:szCs w:val="18"/>
              </w:rPr>
              <w:t>From 0.</w:t>
            </w:r>
            <w:r>
              <w:rPr>
                <w:sz w:val="18"/>
                <w:szCs w:val="18"/>
              </w:rPr>
              <w:t>220</w:t>
            </w:r>
            <w:r w:rsidRPr="004561A6">
              <w:rPr>
                <w:sz w:val="18"/>
                <w:szCs w:val="18"/>
              </w:rPr>
              <w:t xml:space="preserve"> (without CEW) to 0.</w:t>
            </w:r>
            <w:r>
              <w:rPr>
                <w:sz w:val="18"/>
                <w:szCs w:val="18"/>
              </w:rPr>
              <w:t>218</w:t>
            </w:r>
            <w:r w:rsidRPr="004561A6">
              <w:rPr>
                <w:sz w:val="18"/>
                <w:szCs w:val="18"/>
              </w:rPr>
              <w:t xml:space="preserve"> (with CEW)</w:t>
            </w:r>
          </w:p>
        </w:tc>
      </w:tr>
      <w:tr w:rsidR="00335D8B" w:rsidRPr="004561A6" w14:paraId="76FA773B" w14:textId="77777777" w:rsidTr="00185995">
        <w:trPr>
          <w:cantSplit/>
          <w:trHeight w:val="20"/>
        </w:trPr>
        <w:tc>
          <w:tcPr>
            <w:tcW w:w="417" w:type="pct"/>
            <w:vMerge/>
            <w:tcBorders>
              <w:top w:val="nil"/>
              <w:left w:val="single" w:sz="4" w:space="0" w:color="auto"/>
              <w:bottom w:val="nil"/>
              <w:right w:val="single" w:sz="4" w:space="0" w:color="auto"/>
            </w:tcBorders>
          </w:tcPr>
          <w:p w14:paraId="26A4583E" w14:textId="77777777" w:rsidR="00FB33C3" w:rsidRPr="004561A6" w:rsidRDefault="00FB33C3" w:rsidP="00185995">
            <w:pPr>
              <w:contextualSpacing/>
              <w:jc w:val="left"/>
              <w:rPr>
                <w:sz w:val="18"/>
                <w:szCs w:val="18"/>
              </w:rPr>
            </w:pPr>
          </w:p>
        </w:tc>
        <w:tc>
          <w:tcPr>
            <w:tcW w:w="932" w:type="pct"/>
            <w:tcBorders>
              <w:top w:val="single" w:sz="4" w:space="0" w:color="auto"/>
              <w:left w:val="single" w:sz="4" w:space="0" w:color="auto"/>
              <w:bottom w:val="single" w:sz="4" w:space="0" w:color="auto"/>
              <w:right w:val="single" w:sz="4" w:space="0" w:color="auto"/>
            </w:tcBorders>
          </w:tcPr>
          <w:p w14:paraId="09DA1360" w14:textId="77777777" w:rsidR="00FB33C3" w:rsidRPr="004561A6" w:rsidRDefault="00FB33C3" w:rsidP="00185995">
            <w:pPr>
              <w:contextualSpacing/>
              <w:jc w:val="right"/>
              <w:rPr>
                <w:rFonts w:cs="Arial"/>
                <w:color w:val="auto"/>
                <w:sz w:val="18"/>
                <w:szCs w:val="18"/>
              </w:rPr>
            </w:pPr>
            <w:r w:rsidRPr="004561A6">
              <w:rPr>
                <w:rFonts w:cs="Arial"/>
                <w:color w:val="auto"/>
                <w:sz w:val="18"/>
                <w:szCs w:val="18"/>
              </w:rPr>
              <w:t>In the North Lagoon (Long Point)</w:t>
            </w:r>
          </w:p>
        </w:tc>
        <w:tc>
          <w:tcPr>
            <w:tcW w:w="46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25FCFB" w14:textId="77777777" w:rsidR="00FB33C3" w:rsidRPr="00331F78" w:rsidRDefault="00FB33C3" w:rsidP="00185995">
            <w:pPr>
              <w:contextualSpacing/>
              <w:jc w:val="left"/>
              <w:rPr>
                <w:rFonts w:cs="Arial"/>
                <w:sz w:val="18"/>
                <w:szCs w:val="18"/>
                <w:highlight w:val="lightGray"/>
              </w:rPr>
            </w:pP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66D803" w14:textId="77777777" w:rsidR="00FB33C3" w:rsidRPr="00331F78" w:rsidRDefault="00FB33C3" w:rsidP="00185995">
            <w:pPr>
              <w:contextualSpacing/>
              <w:jc w:val="left"/>
              <w:rPr>
                <w:rFonts w:cs="Arial"/>
                <w:sz w:val="18"/>
                <w:szCs w:val="18"/>
                <w:highlight w:val="lightGray"/>
              </w:rPr>
            </w:pPr>
          </w:p>
        </w:tc>
        <w:tc>
          <w:tcPr>
            <w:tcW w:w="37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79D916" w14:textId="77777777" w:rsidR="00FB33C3" w:rsidRPr="00331F78" w:rsidRDefault="00FB33C3" w:rsidP="00185995">
            <w:pPr>
              <w:contextualSpacing/>
              <w:jc w:val="left"/>
              <w:rPr>
                <w:rFonts w:cs="Arial"/>
                <w:sz w:val="18"/>
                <w:szCs w:val="18"/>
                <w:highlight w:val="lightGray"/>
              </w:rPr>
            </w:pPr>
          </w:p>
        </w:tc>
        <w:tc>
          <w:tcPr>
            <w:tcW w:w="419" w:type="pct"/>
            <w:tcBorders>
              <w:top w:val="single" w:sz="4" w:space="0" w:color="auto"/>
              <w:left w:val="single" w:sz="4" w:space="0" w:color="auto"/>
              <w:bottom w:val="single" w:sz="4" w:space="0" w:color="auto"/>
              <w:right w:val="single" w:sz="4" w:space="0" w:color="auto"/>
            </w:tcBorders>
            <w:shd w:val="clear" w:color="auto" w:fill="5B9BD5"/>
          </w:tcPr>
          <w:p w14:paraId="4389ED58" w14:textId="1CE729D6" w:rsidR="00FB33C3" w:rsidRPr="00331F78" w:rsidRDefault="00FB33C3" w:rsidP="00185995">
            <w:pPr>
              <w:contextualSpacing/>
              <w:jc w:val="left"/>
              <w:rPr>
                <w:rFonts w:cs="Arial"/>
                <w:sz w:val="18"/>
                <w:szCs w:val="18"/>
                <w:highlight w:val="lightGray"/>
              </w:rPr>
            </w:pPr>
            <w:r w:rsidRPr="004561A6">
              <w:rPr>
                <w:rFonts w:cs="Arial"/>
                <w:color w:val="auto"/>
                <w:sz w:val="18"/>
                <w:szCs w:val="18"/>
              </w:rPr>
              <w:t>From 39.7 to 20.8</w:t>
            </w:r>
            <w:r w:rsidRPr="004561A6">
              <w:rPr>
                <w:rFonts w:cs="Arial"/>
                <w:sz w:val="18"/>
                <w:szCs w:val="18"/>
              </w:rPr>
              <w:t xml:space="preserve"> </w:t>
            </w:r>
            <w:r w:rsidRPr="004561A6">
              <w:rPr>
                <w:rFonts w:cs="Arial"/>
                <w:color w:val="auto"/>
                <w:sz w:val="18"/>
                <w:szCs w:val="18"/>
              </w:rPr>
              <w:t xml:space="preserve"> </w:t>
            </w:r>
          </w:p>
        </w:tc>
        <w:tc>
          <w:tcPr>
            <w:tcW w:w="374" w:type="pct"/>
            <w:tcBorders>
              <w:top w:val="single" w:sz="4" w:space="0" w:color="auto"/>
              <w:left w:val="single" w:sz="4" w:space="0" w:color="auto"/>
              <w:bottom w:val="single" w:sz="4" w:space="0" w:color="auto"/>
              <w:right w:val="single" w:sz="4" w:space="0" w:color="auto"/>
            </w:tcBorders>
            <w:shd w:val="clear" w:color="auto" w:fill="5B9BD5"/>
          </w:tcPr>
          <w:p w14:paraId="1D632655" w14:textId="2E9EED86" w:rsidR="00FB33C3" w:rsidRPr="00331F78" w:rsidRDefault="00FB33C3" w:rsidP="00185995">
            <w:pPr>
              <w:contextualSpacing/>
              <w:jc w:val="left"/>
              <w:rPr>
                <w:rFonts w:cs="Arial"/>
                <w:sz w:val="18"/>
                <w:szCs w:val="18"/>
                <w:highlight w:val="lightGray"/>
              </w:rPr>
            </w:pPr>
            <w:r w:rsidRPr="004561A6">
              <w:rPr>
                <w:rFonts w:cs="Arial"/>
                <w:color w:val="auto"/>
                <w:sz w:val="18"/>
                <w:szCs w:val="18"/>
              </w:rPr>
              <w:t>From 42.1 to 22.4</w:t>
            </w:r>
            <w:r w:rsidRPr="004561A6">
              <w:rPr>
                <w:rFonts w:cs="Arial"/>
                <w:sz w:val="18"/>
                <w:szCs w:val="18"/>
              </w:rPr>
              <w:t xml:space="preserve"> </w:t>
            </w:r>
            <w:r w:rsidRPr="004561A6">
              <w:rPr>
                <w:rFonts w:cs="Arial"/>
                <w:color w:val="auto"/>
                <w:sz w:val="18"/>
                <w:szCs w:val="18"/>
              </w:rPr>
              <w:t xml:space="preserve"> </w:t>
            </w:r>
          </w:p>
        </w:tc>
        <w:tc>
          <w:tcPr>
            <w:tcW w:w="373" w:type="pct"/>
            <w:tcBorders>
              <w:top w:val="single" w:sz="4" w:space="0" w:color="auto"/>
              <w:left w:val="single" w:sz="4" w:space="0" w:color="auto"/>
              <w:bottom w:val="single" w:sz="4" w:space="0" w:color="auto"/>
              <w:right w:val="single" w:sz="4" w:space="0" w:color="auto"/>
            </w:tcBorders>
            <w:shd w:val="clear" w:color="auto" w:fill="5B9BD5" w:themeFill="accent1"/>
          </w:tcPr>
          <w:p w14:paraId="7FC24ACA" w14:textId="364C104E" w:rsidR="00FB33C3" w:rsidRPr="00331F78" w:rsidRDefault="00FB33C3" w:rsidP="00185995">
            <w:pPr>
              <w:contextualSpacing/>
              <w:jc w:val="left"/>
              <w:rPr>
                <w:rFonts w:cs="Arial"/>
                <w:color w:val="auto"/>
                <w:sz w:val="18"/>
                <w:szCs w:val="18"/>
                <w:highlight w:val="lightGray"/>
              </w:rPr>
            </w:pPr>
            <w:r w:rsidRPr="004561A6">
              <w:rPr>
                <w:rFonts w:cs="Arial"/>
                <w:color w:val="auto"/>
                <w:sz w:val="18"/>
                <w:szCs w:val="18"/>
              </w:rPr>
              <w:t>From 35.7 to 15.4</w:t>
            </w:r>
            <w:r w:rsidRPr="004561A6">
              <w:rPr>
                <w:rFonts w:cs="Arial"/>
                <w:sz w:val="18"/>
                <w:szCs w:val="18"/>
              </w:rPr>
              <w:t xml:space="preserve"> </w:t>
            </w:r>
            <w:r w:rsidRPr="004561A6">
              <w:rPr>
                <w:rFonts w:cs="Arial"/>
                <w:color w:val="auto"/>
                <w:sz w:val="18"/>
                <w:szCs w:val="18"/>
              </w:rPr>
              <w:t xml:space="preserve"> </w:t>
            </w:r>
          </w:p>
        </w:tc>
        <w:tc>
          <w:tcPr>
            <w:tcW w:w="373" w:type="pct"/>
            <w:tcBorders>
              <w:top w:val="single" w:sz="4" w:space="0" w:color="auto"/>
              <w:left w:val="single" w:sz="4" w:space="0" w:color="auto"/>
              <w:bottom w:val="single" w:sz="4" w:space="0" w:color="auto"/>
              <w:right w:val="single" w:sz="4" w:space="0" w:color="auto"/>
            </w:tcBorders>
            <w:shd w:val="clear" w:color="auto" w:fill="5B9BD5"/>
          </w:tcPr>
          <w:p w14:paraId="5BBC2543" w14:textId="53B47FB8" w:rsidR="00FB33C3" w:rsidRPr="004561A6" w:rsidRDefault="00FB33C3" w:rsidP="00185995">
            <w:pPr>
              <w:contextualSpacing/>
              <w:jc w:val="left"/>
              <w:rPr>
                <w:rFonts w:cs="Arial"/>
                <w:color w:val="auto"/>
                <w:sz w:val="18"/>
                <w:szCs w:val="18"/>
              </w:rPr>
            </w:pPr>
            <w:r w:rsidRPr="004561A6">
              <w:rPr>
                <w:rFonts w:cs="Arial"/>
                <w:color w:val="auto"/>
                <w:sz w:val="18"/>
                <w:szCs w:val="18"/>
              </w:rPr>
              <w:t>From 36.4 to 15.9</w:t>
            </w:r>
            <w:r w:rsidRPr="004561A6">
              <w:rPr>
                <w:rFonts w:cs="Arial"/>
                <w:sz w:val="18"/>
                <w:szCs w:val="18"/>
              </w:rPr>
              <w:t xml:space="preserve"> </w:t>
            </w:r>
            <w:r w:rsidRPr="004561A6">
              <w:rPr>
                <w:rFonts w:cs="Arial"/>
                <w:color w:val="auto"/>
                <w:sz w:val="18"/>
                <w:szCs w:val="18"/>
              </w:rPr>
              <w:t xml:space="preserve"> </w:t>
            </w:r>
          </w:p>
        </w:tc>
        <w:tc>
          <w:tcPr>
            <w:tcW w:w="384"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BEE5B2C" w14:textId="3827EBFB" w:rsidR="00FB33C3" w:rsidRPr="004561A6" w:rsidRDefault="00FB33C3" w:rsidP="00185995">
            <w:pPr>
              <w:rPr>
                <w:sz w:val="18"/>
                <w:szCs w:val="18"/>
              </w:rPr>
            </w:pPr>
            <w:r w:rsidRPr="004561A6">
              <w:rPr>
                <w:sz w:val="18"/>
                <w:szCs w:val="18"/>
              </w:rPr>
              <w:t>From 10.7 to 7.3</w:t>
            </w:r>
            <w:r w:rsidRPr="004561A6">
              <w:rPr>
                <w:rFonts w:cs="Arial"/>
                <w:sz w:val="18"/>
                <w:szCs w:val="18"/>
              </w:rPr>
              <w:t xml:space="preserve"> </w:t>
            </w:r>
            <w:r w:rsidRPr="004561A6">
              <w:rPr>
                <w:sz w:val="18"/>
                <w:szCs w:val="18"/>
              </w:rPr>
              <w:t xml:space="preserve"> </w:t>
            </w:r>
          </w:p>
        </w:tc>
        <w:tc>
          <w:tcPr>
            <w:tcW w:w="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22C8D09" w14:textId="77777777" w:rsidR="00FB33C3" w:rsidRPr="004561A6" w:rsidRDefault="00FB33C3" w:rsidP="00185995">
            <w:pPr>
              <w:rPr>
                <w:sz w:val="18"/>
                <w:szCs w:val="18"/>
              </w:rPr>
            </w:pPr>
            <w:r w:rsidRPr="004561A6">
              <w:rPr>
                <w:sz w:val="18"/>
                <w:szCs w:val="18"/>
              </w:rPr>
              <w:t xml:space="preserve">From </w:t>
            </w:r>
            <w:r>
              <w:rPr>
                <w:sz w:val="18"/>
                <w:szCs w:val="18"/>
              </w:rPr>
              <w:t>14</w:t>
            </w:r>
            <w:r w:rsidRPr="004561A6">
              <w:rPr>
                <w:sz w:val="18"/>
                <w:szCs w:val="18"/>
              </w:rPr>
              <w:t>.</w:t>
            </w:r>
            <w:r>
              <w:rPr>
                <w:sz w:val="18"/>
                <w:szCs w:val="18"/>
              </w:rPr>
              <w:t>1</w:t>
            </w:r>
            <w:r w:rsidRPr="004561A6">
              <w:rPr>
                <w:sz w:val="18"/>
                <w:szCs w:val="18"/>
              </w:rPr>
              <w:t xml:space="preserve"> (without CEW) to </w:t>
            </w:r>
            <w:r>
              <w:rPr>
                <w:sz w:val="18"/>
                <w:szCs w:val="18"/>
              </w:rPr>
              <w:t>13</w:t>
            </w:r>
            <w:r w:rsidRPr="004561A6">
              <w:rPr>
                <w:sz w:val="18"/>
                <w:szCs w:val="18"/>
              </w:rPr>
              <w:t>.</w:t>
            </w:r>
            <w:r>
              <w:rPr>
                <w:sz w:val="18"/>
                <w:szCs w:val="18"/>
              </w:rPr>
              <w:t>7</w:t>
            </w:r>
            <w:r w:rsidRPr="004561A6">
              <w:rPr>
                <w:sz w:val="18"/>
                <w:szCs w:val="18"/>
              </w:rPr>
              <w:t xml:space="preserve"> (with CEW)</w:t>
            </w:r>
          </w:p>
        </w:tc>
      </w:tr>
      <w:tr w:rsidR="00335D8B" w:rsidRPr="004561A6" w14:paraId="2BC00389" w14:textId="77777777" w:rsidTr="00185995">
        <w:trPr>
          <w:cantSplit/>
          <w:trHeight w:val="20"/>
        </w:trPr>
        <w:tc>
          <w:tcPr>
            <w:tcW w:w="417" w:type="pct"/>
            <w:vMerge/>
            <w:tcBorders>
              <w:top w:val="nil"/>
              <w:left w:val="single" w:sz="4" w:space="0" w:color="auto"/>
              <w:bottom w:val="nil"/>
              <w:right w:val="single" w:sz="4" w:space="0" w:color="auto"/>
            </w:tcBorders>
          </w:tcPr>
          <w:p w14:paraId="3923E5B8" w14:textId="77777777" w:rsidR="00FB33C3" w:rsidRPr="004561A6" w:rsidRDefault="00FB33C3" w:rsidP="00185995">
            <w:pPr>
              <w:contextualSpacing/>
              <w:jc w:val="left"/>
              <w:rPr>
                <w:sz w:val="18"/>
                <w:szCs w:val="18"/>
              </w:rPr>
            </w:pPr>
          </w:p>
        </w:tc>
        <w:tc>
          <w:tcPr>
            <w:tcW w:w="932" w:type="pct"/>
            <w:tcBorders>
              <w:top w:val="single" w:sz="4" w:space="0" w:color="auto"/>
              <w:left w:val="single" w:sz="4" w:space="0" w:color="auto"/>
              <w:bottom w:val="single" w:sz="4" w:space="0" w:color="auto"/>
              <w:right w:val="single" w:sz="4" w:space="0" w:color="auto"/>
            </w:tcBorders>
          </w:tcPr>
          <w:p w14:paraId="3130A8C6" w14:textId="77777777" w:rsidR="00FB33C3" w:rsidRPr="004561A6" w:rsidRDefault="00FB33C3" w:rsidP="00185995">
            <w:pPr>
              <w:contextualSpacing/>
              <w:jc w:val="right"/>
              <w:rPr>
                <w:rFonts w:cs="Arial"/>
                <w:color w:val="auto"/>
                <w:sz w:val="18"/>
                <w:szCs w:val="18"/>
              </w:rPr>
            </w:pPr>
            <w:r w:rsidRPr="004561A6">
              <w:rPr>
                <w:rFonts w:cs="Arial"/>
                <w:color w:val="auto"/>
                <w:sz w:val="18"/>
                <w:szCs w:val="18"/>
              </w:rPr>
              <w:t>In the South Lagoon (Woods Well)</w:t>
            </w:r>
          </w:p>
        </w:tc>
        <w:tc>
          <w:tcPr>
            <w:tcW w:w="46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C7811B" w14:textId="77777777" w:rsidR="00FB33C3" w:rsidRPr="00331F78" w:rsidRDefault="00FB33C3" w:rsidP="00185995">
            <w:pPr>
              <w:contextualSpacing/>
              <w:jc w:val="left"/>
              <w:rPr>
                <w:rFonts w:cs="Arial"/>
                <w:sz w:val="18"/>
                <w:szCs w:val="18"/>
                <w:highlight w:val="lightGray"/>
              </w:rPr>
            </w:pP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B0C619" w14:textId="77777777" w:rsidR="00FB33C3" w:rsidRPr="00331F78" w:rsidRDefault="00FB33C3" w:rsidP="00185995">
            <w:pPr>
              <w:contextualSpacing/>
              <w:jc w:val="left"/>
              <w:rPr>
                <w:rFonts w:cs="Arial"/>
                <w:sz w:val="18"/>
                <w:szCs w:val="18"/>
                <w:highlight w:val="lightGray"/>
              </w:rPr>
            </w:pPr>
          </w:p>
        </w:tc>
        <w:tc>
          <w:tcPr>
            <w:tcW w:w="37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AC6607" w14:textId="77777777" w:rsidR="00FB33C3" w:rsidRPr="00331F78" w:rsidRDefault="00FB33C3" w:rsidP="00185995">
            <w:pPr>
              <w:contextualSpacing/>
              <w:jc w:val="left"/>
              <w:rPr>
                <w:rFonts w:cs="Arial"/>
                <w:sz w:val="18"/>
                <w:szCs w:val="18"/>
                <w:highlight w:val="lightGray"/>
              </w:rPr>
            </w:pPr>
          </w:p>
        </w:tc>
        <w:tc>
          <w:tcPr>
            <w:tcW w:w="419" w:type="pct"/>
            <w:tcBorders>
              <w:top w:val="single" w:sz="4" w:space="0" w:color="auto"/>
              <w:left w:val="single" w:sz="4" w:space="0" w:color="auto"/>
              <w:bottom w:val="single" w:sz="4" w:space="0" w:color="auto"/>
              <w:right w:val="single" w:sz="4" w:space="0" w:color="auto"/>
            </w:tcBorders>
            <w:shd w:val="clear" w:color="auto" w:fill="70AD47"/>
          </w:tcPr>
          <w:p w14:paraId="22D2F62F" w14:textId="6094A9F7" w:rsidR="00FB33C3" w:rsidRPr="00331F78" w:rsidRDefault="00FB33C3" w:rsidP="00185995">
            <w:pPr>
              <w:contextualSpacing/>
              <w:jc w:val="left"/>
              <w:rPr>
                <w:rFonts w:cs="Arial"/>
                <w:sz w:val="18"/>
                <w:szCs w:val="18"/>
                <w:highlight w:val="lightGray"/>
              </w:rPr>
            </w:pPr>
            <w:r w:rsidRPr="004561A6">
              <w:rPr>
                <w:rFonts w:cs="Arial"/>
                <w:color w:val="auto"/>
                <w:sz w:val="18"/>
                <w:szCs w:val="18"/>
              </w:rPr>
              <w:t>From 80.9 to 77.0</w:t>
            </w:r>
            <w:r w:rsidRPr="004561A6">
              <w:rPr>
                <w:rFonts w:cs="Arial"/>
                <w:sz w:val="18"/>
                <w:szCs w:val="18"/>
              </w:rPr>
              <w:t xml:space="preserve"> </w:t>
            </w:r>
            <w:r w:rsidRPr="004561A6">
              <w:rPr>
                <w:rFonts w:cs="Arial"/>
                <w:color w:val="auto"/>
                <w:sz w:val="18"/>
                <w:szCs w:val="18"/>
              </w:rPr>
              <w:t xml:space="preserve"> </w:t>
            </w:r>
          </w:p>
        </w:tc>
        <w:tc>
          <w:tcPr>
            <w:tcW w:w="374" w:type="pct"/>
            <w:tcBorders>
              <w:top w:val="single" w:sz="4" w:space="0" w:color="auto"/>
              <w:left w:val="single" w:sz="4" w:space="0" w:color="auto"/>
              <w:bottom w:val="single" w:sz="4" w:space="0" w:color="auto"/>
              <w:right w:val="single" w:sz="4" w:space="0" w:color="auto"/>
            </w:tcBorders>
            <w:shd w:val="clear" w:color="auto" w:fill="5B9BD5" w:themeFill="accent1"/>
          </w:tcPr>
          <w:p w14:paraId="123B222C" w14:textId="297F4B63" w:rsidR="00FB33C3" w:rsidRPr="00331F78" w:rsidRDefault="00FB33C3" w:rsidP="00185995">
            <w:pPr>
              <w:contextualSpacing/>
              <w:jc w:val="left"/>
              <w:rPr>
                <w:rFonts w:cs="Arial"/>
                <w:sz w:val="18"/>
                <w:szCs w:val="18"/>
                <w:highlight w:val="lightGray"/>
              </w:rPr>
            </w:pPr>
            <w:r w:rsidRPr="004561A6">
              <w:rPr>
                <w:rFonts w:cs="Arial"/>
                <w:color w:val="auto"/>
                <w:sz w:val="18"/>
                <w:szCs w:val="18"/>
              </w:rPr>
              <w:t>From 93.2 to 84.3</w:t>
            </w:r>
            <w:r w:rsidRPr="004561A6">
              <w:rPr>
                <w:rFonts w:cs="Arial"/>
                <w:sz w:val="18"/>
                <w:szCs w:val="18"/>
              </w:rPr>
              <w:t xml:space="preserve"> </w:t>
            </w:r>
          </w:p>
        </w:tc>
        <w:tc>
          <w:tcPr>
            <w:tcW w:w="373" w:type="pct"/>
            <w:tcBorders>
              <w:top w:val="single" w:sz="4" w:space="0" w:color="auto"/>
              <w:left w:val="single" w:sz="4" w:space="0" w:color="auto"/>
              <w:bottom w:val="single" w:sz="4" w:space="0" w:color="auto"/>
              <w:right w:val="single" w:sz="4" w:space="0" w:color="auto"/>
            </w:tcBorders>
            <w:shd w:val="clear" w:color="auto" w:fill="5B9BD5" w:themeFill="accent1"/>
          </w:tcPr>
          <w:p w14:paraId="019AB533" w14:textId="697B15E2" w:rsidR="00FB33C3" w:rsidRPr="00331F78" w:rsidRDefault="00FB33C3" w:rsidP="00185995">
            <w:pPr>
              <w:contextualSpacing/>
              <w:jc w:val="left"/>
              <w:rPr>
                <w:rFonts w:cs="Arial"/>
                <w:color w:val="auto"/>
                <w:sz w:val="18"/>
                <w:szCs w:val="18"/>
                <w:highlight w:val="lightGray"/>
              </w:rPr>
            </w:pPr>
            <w:r w:rsidRPr="004561A6">
              <w:rPr>
                <w:rFonts w:cs="Arial"/>
                <w:color w:val="auto"/>
                <w:sz w:val="18"/>
                <w:szCs w:val="18"/>
              </w:rPr>
              <w:t>From 96.7 to 85.4</w:t>
            </w:r>
            <w:r w:rsidRPr="004561A6">
              <w:rPr>
                <w:rFonts w:cs="Arial"/>
                <w:sz w:val="18"/>
                <w:szCs w:val="18"/>
              </w:rPr>
              <w:t xml:space="preserve"> </w:t>
            </w:r>
            <w:r w:rsidRPr="004561A6">
              <w:rPr>
                <w:rFonts w:cs="Arial"/>
                <w:color w:val="auto"/>
                <w:sz w:val="18"/>
                <w:szCs w:val="18"/>
              </w:rPr>
              <w:t xml:space="preserve"> </w:t>
            </w:r>
          </w:p>
        </w:tc>
        <w:tc>
          <w:tcPr>
            <w:tcW w:w="373" w:type="pct"/>
            <w:tcBorders>
              <w:top w:val="single" w:sz="4" w:space="0" w:color="auto"/>
              <w:left w:val="single" w:sz="4" w:space="0" w:color="auto"/>
              <w:bottom w:val="single" w:sz="4" w:space="0" w:color="auto"/>
              <w:right w:val="single" w:sz="4" w:space="0" w:color="auto"/>
            </w:tcBorders>
            <w:shd w:val="clear" w:color="auto" w:fill="5B9BD5" w:themeFill="accent1"/>
          </w:tcPr>
          <w:p w14:paraId="27261662" w14:textId="12A74267" w:rsidR="00FB33C3" w:rsidRPr="004561A6" w:rsidRDefault="00FB33C3" w:rsidP="00185995">
            <w:pPr>
              <w:contextualSpacing/>
              <w:jc w:val="left"/>
              <w:rPr>
                <w:rFonts w:cs="Arial"/>
                <w:color w:val="auto"/>
                <w:sz w:val="18"/>
                <w:szCs w:val="18"/>
              </w:rPr>
            </w:pPr>
            <w:r w:rsidRPr="004561A6">
              <w:rPr>
                <w:rFonts w:cs="Arial"/>
                <w:color w:val="auto"/>
                <w:sz w:val="18"/>
                <w:szCs w:val="18"/>
              </w:rPr>
              <w:t>From 103.7 to 97.2</w:t>
            </w:r>
            <w:r w:rsidRPr="004561A6">
              <w:rPr>
                <w:rFonts w:cs="Arial"/>
                <w:sz w:val="18"/>
                <w:szCs w:val="18"/>
              </w:rPr>
              <w:t>*</w:t>
            </w:r>
            <w:r w:rsidRPr="004561A6">
              <w:rPr>
                <w:rFonts w:cs="Arial"/>
                <w:color w:val="auto"/>
                <w:sz w:val="18"/>
                <w:szCs w:val="18"/>
              </w:rPr>
              <w:t xml:space="preserve"> </w:t>
            </w:r>
          </w:p>
        </w:tc>
        <w:tc>
          <w:tcPr>
            <w:tcW w:w="384"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B35718F" w14:textId="42278113" w:rsidR="00FB33C3" w:rsidRPr="004561A6" w:rsidRDefault="00FB33C3" w:rsidP="00185995">
            <w:pPr>
              <w:rPr>
                <w:sz w:val="18"/>
                <w:szCs w:val="18"/>
              </w:rPr>
            </w:pPr>
            <w:r w:rsidRPr="004561A6">
              <w:rPr>
                <w:sz w:val="18"/>
                <w:szCs w:val="18"/>
              </w:rPr>
              <w:t>From 88.0 to 85.3</w:t>
            </w:r>
            <w:r w:rsidRPr="004561A6">
              <w:rPr>
                <w:rFonts w:cs="Arial"/>
                <w:sz w:val="18"/>
                <w:szCs w:val="18"/>
              </w:rPr>
              <w:t xml:space="preserve"> </w:t>
            </w:r>
            <w:r w:rsidRPr="004561A6">
              <w:rPr>
                <w:sz w:val="18"/>
                <w:szCs w:val="18"/>
              </w:rPr>
              <w:t xml:space="preserve"> </w:t>
            </w:r>
          </w:p>
        </w:tc>
        <w:tc>
          <w:tcPr>
            <w:tcW w:w="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C527CFD" w14:textId="77777777" w:rsidR="00FB33C3" w:rsidRPr="004561A6" w:rsidRDefault="00FB33C3" w:rsidP="00185995">
            <w:pPr>
              <w:rPr>
                <w:sz w:val="18"/>
                <w:szCs w:val="18"/>
              </w:rPr>
            </w:pPr>
            <w:r w:rsidRPr="004561A6">
              <w:rPr>
                <w:sz w:val="18"/>
                <w:szCs w:val="18"/>
              </w:rPr>
              <w:t xml:space="preserve">From </w:t>
            </w:r>
            <w:r>
              <w:rPr>
                <w:sz w:val="18"/>
                <w:szCs w:val="18"/>
              </w:rPr>
              <w:t>63.5</w:t>
            </w:r>
            <w:r w:rsidRPr="004561A6">
              <w:rPr>
                <w:sz w:val="18"/>
                <w:szCs w:val="18"/>
              </w:rPr>
              <w:t xml:space="preserve"> (without CEW) to </w:t>
            </w:r>
            <w:r>
              <w:rPr>
                <w:sz w:val="18"/>
                <w:szCs w:val="18"/>
              </w:rPr>
              <w:t>63.4</w:t>
            </w:r>
            <w:r w:rsidRPr="004561A6">
              <w:rPr>
                <w:sz w:val="18"/>
                <w:szCs w:val="18"/>
              </w:rPr>
              <w:t xml:space="preserve"> (with CEW)</w:t>
            </w:r>
          </w:p>
        </w:tc>
      </w:tr>
      <w:tr w:rsidR="00335D8B" w:rsidRPr="004561A6" w14:paraId="0DBA367A" w14:textId="77777777" w:rsidTr="00185995">
        <w:trPr>
          <w:cantSplit/>
          <w:trHeight w:val="20"/>
        </w:trPr>
        <w:tc>
          <w:tcPr>
            <w:tcW w:w="417" w:type="pct"/>
            <w:vMerge/>
            <w:tcBorders>
              <w:top w:val="nil"/>
              <w:left w:val="single" w:sz="4" w:space="0" w:color="auto"/>
              <w:bottom w:val="nil"/>
              <w:right w:val="single" w:sz="4" w:space="0" w:color="auto"/>
            </w:tcBorders>
            <w:vAlign w:val="center"/>
            <w:hideMark/>
          </w:tcPr>
          <w:p w14:paraId="5A5A9BC0" w14:textId="77777777" w:rsidR="00FB33C3" w:rsidRPr="004561A6" w:rsidRDefault="00FB33C3" w:rsidP="00185995">
            <w:pPr>
              <w:spacing w:before="0" w:after="0" w:line="256" w:lineRule="auto"/>
              <w:contextualSpacing/>
              <w:jc w:val="left"/>
              <w:rPr>
                <w:rFonts w:cs="Arial"/>
                <w:color w:val="auto"/>
                <w:sz w:val="18"/>
                <w:szCs w:val="18"/>
              </w:rPr>
            </w:pPr>
          </w:p>
        </w:tc>
        <w:tc>
          <w:tcPr>
            <w:tcW w:w="932" w:type="pct"/>
            <w:tcBorders>
              <w:top w:val="single" w:sz="4" w:space="0" w:color="auto"/>
              <w:left w:val="single" w:sz="4" w:space="0" w:color="auto"/>
              <w:bottom w:val="single" w:sz="4" w:space="0" w:color="auto"/>
              <w:right w:val="single" w:sz="4" w:space="0" w:color="auto"/>
            </w:tcBorders>
            <w:hideMark/>
          </w:tcPr>
          <w:p w14:paraId="6115FD46" w14:textId="77777777" w:rsidR="00FB33C3" w:rsidRPr="004561A6" w:rsidRDefault="00FB33C3" w:rsidP="00185995">
            <w:pPr>
              <w:contextualSpacing/>
              <w:jc w:val="right"/>
              <w:rPr>
                <w:rFonts w:cs="Arial"/>
                <w:color w:val="auto"/>
                <w:sz w:val="18"/>
                <w:szCs w:val="18"/>
              </w:rPr>
            </w:pPr>
            <w:r w:rsidRPr="004561A6">
              <w:rPr>
                <w:rFonts w:cs="Arial"/>
                <w:color w:val="auto"/>
                <w:sz w:val="18"/>
                <w:szCs w:val="18"/>
              </w:rPr>
              <w:t>Transport?</w:t>
            </w:r>
          </w:p>
          <w:p w14:paraId="23A24F2E" w14:textId="77777777" w:rsidR="00FB33C3" w:rsidRPr="004561A6" w:rsidRDefault="00FB33C3" w:rsidP="00185995">
            <w:pPr>
              <w:contextualSpacing/>
              <w:jc w:val="right"/>
              <w:rPr>
                <w:rFonts w:cs="Arial"/>
                <w:color w:val="auto"/>
                <w:sz w:val="18"/>
                <w:szCs w:val="18"/>
              </w:rPr>
            </w:pPr>
            <w:r w:rsidRPr="004561A6">
              <w:rPr>
                <w:rFonts w:cs="Arial"/>
                <w:color w:val="auto"/>
                <w:sz w:val="18"/>
                <w:szCs w:val="18"/>
              </w:rPr>
              <w:t>(</w:t>
            </w:r>
            <w:r>
              <w:rPr>
                <w:rFonts w:cs="Arial"/>
                <w:color w:val="auto"/>
                <w:sz w:val="18"/>
                <w:szCs w:val="18"/>
              </w:rPr>
              <w:t xml:space="preserve">tonnes </w:t>
            </w:r>
            <w:r w:rsidRPr="004561A6">
              <w:rPr>
                <w:rFonts w:cs="Arial"/>
                <w:color w:val="auto"/>
                <w:sz w:val="18"/>
                <w:szCs w:val="18"/>
              </w:rPr>
              <w:t>salt per year) Additional export through the barrages due to CEW</w:t>
            </w:r>
          </w:p>
          <w:p w14:paraId="24C46F01" w14:textId="77777777" w:rsidR="00FB33C3" w:rsidRPr="004561A6" w:rsidRDefault="00FB33C3" w:rsidP="00185995">
            <w:pPr>
              <w:contextualSpacing/>
              <w:jc w:val="right"/>
              <w:rPr>
                <w:rFonts w:cs="Arial"/>
                <w:color w:val="auto"/>
                <w:sz w:val="18"/>
                <w:szCs w:val="18"/>
              </w:rPr>
            </w:pPr>
            <w:r w:rsidRPr="004561A6">
              <w:rPr>
                <w:rFonts w:cs="Arial"/>
                <w:color w:val="auto"/>
                <w:sz w:val="18"/>
                <w:szCs w:val="18"/>
              </w:rPr>
              <w:t xml:space="preserve">(% of total salt export)  </w:t>
            </w:r>
          </w:p>
        </w:tc>
        <w:tc>
          <w:tcPr>
            <w:tcW w:w="466" w:type="pct"/>
            <w:tcBorders>
              <w:top w:val="single" w:sz="4" w:space="0" w:color="auto"/>
              <w:left w:val="single" w:sz="4" w:space="0" w:color="auto"/>
              <w:bottom w:val="single" w:sz="4" w:space="0" w:color="auto"/>
              <w:right w:val="single" w:sz="4" w:space="0" w:color="auto"/>
            </w:tcBorders>
            <w:shd w:val="clear" w:color="auto" w:fill="5B9BD5" w:themeFill="accent1"/>
            <w:hideMark/>
          </w:tcPr>
          <w:p w14:paraId="1EE3444B" w14:textId="731F005D" w:rsidR="00FB33C3" w:rsidRPr="004561A6" w:rsidRDefault="00FB33C3" w:rsidP="00185995">
            <w:pPr>
              <w:contextualSpacing/>
              <w:jc w:val="left"/>
              <w:rPr>
                <w:rFonts w:cs="Arial"/>
                <w:sz w:val="18"/>
                <w:szCs w:val="18"/>
              </w:rPr>
            </w:pPr>
            <w:r w:rsidRPr="004561A6">
              <w:rPr>
                <w:rFonts w:cs="Arial"/>
                <w:sz w:val="18"/>
                <w:szCs w:val="18"/>
              </w:rPr>
              <w:t>285,064</w:t>
            </w:r>
          </w:p>
          <w:p w14:paraId="0FBFBD4D" w14:textId="77777777" w:rsidR="00FB33C3" w:rsidRPr="004561A6" w:rsidRDefault="00FB33C3" w:rsidP="00185995">
            <w:pPr>
              <w:contextualSpacing/>
              <w:jc w:val="left"/>
              <w:rPr>
                <w:rFonts w:cs="Arial"/>
                <w:color w:val="auto"/>
                <w:sz w:val="18"/>
                <w:szCs w:val="18"/>
              </w:rPr>
            </w:pPr>
            <w:r w:rsidRPr="004561A6">
              <w:rPr>
                <w:rFonts w:cs="Arial"/>
                <w:sz w:val="18"/>
                <w:szCs w:val="18"/>
              </w:rPr>
              <w:t>(64%)</w:t>
            </w:r>
          </w:p>
        </w:tc>
        <w:tc>
          <w:tcPr>
            <w:tcW w:w="374" w:type="pct"/>
            <w:tcBorders>
              <w:top w:val="single" w:sz="4" w:space="0" w:color="auto"/>
              <w:left w:val="single" w:sz="4" w:space="0" w:color="auto"/>
              <w:bottom w:val="single" w:sz="4" w:space="0" w:color="auto"/>
              <w:right w:val="single" w:sz="4" w:space="0" w:color="auto"/>
            </w:tcBorders>
            <w:shd w:val="clear" w:color="auto" w:fill="5B9BD5" w:themeFill="accent1"/>
            <w:hideMark/>
          </w:tcPr>
          <w:p w14:paraId="49CDF476" w14:textId="5A531556" w:rsidR="00FB33C3" w:rsidRPr="004561A6" w:rsidRDefault="00FB33C3" w:rsidP="00185995">
            <w:pPr>
              <w:contextualSpacing/>
              <w:jc w:val="left"/>
              <w:rPr>
                <w:rFonts w:cs="Arial"/>
                <w:sz w:val="18"/>
                <w:szCs w:val="18"/>
              </w:rPr>
            </w:pPr>
            <w:r w:rsidRPr="004561A6">
              <w:rPr>
                <w:rFonts w:cs="Arial"/>
                <w:sz w:val="18"/>
                <w:szCs w:val="18"/>
              </w:rPr>
              <w:t>251,632</w:t>
            </w:r>
          </w:p>
          <w:p w14:paraId="7D282343" w14:textId="77777777" w:rsidR="00FB33C3" w:rsidRPr="004561A6" w:rsidRDefault="00FB33C3" w:rsidP="00185995">
            <w:pPr>
              <w:contextualSpacing/>
              <w:jc w:val="left"/>
              <w:rPr>
                <w:rFonts w:cs="Arial"/>
                <w:color w:val="auto"/>
                <w:sz w:val="18"/>
                <w:szCs w:val="18"/>
              </w:rPr>
            </w:pPr>
            <w:r w:rsidRPr="004561A6">
              <w:rPr>
                <w:rFonts w:cs="Arial"/>
                <w:sz w:val="18"/>
                <w:szCs w:val="18"/>
              </w:rPr>
              <w:t>(87%)</w:t>
            </w:r>
          </w:p>
        </w:tc>
        <w:tc>
          <w:tcPr>
            <w:tcW w:w="373" w:type="pct"/>
            <w:tcBorders>
              <w:top w:val="single" w:sz="4" w:space="0" w:color="auto"/>
              <w:left w:val="single" w:sz="4" w:space="0" w:color="auto"/>
              <w:bottom w:val="single" w:sz="4" w:space="0" w:color="auto"/>
              <w:right w:val="single" w:sz="4" w:space="0" w:color="auto"/>
            </w:tcBorders>
            <w:shd w:val="clear" w:color="auto" w:fill="A8D08D"/>
            <w:hideMark/>
          </w:tcPr>
          <w:p w14:paraId="07DDBDB9" w14:textId="567811CF" w:rsidR="00FB33C3" w:rsidRPr="004561A6" w:rsidRDefault="00FB33C3" w:rsidP="00185995">
            <w:pPr>
              <w:contextualSpacing/>
              <w:jc w:val="left"/>
              <w:rPr>
                <w:rFonts w:cs="Arial"/>
                <w:sz w:val="18"/>
                <w:szCs w:val="18"/>
              </w:rPr>
            </w:pPr>
            <w:r w:rsidRPr="004561A6">
              <w:rPr>
                <w:rFonts w:cs="Arial"/>
                <w:sz w:val="18"/>
                <w:szCs w:val="18"/>
              </w:rPr>
              <w:t>120,867</w:t>
            </w:r>
          </w:p>
          <w:p w14:paraId="60C429C3" w14:textId="77777777" w:rsidR="00FB33C3" w:rsidRPr="004561A6" w:rsidRDefault="00FB33C3" w:rsidP="00185995">
            <w:pPr>
              <w:contextualSpacing/>
              <w:jc w:val="left"/>
              <w:rPr>
                <w:rFonts w:cs="Arial"/>
                <w:color w:val="auto"/>
                <w:sz w:val="18"/>
                <w:szCs w:val="18"/>
              </w:rPr>
            </w:pPr>
            <w:r w:rsidRPr="004561A6">
              <w:rPr>
                <w:rFonts w:cs="Arial"/>
                <w:sz w:val="18"/>
                <w:szCs w:val="18"/>
              </w:rPr>
              <w:t>(8%)</w:t>
            </w:r>
          </w:p>
        </w:tc>
        <w:tc>
          <w:tcPr>
            <w:tcW w:w="419" w:type="pct"/>
            <w:tcBorders>
              <w:top w:val="single" w:sz="4" w:space="0" w:color="auto"/>
              <w:left w:val="single" w:sz="4" w:space="0" w:color="auto"/>
              <w:bottom w:val="single" w:sz="4" w:space="0" w:color="auto"/>
              <w:right w:val="single" w:sz="4" w:space="0" w:color="auto"/>
            </w:tcBorders>
            <w:shd w:val="clear" w:color="auto" w:fill="5B9BD5" w:themeFill="accent1"/>
            <w:hideMark/>
          </w:tcPr>
          <w:p w14:paraId="60830996" w14:textId="53F767E3" w:rsidR="00FB33C3" w:rsidRPr="004561A6" w:rsidRDefault="00FB33C3" w:rsidP="00185995">
            <w:pPr>
              <w:contextualSpacing/>
              <w:jc w:val="left"/>
              <w:rPr>
                <w:rFonts w:cs="Arial"/>
                <w:sz w:val="18"/>
                <w:szCs w:val="18"/>
              </w:rPr>
            </w:pPr>
            <w:r w:rsidRPr="004561A6">
              <w:rPr>
                <w:rFonts w:cs="Arial"/>
                <w:sz w:val="18"/>
                <w:szCs w:val="18"/>
              </w:rPr>
              <w:t xml:space="preserve">685,354 </w:t>
            </w:r>
          </w:p>
          <w:p w14:paraId="1E13A0FA" w14:textId="77777777" w:rsidR="00FB33C3" w:rsidRPr="004561A6" w:rsidRDefault="00FB33C3" w:rsidP="00185995">
            <w:pPr>
              <w:contextualSpacing/>
              <w:jc w:val="left"/>
              <w:rPr>
                <w:rFonts w:cs="Arial"/>
                <w:sz w:val="18"/>
                <w:szCs w:val="18"/>
              </w:rPr>
            </w:pPr>
          </w:p>
          <w:p w14:paraId="7213565B" w14:textId="77777777" w:rsidR="00FB33C3" w:rsidRPr="004561A6" w:rsidRDefault="00FB33C3" w:rsidP="00185995">
            <w:pPr>
              <w:contextualSpacing/>
              <w:jc w:val="left"/>
              <w:rPr>
                <w:rFonts w:cs="Arial"/>
                <w:sz w:val="18"/>
                <w:szCs w:val="18"/>
              </w:rPr>
            </w:pPr>
            <w:r w:rsidRPr="004561A6">
              <w:rPr>
                <w:rFonts w:cs="Arial"/>
                <w:sz w:val="18"/>
                <w:szCs w:val="18"/>
              </w:rPr>
              <w:t>(90%)</w:t>
            </w:r>
          </w:p>
          <w:p w14:paraId="6AE4E275" w14:textId="77777777" w:rsidR="00FB33C3" w:rsidRPr="004561A6" w:rsidRDefault="00FB33C3" w:rsidP="00185995">
            <w:pPr>
              <w:contextualSpacing/>
              <w:jc w:val="left"/>
              <w:rPr>
                <w:rFonts w:cs="Arial"/>
                <w:color w:val="auto"/>
                <w:sz w:val="18"/>
                <w:szCs w:val="18"/>
              </w:rPr>
            </w:pPr>
          </w:p>
        </w:tc>
        <w:tc>
          <w:tcPr>
            <w:tcW w:w="374" w:type="pct"/>
            <w:tcBorders>
              <w:top w:val="single" w:sz="4" w:space="0" w:color="auto"/>
              <w:left w:val="single" w:sz="4" w:space="0" w:color="auto"/>
              <w:bottom w:val="single" w:sz="4" w:space="0" w:color="auto"/>
              <w:right w:val="single" w:sz="4" w:space="0" w:color="auto"/>
            </w:tcBorders>
            <w:shd w:val="clear" w:color="auto" w:fill="5B9BD5" w:themeFill="accent1"/>
            <w:hideMark/>
          </w:tcPr>
          <w:p w14:paraId="69D09704" w14:textId="11240F7C" w:rsidR="00FB33C3" w:rsidRPr="004561A6" w:rsidRDefault="00FB33C3" w:rsidP="00185995">
            <w:pPr>
              <w:contextualSpacing/>
              <w:jc w:val="left"/>
              <w:rPr>
                <w:rFonts w:cs="Arial"/>
                <w:sz w:val="18"/>
                <w:szCs w:val="18"/>
              </w:rPr>
            </w:pPr>
            <w:r w:rsidRPr="004561A6">
              <w:rPr>
                <w:rFonts w:cs="Arial"/>
                <w:sz w:val="18"/>
                <w:szCs w:val="18"/>
              </w:rPr>
              <w:t xml:space="preserve">782,742 </w:t>
            </w:r>
          </w:p>
          <w:p w14:paraId="023E5FAE" w14:textId="77777777" w:rsidR="00FB33C3" w:rsidRPr="004561A6" w:rsidRDefault="00FB33C3" w:rsidP="00185995">
            <w:pPr>
              <w:contextualSpacing/>
              <w:jc w:val="left"/>
              <w:rPr>
                <w:rFonts w:cs="Arial"/>
                <w:color w:val="auto"/>
                <w:sz w:val="18"/>
                <w:szCs w:val="18"/>
              </w:rPr>
            </w:pPr>
          </w:p>
          <w:p w14:paraId="2DE946EA" w14:textId="77777777" w:rsidR="00FB33C3" w:rsidRPr="004561A6" w:rsidRDefault="00FB33C3" w:rsidP="00185995">
            <w:pPr>
              <w:contextualSpacing/>
              <w:jc w:val="left"/>
              <w:rPr>
                <w:rFonts w:cs="Arial"/>
                <w:color w:val="auto"/>
                <w:sz w:val="18"/>
                <w:szCs w:val="18"/>
              </w:rPr>
            </w:pPr>
            <w:r w:rsidRPr="004561A6">
              <w:rPr>
                <w:rFonts w:cs="Arial"/>
                <w:color w:val="auto"/>
                <w:sz w:val="18"/>
                <w:szCs w:val="18"/>
              </w:rPr>
              <w:t>(100%)</w:t>
            </w:r>
          </w:p>
        </w:tc>
        <w:tc>
          <w:tcPr>
            <w:tcW w:w="373" w:type="pct"/>
            <w:tcBorders>
              <w:top w:val="single" w:sz="4" w:space="0" w:color="auto"/>
              <w:left w:val="single" w:sz="4" w:space="0" w:color="auto"/>
              <w:bottom w:val="single" w:sz="4" w:space="0" w:color="auto"/>
              <w:right w:val="single" w:sz="4" w:space="0" w:color="auto"/>
            </w:tcBorders>
            <w:shd w:val="clear" w:color="auto" w:fill="5B9BD5" w:themeFill="accent1"/>
            <w:hideMark/>
          </w:tcPr>
          <w:p w14:paraId="69525B65" w14:textId="41C46E6A" w:rsidR="00FB33C3" w:rsidRPr="004561A6" w:rsidRDefault="00FB33C3" w:rsidP="00185995">
            <w:pPr>
              <w:contextualSpacing/>
              <w:jc w:val="left"/>
              <w:rPr>
                <w:rFonts w:cs="Arial"/>
                <w:color w:val="auto"/>
                <w:sz w:val="18"/>
                <w:szCs w:val="18"/>
              </w:rPr>
            </w:pPr>
            <w:r w:rsidRPr="004561A6">
              <w:rPr>
                <w:rFonts w:cs="Arial"/>
                <w:color w:val="auto"/>
                <w:sz w:val="18"/>
                <w:szCs w:val="18"/>
              </w:rPr>
              <w:t>677,122</w:t>
            </w:r>
            <w:r w:rsidRPr="004561A6">
              <w:rPr>
                <w:rFonts w:cs="Arial"/>
                <w:sz w:val="18"/>
                <w:szCs w:val="18"/>
              </w:rPr>
              <w:t xml:space="preserve"> </w:t>
            </w:r>
          </w:p>
          <w:p w14:paraId="1789211D" w14:textId="77777777" w:rsidR="00FB33C3" w:rsidRPr="004561A6" w:rsidRDefault="00FB33C3" w:rsidP="00185995">
            <w:pPr>
              <w:contextualSpacing/>
              <w:jc w:val="left"/>
              <w:rPr>
                <w:rFonts w:cs="Arial"/>
                <w:color w:val="auto"/>
                <w:sz w:val="18"/>
                <w:szCs w:val="18"/>
              </w:rPr>
            </w:pPr>
          </w:p>
          <w:p w14:paraId="02C80CD6" w14:textId="77777777" w:rsidR="00FB33C3" w:rsidRPr="004561A6" w:rsidRDefault="00FB33C3" w:rsidP="00185995">
            <w:pPr>
              <w:contextualSpacing/>
              <w:jc w:val="left"/>
              <w:rPr>
                <w:rFonts w:cs="Arial"/>
                <w:color w:val="auto"/>
                <w:sz w:val="18"/>
                <w:szCs w:val="18"/>
              </w:rPr>
            </w:pPr>
            <w:r w:rsidRPr="004561A6">
              <w:rPr>
                <w:rFonts w:cs="Arial"/>
                <w:color w:val="auto"/>
                <w:sz w:val="18"/>
                <w:szCs w:val="18"/>
              </w:rPr>
              <w:t>(100%)</w:t>
            </w:r>
          </w:p>
        </w:tc>
        <w:tc>
          <w:tcPr>
            <w:tcW w:w="373" w:type="pct"/>
            <w:tcBorders>
              <w:top w:val="single" w:sz="4" w:space="0" w:color="auto"/>
              <w:left w:val="single" w:sz="4" w:space="0" w:color="auto"/>
              <w:bottom w:val="single" w:sz="4" w:space="0" w:color="auto"/>
              <w:right w:val="single" w:sz="4" w:space="0" w:color="auto"/>
            </w:tcBorders>
            <w:shd w:val="clear" w:color="auto" w:fill="5B9BD5" w:themeFill="accent1"/>
          </w:tcPr>
          <w:p w14:paraId="4FA1232A" w14:textId="33CEA5B3" w:rsidR="00FB33C3" w:rsidRPr="004561A6" w:rsidRDefault="00FB33C3" w:rsidP="00185995">
            <w:pPr>
              <w:contextualSpacing/>
              <w:jc w:val="left"/>
              <w:rPr>
                <w:rFonts w:cs="Arial"/>
                <w:color w:val="auto"/>
                <w:sz w:val="18"/>
                <w:szCs w:val="18"/>
              </w:rPr>
            </w:pPr>
            <w:r w:rsidRPr="004561A6">
              <w:rPr>
                <w:rFonts w:cs="Arial"/>
                <w:color w:val="auto"/>
                <w:sz w:val="18"/>
                <w:szCs w:val="18"/>
              </w:rPr>
              <w:t>601,890</w:t>
            </w:r>
            <w:r w:rsidRPr="004561A6">
              <w:rPr>
                <w:rFonts w:cs="Arial"/>
                <w:sz w:val="18"/>
                <w:szCs w:val="18"/>
              </w:rPr>
              <w:t xml:space="preserve"> </w:t>
            </w:r>
          </w:p>
          <w:p w14:paraId="73CEEFA7" w14:textId="77777777" w:rsidR="00FB33C3" w:rsidRPr="004561A6" w:rsidRDefault="00FB33C3" w:rsidP="00185995">
            <w:pPr>
              <w:contextualSpacing/>
              <w:jc w:val="left"/>
              <w:rPr>
                <w:rFonts w:cs="Arial"/>
                <w:color w:val="auto"/>
                <w:sz w:val="18"/>
                <w:szCs w:val="18"/>
              </w:rPr>
            </w:pPr>
          </w:p>
          <w:p w14:paraId="64CCD200" w14:textId="77777777" w:rsidR="00FB33C3" w:rsidRPr="004561A6" w:rsidRDefault="00FB33C3" w:rsidP="00185995">
            <w:pPr>
              <w:contextualSpacing/>
              <w:jc w:val="left"/>
              <w:rPr>
                <w:rFonts w:cs="Arial"/>
                <w:color w:val="auto"/>
                <w:sz w:val="18"/>
                <w:szCs w:val="18"/>
              </w:rPr>
            </w:pPr>
            <w:r w:rsidRPr="004561A6">
              <w:rPr>
                <w:rFonts w:cs="Arial"/>
                <w:color w:val="auto"/>
                <w:sz w:val="18"/>
                <w:szCs w:val="18"/>
              </w:rPr>
              <w:t>(69%)</w:t>
            </w:r>
          </w:p>
        </w:tc>
        <w:tc>
          <w:tcPr>
            <w:tcW w:w="384" w:type="pct"/>
            <w:tcBorders>
              <w:top w:val="single" w:sz="4" w:space="0" w:color="auto"/>
              <w:left w:val="single" w:sz="4" w:space="0" w:color="auto"/>
              <w:bottom w:val="single" w:sz="4" w:space="0" w:color="auto"/>
              <w:right w:val="single" w:sz="4" w:space="0" w:color="auto"/>
            </w:tcBorders>
            <w:shd w:val="clear" w:color="auto" w:fill="5B9BD5" w:themeFill="accent1"/>
          </w:tcPr>
          <w:p w14:paraId="20A13F6A" w14:textId="6AEFE687" w:rsidR="00FB33C3" w:rsidRPr="004561A6" w:rsidRDefault="00FB33C3" w:rsidP="00185995">
            <w:pPr>
              <w:contextualSpacing/>
              <w:jc w:val="left"/>
              <w:rPr>
                <w:rFonts w:cs="Arial"/>
                <w:color w:val="auto"/>
                <w:sz w:val="18"/>
                <w:szCs w:val="18"/>
              </w:rPr>
            </w:pPr>
            <w:r w:rsidRPr="004561A6">
              <w:rPr>
                <w:rFonts w:cs="Arial"/>
                <w:color w:val="auto"/>
                <w:sz w:val="18"/>
                <w:szCs w:val="18"/>
              </w:rPr>
              <w:t>596,979</w:t>
            </w:r>
            <w:r w:rsidRPr="004561A6">
              <w:rPr>
                <w:rFonts w:cs="Arial"/>
                <w:sz w:val="18"/>
                <w:szCs w:val="18"/>
              </w:rPr>
              <w:t xml:space="preserve"> </w:t>
            </w:r>
          </w:p>
          <w:p w14:paraId="650A912F" w14:textId="77777777" w:rsidR="00FB33C3" w:rsidRPr="004561A6" w:rsidRDefault="00FB33C3" w:rsidP="00185995">
            <w:pPr>
              <w:contextualSpacing/>
              <w:jc w:val="left"/>
              <w:rPr>
                <w:rFonts w:cs="Arial"/>
                <w:color w:val="auto"/>
                <w:sz w:val="18"/>
                <w:szCs w:val="18"/>
              </w:rPr>
            </w:pPr>
          </w:p>
          <w:p w14:paraId="6170A372" w14:textId="77777777" w:rsidR="00FB33C3" w:rsidRPr="004561A6" w:rsidRDefault="00FB33C3" w:rsidP="00185995">
            <w:pPr>
              <w:contextualSpacing/>
              <w:jc w:val="left"/>
              <w:rPr>
                <w:rFonts w:cs="Arial"/>
                <w:color w:val="auto"/>
                <w:sz w:val="18"/>
                <w:szCs w:val="18"/>
              </w:rPr>
            </w:pPr>
            <w:r w:rsidRPr="004561A6">
              <w:rPr>
                <w:rFonts w:cs="Arial"/>
                <w:color w:val="auto"/>
                <w:sz w:val="18"/>
                <w:szCs w:val="18"/>
              </w:rPr>
              <w:t>(18%)</w:t>
            </w:r>
          </w:p>
        </w:tc>
        <w:tc>
          <w:tcPr>
            <w:tcW w:w="515" w:type="pct"/>
            <w:tcBorders>
              <w:top w:val="single" w:sz="4" w:space="0" w:color="auto"/>
              <w:left w:val="single" w:sz="4" w:space="0" w:color="auto"/>
              <w:bottom w:val="single" w:sz="4" w:space="0" w:color="auto"/>
              <w:right w:val="single" w:sz="4" w:space="0" w:color="auto"/>
            </w:tcBorders>
            <w:shd w:val="clear" w:color="auto" w:fill="A8D08D"/>
          </w:tcPr>
          <w:p w14:paraId="393B316B" w14:textId="77777777" w:rsidR="00FB33C3" w:rsidRDefault="00FB33C3" w:rsidP="00185995">
            <w:pPr>
              <w:contextualSpacing/>
              <w:jc w:val="left"/>
              <w:rPr>
                <w:rFonts w:cs="Arial"/>
                <w:color w:val="auto"/>
                <w:sz w:val="18"/>
                <w:szCs w:val="18"/>
              </w:rPr>
            </w:pPr>
            <w:r>
              <w:rPr>
                <w:rFonts w:cs="Arial"/>
                <w:color w:val="auto"/>
                <w:sz w:val="18"/>
                <w:szCs w:val="18"/>
              </w:rPr>
              <w:t>151,252</w:t>
            </w:r>
          </w:p>
          <w:p w14:paraId="2EE3AA04" w14:textId="77777777" w:rsidR="00FB33C3" w:rsidRDefault="00FB33C3" w:rsidP="00185995">
            <w:pPr>
              <w:contextualSpacing/>
              <w:jc w:val="left"/>
              <w:rPr>
                <w:rFonts w:cs="Arial"/>
                <w:color w:val="auto"/>
                <w:sz w:val="18"/>
                <w:szCs w:val="18"/>
              </w:rPr>
            </w:pPr>
          </w:p>
          <w:p w14:paraId="6EFE349E" w14:textId="77777777" w:rsidR="00FB33C3" w:rsidRPr="004561A6" w:rsidRDefault="00FB33C3" w:rsidP="00185995">
            <w:pPr>
              <w:rPr>
                <w:rFonts w:cs="Arial"/>
                <w:color w:val="auto"/>
                <w:sz w:val="18"/>
                <w:szCs w:val="18"/>
              </w:rPr>
            </w:pPr>
            <w:r>
              <w:rPr>
                <w:rFonts w:cs="Arial"/>
                <w:color w:val="auto"/>
                <w:sz w:val="18"/>
                <w:szCs w:val="18"/>
              </w:rPr>
              <w:t>(4.9%)</w:t>
            </w:r>
          </w:p>
        </w:tc>
      </w:tr>
      <w:tr w:rsidR="00335D8B" w:rsidRPr="004561A6" w14:paraId="240DED93" w14:textId="77777777" w:rsidTr="00185995">
        <w:trPr>
          <w:cantSplit/>
          <w:trHeight w:val="20"/>
        </w:trPr>
        <w:tc>
          <w:tcPr>
            <w:tcW w:w="417" w:type="pct"/>
            <w:tcBorders>
              <w:top w:val="nil"/>
              <w:left w:val="single" w:sz="4" w:space="0" w:color="auto"/>
              <w:bottom w:val="nil"/>
              <w:right w:val="single" w:sz="4" w:space="0" w:color="auto"/>
            </w:tcBorders>
            <w:vAlign w:val="center"/>
          </w:tcPr>
          <w:p w14:paraId="02400AD3" w14:textId="77777777" w:rsidR="00FB33C3" w:rsidRPr="004561A6" w:rsidRDefault="00FB33C3" w:rsidP="00185995">
            <w:pPr>
              <w:spacing w:before="0" w:after="0" w:line="256" w:lineRule="auto"/>
              <w:contextualSpacing/>
              <w:jc w:val="left"/>
              <w:rPr>
                <w:rFonts w:cs="Arial"/>
                <w:color w:val="auto"/>
                <w:sz w:val="18"/>
                <w:szCs w:val="18"/>
              </w:rPr>
            </w:pPr>
          </w:p>
        </w:tc>
        <w:tc>
          <w:tcPr>
            <w:tcW w:w="932" w:type="pct"/>
            <w:tcBorders>
              <w:top w:val="single" w:sz="4" w:space="0" w:color="auto"/>
              <w:left w:val="single" w:sz="4" w:space="0" w:color="auto"/>
              <w:bottom w:val="single" w:sz="4" w:space="0" w:color="auto"/>
              <w:right w:val="single" w:sz="4" w:space="0" w:color="auto"/>
            </w:tcBorders>
          </w:tcPr>
          <w:p w14:paraId="6DEBEC1C" w14:textId="77777777" w:rsidR="00FB33C3" w:rsidRPr="004561A6" w:rsidRDefault="00FB33C3" w:rsidP="00185995">
            <w:pPr>
              <w:contextualSpacing/>
              <w:jc w:val="right"/>
              <w:rPr>
                <w:rFonts w:cs="Arial"/>
                <w:color w:val="auto"/>
                <w:sz w:val="18"/>
                <w:szCs w:val="18"/>
              </w:rPr>
            </w:pPr>
            <w:r w:rsidRPr="004561A6">
              <w:rPr>
                <w:rFonts w:cs="Arial"/>
                <w:color w:val="auto"/>
                <w:sz w:val="18"/>
                <w:szCs w:val="18"/>
              </w:rPr>
              <w:t>Reduction of salt import at the Murray Mouth</w:t>
            </w:r>
          </w:p>
        </w:tc>
        <w:tc>
          <w:tcPr>
            <w:tcW w:w="466" w:type="pct"/>
            <w:tcBorders>
              <w:top w:val="single" w:sz="4" w:space="0" w:color="auto"/>
              <w:left w:val="single" w:sz="4" w:space="0" w:color="auto"/>
              <w:bottom w:val="single" w:sz="4" w:space="0" w:color="auto"/>
              <w:right w:val="single" w:sz="4" w:space="0" w:color="auto"/>
            </w:tcBorders>
            <w:shd w:val="clear" w:color="auto" w:fill="5B9BD5" w:themeFill="accent1"/>
          </w:tcPr>
          <w:p w14:paraId="0ECDD581" w14:textId="7B895EAE" w:rsidR="00FB33C3" w:rsidRPr="004561A6" w:rsidRDefault="00FB33C3" w:rsidP="00185995">
            <w:pPr>
              <w:contextualSpacing/>
              <w:jc w:val="left"/>
              <w:rPr>
                <w:rFonts w:cs="Arial"/>
                <w:sz w:val="18"/>
                <w:szCs w:val="18"/>
              </w:rPr>
            </w:pPr>
            <w:r w:rsidRPr="004561A6">
              <w:rPr>
                <w:rFonts w:cs="Arial"/>
                <w:sz w:val="18"/>
                <w:szCs w:val="18"/>
              </w:rPr>
              <w:t>3,044,70</w:t>
            </w:r>
          </w:p>
        </w:tc>
        <w:tc>
          <w:tcPr>
            <w:tcW w:w="374" w:type="pct"/>
            <w:tcBorders>
              <w:top w:val="single" w:sz="4" w:space="0" w:color="auto"/>
              <w:left w:val="single" w:sz="4" w:space="0" w:color="auto"/>
              <w:bottom w:val="single" w:sz="4" w:space="0" w:color="auto"/>
              <w:right w:val="single" w:sz="4" w:space="0" w:color="auto"/>
            </w:tcBorders>
            <w:shd w:val="clear" w:color="auto" w:fill="5B9BD5" w:themeFill="accent1"/>
          </w:tcPr>
          <w:p w14:paraId="09846C7D" w14:textId="72C104C5" w:rsidR="00FB33C3" w:rsidRPr="004561A6" w:rsidRDefault="00FB33C3" w:rsidP="00185995">
            <w:pPr>
              <w:contextualSpacing/>
              <w:jc w:val="left"/>
              <w:rPr>
                <w:rFonts w:cs="Arial"/>
                <w:sz w:val="18"/>
                <w:szCs w:val="18"/>
              </w:rPr>
            </w:pPr>
            <w:r w:rsidRPr="004561A6">
              <w:rPr>
                <w:rFonts w:cs="Arial"/>
                <w:sz w:val="18"/>
                <w:szCs w:val="18"/>
              </w:rPr>
              <w:t>4,591,269</w:t>
            </w:r>
          </w:p>
        </w:tc>
        <w:tc>
          <w:tcPr>
            <w:tcW w:w="373"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842BAD9" w14:textId="520C2D57" w:rsidR="00FB33C3" w:rsidRPr="004561A6" w:rsidRDefault="00FB33C3" w:rsidP="00185995">
            <w:pPr>
              <w:contextualSpacing/>
              <w:jc w:val="left"/>
              <w:rPr>
                <w:rFonts w:cs="Arial"/>
                <w:sz w:val="18"/>
                <w:szCs w:val="18"/>
              </w:rPr>
            </w:pPr>
            <w:r w:rsidRPr="004561A6">
              <w:rPr>
                <w:rFonts w:cs="Arial"/>
                <w:sz w:val="18"/>
                <w:szCs w:val="18"/>
              </w:rPr>
              <w:t>519,292</w:t>
            </w:r>
          </w:p>
        </w:tc>
        <w:tc>
          <w:tcPr>
            <w:tcW w:w="419" w:type="pct"/>
            <w:tcBorders>
              <w:top w:val="single" w:sz="4" w:space="0" w:color="auto"/>
              <w:left w:val="single" w:sz="4" w:space="0" w:color="auto"/>
              <w:bottom w:val="single" w:sz="4" w:space="0" w:color="auto"/>
              <w:right w:val="single" w:sz="4" w:space="0" w:color="auto"/>
            </w:tcBorders>
            <w:shd w:val="clear" w:color="auto" w:fill="5B9BD5"/>
          </w:tcPr>
          <w:p w14:paraId="7306DC96" w14:textId="05A517B4" w:rsidR="00FB33C3" w:rsidRPr="004561A6" w:rsidRDefault="00FB33C3" w:rsidP="00185995">
            <w:pPr>
              <w:contextualSpacing/>
              <w:jc w:val="left"/>
              <w:rPr>
                <w:rFonts w:cs="Arial"/>
                <w:sz w:val="18"/>
                <w:szCs w:val="18"/>
              </w:rPr>
            </w:pPr>
            <w:r w:rsidRPr="004561A6">
              <w:rPr>
                <w:rFonts w:cs="Arial"/>
                <w:sz w:val="18"/>
                <w:szCs w:val="18"/>
              </w:rPr>
              <w:t xml:space="preserve">3,773,721 </w:t>
            </w:r>
          </w:p>
        </w:tc>
        <w:tc>
          <w:tcPr>
            <w:tcW w:w="374" w:type="pct"/>
            <w:tcBorders>
              <w:top w:val="single" w:sz="4" w:space="0" w:color="auto"/>
              <w:left w:val="single" w:sz="4" w:space="0" w:color="auto"/>
              <w:bottom w:val="single" w:sz="4" w:space="0" w:color="auto"/>
              <w:right w:val="single" w:sz="4" w:space="0" w:color="auto"/>
            </w:tcBorders>
            <w:shd w:val="clear" w:color="auto" w:fill="5B9BD5"/>
          </w:tcPr>
          <w:p w14:paraId="69496AD0" w14:textId="49DDBE03" w:rsidR="00FB33C3" w:rsidRPr="004561A6" w:rsidRDefault="00FB33C3" w:rsidP="00185995">
            <w:pPr>
              <w:contextualSpacing/>
              <w:jc w:val="left"/>
              <w:rPr>
                <w:rFonts w:cs="Arial"/>
                <w:sz w:val="18"/>
                <w:szCs w:val="18"/>
              </w:rPr>
            </w:pPr>
            <w:r w:rsidRPr="004561A6">
              <w:rPr>
                <w:rFonts w:cs="Arial"/>
                <w:sz w:val="18"/>
                <w:szCs w:val="18"/>
              </w:rPr>
              <w:t xml:space="preserve">5,114,634 </w:t>
            </w:r>
          </w:p>
        </w:tc>
        <w:tc>
          <w:tcPr>
            <w:tcW w:w="373" w:type="pct"/>
            <w:tcBorders>
              <w:top w:val="single" w:sz="4" w:space="0" w:color="auto"/>
              <w:left w:val="single" w:sz="4" w:space="0" w:color="auto"/>
              <w:bottom w:val="single" w:sz="4" w:space="0" w:color="auto"/>
              <w:right w:val="single" w:sz="4" w:space="0" w:color="auto"/>
            </w:tcBorders>
            <w:shd w:val="clear" w:color="auto" w:fill="5B9BD5"/>
          </w:tcPr>
          <w:p w14:paraId="4093A560" w14:textId="60BE1BD6" w:rsidR="00FB33C3" w:rsidRPr="004561A6" w:rsidRDefault="00FB33C3" w:rsidP="00185995">
            <w:pPr>
              <w:contextualSpacing/>
              <w:jc w:val="left"/>
              <w:rPr>
                <w:rFonts w:cs="Arial"/>
                <w:color w:val="auto"/>
                <w:sz w:val="18"/>
                <w:szCs w:val="18"/>
              </w:rPr>
            </w:pPr>
            <w:r w:rsidRPr="004561A6">
              <w:rPr>
                <w:rFonts w:cs="Arial"/>
                <w:color w:val="auto"/>
                <w:sz w:val="18"/>
                <w:szCs w:val="18"/>
              </w:rPr>
              <w:t>3,994,755</w:t>
            </w:r>
            <w:r w:rsidRPr="004561A6">
              <w:rPr>
                <w:rFonts w:cs="Arial"/>
                <w:sz w:val="18"/>
                <w:szCs w:val="18"/>
              </w:rPr>
              <w:t xml:space="preserve"> </w:t>
            </w:r>
          </w:p>
        </w:tc>
        <w:tc>
          <w:tcPr>
            <w:tcW w:w="373" w:type="pct"/>
            <w:tcBorders>
              <w:top w:val="single" w:sz="4" w:space="0" w:color="auto"/>
              <w:left w:val="single" w:sz="4" w:space="0" w:color="auto"/>
              <w:bottom w:val="single" w:sz="4" w:space="0" w:color="auto"/>
              <w:right w:val="single" w:sz="4" w:space="0" w:color="auto"/>
            </w:tcBorders>
            <w:shd w:val="clear" w:color="auto" w:fill="5B9BD5"/>
          </w:tcPr>
          <w:p w14:paraId="7B3C185B" w14:textId="6B604CFF" w:rsidR="00FB33C3" w:rsidRPr="004561A6" w:rsidRDefault="00FB33C3" w:rsidP="00185995">
            <w:pPr>
              <w:contextualSpacing/>
              <w:jc w:val="left"/>
              <w:rPr>
                <w:rFonts w:cs="Arial"/>
                <w:color w:val="auto"/>
                <w:sz w:val="18"/>
                <w:szCs w:val="18"/>
              </w:rPr>
            </w:pPr>
            <w:r w:rsidRPr="004561A6">
              <w:rPr>
                <w:rFonts w:cs="Arial"/>
                <w:color w:val="auto"/>
                <w:sz w:val="18"/>
                <w:szCs w:val="18"/>
              </w:rPr>
              <w:t>4,351,454</w:t>
            </w:r>
            <w:r w:rsidRPr="004561A6">
              <w:rPr>
                <w:rFonts w:cs="Arial"/>
                <w:sz w:val="18"/>
                <w:szCs w:val="18"/>
              </w:rPr>
              <w:t xml:space="preserve"> </w:t>
            </w:r>
          </w:p>
        </w:tc>
        <w:tc>
          <w:tcPr>
            <w:tcW w:w="384" w:type="pct"/>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B7F5C03" w14:textId="2E0BD638" w:rsidR="00FB33C3" w:rsidRPr="004561A6" w:rsidRDefault="00FB33C3" w:rsidP="00185995">
            <w:pPr>
              <w:contextualSpacing/>
              <w:jc w:val="left"/>
              <w:rPr>
                <w:rFonts w:cs="Arial"/>
                <w:color w:val="auto"/>
                <w:sz w:val="18"/>
                <w:szCs w:val="18"/>
              </w:rPr>
            </w:pPr>
            <w:r w:rsidRPr="004561A6">
              <w:rPr>
                <w:rFonts w:cs="Arial"/>
                <w:color w:val="auto"/>
                <w:sz w:val="18"/>
                <w:szCs w:val="18"/>
              </w:rPr>
              <w:t>570,010</w:t>
            </w:r>
            <w:r w:rsidRPr="004561A6">
              <w:rPr>
                <w:rFonts w:cs="Arial"/>
                <w:sz w:val="18"/>
                <w:szCs w:val="18"/>
              </w:rPr>
              <w:t xml:space="preserve"> </w:t>
            </w:r>
          </w:p>
        </w:tc>
        <w:tc>
          <w:tcPr>
            <w:tcW w:w="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FF9A9CA" w14:textId="77777777" w:rsidR="00FB33C3" w:rsidRPr="004561A6" w:rsidRDefault="00FB33C3" w:rsidP="00185995">
            <w:pPr>
              <w:contextualSpacing/>
              <w:jc w:val="left"/>
              <w:rPr>
                <w:rFonts w:cs="Arial"/>
                <w:color w:val="auto"/>
                <w:sz w:val="18"/>
                <w:szCs w:val="18"/>
              </w:rPr>
            </w:pPr>
            <w:r>
              <w:rPr>
                <w:rFonts w:cs="Arial"/>
                <w:color w:val="auto"/>
                <w:sz w:val="18"/>
                <w:szCs w:val="18"/>
              </w:rPr>
              <w:t>117,688</w:t>
            </w:r>
          </w:p>
        </w:tc>
      </w:tr>
      <w:tr w:rsidR="00335D8B" w:rsidRPr="004561A6" w14:paraId="11F98139" w14:textId="77777777" w:rsidTr="00185995">
        <w:trPr>
          <w:cantSplit/>
          <w:trHeight w:val="20"/>
        </w:trPr>
        <w:tc>
          <w:tcPr>
            <w:tcW w:w="417" w:type="pct"/>
            <w:tcBorders>
              <w:top w:val="nil"/>
              <w:left w:val="single" w:sz="4" w:space="0" w:color="auto"/>
              <w:bottom w:val="nil"/>
              <w:right w:val="single" w:sz="4" w:space="0" w:color="auto"/>
            </w:tcBorders>
            <w:vAlign w:val="center"/>
          </w:tcPr>
          <w:p w14:paraId="3A70E7D4" w14:textId="77777777" w:rsidR="00FB33C3" w:rsidRPr="004561A6" w:rsidRDefault="00FB33C3" w:rsidP="00185995">
            <w:pPr>
              <w:spacing w:before="0" w:after="0" w:line="256" w:lineRule="auto"/>
              <w:contextualSpacing/>
              <w:jc w:val="left"/>
              <w:rPr>
                <w:rFonts w:cs="Arial"/>
                <w:color w:val="auto"/>
                <w:sz w:val="18"/>
                <w:szCs w:val="18"/>
              </w:rPr>
            </w:pPr>
          </w:p>
        </w:tc>
        <w:tc>
          <w:tcPr>
            <w:tcW w:w="932" w:type="pct"/>
            <w:tcBorders>
              <w:top w:val="single" w:sz="4" w:space="0" w:color="auto"/>
              <w:left w:val="single" w:sz="4" w:space="0" w:color="auto"/>
              <w:bottom w:val="single" w:sz="4" w:space="0" w:color="auto"/>
              <w:right w:val="single" w:sz="4" w:space="0" w:color="auto"/>
            </w:tcBorders>
          </w:tcPr>
          <w:p w14:paraId="187A7F4B" w14:textId="77777777" w:rsidR="00FB33C3" w:rsidRPr="004561A6" w:rsidRDefault="00FB33C3" w:rsidP="00185995">
            <w:pPr>
              <w:contextualSpacing/>
              <w:jc w:val="right"/>
              <w:rPr>
                <w:rFonts w:cs="Arial"/>
                <w:color w:val="auto"/>
                <w:sz w:val="18"/>
                <w:szCs w:val="18"/>
              </w:rPr>
            </w:pPr>
            <w:r w:rsidRPr="004561A6">
              <w:rPr>
                <w:rFonts w:cs="Arial"/>
                <w:color w:val="auto"/>
                <w:sz w:val="18"/>
                <w:szCs w:val="18"/>
              </w:rPr>
              <w:t>Reduction of southward salt flux at the North Lagoon (LP)</w:t>
            </w:r>
          </w:p>
        </w:tc>
        <w:tc>
          <w:tcPr>
            <w:tcW w:w="46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721A77" w14:textId="77777777" w:rsidR="00FB33C3" w:rsidRPr="004561A6" w:rsidRDefault="00FB33C3" w:rsidP="00185995">
            <w:pPr>
              <w:contextualSpacing/>
              <w:jc w:val="left"/>
              <w:rPr>
                <w:rFonts w:cs="Arial"/>
                <w:sz w:val="18"/>
                <w:szCs w:val="18"/>
              </w:rPr>
            </w:pP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6E263D" w14:textId="77777777" w:rsidR="00FB33C3" w:rsidRPr="004561A6" w:rsidRDefault="00FB33C3" w:rsidP="00185995">
            <w:pPr>
              <w:contextualSpacing/>
              <w:jc w:val="left"/>
              <w:rPr>
                <w:rFonts w:cs="Arial"/>
                <w:sz w:val="18"/>
                <w:szCs w:val="18"/>
              </w:rPr>
            </w:pPr>
          </w:p>
        </w:tc>
        <w:tc>
          <w:tcPr>
            <w:tcW w:w="37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BDD84A" w14:textId="77777777" w:rsidR="00FB33C3" w:rsidRPr="004561A6" w:rsidRDefault="00FB33C3" w:rsidP="00185995">
            <w:pPr>
              <w:contextualSpacing/>
              <w:jc w:val="left"/>
              <w:rPr>
                <w:rFonts w:cs="Arial"/>
                <w:sz w:val="18"/>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5B9BD5" w:themeFill="accent1"/>
          </w:tcPr>
          <w:p w14:paraId="741F5876" w14:textId="7F2C6E54" w:rsidR="00FB33C3" w:rsidRPr="004561A6" w:rsidRDefault="00FB33C3" w:rsidP="00185995">
            <w:pPr>
              <w:contextualSpacing/>
              <w:jc w:val="left"/>
              <w:rPr>
                <w:rFonts w:cs="Arial"/>
                <w:sz w:val="18"/>
                <w:szCs w:val="18"/>
              </w:rPr>
            </w:pPr>
            <w:r w:rsidRPr="004561A6">
              <w:rPr>
                <w:rFonts w:cs="Arial"/>
                <w:sz w:val="18"/>
                <w:szCs w:val="18"/>
              </w:rPr>
              <w:t xml:space="preserve">2,813,578 </w:t>
            </w:r>
          </w:p>
        </w:tc>
        <w:tc>
          <w:tcPr>
            <w:tcW w:w="374" w:type="pct"/>
            <w:tcBorders>
              <w:top w:val="single" w:sz="4" w:space="0" w:color="auto"/>
              <w:left w:val="single" w:sz="4" w:space="0" w:color="auto"/>
              <w:bottom w:val="single" w:sz="4" w:space="0" w:color="auto"/>
              <w:right w:val="single" w:sz="4" w:space="0" w:color="auto"/>
            </w:tcBorders>
            <w:shd w:val="clear" w:color="auto" w:fill="5B9BD5" w:themeFill="accent1"/>
          </w:tcPr>
          <w:p w14:paraId="71918EF1" w14:textId="5D91F097" w:rsidR="00FB33C3" w:rsidRPr="004561A6" w:rsidRDefault="00FB33C3" w:rsidP="00185995">
            <w:pPr>
              <w:contextualSpacing/>
              <w:jc w:val="left"/>
              <w:rPr>
                <w:rFonts w:cs="Arial"/>
                <w:sz w:val="18"/>
                <w:szCs w:val="18"/>
              </w:rPr>
            </w:pPr>
            <w:r w:rsidRPr="004561A6">
              <w:rPr>
                <w:rFonts w:cs="Arial"/>
                <w:sz w:val="18"/>
                <w:szCs w:val="18"/>
              </w:rPr>
              <w:t xml:space="preserve">3,862,317 </w:t>
            </w:r>
          </w:p>
        </w:tc>
        <w:tc>
          <w:tcPr>
            <w:tcW w:w="373" w:type="pct"/>
            <w:tcBorders>
              <w:top w:val="single" w:sz="4" w:space="0" w:color="auto"/>
              <w:left w:val="single" w:sz="4" w:space="0" w:color="auto"/>
              <w:bottom w:val="single" w:sz="4" w:space="0" w:color="auto"/>
              <w:right w:val="single" w:sz="4" w:space="0" w:color="auto"/>
            </w:tcBorders>
            <w:shd w:val="clear" w:color="auto" w:fill="5B9BD5" w:themeFill="accent1"/>
          </w:tcPr>
          <w:p w14:paraId="782598ED" w14:textId="4F7A40FE" w:rsidR="00FB33C3" w:rsidRPr="004561A6" w:rsidRDefault="00FB33C3" w:rsidP="00185995">
            <w:pPr>
              <w:contextualSpacing/>
              <w:jc w:val="left"/>
              <w:rPr>
                <w:rFonts w:cs="Arial"/>
                <w:color w:val="auto"/>
                <w:sz w:val="18"/>
                <w:szCs w:val="18"/>
              </w:rPr>
            </w:pPr>
            <w:r w:rsidRPr="004561A6">
              <w:rPr>
                <w:color w:val="auto"/>
                <w:sz w:val="18"/>
                <w:szCs w:val="18"/>
              </w:rPr>
              <w:t>2,817,820</w:t>
            </w:r>
            <w:r w:rsidRPr="004561A6">
              <w:rPr>
                <w:rFonts w:cs="Arial"/>
                <w:sz w:val="18"/>
                <w:szCs w:val="18"/>
              </w:rPr>
              <w:t xml:space="preserve"> </w:t>
            </w:r>
          </w:p>
        </w:tc>
        <w:tc>
          <w:tcPr>
            <w:tcW w:w="373" w:type="pct"/>
            <w:tcBorders>
              <w:top w:val="single" w:sz="4" w:space="0" w:color="auto"/>
              <w:left w:val="single" w:sz="4" w:space="0" w:color="auto"/>
              <w:bottom w:val="single" w:sz="4" w:space="0" w:color="auto"/>
              <w:right w:val="single" w:sz="4" w:space="0" w:color="auto"/>
            </w:tcBorders>
            <w:shd w:val="clear" w:color="auto" w:fill="5B9BD5" w:themeFill="accent1"/>
          </w:tcPr>
          <w:p w14:paraId="5568B328" w14:textId="106EC608" w:rsidR="00FB33C3" w:rsidRPr="004561A6" w:rsidRDefault="00FB33C3" w:rsidP="00185995">
            <w:pPr>
              <w:contextualSpacing/>
              <w:jc w:val="left"/>
              <w:rPr>
                <w:rFonts w:cs="Arial"/>
                <w:color w:val="auto"/>
                <w:sz w:val="18"/>
                <w:szCs w:val="18"/>
              </w:rPr>
            </w:pPr>
            <w:r w:rsidRPr="004561A6">
              <w:rPr>
                <w:rFonts w:cs="Arial"/>
                <w:color w:val="auto"/>
                <w:sz w:val="18"/>
                <w:szCs w:val="18"/>
              </w:rPr>
              <w:t>3,368,827</w:t>
            </w:r>
            <w:r w:rsidRPr="004561A6">
              <w:rPr>
                <w:rFonts w:cs="Arial"/>
                <w:sz w:val="18"/>
                <w:szCs w:val="18"/>
              </w:rPr>
              <w:t xml:space="preserve"> </w:t>
            </w:r>
          </w:p>
        </w:tc>
        <w:tc>
          <w:tcPr>
            <w:tcW w:w="384" w:type="pct"/>
            <w:tcBorders>
              <w:top w:val="single" w:sz="4" w:space="0" w:color="auto"/>
              <w:left w:val="single" w:sz="4" w:space="0" w:color="auto"/>
              <w:bottom w:val="single" w:sz="4" w:space="0" w:color="auto"/>
              <w:right w:val="single" w:sz="4" w:space="0" w:color="auto"/>
            </w:tcBorders>
            <w:shd w:val="clear" w:color="auto" w:fill="E2EFD9"/>
          </w:tcPr>
          <w:p w14:paraId="2CADF780" w14:textId="3199C68C" w:rsidR="00FB33C3" w:rsidRPr="004561A6" w:rsidRDefault="00FB33C3" w:rsidP="00185995">
            <w:pPr>
              <w:contextualSpacing/>
              <w:jc w:val="left"/>
              <w:rPr>
                <w:rFonts w:cs="Arial"/>
                <w:color w:val="auto"/>
                <w:sz w:val="18"/>
                <w:szCs w:val="18"/>
              </w:rPr>
            </w:pPr>
            <w:r w:rsidRPr="004561A6">
              <w:rPr>
                <w:rFonts w:cs="Arial"/>
                <w:color w:val="auto"/>
                <w:sz w:val="18"/>
                <w:szCs w:val="18"/>
              </w:rPr>
              <w:t>8,966</w:t>
            </w:r>
            <w:r w:rsidRPr="004561A6">
              <w:rPr>
                <w:rFonts w:cs="Arial"/>
                <w:sz w:val="18"/>
                <w:szCs w:val="18"/>
              </w:rPr>
              <w:t xml:space="preserve"> </w:t>
            </w:r>
          </w:p>
        </w:tc>
        <w:tc>
          <w:tcPr>
            <w:tcW w:w="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8FCA78B" w14:textId="77777777" w:rsidR="00FB33C3" w:rsidRPr="004561A6" w:rsidRDefault="00FB33C3" w:rsidP="00185995">
            <w:pPr>
              <w:contextualSpacing/>
              <w:jc w:val="left"/>
              <w:rPr>
                <w:rFonts w:cs="Arial"/>
                <w:color w:val="auto"/>
                <w:sz w:val="18"/>
                <w:szCs w:val="18"/>
              </w:rPr>
            </w:pPr>
            <w:r>
              <w:rPr>
                <w:rFonts w:cs="Arial"/>
                <w:color w:val="auto"/>
                <w:sz w:val="18"/>
                <w:szCs w:val="18"/>
              </w:rPr>
              <w:t>-49,266</w:t>
            </w:r>
          </w:p>
        </w:tc>
      </w:tr>
      <w:tr w:rsidR="00335D8B" w:rsidRPr="004561A6" w14:paraId="326CDFB4" w14:textId="77777777" w:rsidTr="00185995">
        <w:trPr>
          <w:cantSplit/>
          <w:trHeight w:val="20"/>
        </w:trPr>
        <w:tc>
          <w:tcPr>
            <w:tcW w:w="417" w:type="pct"/>
            <w:tcBorders>
              <w:top w:val="nil"/>
              <w:left w:val="single" w:sz="4" w:space="0" w:color="auto"/>
              <w:bottom w:val="single" w:sz="4" w:space="0" w:color="auto"/>
              <w:right w:val="single" w:sz="4" w:space="0" w:color="auto"/>
            </w:tcBorders>
            <w:vAlign w:val="center"/>
          </w:tcPr>
          <w:p w14:paraId="415EB1BF" w14:textId="77777777" w:rsidR="00FB33C3" w:rsidRPr="004561A6" w:rsidRDefault="00FB33C3" w:rsidP="00185995">
            <w:pPr>
              <w:spacing w:before="0" w:after="0" w:line="256" w:lineRule="auto"/>
              <w:contextualSpacing/>
              <w:jc w:val="left"/>
              <w:rPr>
                <w:rFonts w:cs="Arial"/>
                <w:color w:val="auto"/>
                <w:sz w:val="18"/>
                <w:szCs w:val="18"/>
              </w:rPr>
            </w:pPr>
          </w:p>
        </w:tc>
        <w:tc>
          <w:tcPr>
            <w:tcW w:w="932" w:type="pct"/>
            <w:tcBorders>
              <w:top w:val="single" w:sz="4" w:space="0" w:color="auto"/>
              <w:left w:val="single" w:sz="4" w:space="0" w:color="auto"/>
              <w:bottom w:val="single" w:sz="4" w:space="0" w:color="auto"/>
              <w:right w:val="single" w:sz="4" w:space="0" w:color="auto"/>
            </w:tcBorders>
          </w:tcPr>
          <w:p w14:paraId="68D5C939" w14:textId="77777777" w:rsidR="00FB33C3" w:rsidRPr="004561A6" w:rsidRDefault="00FB33C3" w:rsidP="00185995">
            <w:pPr>
              <w:contextualSpacing/>
              <w:jc w:val="right"/>
              <w:rPr>
                <w:rFonts w:cs="Arial"/>
                <w:color w:val="auto"/>
                <w:sz w:val="18"/>
                <w:szCs w:val="18"/>
              </w:rPr>
            </w:pPr>
            <w:r w:rsidRPr="004561A6">
              <w:rPr>
                <w:rFonts w:cs="Arial"/>
                <w:color w:val="auto"/>
                <w:sz w:val="18"/>
                <w:szCs w:val="18"/>
              </w:rPr>
              <w:t>Reduction of southward salt flux at South Lagoon (PP)</w:t>
            </w:r>
          </w:p>
        </w:tc>
        <w:tc>
          <w:tcPr>
            <w:tcW w:w="46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956B91" w14:textId="77777777" w:rsidR="00FB33C3" w:rsidRPr="004561A6" w:rsidRDefault="00FB33C3" w:rsidP="00185995">
            <w:pPr>
              <w:contextualSpacing/>
              <w:jc w:val="left"/>
              <w:rPr>
                <w:rFonts w:cs="Arial"/>
                <w:sz w:val="18"/>
                <w:szCs w:val="18"/>
              </w:rPr>
            </w:pP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4C8E0A" w14:textId="77777777" w:rsidR="00FB33C3" w:rsidRPr="004561A6" w:rsidRDefault="00FB33C3" w:rsidP="00185995">
            <w:pPr>
              <w:contextualSpacing/>
              <w:jc w:val="left"/>
              <w:rPr>
                <w:rFonts w:cs="Arial"/>
                <w:sz w:val="18"/>
                <w:szCs w:val="18"/>
              </w:rPr>
            </w:pPr>
          </w:p>
        </w:tc>
        <w:tc>
          <w:tcPr>
            <w:tcW w:w="37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1F2EC" w14:textId="77777777" w:rsidR="00FB33C3" w:rsidRPr="004561A6" w:rsidRDefault="00FB33C3" w:rsidP="00185995">
            <w:pPr>
              <w:contextualSpacing/>
              <w:jc w:val="left"/>
              <w:rPr>
                <w:rFonts w:cs="Arial"/>
                <w:sz w:val="18"/>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5B9BD5" w:themeFill="accent1"/>
          </w:tcPr>
          <w:p w14:paraId="170100AF" w14:textId="7AFFA14E" w:rsidR="00FB33C3" w:rsidRPr="004561A6" w:rsidRDefault="00FB33C3" w:rsidP="00185995">
            <w:pPr>
              <w:contextualSpacing/>
              <w:jc w:val="left"/>
              <w:rPr>
                <w:rFonts w:cs="Arial"/>
                <w:sz w:val="18"/>
                <w:szCs w:val="18"/>
              </w:rPr>
            </w:pPr>
            <w:r w:rsidRPr="004561A6">
              <w:rPr>
                <w:rFonts w:cs="Arial"/>
                <w:sz w:val="18"/>
                <w:szCs w:val="18"/>
              </w:rPr>
              <w:t xml:space="preserve">1,204,714 </w:t>
            </w:r>
          </w:p>
        </w:tc>
        <w:tc>
          <w:tcPr>
            <w:tcW w:w="374" w:type="pct"/>
            <w:tcBorders>
              <w:top w:val="single" w:sz="4" w:space="0" w:color="auto"/>
              <w:left w:val="single" w:sz="4" w:space="0" w:color="auto"/>
              <w:bottom w:val="single" w:sz="4" w:space="0" w:color="auto"/>
              <w:right w:val="single" w:sz="4" w:space="0" w:color="auto"/>
            </w:tcBorders>
            <w:shd w:val="clear" w:color="auto" w:fill="5B9BD5" w:themeFill="accent1"/>
          </w:tcPr>
          <w:p w14:paraId="1C83EEDA" w14:textId="7FF2C4F7" w:rsidR="00FB33C3" w:rsidRPr="004561A6" w:rsidRDefault="00FB33C3" w:rsidP="00185995">
            <w:pPr>
              <w:contextualSpacing/>
              <w:jc w:val="left"/>
              <w:rPr>
                <w:rFonts w:cs="Arial"/>
                <w:sz w:val="18"/>
                <w:szCs w:val="18"/>
              </w:rPr>
            </w:pPr>
            <w:r w:rsidRPr="004561A6">
              <w:rPr>
                <w:rFonts w:cs="Arial"/>
                <w:sz w:val="18"/>
                <w:szCs w:val="18"/>
              </w:rPr>
              <w:t xml:space="preserve">1,272,485 </w:t>
            </w:r>
          </w:p>
        </w:tc>
        <w:tc>
          <w:tcPr>
            <w:tcW w:w="373" w:type="pct"/>
            <w:tcBorders>
              <w:top w:val="single" w:sz="4" w:space="0" w:color="auto"/>
              <w:left w:val="single" w:sz="4" w:space="0" w:color="auto"/>
              <w:bottom w:val="single" w:sz="4" w:space="0" w:color="auto"/>
              <w:right w:val="single" w:sz="4" w:space="0" w:color="auto"/>
            </w:tcBorders>
            <w:shd w:val="clear" w:color="auto" w:fill="5B9BD5" w:themeFill="accent1"/>
          </w:tcPr>
          <w:p w14:paraId="0C6EF14C" w14:textId="7365289A" w:rsidR="00FB33C3" w:rsidRPr="004561A6" w:rsidRDefault="00FB33C3" w:rsidP="00185995">
            <w:pPr>
              <w:contextualSpacing/>
              <w:jc w:val="left"/>
              <w:rPr>
                <w:rFonts w:cs="Arial"/>
                <w:color w:val="auto"/>
                <w:sz w:val="18"/>
                <w:szCs w:val="18"/>
              </w:rPr>
            </w:pPr>
            <w:r w:rsidRPr="004561A6">
              <w:rPr>
                <w:rFonts w:cs="Arial"/>
                <w:color w:val="auto"/>
                <w:sz w:val="18"/>
                <w:szCs w:val="18"/>
              </w:rPr>
              <w:t>1,550,087</w:t>
            </w:r>
            <w:r w:rsidRPr="004561A6">
              <w:rPr>
                <w:rFonts w:cs="Arial"/>
                <w:sz w:val="18"/>
                <w:szCs w:val="18"/>
              </w:rPr>
              <w:t xml:space="preserve"> </w:t>
            </w:r>
          </w:p>
        </w:tc>
        <w:tc>
          <w:tcPr>
            <w:tcW w:w="373" w:type="pct"/>
            <w:tcBorders>
              <w:top w:val="single" w:sz="4" w:space="0" w:color="auto"/>
              <w:left w:val="single" w:sz="4" w:space="0" w:color="auto"/>
              <w:bottom w:val="single" w:sz="4" w:space="0" w:color="auto"/>
              <w:right w:val="single" w:sz="4" w:space="0" w:color="auto"/>
            </w:tcBorders>
            <w:shd w:val="clear" w:color="auto" w:fill="5B9BD5" w:themeFill="accent1"/>
          </w:tcPr>
          <w:p w14:paraId="172BAAC2" w14:textId="6E1B892D" w:rsidR="00FB33C3" w:rsidRPr="004561A6" w:rsidRDefault="00FB33C3" w:rsidP="00185995">
            <w:pPr>
              <w:contextualSpacing/>
              <w:jc w:val="left"/>
              <w:rPr>
                <w:rFonts w:cs="Arial"/>
                <w:color w:val="auto"/>
                <w:sz w:val="18"/>
                <w:szCs w:val="18"/>
              </w:rPr>
            </w:pPr>
            <w:r w:rsidRPr="004561A6">
              <w:rPr>
                <w:rFonts w:cs="Arial"/>
                <w:color w:val="auto"/>
                <w:sz w:val="18"/>
                <w:szCs w:val="18"/>
              </w:rPr>
              <w:t>1,070,588</w:t>
            </w:r>
            <w:r w:rsidRPr="004561A6">
              <w:rPr>
                <w:rFonts w:cs="Arial"/>
                <w:sz w:val="18"/>
                <w:szCs w:val="18"/>
              </w:rPr>
              <w:t xml:space="preserve"> </w:t>
            </w:r>
          </w:p>
        </w:tc>
        <w:tc>
          <w:tcPr>
            <w:tcW w:w="384" w:type="pct"/>
            <w:tcBorders>
              <w:top w:val="single" w:sz="4" w:space="0" w:color="auto"/>
              <w:left w:val="single" w:sz="4" w:space="0" w:color="auto"/>
              <w:bottom w:val="single" w:sz="4" w:space="0" w:color="auto"/>
              <w:right w:val="single" w:sz="4" w:space="0" w:color="auto"/>
            </w:tcBorders>
            <w:shd w:val="clear" w:color="auto" w:fill="E2EFD9"/>
          </w:tcPr>
          <w:p w14:paraId="01428628" w14:textId="6E60EDCB" w:rsidR="00FB33C3" w:rsidRPr="004561A6" w:rsidRDefault="00FB33C3" w:rsidP="00185995">
            <w:pPr>
              <w:contextualSpacing/>
              <w:jc w:val="left"/>
              <w:rPr>
                <w:rFonts w:cs="Arial"/>
                <w:color w:val="auto"/>
                <w:sz w:val="18"/>
                <w:szCs w:val="18"/>
              </w:rPr>
            </w:pPr>
            <w:r w:rsidRPr="004561A6">
              <w:rPr>
                <w:rFonts w:cs="Arial"/>
                <w:color w:val="auto"/>
                <w:sz w:val="18"/>
                <w:szCs w:val="18"/>
              </w:rPr>
              <w:t>9,821</w:t>
            </w:r>
          </w:p>
        </w:tc>
        <w:tc>
          <w:tcPr>
            <w:tcW w:w="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021706A" w14:textId="77777777" w:rsidR="00FB33C3" w:rsidRPr="004561A6" w:rsidRDefault="00FB33C3" w:rsidP="00185995">
            <w:pPr>
              <w:contextualSpacing/>
              <w:jc w:val="left"/>
              <w:rPr>
                <w:rFonts w:cs="Arial"/>
                <w:color w:val="auto"/>
                <w:sz w:val="18"/>
                <w:szCs w:val="18"/>
              </w:rPr>
            </w:pPr>
            <w:r>
              <w:rPr>
                <w:rFonts w:cs="Arial"/>
                <w:color w:val="auto"/>
                <w:sz w:val="18"/>
                <w:szCs w:val="18"/>
              </w:rPr>
              <w:t>-33,497</w:t>
            </w:r>
          </w:p>
        </w:tc>
      </w:tr>
      <w:tr w:rsidR="00FB33C3" w:rsidRPr="004561A6" w14:paraId="757EF1A4" w14:textId="77777777" w:rsidTr="00185995">
        <w:trPr>
          <w:cantSplit/>
          <w:trHeight w:val="20"/>
        </w:trPr>
        <w:tc>
          <w:tcPr>
            <w:tcW w:w="1350" w:type="pct"/>
            <w:gridSpan w:val="2"/>
            <w:tcBorders>
              <w:top w:val="single" w:sz="4" w:space="0" w:color="auto"/>
              <w:left w:val="single" w:sz="4" w:space="0" w:color="auto"/>
              <w:bottom w:val="single" w:sz="4" w:space="0" w:color="auto"/>
              <w:right w:val="single" w:sz="4" w:space="0" w:color="auto"/>
            </w:tcBorders>
            <w:hideMark/>
          </w:tcPr>
          <w:p w14:paraId="05A50A1E" w14:textId="77777777" w:rsidR="00FB33C3" w:rsidRPr="004561A6" w:rsidRDefault="00FB33C3" w:rsidP="00185995">
            <w:pPr>
              <w:contextualSpacing/>
              <w:jc w:val="left"/>
              <w:rPr>
                <w:sz w:val="18"/>
                <w:szCs w:val="18"/>
              </w:rPr>
            </w:pPr>
            <w:r w:rsidRPr="004561A6">
              <w:rPr>
                <w:sz w:val="18"/>
                <w:szCs w:val="18"/>
              </w:rPr>
              <w:t>What did CEW contribute to the salinity regime?</w:t>
            </w:r>
          </w:p>
        </w:tc>
        <w:tc>
          <w:tcPr>
            <w:tcW w:w="3650" w:type="pct"/>
            <w:gridSpan w:val="9"/>
            <w:tcBorders>
              <w:top w:val="single" w:sz="4" w:space="0" w:color="auto"/>
              <w:left w:val="single" w:sz="4" w:space="0" w:color="auto"/>
              <w:bottom w:val="single" w:sz="4" w:space="0" w:color="auto"/>
              <w:right w:val="single" w:sz="4" w:space="0" w:color="auto"/>
            </w:tcBorders>
            <w:shd w:val="clear" w:color="auto" w:fill="5B9BD5" w:themeFill="accent1"/>
            <w:hideMark/>
          </w:tcPr>
          <w:p w14:paraId="2781D400" w14:textId="77777777" w:rsidR="00FB33C3" w:rsidRPr="004561A6" w:rsidRDefault="00FB33C3" w:rsidP="00185995">
            <w:pPr>
              <w:spacing w:line="240" w:lineRule="auto"/>
              <w:contextualSpacing/>
              <w:rPr>
                <w:sz w:val="18"/>
                <w:szCs w:val="18"/>
              </w:rPr>
            </w:pPr>
            <w:r w:rsidRPr="004561A6">
              <w:rPr>
                <w:sz w:val="18"/>
                <w:szCs w:val="18"/>
              </w:rPr>
              <w:t>CEW increased salt export through the barrages; and reduced salt intrusion into the Murray Mouth from the ocean, which reduced salinity in the Coorong.</w:t>
            </w:r>
            <w:r>
              <w:rPr>
                <w:sz w:val="18"/>
                <w:szCs w:val="18"/>
              </w:rPr>
              <w:t xml:space="preserve"> </w:t>
            </w:r>
            <w:r w:rsidRPr="004561A6">
              <w:rPr>
                <w:sz w:val="18"/>
                <w:szCs w:val="18"/>
              </w:rPr>
              <w:t>CEW played a key role in delivering flow to the Coorong from July 2017 to June 2021, particularly during dry years of 2018-19 and 2019-20 with up to 100% of barrage releases being CEW.  CEW has played a key role in salt export from the Basin, however, salt export remains below the Basin Plan target of 2 million</w:t>
            </w:r>
            <w:r>
              <w:rPr>
                <w:sz w:val="18"/>
                <w:szCs w:val="18"/>
              </w:rPr>
              <w:t xml:space="preserve"> tonnes </w:t>
            </w:r>
            <w:r w:rsidRPr="004561A6">
              <w:rPr>
                <w:sz w:val="18"/>
                <w:szCs w:val="18"/>
              </w:rPr>
              <w:t>of salt per year except for 202</w:t>
            </w:r>
            <w:r>
              <w:rPr>
                <w:sz w:val="18"/>
                <w:szCs w:val="18"/>
              </w:rPr>
              <w:t>2</w:t>
            </w:r>
            <w:r w:rsidRPr="004561A6">
              <w:rPr>
                <w:sz w:val="18"/>
                <w:szCs w:val="18"/>
              </w:rPr>
              <w:t>-2</w:t>
            </w:r>
            <w:r>
              <w:rPr>
                <w:sz w:val="18"/>
                <w:szCs w:val="18"/>
              </w:rPr>
              <w:t>3</w:t>
            </w:r>
            <w:r w:rsidRPr="004561A6">
              <w:rPr>
                <w:sz w:val="18"/>
                <w:szCs w:val="18"/>
              </w:rPr>
              <w:t xml:space="preserve"> (estimated ~</w:t>
            </w:r>
            <w:r>
              <w:rPr>
                <w:sz w:val="18"/>
                <w:szCs w:val="18"/>
              </w:rPr>
              <w:t>3.1</w:t>
            </w:r>
            <w:r w:rsidRPr="004561A6">
              <w:rPr>
                <w:sz w:val="18"/>
                <w:szCs w:val="18"/>
              </w:rPr>
              <w:t xml:space="preserve"> million </w:t>
            </w:r>
            <w:r>
              <w:rPr>
                <w:sz w:val="18"/>
                <w:szCs w:val="18"/>
              </w:rPr>
              <w:t>tonnes</w:t>
            </w:r>
            <w:r w:rsidRPr="004561A6">
              <w:rPr>
                <w:sz w:val="18"/>
                <w:szCs w:val="18"/>
              </w:rPr>
              <w:t>). In 202</w:t>
            </w:r>
            <w:r>
              <w:rPr>
                <w:sz w:val="18"/>
                <w:szCs w:val="18"/>
              </w:rPr>
              <w:t>2</w:t>
            </w:r>
            <w:r w:rsidRPr="004561A6">
              <w:rPr>
                <w:sz w:val="18"/>
                <w:szCs w:val="18"/>
              </w:rPr>
              <w:t>-2</w:t>
            </w:r>
            <w:r>
              <w:rPr>
                <w:sz w:val="18"/>
                <w:szCs w:val="18"/>
              </w:rPr>
              <w:t>3</w:t>
            </w:r>
            <w:r w:rsidRPr="004561A6">
              <w:rPr>
                <w:sz w:val="18"/>
                <w:szCs w:val="18"/>
              </w:rPr>
              <w:t xml:space="preserve">, unregulated water dominated the barrage flows, and CEW contributed to </w:t>
            </w:r>
            <w:r>
              <w:rPr>
                <w:rFonts w:cs="Arial"/>
                <w:color w:val="auto"/>
                <w:sz w:val="18"/>
                <w:szCs w:val="18"/>
              </w:rPr>
              <w:t>151,252</w:t>
            </w:r>
            <w:r>
              <w:rPr>
                <w:sz w:val="18"/>
                <w:szCs w:val="18"/>
              </w:rPr>
              <w:t xml:space="preserve"> tonnes </w:t>
            </w:r>
            <w:r w:rsidRPr="004561A6">
              <w:rPr>
                <w:sz w:val="18"/>
                <w:szCs w:val="18"/>
              </w:rPr>
              <w:t xml:space="preserve">of salt export through the barrages which was </w:t>
            </w:r>
            <w:r>
              <w:rPr>
                <w:sz w:val="18"/>
                <w:szCs w:val="18"/>
              </w:rPr>
              <w:t>4.9</w:t>
            </w:r>
            <w:r w:rsidRPr="004561A6">
              <w:rPr>
                <w:sz w:val="18"/>
                <w:szCs w:val="18"/>
              </w:rPr>
              <w:t>% of all salt exported. CEW plays a significant role in reducing salt import through the Murray Mouth and reducing salt transport into the North and South lagoons of the Coorong in the low flow years (July 2017–June 2021)</w:t>
            </w:r>
            <w:r>
              <w:rPr>
                <w:sz w:val="18"/>
                <w:szCs w:val="18"/>
              </w:rPr>
              <w:t xml:space="preserve"> and has significant cumulative impact on the salinity over the last six years</w:t>
            </w:r>
            <w:r w:rsidRPr="004561A6">
              <w:rPr>
                <w:sz w:val="18"/>
                <w:szCs w:val="18"/>
              </w:rPr>
              <w:t xml:space="preserve">. </w:t>
            </w:r>
          </w:p>
        </w:tc>
      </w:tr>
    </w:tbl>
    <w:p w14:paraId="0443D077" w14:textId="1EAFA4AF" w:rsidR="00FB33C3" w:rsidRPr="004561A6" w:rsidRDefault="00FB33C3" w:rsidP="00FB33C3">
      <w:pPr>
        <w:spacing w:before="0" w:after="0" w:line="240" w:lineRule="auto"/>
        <w:rPr>
          <w:color w:val="auto"/>
          <w:kern w:val="0"/>
          <w:sz w:val="18"/>
          <w:szCs w:val="18"/>
          <w:lang w:val="en-US" w:bidi="en-US"/>
        </w:rPr>
      </w:pPr>
      <w:r>
        <w:rPr>
          <w:color w:val="auto"/>
          <w:kern w:val="0"/>
          <w:sz w:val="18"/>
          <w:szCs w:val="18"/>
          <w:lang w:val="en-US" w:bidi="en-US"/>
        </w:rPr>
        <w:t>*</w:t>
      </w:r>
      <w:r w:rsidRPr="004561A6">
        <w:rPr>
          <w:color w:val="auto"/>
          <w:kern w:val="0"/>
          <w:sz w:val="18"/>
          <w:szCs w:val="18"/>
          <w:lang w:val="en-US" w:bidi="en-US"/>
        </w:rPr>
        <w:t xml:space="preserve">Contribution (to what extent CEW contributed towards the outcome, with the significance of the outcome considered). For salinity levels, substantial, moderate, minor and negligible contributions, respectively, were considered to be reductions of: ≥15, 10–14, 5–9 and &lt;5 </w:t>
      </w:r>
      <w:r>
        <w:rPr>
          <w:color w:val="auto"/>
          <w:kern w:val="0"/>
          <w:sz w:val="18"/>
          <w:szCs w:val="18"/>
          <w:lang w:val="en-US" w:bidi="en-US"/>
        </w:rPr>
        <w:t>PSU</w:t>
      </w:r>
      <w:r w:rsidRPr="004561A6">
        <w:rPr>
          <w:color w:val="auto"/>
          <w:kern w:val="0"/>
          <w:sz w:val="18"/>
          <w:szCs w:val="18"/>
          <w:lang w:val="en-US" w:bidi="en-US"/>
        </w:rPr>
        <w:t xml:space="preserve"> for the Murray Mouth; ≥10, 5–9, 2–4, and &lt;2 </w:t>
      </w:r>
      <w:r>
        <w:rPr>
          <w:color w:val="auto"/>
          <w:kern w:val="0"/>
          <w:sz w:val="18"/>
          <w:szCs w:val="18"/>
          <w:lang w:val="en-US" w:bidi="en-US"/>
        </w:rPr>
        <w:t>PSU</w:t>
      </w:r>
      <w:r w:rsidRPr="004561A6">
        <w:rPr>
          <w:color w:val="auto"/>
          <w:kern w:val="0"/>
          <w:sz w:val="18"/>
          <w:szCs w:val="18"/>
          <w:lang w:val="en-US" w:bidi="en-US"/>
        </w:rPr>
        <w:t xml:space="preserve"> at the North Lagoon; and ≥5, 3–4, 1–2, and &lt;1 </w:t>
      </w:r>
      <w:r>
        <w:rPr>
          <w:color w:val="auto"/>
          <w:kern w:val="0"/>
          <w:sz w:val="18"/>
          <w:szCs w:val="18"/>
          <w:lang w:val="en-US" w:bidi="en-US"/>
        </w:rPr>
        <w:t>PSU</w:t>
      </w:r>
      <w:r w:rsidRPr="004561A6">
        <w:rPr>
          <w:color w:val="auto"/>
          <w:kern w:val="0"/>
          <w:sz w:val="18"/>
          <w:szCs w:val="18"/>
          <w:lang w:val="en-US" w:bidi="en-US"/>
        </w:rPr>
        <w:t xml:space="preserve"> at the South Lagoon. For salt transport, contribution scores were based on the annual salinity export target of 2 million </w:t>
      </w:r>
      <w:r>
        <w:rPr>
          <w:color w:val="auto"/>
          <w:kern w:val="0"/>
          <w:sz w:val="18"/>
          <w:szCs w:val="18"/>
          <w:lang w:val="en-US" w:bidi="en-US"/>
        </w:rPr>
        <w:t>t</w:t>
      </w:r>
      <w:r w:rsidRPr="004561A6">
        <w:rPr>
          <w:color w:val="auto"/>
          <w:kern w:val="0"/>
          <w:sz w:val="18"/>
          <w:szCs w:val="18"/>
          <w:lang w:val="en-US" w:bidi="en-US"/>
        </w:rPr>
        <w:t>: substantial = ≥500,000 (25%), moderate = 300,000–499,999, minor = 100,000–299,999 and negligible = &lt;100,000</w:t>
      </w:r>
      <w:r>
        <w:rPr>
          <w:color w:val="auto"/>
          <w:kern w:val="0"/>
          <w:sz w:val="18"/>
          <w:szCs w:val="18"/>
          <w:lang w:val="en-US" w:bidi="en-US"/>
        </w:rPr>
        <w:t xml:space="preserve"> tonnes.</w:t>
      </w:r>
      <w:r w:rsidRPr="004561A6">
        <w:rPr>
          <w:color w:val="auto"/>
          <w:kern w:val="0"/>
          <w:sz w:val="18"/>
          <w:szCs w:val="18"/>
          <w:lang w:val="en-US" w:bidi="en-US"/>
        </w:rPr>
        <w:t xml:space="preserve"> Substantial contributions were also considered if CEW contributed &gt;50% of total barrage flow. For reduction of salt import/southward flux, substantial, moderate, minor and negligible contributions, respectively, were considered to be reductions of: ≥3, 1–2.99, 0.5–0.99 and &lt;0.5 million</w:t>
      </w:r>
      <w:r>
        <w:rPr>
          <w:color w:val="auto"/>
          <w:kern w:val="0"/>
          <w:sz w:val="18"/>
          <w:szCs w:val="18"/>
          <w:lang w:val="en-US" w:bidi="en-US"/>
        </w:rPr>
        <w:t xml:space="preserve"> tonnes </w:t>
      </w:r>
      <w:r w:rsidRPr="004561A6">
        <w:rPr>
          <w:color w:val="auto"/>
          <w:kern w:val="0"/>
          <w:sz w:val="18"/>
          <w:szCs w:val="18"/>
          <w:lang w:val="en-US" w:bidi="en-US"/>
        </w:rPr>
        <w:t>for the Murray Mouth; ≥2, 0.8–1.99, 0.2–0.79, and &lt;0.2 million</w:t>
      </w:r>
      <w:r>
        <w:rPr>
          <w:color w:val="auto"/>
          <w:kern w:val="0"/>
          <w:sz w:val="18"/>
          <w:szCs w:val="18"/>
          <w:lang w:val="en-US" w:bidi="en-US"/>
        </w:rPr>
        <w:t xml:space="preserve"> tonnes </w:t>
      </w:r>
      <w:r w:rsidRPr="004561A6">
        <w:rPr>
          <w:color w:val="auto"/>
          <w:kern w:val="0"/>
          <w:sz w:val="18"/>
          <w:szCs w:val="18"/>
          <w:lang w:val="en-US" w:bidi="en-US"/>
        </w:rPr>
        <w:t>at the North Lagoon; and ≥1, 0.5–0.99, 0.1–0.49, and &lt;0.1 million</w:t>
      </w:r>
      <w:r>
        <w:rPr>
          <w:color w:val="auto"/>
          <w:kern w:val="0"/>
          <w:sz w:val="18"/>
          <w:szCs w:val="18"/>
          <w:lang w:val="en-US" w:bidi="en-US"/>
        </w:rPr>
        <w:t xml:space="preserve"> tonnes </w:t>
      </w:r>
      <w:r w:rsidRPr="004561A6">
        <w:rPr>
          <w:color w:val="auto"/>
          <w:kern w:val="0"/>
          <w:sz w:val="18"/>
          <w:szCs w:val="18"/>
          <w:lang w:val="en-US" w:bidi="en-US"/>
        </w:rPr>
        <w:t>at the South Lagoon</w:t>
      </w:r>
      <w:r>
        <w:rPr>
          <w:color w:val="auto"/>
          <w:kern w:val="0"/>
          <w:sz w:val="18"/>
          <w:szCs w:val="18"/>
          <w:lang w:val="en-US" w:bidi="en-US"/>
        </w:rPr>
        <w:t>:</w:t>
      </w:r>
      <w:r w:rsidRPr="004561A6">
        <w:rPr>
          <w:color w:val="auto"/>
          <w:kern w:val="0"/>
          <w:sz w:val="18"/>
          <w:szCs w:val="18"/>
          <w:lang w:val="en-US" w:bidi="en-US"/>
        </w:rPr>
        <w:t xml:space="preserve">          </w:t>
      </w:r>
    </w:p>
    <w:tbl>
      <w:tblPr>
        <w:tblW w:w="8252" w:type="dxa"/>
        <w:tblLook w:val="04A0" w:firstRow="1" w:lastRow="0" w:firstColumn="1" w:lastColumn="0" w:noHBand="0" w:noVBand="1"/>
      </w:tblPr>
      <w:tblGrid>
        <w:gridCol w:w="222"/>
        <w:gridCol w:w="1066"/>
        <w:gridCol w:w="222"/>
        <w:gridCol w:w="1069"/>
        <w:gridCol w:w="222"/>
        <w:gridCol w:w="1704"/>
        <w:gridCol w:w="222"/>
        <w:gridCol w:w="727"/>
        <w:gridCol w:w="222"/>
        <w:gridCol w:w="1144"/>
        <w:gridCol w:w="222"/>
        <w:gridCol w:w="1210"/>
      </w:tblGrid>
      <w:tr w:rsidR="00335D8B" w:rsidRPr="004561A6" w14:paraId="2DB094AC" w14:textId="77777777" w:rsidTr="00185995">
        <w:tc>
          <w:tcPr>
            <w:tcW w:w="222" w:type="dxa"/>
            <w:shd w:val="clear" w:color="auto" w:fill="D9D9D9" w:themeFill="background1" w:themeFillShade="D9"/>
          </w:tcPr>
          <w:p w14:paraId="38A11C3B" w14:textId="77777777" w:rsidR="00FB33C3" w:rsidRPr="004561A6" w:rsidRDefault="00FB33C3" w:rsidP="00185995">
            <w:pPr>
              <w:rPr>
                <w:sz w:val="18"/>
                <w:szCs w:val="18"/>
              </w:rPr>
            </w:pPr>
          </w:p>
        </w:tc>
        <w:tc>
          <w:tcPr>
            <w:tcW w:w="1066" w:type="dxa"/>
            <w:vAlign w:val="center"/>
            <w:hideMark/>
          </w:tcPr>
          <w:p w14:paraId="17C4C35A" w14:textId="77777777" w:rsidR="00FB33C3" w:rsidRPr="004561A6" w:rsidRDefault="00FB33C3" w:rsidP="00185995">
            <w:pPr>
              <w:rPr>
                <w:sz w:val="18"/>
                <w:szCs w:val="18"/>
              </w:rPr>
            </w:pPr>
            <w:r w:rsidRPr="004561A6">
              <w:rPr>
                <w:sz w:val="18"/>
                <w:szCs w:val="18"/>
              </w:rPr>
              <w:t>Unknown</w:t>
            </w:r>
          </w:p>
        </w:tc>
        <w:tc>
          <w:tcPr>
            <w:tcW w:w="222" w:type="dxa"/>
            <w:shd w:val="clear" w:color="auto" w:fill="FF0000"/>
            <w:vAlign w:val="center"/>
          </w:tcPr>
          <w:p w14:paraId="728704D8" w14:textId="77777777" w:rsidR="00FB33C3" w:rsidRPr="004561A6" w:rsidRDefault="00FB33C3" w:rsidP="00185995">
            <w:pPr>
              <w:rPr>
                <w:sz w:val="18"/>
                <w:szCs w:val="18"/>
              </w:rPr>
            </w:pPr>
          </w:p>
        </w:tc>
        <w:tc>
          <w:tcPr>
            <w:tcW w:w="1069" w:type="dxa"/>
            <w:vAlign w:val="center"/>
            <w:hideMark/>
          </w:tcPr>
          <w:p w14:paraId="40D1D8AA" w14:textId="77777777" w:rsidR="00FB33C3" w:rsidRPr="004561A6" w:rsidRDefault="00FB33C3" w:rsidP="00185995">
            <w:pPr>
              <w:rPr>
                <w:sz w:val="18"/>
                <w:szCs w:val="18"/>
              </w:rPr>
            </w:pPr>
            <w:r w:rsidRPr="004561A6">
              <w:rPr>
                <w:sz w:val="18"/>
                <w:szCs w:val="18"/>
              </w:rPr>
              <w:t>Negative</w:t>
            </w:r>
          </w:p>
        </w:tc>
        <w:tc>
          <w:tcPr>
            <w:tcW w:w="222" w:type="dxa"/>
            <w:shd w:val="clear" w:color="auto" w:fill="E2EFD9" w:themeFill="accent6" w:themeFillTint="33"/>
            <w:vAlign w:val="center"/>
          </w:tcPr>
          <w:p w14:paraId="4D71D7E2" w14:textId="77777777" w:rsidR="00FB33C3" w:rsidRPr="004561A6" w:rsidRDefault="00FB33C3" w:rsidP="00185995">
            <w:pPr>
              <w:rPr>
                <w:sz w:val="18"/>
                <w:szCs w:val="18"/>
              </w:rPr>
            </w:pPr>
          </w:p>
        </w:tc>
        <w:tc>
          <w:tcPr>
            <w:tcW w:w="1704" w:type="dxa"/>
            <w:vAlign w:val="center"/>
            <w:hideMark/>
          </w:tcPr>
          <w:p w14:paraId="2373E90C" w14:textId="77777777" w:rsidR="00FB33C3" w:rsidRPr="004561A6" w:rsidRDefault="00FB33C3" w:rsidP="00185995">
            <w:pPr>
              <w:rPr>
                <w:sz w:val="18"/>
                <w:szCs w:val="18"/>
              </w:rPr>
            </w:pPr>
            <w:r w:rsidRPr="004561A6">
              <w:rPr>
                <w:sz w:val="18"/>
                <w:szCs w:val="18"/>
              </w:rPr>
              <w:t>None/negligible</w:t>
            </w:r>
          </w:p>
        </w:tc>
        <w:tc>
          <w:tcPr>
            <w:tcW w:w="222" w:type="dxa"/>
            <w:shd w:val="clear" w:color="auto" w:fill="A8D08D" w:themeFill="accent6" w:themeFillTint="99"/>
            <w:vAlign w:val="center"/>
          </w:tcPr>
          <w:p w14:paraId="30C03313" w14:textId="77777777" w:rsidR="00FB33C3" w:rsidRPr="004561A6" w:rsidRDefault="00FB33C3" w:rsidP="00185995">
            <w:pPr>
              <w:rPr>
                <w:sz w:val="18"/>
                <w:szCs w:val="18"/>
              </w:rPr>
            </w:pPr>
          </w:p>
        </w:tc>
        <w:tc>
          <w:tcPr>
            <w:tcW w:w="727" w:type="dxa"/>
            <w:vAlign w:val="center"/>
            <w:hideMark/>
          </w:tcPr>
          <w:p w14:paraId="58741ED7" w14:textId="77777777" w:rsidR="00FB33C3" w:rsidRPr="004561A6" w:rsidRDefault="00FB33C3" w:rsidP="00185995">
            <w:pPr>
              <w:rPr>
                <w:sz w:val="18"/>
                <w:szCs w:val="18"/>
              </w:rPr>
            </w:pPr>
            <w:r w:rsidRPr="004561A6">
              <w:rPr>
                <w:sz w:val="18"/>
                <w:szCs w:val="18"/>
              </w:rPr>
              <w:t>Minor</w:t>
            </w:r>
          </w:p>
        </w:tc>
        <w:tc>
          <w:tcPr>
            <w:tcW w:w="222" w:type="dxa"/>
            <w:shd w:val="clear" w:color="auto" w:fill="70AD47" w:themeFill="accent6"/>
            <w:vAlign w:val="center"/>
          </w:tcPr>
          <w:p w14:paraId="79D00E1F" w14:textId="77777777" w:rsidR="00FB33C3" w:rsidRPr="004561A6" w:rsidRDefault="00FB33C3" w:rsidP="00185995">
            <w:pPr>
              <w:rPr>
                <w:sz w:val="18"/>
                <w:szCs w:val="18"/>
              </w:rPr>
            </w:pPr>
          </w:p>
        </w:tc>
        <w:tc>
          <w:tcPr>
            <w:tcW w:w="1144" w:type="dxa"/>
            <w:vAlign w:val="center"/>
            <w:hideMark/>
          </w:tcPr>
          <w:p w14:paraId="3DBAAA4E" w14:textId="77777777" w:rsidR="00FB33C3" w:rsidRPr="004561A6" w:rsidRDefault="00FB33C3" w:rsidP="00185995">
            <w:pPr>
              <w:rPr>
                <w:sz w:val="18"/>
                <w:szCs w:val="18"/>
              </w:rPr>
            </w:pPr>
            <w:r w:rsidRPr="004561A6">
              <w:rPr>
                <w:sz w:val="18"/>
                <w:szCs w:val="18"/>
              </w:rPr>
              <w:t>Moderate</w:t>
            </w:r>
          </w:p>
        </w:tc>
        <w:tc>
          <w:tcPr>
            <w:tcW w:w="222" w:type="dxa"/>
            <w:shd w:val="clear" w:color="auto" w:fill="5B9BD5" w:themeFill="accent1"/>
          </w:tcPr>
          <w:p w14:paraId="3D2453AB" w14:textId="77777777" w:rsidR="00FB33C3" w:rsidRPr="004561A6" w:rsidRDefault="00FB33C3" w:rsidP="00185995">
            <w:pPr>
              <w:rPr>
                <w:sz w:val="18"/>
                <w:szCs w:val="18"/>
              </w:rPr>
            </w:pPr>
          </w:p>
        </w:tc>
        <w:tc>
          <w:tcPr>
            <w:tcW w:w="1210" w:type="dxa"/>
            <w:vAlign w:val="center"/>
            <w:hideMark/>
          </w:tcPr>
          <w:p w14:paraId="35AA9F16" w14:textId="77777777" w:rsidR="00FB33C3" w:rsidRPr="004561A6" w:rsidRDefault="00FB33C3" w:rsidP="00185995">
            <w:pPr>
              <w:jc w:val="left"/>
              <w:rPr>
                <w:sz w:val="18"/>
                <w:szCs w:val="18"/>
              </w:rPr>
            </w:pPr>
            <w:r w:rsidRPr="004561A6">
              <w:rPr>
                <w:sz w:val="18"/>
                <w:szCs w:val="18"/>
              </w:rPr>
              <w:t>Substantial</w:t>
            </w:r>
          </w:p>
        </w:tc>
      </w:tr>
    </w:tbl>
    <w:p w14:paraId="2E98C382" w14:textId="77777777" w:rsidR="00FB33C3" w:rsidRDefault="00FB33C3" w:rsidP="00620A12">
      <w:pPr>
        <w:spacing w:before="0" w:after="160" w:line="259" w:lineRule="auto"/>
        <w:jc w:val="left"/>
        <w:sectPr w:rsidR="00FB33C3" w:rsidSect="00FB33C3">
          <w:pgSz w:w="16838" w:h="11906" w:orient="landscape"/>
          <w:pgMar w:top="1440" w:right="1440" w:bottom="1440" w:left="1440" w:header="709" w:footer="709" w:gutter="0"/>
          <w:cols w:space="708"/>
          <w:docGrid w:linePitch="360"/>
        </w:sectPr>
      </w:pPr>
    </w:p>
    <w:p w14:paraId="1125F442" w14:textId="017C848C" w:rsidR="00620A12" w:rsidRPr="00E10940" w:rsidRDefault="00620A12" w:rsidP="00605FB2">
      <w:pPr>
        <w:pStyle w:val="Captions"/>
      </w:pPr>
      <w:r w:rsidRPr="00E10940">
        <w:lastRenderedPageBreak/>
        <w:t>Table C</w:t>
      </w:r>
      <w:r w:rsidR="00373ECE">
        <w:t>3</w:t>
      </w:r>
      <w:r w:rsidRPr="00E10940">
        <w:t>. Summary of lethal concentration for 50% of the population, LC</w:t>
      </w:r>
      <w:r w:rsidRPr="004E189E">
        <w:rPr>
          <w:vertAlign w:val="subscript"/>
        </w:rPr>
        <w:t>50</w:t>
      </w:r>
      <w:r w:rsidRPr="00E10940">
        <w:t>, and 10% of the population, LC</w:t>
      </w:r>
      <w:r w:rsidRPr="004E189E">
        <w:rPr>
          <w:vertAlign w:val="subscript"/>
        </w:rPr>
        <w:t>10</w:t>
      </w:r>
      <w:r w:rsidRPr="00E10940">
        <w:t xml:space="preserve"> estimates of salinity (expressed as PSU) for seven species at 14°C (LC</w:t>
      </w:r>
      <w:r w:rsidRPr="004E189E">
        <w:rPr>
          <w:vertAlign w:val="superscript"/>
        </w:rPr>
        <w:t>14</w:t>
      </w:r>
      <w:r w:rsidRPr="00E10940">
        <w:t>) and 23°C (LC</w:t>
      </w:r>
      <w:r w:rsidRPr="004E189E">
        <w:rPr>
          <w:vertAlign w:val="superscript"/>
        </w:rPr>
        <w:t>23</w:t>
      </w:r>
      <w:r w:rsidRPr="00E10940">
        <w:t>) temperatures used to inform the habitat suitability.</w:t>
      </w:r>
    </w:p>
    <w:tbl>
      <w:tblPr>
        <w:tblStyle w:val="TableGrid"/>
        <w:tblW w:w="8795" w:type="dxa"/>
        <w:jc w:val="center"/>
        <w:tblLook w:val="04A0" w:firstRow="1" w:lastRow="0" w:firstColumn="1" w:lastColumn="0" w:noHBand="0" w:noVBand="1"/>
        <w:tblDescription w:val="Table summary of lethal concentration for 50% of the populatio and 10% of the population, estimates of salinity for seven species at 14°C and 23°C  ."/>
      </w:tblPr>
      <w:tblGrid>
        <w:gridCol w:w="3125"/>
        <w:gridCol w:w="1417"/>
        <w:gridCol w:w="1461"/>
        <w:gridCol w:w="1374"/>
        <w:gridCol w:w="1418"/>
      </w:tblGrid>
      <w:tr w:rsidR="00620A12" w:rsidRPr="00E10940" w14:paraId="1F0B6A7F" w14:textId="77777777" w:rsidTr="00B245A8">
        <w:trPr>
          <w:trHeight w:val="283"/>
          <w:jc w:val="center"/>
        </w:trPr>
        <w:tc>
          <w:tcPr>
            <w:tcW w:w="3125" w:type="dxa"/>
            <w:tcBorders>
              <w:top w:val="single" w:sz="4" w:space="0" w:color="auto"/>
              <w:left w:val="single" w:sz="4" w:space="0" w:color="auto"/>
              <w:bottom w:val="single" w:sz="4" w:space="0" w:color="auto"/>
              <w:right w:val="single" w:sz="4" w:space="0" w:color="auto"/>
            </w:tcBorders>
            <w:vAlign w:val="center"/>
            <w:hideMark/>
          </w:tcPr>
          <w:p w14:paraId="7818505B" w14:textId="77777777" w:rsidR="00620A12" w:rsidRPr="004E189E" w:rsidRDefault="00620A12" w:rsidP="00B245A8">
            <w:pPr>
              <w:rPr>
                <w:sz w:val="20"/>
                <w:szCs w:val="18"/>
              </w:rPr>
            </w:pPr>
            <w:r w:rsidRPr="004E189E">
              <w:rPr>
                <w:b/>
                <w:bCs/>
                <w:sz w:val="20"/>
                <w:szCs w:val="18"/>
              </w:rPr>
              <w:t>Common name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7CF9EBB" w14:textId="77777777" w:rsidR="00620A12" w:rsidRPr="004E189E" w:rsidRDefault="00000000" w:rsidP="00B245A8">
            <w:pPr>
              <w:rPr>
                <w:sz w:val="20"/>
                <w:szCs w:val="18"/>
              </w:rPr>
            </w:pPr>
            <m:oMathPara>
              <m:oMath>
                <m:sSubSup>
                  <m:sSubSupPr>
                    <m:ctrlPr>
                      <w:rPr>
                        <w:rFonts w:ascii="Cambria Math" w:hAnsi="Cambria Math"/>
                        <w:b/>
                        <w:i/>
                        <w:sz w:val="20"/>
                        <w:szCs w:val="18"/>
                      </w:rPr>
                    </m:ctrlPr>
                  </m:sSubSupPr>
                  <m:e>
                    <m:r>
                      <m:rPr>
                        <m:sty m:val="bi"/>
                      </m:rPr>
                      <w:rPr>
                        <w:rFonts w:ascii="Cambria Math" w:hAnsi="Cambria Math"/>
                        <w:sz w:val="20"/>
                        <w:szCs w:val="18"/>
                      </w:rPr>
                      <m:t>LC</m:t>
                    </m:r>
                  </m:e>
                  <m:sub>
                    <m:r>
                      <m:rPr>
                        <m:sty m:val="bi"/>
                      </m:rPr>
                      <w:rPr>
                        <w:rFonts w:ascii="Cambria Math" w:hAnsi="Cambria Math"/>
                        <w:sz w:val="20"/>
                        <w:szCs w:val="18"/>
                      </w:rPr>
                      <m:t>50</m:t>
                    </m:r>
                  </m:sub>
                  <m:sup>
                    <m:r>
                      <m:rPr>
                        <m:sty m:val="bi"/>
                      </m:rPr>
                      <w:rPr>
                        <w:rFonts w:ascii="Cambria Math" w:hAnsi="Cambria Math"/>
                        <w:sz w:val="20"/>
                        <w:szCs w:val="18"/>
                      </w:rPr>
                      <m:t>14</m:t>
                    </m:r>
                  </m:sup>
                </m:sSubSup>
              </m:oMath>
            </m:oMathPara>
          </w:p>
        </w:tc>
        <w:tc>
          <w:tcPr>
            <w:tcW w:w="1461" w:type="dxa"/>
            <w:tcBorders>
              <w:top w:val="single" w:sz="4" w:space="0" w:color="auto"/>
              <w:left w:val="single" w:sz="4" w:space="0" w:color="auto"/>
              <w:bottom w:val="single" w:sz="4" w:space="0" w:color="auto"/>
              <w:right w:val="single" w:sz="4" w:space="0" w:color="auto"/>
            </w:tcBorders>
            <w:vAlign w:val="center"/>
            <w:hideMark/>
          </w:tcPr>
          <w:p w14:paraId="53094685" w14:textId="77777777" w:rsidR="00620A12" w:rsidRPr="004E189E" w:rsidRDefault="00000000" w:rsidP="00B245A8">
            <w:pPr>
              <w:rPr>
                <w:sz w:val="20"/>
                <w:szCs w:val="18"/>
              </w:rPr>
            </w:pPr>
            <m:oMathPara>
              <m:oMath>
                <m:sSubSup>
                  <m:sSubSupPr>
                    <m:ctrlPr>
                      <w:rPr>
                        <w:rFonts w:ascii="Cambria Math" w:hAnsi="Cambria Math"/>
                        <w:b/>
                        <w:i/>
                        <w:sz w:val="20"/>
                        <w:szCs w:val="18"/>
                      </w:rPr>
                    </m:ctrlPr>
                  </m:sSubSupPr>
                  <m:e>
                    <m:r>
                      <m:rPr>
                        <m:sty m:val="bi"/>
                      </m:rPr>
                      <w:rPr>
                        <w:rFonts w:ascii="Cambria Math" w:hAnsi="Cambria Math"/>
                        <w:sz w:val="20"/>
                        <w:szCs w:val="18"/>
                      </w:rPr>
                      <m:t>LC</m:t>
                    </m:r>
                  </m:e>
                  <m:sub>
                    <m:r>
                      <m:rPr>
                        <m:sty m:val="bi"/>
                      </m:rPr>
                      <w:rPr>
                        <w:rFonts w:ascii="Cambria Math" w:hAnsi="Cambria Math"/>
                        <w:sz w:val="20"/>
                        <w:szCs w:val="18"/>
                      </w:rPr>
                      <m:t>50</m:t>
                    </m:r>
                  </m:sub>
                  <m:sup>
                    <m:r>
                      <m:rPr>
                        <m:sty m:val="bi"/>
                      </m:rPr>
                      <w:rPr>
                        <w:rFonts w:ascii="Cambria Math" w:hAnsi="Cambria Math"/>
                        <w:sz w:val="20"/>
                        <w:szCs w:val="18"/>
                      </w:rPr>
                      <m:t>23</m:t>
                    </m:r>
                  </m:sup>
                </m:sSubSup>
              </m:oMath>
            </m:oMathPara>
          </w:p>
        </w:tc>
        <w:tc>
          <w:tcPr>
            <w:tcW w:w="1374" w:type="dxa"/>
            <w:tcBorders>
              <w:top w:val="single" w:sz="4" w:space="0" w:color="auto"/>
              <w:left w:val="single" w:sz="4" w:space="0" w:color="auto"/>
              <w:bottom w:val="single" w:sz="4" w:space="0" w:color="auto"/>
              <w:right w:val="single" w:sz="4" w:space="0" w:color="auto"/>
            </w:tcBorders>
            <w:vAlign w:val="center"/>
            <w:hideMark/>
          </w:tcPr>
          <w:p w14:paraId="25E34D4F" w14:textId="77777777" w:rsidR="00620A12" w:rsidRPr="004E189E" w:rsidRDefault="00000000" w:rsidP="00B245A8">
            <w:pPr>
              <w:rPr>
                <w:sz w:val="20"/>
                <w:szCs w:val="18"/>
              </w:rPr>
            </w:pPr>
            <m:oMathPara>
              <m:oMath>
                <m:sSubSup>
                  <m:sSubSupPr>
                    <m:ctrlPr>
                      <w:rPr>
                        <w:rFonts w:ascii="Cambria Math" w:hAnsi="Cambria Math"/>
                        <w:b/>
                        <w:i/>
                        <w:sz w:val="20"/>
                        <w:szCs w:val="18"/>
                      </w:rPr>
                    </m:ctrlPr>
                  </m:sSubSupPr>
                  <m:e>
                    <m:r>
                      <m:rPr>
                        <m:sty m:val="bi"/>
                      </m:rPr>
                      <w:rPr>
                        <w:rFonts w:ascii="Cambria Math" w:hAnsi="Cambria Math"/>
                        <w:sz w:val="20"/>
                        <w:szCs w:val="18"/>
                      </w:rPr>
                      <m:t>LC</m:t>
                    </m:r>
                  </m:e>
                  <m:sub>
                    <m:r>
                      <m:rPr>
                        <m:sty m:val="bi"/>
                      </m:rPr>
                      <w:rPr>
                        <w:rFonts w:ascii="Cambria Math" w:hAnsi="Cambria Math"/>
                        <w:sz w:val="20"/>
                        <w:szCs w:val="18"/>
                      </w:rPr>
                      <m:t>10</m:t>
                    </m:r>
                  </m:sub>
                  <m:sup>
                    <m:r>
                      <m:rPr>
                        <m:sty m:val="bi"/>
                      </m:rPr>
                      <w:rPr>
                        <w:rFonts w:ascii="Cambria Math" w:hAnsi="Cambria Math"/>
                        <w:sz w:val="20"/>
                        <w:szCs w:val="18"/>
                      </w:rPr>
                      <m:t>14</m:t>
                    </m:r>
                  </m:sup>
                </m:sSubSup>
              </m:oMath>
            </m:oMathPara>
          </w:p>
        </w:tc>
        <w:tc>
          <w:tcPr>
            <w:tcW w:w="1418" w:type="dxa"/>
            <w:tcBorders>
              <w:top w:val="single" w:sz="4" w:space="0" w:color="auto"/>
              <w:left w:val="single" w:sz="4" w:space="0" w:color="auto"/>
              <w:bottom w:val="single" w:sz="4" w:space="0" w:color="auto"/>
              <w:right w:val="single" w:sz="4" w:space="0" w:color="auto"/>
            </w:tcBorders>
            <w:vAlign w:val="center"/>
            <w:hideMark/>
          </w:tcPr>
          <w:p w14:paraId="1C19A63E" w14:textId="77777777" w:rsidR="00620A12" w:rsidRPr="004E189E" w:rsidRDefault="00000000" w:rsidP="00B245A8">
            <w:pPr>
              <w:rPr>
                <w:sz w:val="20"/>
                <w:szCs w:val="18"/>
              </w:rPr>
            </w:pPr>
            <m:oMathPara>
              <m:oMath>
                <m:sSubSup>
                  <m:sSubSupPr>
                    <m:ctrlPr>
                      <w:rPr>
                        <w:rFonts w:ascii="Cambria Math" w:hAnsi="Cambria Math"/>
                        <w:b/>
                        <w:i/>
                        <w:sz w:val="20"/>
                        <w:szCs w:val="18"/>
                      </w:rPr>
                    </m:ctrlPr>
                  </m:sSubSupPr>
                  <m:e>
                    <m:r>
                      <m:rPr>
                        <m:sty m:val="bi"/>
                      </m:rPr>
                      <w:rPr>
                        <w:rFonts w:ascii="Cambria Math" w:hAnsi="Cambria Math"/>
                        <w:sz w:val="20"/>
                        <w:szCs w:val="18"/>
                      </w:rPr>
                      <m:t>LC</m:t>
                    </m:r>
                  </m:e>
                  <m:sub>
                    <m:r>
                      <m:rPr>
                        <m:sty m:val="bi"/>
                      </m:rPr>
                      <w:rPr>
                        <w:rFonts w:ascii="Cambria Math" w:hAnsi="Cambria Math"/>
                        <w:sz w:val="20"/>
                        <w:szCs w:val="18"/>
                      </w:rPr>
                      <m:t>10</m:t>
                    </m:r>
                  </m:sub>
                  <m:sup>
                    <m:r>
                      <m:rPr>
                        <m:sty m:val="bi"/>
                      </m:rPr>
                      <w:rPr>
                        <w:rFonts w:ascii="Cambria Math" w:hAnsi="Cambria Math"/>
                        <w:sz w:val="20"/>
                        <w:szCs w:val="18"/>
                      </w:rPr>
                      <m:t>23</m:t>
                    </m:r>
                  </m:sup>
                </m:sSubSup>
              </m:oMath>
            </m:oMathPara>
          </w:p>
        </w:tc>
      </w:tr>
      <w:tr w:rsidR="00620A12" w:rsidRPr="00E10940" w14:paraId="0BAAF31D" w14:textId="77777777" w:rsidTr="00B245A8">
        <w:trPr>
          <w:trHeight w:val="263"/>
          <w:jc w:val="center"/>
        </w:trPr>
        <w:tc>
          <w:tcPr>
            <w:tcW w:w="3125" w:type="dxa"/>
            <w:tcBorders>
              <w:top w:val="single" w:sz="4" w:space="0" w:color="auto"/>
              <w:left w:val="single" w:sz="4" w:space="0" w:color="auto"/>
              <w:bottom w:val="single" w:sz="4" w:space="0" w:color="auto"/>
              <w:right w:val="single" w:sz="4" w:space="0" w:color="auto"/>
            </w:tcBorders>
            <w:hideMark/>
          </w:tcPr>
          <w:p w14:paraId="1401590A" w14:textId="77777777" w:rsidR="00620A12" w:rsidRPr="004E189E" w:rsidRDefault="00620A12" w:rsidP="00B245A8">
            <w:pPr>
              <w:rPr>
                <w:sz w:val="20"/>
                <w:szCs w:val="18"/>
              </w:rPr>
            </w:pPr>
            <w:r w:rsidRPr="004E189E">
              <w:rPr>
                <w:sz w:val="20"/>
                <w:szCs w:val="18"/>
              </w:rPr>
              <w:t>Mulloway</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2C19260" w14:textId="77777777" w:rsidR="00620A12" w:rsidRPr="004E189E" w:rsidRDefault="00620A12" w:rsidP="00B245A8">
            <w:pPr>
              <w:rPr>
                <w:sz w:val="20"/>
                <w:szCs w:val="18"/>
              </w:rPr>
            </w:pPr>
            <w:r w:rsidRPr="004E189E">
              <w:rPr>
                <w:sz w:val="20"/>
                <w:szCs w:val="18"/>
              </w:rPr>
              <w:t>64</w:t>
            </w:r>
          </w:p>
        </w:tc>
        <w:tc>
          <w:tcPr>
            <w:tcW w:w="1461" w:type="dxa"/>
            <w:tcBorders>
              <w:top w:val="single" w:sz="4" w:space="0" w:color="auto"/>
              <w:left w:val="single" w:sz="4" w:space="0" w:color="auto"/>
              <w:bottom w:val="single" w:sz="4" w:space="0" w:color="auto"/>
              <w:right w:val="single" w:sz="4" w:space="0" w:color="auto"/>
            </w:tcBorders>
            <w:vAlign w:val="center"/>
            <w:hideMark/>
          </w:tcPr>
          <w:p w14:paraId="27193A21" w14:textId="77777777" w:rsidR="00620A12" w:rsidRPr="004E189E" w:rsidRDefault="00620A12" w:rsidP="00B245A8">
            <w:pPr>
              <w:rPr>
                <w:sz w:val="20"/>
                <w:szCs w:val="18"/>
              </w:rPr>
            </w:pPr>
            <w:r w:rsidRPr="004E189E">
              <w:rPr>
                <w:sz w:val="20"/>
                <w:szCs w:val="18"/>
              </w:rPr>
              <w:t>59</w:t>
            </w:r>
          </w:p>
        </w:tc>
        <w:tc>
          <w:tcPr>
            <w:tcW w:w="1374" w:type="dxa"/>
            <w:tcBorders>
              <w:top w:val="single" w:sz="4" w:space="0" w:color="auto"/>
              <w:left w:val="single" w:sz="4" w:space="0" w:color="auto"/>
              <w:bottom w:val="single" w:sz="4" w:space="0" w:color="auto"/>
              <w:right w:val="single" w:sz="4" w:space="0" w:color="auto"/>
            </w:tcBorders>
            <w:vAlign w:val="center"/>
            <w:hideMark/>
          </w:tcPr>
          <w:p w14:paraId="0DD7C1E2" w14:textId="77777777" w:rsidR="00620A12" w:rsidRPr="004E189E" w:rsidRDefault="00620A12" w:rsidP="00B245A8">
            <w:pPr>
              <w:rPr>
                <w:sz w:val="20"/>
                <w:szCs w:val="18"/>
              </w:rPr>
            </w:pPr>
            <w:r w:rsidRPr="004E189E">
              <w:rPr>
                <w:sz w:val="20"/>
                <w:szCs w:val="18"/>
              </w:rPr>
              <w:t>60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935AFED" w14:textId="77777777" w:rsidR="00620A12" w:rsidRPr="004E189E" w:rsidRDefault="00620A12" w:rsidP="00B245A8">
            <w:pPr>
              <w:rPr>
                <w:sz w:val="20"/>
                <w:szCs w:val="18"/>
              </w:rPr>
            </w:pPr>
            <w:r w:rsidRPr="004E189E">
              <w:rPr>
                <w:sz w:val="20"/>
                <w:szCs w:val="18"/>
              </w:rPr>
              <w:t>51</w:t>
            </w:r>
          </w:p>
        </w:tc>
      </w:tr>
      <w:tr w:rsidR="00620A12" w:rsidRPr="00E10940" w14:paraId="1151542A" w14:textId="77777777" w:rsidTr="00B245A8">
        <w:trPr>
          <w:trHeight w:val="263"/>
          <w:jc w:val="center"/>
        </w:trPr>
        <w:tc>
          <w:tcPr>
            <w:tcW w:w="3125" w:type="dxa"/>
            <w:tcBorders>
              <w:top w:val="single" w:sz="4" w:space="0" w:color="auto"/>
              <w:left w:val="single" w:sz="4" w:space="0" w:color="auto"/>
              <w:bottom w:val="single" w:sz="4" w:space="0" w:color="auto"/>
              <w:right w:val="single" w:sz="4" w:space="0" w:color="auto"/>
            </w:tcBorders>
            <w:hideMark/>
          </w:tcPr>
          <w:p w14:paraId="383D551C" w14:textId="77777777" w:rsidR="00620A12" w:rsidRPr="004E189E" w:rsidRDefault="00620A12" w:rsidP="00B245A8">
            <w:pPr>
              <w:rPr>
                <w:sz w:val="20"/>
                <w:szCs w:val="18"/>
              </w:rPr>
            </w:pPr>
            <w:r w:rsidRPr="004E189E">
              <w:rPr>
                <w:sz w:val="20"/>
                <w:szCs w:val="18"/>
              </w:rPr>
              <w:t>Tamar goby</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F6E825" w14:textId="77777777" w:rsidR="00620A12" w:rsidRPr="004E189E" w:rsidRDefault="00620A12" w:rsidP="00B245A8">
            <w:pPr>
              <w:rPr>
                <w:sz w:val="20"/>
                <w:szCs w:val="18"/>
              </w:rPr>
            </w:pPr>
            <w:r w:rsidRPr="004E189E">
              <w:rPr>
                <w:sz w:val="20"/>
                <w:szCs w:val="18"/>
              </w:rPr>
              <w:t>73</w:t>
            </w:r>
          </w:p>
        </w:tc>
        <w:tc>
          <w:tcPr>
            <w:tcW w:w="1461" w:type="dxa"/>
            <w:tcBorders>
              <w:top w:val="single" w:sz="4" w:space="0" w:color="auto"/>
              <w:left w:val="single" w:sz="4" w:space="0" w:color="auto"/>
              <w:bottom w:val="single" w:sz="4" w:space="0" w:color="auto"/>
              <w:right w:val="single" w:sz="4" w:space="0" w:color="auto"/>
            </w:tcBorders>
            <w:vAlign w:val="center"/>
            <w:hideMark/>
          </w:tcPr>
          <w:p w14:paraId="5234862B" w14:textId="77777777" w:rsidR="00620A12" w:rsidRPr="004E189E" w:rsidRDefault="00620A12" w:rsidP="00B245A8">
            <w:pPr>
              <w:rPr>
                <w:sz w:val="20"/>
                <w:szCs w:val="18"/>
              </w:rPr>
            </w:pPr>
            <w:r w:rsidRPr="004E189E">
              <w:rPr>
                <w:sz w:val="20"/>
                <w:szCs w:val="18"/>
              </w:rPr>
              <w:t>71</w:t>
            </w:r>
          </w:p>
        </w:tc>
        <w:tc>
          <w:tcPr>
            <w:tcW w:w="1374" w:type="dxa"/>
            <w:tcBorders>
              <w:top w:val="single" w:sz="4" w:space="0" w:color="auto"/>
              <w:left w:val="single" w:sz="4" w:space="0" w:color="auto"/>
              <w:bottom w:val="single" w:sz="4" w:space="0" w:color="auto"/>
              <w:right w:val="single" w:sz="4" w:space="0" w:color="auto"/>
            </w:tcBorders>
            <w:vAlign w:val="center"/>
            <w:hideMark/>
          </w:tcPr>
          <w:p w14:paraId="440BF856" w14:textId="77777777" w:rsidR="00620A12" w:rsidRPr="004E189E" w:rsidRDefault="00620A12" w:rsidP="00B245A8">
            <w:pPr>
              <w:rPr>
                <w:sz w:val="20"/>
                <w:szCs w:val="18"/>
              </w:rPr>
            </w:pPr>
            <w:r w:rsidRPr="004E189E">
              <w:rPr>
                <w:sz w:val="20"/>
                <w:szCs w:val="18"/>
              </w:rPr>
              <w:t>68</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A42D77B" w14:textId="77777777" w:rsidR="00620A12" w:rsidRPr="004E189E" w:rsidRDefault="00620A12" w:rsidP="00B245A8">
            <w:pPr>
              <w:rPr>
                <w:sz w:val="20"/>
                <w:szCs w:val="18"/>
              </w:rPr>
            </w:pPr>
            <w:r w:rsidRPr="004E189E">
              <w:rPr>
                <w:sz w:val="20"/>
                <w:szCs w:val="18"/>
              </w:rPr>
              <w:t>66</w:t>
            </w:r>
          </w:p>
        </w:tc>
      </w:tr>
      <w:tr w:rsidR="00620A12" w:rsidRPr="00E10940" w14:paraId="6AA8807B" w14:textId="77777777" w:rsidTr="00B245A8">
        <w:trPr>
          <w:trHeight w:val="263"/>
          <w:jc w:val="center"/>
        </w:trPr>
        <w:tc>
          <w:tcPr>
            <w:tcW w:w="3125" w:type="dxa"/>
            <w:tcBorders>
              <w:top w:val="single" w:sz="4" w:space="0" w:color="auto"/>
              <w:left w:val="single" w:sz="4" w:space="0" w:color="auto"/>
              <w:bottom w:val="single" w:sz="4" w:space="0" w:color="auto"/>
              <w:right w:val="single" w:sz="4" w:space="0" w:color="auto"/>
            </w:tcBorders>
            <w:hideMark/>
          </w:tcPr>
          <w:p w14:paraId="781697DC" w14:textId="77777777" w:rsidR="00620A12" w:rsidRPr="004E189E" w:rsidRDefault="00620A12" w:rsidP="00B245A8">
            <w:pPr>
              <w:rPr>
                <w:sz w:val="20"/>
                <w:szCs w:val="18"/>
              </w:rPr>
            </w:pPr>
            <w:r w:rsidRPr="004E189E">
              <w:rPr>
                <w:sz w:val="20"/>
                <w:szCs w:val="18"/>
              </w:rPr>
              <w:t>Black bream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CCD380" w14:textId="77777777" w:rsidR="00620A12" w:rsidRPr="004E189E" w:rsidRDefault="00620A12" w:rsidP="00B245A8">
            <w:pPr>
              <w:rPr>
                <w:sz w:val="20"/>
                <w:szCs w:val="18"/>
              </w:rPr>
            </w:pPr>
            <w:r w:rsidRPr="004E189E">
              <w:rPr>
                <w:sz w:val="20"/>
                <w:szCs w:val="18"/>
              </w:rPr>
              <w:t>85</w:t>
            </w:r>
          </w:p>
        </w:tc>
        <w:tc>
          <w:tcPr>
            <w:tcW w:w="1461" w:type="dxa"/>
            <w:tcBorders>
              <w:top w:val="single" w:sz="4" w:space="0" w:color="auto"/>
              <w:left w:val="single" w:sz="4" w:space="0" w:color="auto"/>
              <w:bottom w:val="single" w:sz="4" w:space="0" w:color="auto"/>
              <w:right w:val="single" w:sz="4" w:space="0" w:color="auto"/>
            </w:tcBorders>
            <w:vAlign w:val="center"/>
            <w:hideMark/>
          </w:tcPr>
          <w:p w14:paraId="6DDAA3A6" w14:textId="77777777" w:rsidR="00620A12" w:rsidRPr="004E189E" w:rsidRDefault="00620A12" w:rsidP="00B245A8">
            <w:pPr>
              <w:rPr>
                <w:sz w:val="20"/>
                <w:szCs w:val="18"/>
              </w:rPr>
            </w:pPr>
            <w:r w:rsidRPr="004E189E">
              <w:rPr>
                <w:sz w:val="20"/>
                <w:szCs w:val="18"/>
              </w:rPr>
              <w:t>88</w:t>
            </w:r>
          </w:p>
        </w:tc>
        <w:tc>
          <w:tcPr>
            <w:tcW w:w="1374" w:type="dxa"/>
            <w:tcBorders>
              <w:top w:val="single" w:sz="4" w:space="0" w:color="auto"/>
              <w:left w:val="single" w:sz="4" w:space="0" w:color="auto"/>
              <w:bottom w:val="single" w:sz="4" w:space="0" w:color="auto"/>
              <w:right w:val="single" w:sz="4" w:space="0" w:color="auto"/>
            </w:tcBorders>
            <w:vAlign w:val="center"/>
            <w:hideMark/>
          </w:tcPr>
          <w:p w14:paraId="77C50273" w14:textId="77777777" w:rsidR="00620A12" w:rsidRPr="004E189E" w:rsidRDefault="00620A12" w:rsidP="00B245A8">
            <w:pPr>
              <w:rPr>
                <w:sz w:val="20"/>
                <w:szCs w:val="18"/>
              </w:rPr>
            </w:pPr>
            <w:r w:rsidRPr="004E189E">
              <w:rPr>
                <w:sz w:val="20"/>
                <w:szCs w:val="18"/>
              </w:rPr>
              <w:t>79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BFBEC63" w14:textId="77777777" w:rsidR="00620A12" w:rsidRPr="004E189E" w:rsidRDefault="00620A12" w:rsidP="00B245A8">
            <w:pPr>
              <w:rPr>
                <w:sz w:val="20"/>
                <w:szCs w:val="18"/>
              </w:rPr>
            </w:pPr>
            <w:r w:rsidRPr="004E189E">
              <w:rPr>
                <w:sz w:val="20"/>
                <w:szCs w:val="18"/>
              </w:rPr>
              <w:t>82</w:t>
            </w:r>
          </w:p>
        </w:tc>
      </w:tr>
      <w:tr w:rsidR="00620A12" w:rsidRPr="00E10940" w14:paraId="4A4219FE" w14:textId="77777777" w:rsidTr="00B245A8">
        <w:trPr>
          <w:trHeight w:val="263"/>
          <w:jc w:val="center"/>
        </w:trPr>
        <w:tc>
          <w:tcPr>
            <w:tcW w:w="3125" w:type="dxa"/>
            <w:tcBorders>
              <w:top w:val="single" w:sz="4" w:space="0" w:color="auto"/>
              <w:left w:val="single" w:sz="4" w:space="0" w:color="auto"/>
              <w:bottom w:val="single" w:sz="4" w:space="0" w:color="auto"/>
              <w:right w:val="single" w:sz="4" w:space="0" w:color="auto"/>
            </w:tcBorders>
            <w:hideMark/>
          </w:tcPr>
          <w:p w14:paraId="5D55EBD0" w14:textId="77777777" w:rsidR="00620A12" w:rsidRPr="004E189E" w:rsidRDefault="00620A12" w:rsidP="00B245A8">
            <w:pPr>
              <w:rPr>
                <w:sz w:val="20"/>
                <w:szCs w:val="18"/>
              </w:rPr>
            </w:pPr>
            <w:r w:rsidRPr="004E189E">
              <w:rPr>
                <w:sz w:val="20"/>
                <w:szCs w:val="18"/>
              </w:rPr>
              <w:t>Greenback flounder</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447170" w14:textId="77777777" w:rsidR="00620A12" w:rsidRPr="004E189E" w:rsidRDefault="00620A12" w:rsidP="00B245A8">
            <w:pPr>
              <w:rPr>
                <w:sz w:val="20"/>
                <w:szCs w:val="18"/>
              </w:rPr>
            </w:pPr>
            <w:r w:rsidRPr="004E189E">
              <w:rPr>
                <w:sz w:val="20"/>
                <w:szCs w:val="18"/>
              </w:rPr>
              <w:t>88</w:t>
            </w:r>
          </w:p>
        </w:tc>
        <w:tc>
          <w:tcPr>
            <w:tcW w:w="1461" w:type="dxa"/>
            <w:tcBorders>
              <w:top w:val="single" w:sz="4" w:space="0" w:color="auto"/>
              <w:left w:val="single" w:sz="4" w:space="0" w:color="auto"/>
              <w:bottom w:val="single" w:sz="4" w:space="0" w:color="auto"/>
              <w:right w:val="single" w:sz="4" w:space="0" w:color="auto"/>
            </w:tcBorders>
            <w:vAlign w:val="center"/>
            <w:hideMark/>
          </w:tcPr>
          <w:p w14:paraId="10C0BE97" w14:textId="77777777" w:rsidR="00620A12" w:rsidRPr="004E189E" w:rsidRDefault="00620A12" w:rsidP="00B245A8">
            <w:pPr>
              <w:rPr>
                <w:sz w:val="20"/>
                <w:szCs w:val="18"/>
              </w:rPr>
            </w:pPr>
            <w:r w:rsidRPr="004E189E">
              <w:rPr>
                <w:sz w:val="20"/>
                <w:szCs w:val="18"/>
              </w:rPr>
              <w:t>79</w:t>
            </w:r>
          </w:p>
        </w:tc>
        <w:tc>
          <w:tcPr>
            <w:tcW w:w="1374" w:type="dxa"/>
            <w:tcBorders>
              <w:top w:val="single" w:sz="4" w:space="0" w:color="auto"/>
              <w:left w:val="single" w:sz="4" w:space="0" w:color="auto"/>
              <w:bottom w:val="single" w:sz="4" w:space="0" w:color="auto"/>
              <w:right w:val="single" w:sz="4" w:space="0" w:color="auto"/>
            </w:tcBorders>
            <w:vAlign w:val="center"/>
            <w:hideMark/>
          </w:tcPr>
          <w:p w14:paraId="4D5C65B8" w14:textId="77777777" w:rsidR="00620A12" w:rsidRPr="004E189E" w:rsidRDefault="00620A12" w:rsidP="00B245A8">
            <w:pPr>
              <w:rPr>
                <w:sz w:val="20"/>
                <w:szCs w:val="18"/>
              </w:rPr>
            </w:pPr>
            <w:r w:rsidRPr="004E189E">
              <w:rPr>
                <w:sz w:val="20"/>
                <w:szCs w:val="18"/>
              </w:rPr>
              <w:t>81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CB72CE4" w14:textId="77777777" w:rsidR="00620A12" w:rsidRPr="004E189E" w:rsidRDefault="00620A12" w:rsidP="00B245A8">
            <w:pPr>
              <w:rPr>
                <w:sz w:val="20"/>
                <w:szCs w:val="18"/>
              </w:rPr>
            </w:pPr>
            <w:r w:rsidRPr="004E189E">
              <w:rPr>
                <w:sz w:val="20"/>
                <w:szCs w:val="18"/>
              </w:rPr>
              <w:t>73</w:t>
            </w:r>
          </w:p>
        </w:tc>
      </w:tr>
      <w:tr w:rsidR="00620A12" w:rsidRPr="00E10940" w14:paraId="7373000E" w14:textId="77777777" w:rsidTr="00B245A8">
        <w:trPr>
          <w:trHeight w:val="263"/>
          <w:jc w:val="center"/>
        </w:trPr>
        <w:tc>
          <w:tcPr>
            <w:tcW w:w="3125" w:type="dxa"/>
            <w:tcBorders>
              <w:top w:val="single" w:sz="4" w:space="0" w:color="auto"/>
              <w:left w:val="single" w:sz="4" w:space="0" w:color="auto"/>
              <w:bottom w:val="single" w:sz="4" w:space="0" w:color="auto"/>
              <w:right w:val="single" w:sz="4" w:space="0" w:color="auto"/>
            </w:tcBorders>
            <w:hideMark/>
          </w:tcPr>
          <w:p w14:paraId="64EC0627" w14:textId="77777777" w:rsidR="00620A12" w:rsidRPr="004E189E" w:rsidRDefault="00620A12" w:rsidP="00B245A8">
            <w:pPr>
              <w:rPr>
                <w:sz w:val="20"/>
                <w:szCs w:val="18"/>
              </w:rPr>
            </w:pPr>
            <w:r w:rsidRPr="004E189E">
              <w:rPr>
                <w:sz w:val="20"/>
                <w:szCs w:val="18"/>
              </w:rPr>
              <w:t>Yelloweye mullet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B5010D" w14:textId="77777777" w:rsidR="00620A12" w:rsidRPr="004E189E" w:rsidRDefault="00620A12" w:rsidP="00B245A8">
            <w:pPr>
              <w:rPr>
                <w:sz w:val="20"/>
                <w:szCs w:val="18"/>
              </w:rPr>
            </w:pPr>
            <w:r w:rsidRPr="004E189E">
              <w:rPr>
                <w:sz w:val="20"/>
                <w:szCs w:val="18"/>
              </w:rPr>
              <w:t>91</w:t>
            </w:r>
          </w:p>
        </w:tc>
        <w:tc>
          <w:tcPr>
            <w:tcW w:w="1461" w:type="dxa"/>
            <w:tcBorders>
              <w:top w:val="single" w:sz="4" w:space="0" w:color="auto"/>
              <w:left w:val="single" w:sz="4" w:space="0" w:color="auto"/>
              <w:bottom w:val="single" w:sz="4" w:space="0" w:color="auto"/>
              <w:right w:val="single" w:sz="4" w:space="0" w:color="auto"/>
            </w:tcBorders>
            <w:vAlign w:val="center"/>
            <w:hideMark/>
          </w:tcPr>
          <w:p w14:paraId="33F6255E" w14:textId="77777777" w:rsidR="00620A12" w:rsidRPr="004E189E" w:rsidRDefault="00620A12" w:rsidP="00B245A8">
            <w:pPr>
              <w:rPr>
                <w:sz w:val="20"/>
                <w:szCs w:val="18"/>
              </w:rPr>
            </w:pPr>
            <w:r w:rsidRPr="004E189E">
              <w:rPr>
                <w:sz w:val="20"/>
                <w:szCs w:val="18"/>
              </w:rPr>
              <w:t>82.4*</w:t>
            </w:r>
          </w:p>
        </w:tc>
        <w:tc>
          <w:tcPr>
            <w:tcW w:w="1374" w:type="dxa"/>
            <w:tcBorders>
              <w:top w:val="single" w:sz="4" w:space="0" w:color="auto"/>
              <w:left w:val="single" w:sz="4" w:space="0" w:color="auto"/>
              <w:bottom w:val="single" w:sz="4" w:space="0" w:color="auto"/>
              <w:right w:val="single" w:sz="4" w:space="0" w:color="auto"/>
            </w:tcBorders>
            <w:vAlign w:val="center"/>
            <w:hideMark/>
          </w:tcPr>
          <w:p w14:paraId="0504523B" w14:textId="77777777" w:rsidR="00620A12" w:rsidRPr="004E189E" w:rsidRDefault="00620A12" w:rsidP="00B245A8">
            <w:pPr>
              <w:rPr>
                <w:sz w:val="20"/>
                <w:szCs w:val="18"/>
              </w:rPr>
            </w:pPr>
            <w:r w:rsidRPr="004E189E">
              <w:rPr>
                <w:sz w:val="20"/>
                <w:szCs w:val="18"/>
              </w:rPr>
              <w:t>84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1D35510" w14:textId="77777777" w:rsidR="00620A12" w:rsidRPr="004E189E" w:rsidRDefault="00620A12" w:rsidP="00B245A8">
            <w:pPr>
              <w:rPr>
                <w:sz w:val="20"/>
                <w:szCs w:val="18"/>
              </w:rPr>
            </w:pPr>
            <w:r w:rsidRPr="004E189E">
              <w:rPr>
                <w:sz w:val="20"/>
                <w:szCs w:val="18"/>
              </w:rPr>
              <w:t>68</w:t>
            </w:r>
          </w:p>
        </w:tc>
      </w:tr>
      <w:tr w:rsidR="00620A12" w:rsidRPr="00E10940" w14:paraId="69BA3CBB" w14:textId="77777777" w:rsidTr="00B245A8">
        <w:trPr>
          <w:trHeight w:val="263"/>
          <w:jc w:val="center"/>
        </w:trPr>
        <w:tc>
          <w:tcPr>
            <w:tcW w:w="3125" w:type="dxa"/>
            <w:tcBorders>
              <w:top w:val="single" w:sz="4" w:space="0" w:color="auto"/>
              <w:left w:val="single" w:sz="4" w:space="0" w:color="auto"/>
              <w:bottom w:val="single" w:sz="4" w:space="0" w:color="auto"/>
              <w:right w:val="single" w:sz="4" w:space="0" w:color="auto"/>
            </w:tcBorders>
            <w:hideMark/>
          </w:tcPr>
          <w:p w14:paraId="1DD61099" w14:textId="77777777" w:rsidR="00620A12" w:rsidRPr="004E189E" w:rsidRDefault="00620A12" w:rsidP="00B245A8">
            <w:pPr>
              <w:rPr>
                <w:sz w:val="20"/>
                <w:szCs w:val="18"/>
              </w:rPr>
            </w:pPr>
            <w:r w:rsidRPr="004E189E">
              <w:rPr>
                <w:sz w:val="20"/>
                <w:szCs w:val="18"/>
              </w:rPr>
              <w:t>Congolli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478CA2" w14:textId="77777777" w:rsidR="00620A12" w:rsidRPr="004E189E" w:rsidRDefault="00620A12" w:rsidP="00B245A8">
            <w:pPr>
              <w:rPr>
                <w:sz w:val="20"/>
                <w:szCs w:val="18"/>
              </w:rPr>
            </w:pPr>
            <w:r w:rsidRPr="004E189E">
              <w:rPr>
                <w:sz w:val="20"/>
                <w:szCs w:val="18"/>
              </w:rPr>
              <w:t>100</w:t>
            </w:r>
          </w:p>
        </w:tc>
        <w:tc>
          <w:tcPr>
            <w:tcW w:w="1461" w:type="dxa"/>
            <w:tcBorders>
              <w:top w:val="single" w:sz="4" w:space="0" w:color="auto"/>
              <w:left w:val="single" w:sz="4" w:space="0" w:color="auto"/>
              <w:bottom w:val="single" w:sz="4" w:space="0" w:color="auto"/>
              <w:right w:val="single" w:sz="4" w:space="0" w:color="auto"/>
            </w:tcBorders>
            <w:vAlign w:val="center"/>
            <w:hideMark/>
          </w:tcPr>
          <w:p w14:paraId="2BEAEE88" w14:textId="77777777" w:rsidR="00620A12" w:rsidRPr="004E189E" w:rsidRDefault="00620A12" w:rsidP="00B245A8">
            <w:pPr>
              <w:rPr>
                <w:sz w:val="20"/>
                <w:szCs w:val="18"/>
              </w:rPr>
            </w:pPr>
            <w:r w:rsidRPr="004E189E">
              <w:rPr>
                <w:sz w:val="20"/>
                <w:szCs w:val="18"/>
              </w:rPr>
              <w:t>94</w:t>
            </w:r>
          </w:p>
        </w:tc>
        <w:tc>
          <w:tcPr>
            <w:tcW w:w="1374" w:type="dxa"/>
            <w:tcBorders>
              <w:top w:val="single" w:sz="4" w:space="0" w:color="auto"/>
              <w:left w:val="single" w:sz="4" w:space="0" w:color="auto"/>
              <w:bottom w:val="single" w:sz="4" w:space="0" w:color="auto"/>
              <w:right w:val="single" w:sz="4" w:space="0" w:color="auto"/>
            </w:tcBorders>
            <w:vAlign w:val="center"/>
            <w:hideMark/>
          </w:tcPr>
          <w:p w14:paraId="6ECD9C6A" w14:textId="77777777" w:rsidR="00620A12" w:rsidRPr="004E189E" w:rsidRDefault="00620A12" w:rsidP="00B245A8">
            <w:pPr>
              <w:rPr>
                <w:sz w:val="20"/>
                <w:szCs w:val="18"/>
              </w:rPr>
            </w:pPr>
            <w:r w:rsidRPr="004E189E">
              <w:rPr>
                <w:sz w:val="20"/>
                <w:szCs w:val="18"/>
              </w:rPr>
              <w:t>90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0F67382" w14:textId="77777777" w:rsidR="00620A12" w:rsidRPr="004E189E" w:rsidRDefault="00620A12" w:rsidP="00B245A8">
            <w:pPr>
              <w:rPr>
                <w:sz w:val="20"/>
                <w:szCs w:val="18"/>
              </w:rPr>
            </w:pPr>
            <w:r w:rsidRPr="004E189E">
              <w:rPr>
                <w:sz w:val="20"/>
                <w:szCs w:val="18"/>
              </w:rPr>
              <w:t>87</w:t>
            </w:r>
          </w:p>
        </w:tc>
      </w:tr>
      <w:tr w:rsidR="00620A12" w:rsidRPr="00E10940" w14:paraId="1DFC5FF4" w14:textId="77777777" w:rsidTr="00B245A8">
        <w:trPr>
          <w:trHeight w:val="270"/>
          <w:jc w:val="center"/>
        </w:trPr>
        <w:tc>
          <w:tcPr>
            <w:tcW w:w="3125" w:type="dxa"/>
            <w:tcBorders>
              <w:top w:val="single" w:sz="4" w:space="0" w:color="auto"/>
              <w:left w:val="single" w:sz="4" w:space="0" w:color="auto"/>
              <w:bottom w:val="single" w:sz="4" w:space="0" w:color="auto"/>
              <w:right w:val="single" w:sz="4" w:space="0" w:color="auto"/>
            </w:tcBorders>
            <w:hideMark/>
          </w:tcPr>
          <w:p w14:paraId="28B8D177" w14:textId="77777777" w:rsidR="00620A12" w:rsidRPr="004E189E" w:rsidRDefault="00620A12" w:rsidP="00B245A8">
            <w:pPr>
              <w:rPr>
                <w:sz w:val="20"/>
                <w:szCs w:val="18"/>
              </w:rPr>
            </w:pPr>
            <w:r w:rsidRPr="004E189E">
              <w:rPr>
                <w:sz w:val="20"/>
                <w:szCs w:val="18"/>
              </w:rPr>
              <w:t>Smallmouth hardyhead</w:t>
            </w:r>
          </w:p>
        </w:tc>
        <w:tc>
          <w:tcPr>
            <w:tcW w:w="2878" w:type="dxa"/>
            <w:gridSpan w:val="2"/>
            <w:tcBorders>
              <w:top w:val="single" w:sz="4" w:space="0" w:color="auto"/>
              <w:left w:val="single" w:sz="4" w:space="0" w:color="auto"/>
              <w:bottom w:val="single" w:sz="4" w:space="0" w:color="auto"/>
              <w:right w:val="single" w:sz="4" w:space="0" w:color="auto"/>
            </w:tcBorders>
            <w:vAlign w:val="center"/>
            <w:hideMark/>
          </w:tcPr>
          <w:p w14:paraId="55487B8D" w14:textId="77777777" w:rsidR="00620A12" w:rsidRPr="004E189E" w:rsidRDefault="00620A12" w:rsidP="00B245A8">
            <w:pPr>
              <w:rPr>
                <w:sz w:val="20"/>
                <w:szCs w:val="18"/>
              </w:rPr>
            </w:pPr>
            <w:r w:rsidRPr="004E189E">
              <w:rPr>
                <w:sz w:val="20"/>
                <w:szCs w:val="18"/>
              </w:rPr>
              <w:t>108</w:t>
            </w:r>
          </w:p>
        </w:tc>
        <w:tc>
          <w:tcPr>
            <w:tcW w:w="1374" w:type="dxa"/>
            <w:tcBorders>
              <w:top w:val="single" w:sz="4" w:space="0" w:color="auto"/>
              <w:left w:val="single" w:sz="4" w:space="0" w:color="auto"/>
              <w:bottom w:val="single" w:sz="4" w:space="0" w:color="auto"/>
              <w:right w:val="single" w:sz="4" w:space="0" w:color="auto"/>
            </w:tcBorders>
            <w:vAlign w:val="center"/>
            <w:hideMark/>
          </w:tcPr>
          <w:p w14:paraId="58B8A856" w14:textId="77777777" w:rsidR="00620A12" w:rsidRPr="004E189E" w:rsidRDefault="00620A12" w:rsidP="00B245A8">
            <w:pPr>
              <w:rPr>
                <w:sz w:val="20"/>
                <w:szCs w:val="18"/>
              </w:rPr>
            </w:pPr>
            <w:r w:rsidRPr="004E189E">
              <w:rPr>
                <w:sz w:val="20"/>
                <w:szCs w:val="18"/>
              </w:rPr>
              <w:t>100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F1EDC76" w14:textId="77777777" w:rsidR="00620A12" w:rsidRPr="004E189E" w:rsidRDefault="00620A12" w:rsidP="00B245A8">
            <w:pPr>
              <w:rPr>
                <w:sz w:val="20"/>
                <w:szCs w:val="18"/>
              </w:rPr>
            </w:pPr>
            <w:r w:rsidRPr="004E189E">
              <w:rPr>
                <w:sz w:val="20"/>
                <w:szCs w:val="18"/>
              </w:rPr>
              <w:t>97</w:t>
            </w:r>
          </w:p>
        </w:tc>
      </w:tr>
    </w:tbl>
    <w:p w14:paraId="75F9D93F" w14:textId="77777777" w:rsidR="00620A12" w:rsidRPr="00D26AC0" w:rsidRDefault="00620A12" w:rsidP="00620A12">
      <w:pPr>
        <w:rPr>
          <w:sz w:val="13"/>
          <w:szCs w:val="11"/>
        </w:rPr>
      </w:pPr>
      <w:r>
        <w:rPr>
          <w:sz w:val="13"/>
          <w:szCs w:val="11"/>
        </w:rPr>
        <w:t xml:space="preserve">      </w:t>
      </w:r>
      <w:r w:rsidRPr="00D26AC0">
        <w:rPr>
          <w:sz w:val="13"/>
          <w:szCs w:val="11"/>
        </w:rPr>
        <w:t>*possibly affected by another unknown water quality factor.</w:t>
      </w:r>
    </w:p>
    <w:p w14:paraId="5B0AF849" w14:textId="77777777" w:rsidR="008C56C4" w:rsidRDefault="008C56C4" w:rsidP="00620A12">
      <w:pPr>
        <w:spacing w:before="0" w:after="160" w:line="259" w:lineRule="auto"/>
        <w:jc w:val="left"/>
        <w:rPr>
          <w:b/>
          <w:sz w:val="20"/>
        </w:rPr>
      </w:pPr>
    </w:p>
    <w:p w14:paraId="42E522F8" w14:textId="0B3B0596" w:rsidR="00620A12" w:rsidRDefault="00620A12" w:rsidP="00620A12">
      <w:pPr>
        <w:spacing w:before="0" w:after="160" w:line="259" w:lineRule="auto"/>
        <w:jc w:val="left"/>
        <w:rPr>
          <w:b/>
          <w:bCs/>
          <w:color w:val="auto"/>
          <w:sz w:val="20"/>
          <w:szCs w:val="18"/>
        </w:rPr>
      </w:pPr>
      <w:bookmarkStart w:id="602" w:name="_Hlk207969023"/>
      <w:r w:rsidRPr="00E10940">
        <w:rPr>
          <w:b/>
          <w:sz w:val="20"/>
        </w:rPr>
        <w:t>Table C</w:t>
      </w:r>
      <w:r w:rsidR="00FB33C3">
        <w:rPr>
          <w:b/>
          <w:sz w:val="20"/>
        </w:rPr>
        <w:t>4</w:t>
      </w:r>
      <w:r w:rsidRPr="00E10940">
        <w:rPr>
          <w:b/>
          <w:sz w:val="20"/>
        </w:rPr>
        <w:t xml:space="preserve">. </w:t>
      </w:r>
      <w:r w:rsidRPr="004E189E">
        <w:rPr>
          <w:b/>
          <w:bCs/>
          <w:color w:val="auto"/>
          <w:sz w:val="20"/>
          <w:szCs w:val="18"/>
        </w:rPr>
        <w:t xml:space="preserve">Fish habitat </w:t>
      </w:r>
      <w:r>
        <w:rPr>
          <w:b/>
          <w:bCs/>
          <w:color w:val="auto"/>
          <w:sz w:val="20"/>
          <w:szCs w:val="18"/>
        </w:rPr>
        <w:t xml:space="preserve">suitability </w:t>
      </w:r>
      <w:r w:rsidRPr="004E189E">
        <w:rPr>
          <w:b/>
          <w:bCs/>
          <w:color w:val="auto"/>
          <w:sz w:val="20"/>
          <w:szCs w:val="18"/>
        </w:rPr>
        <w:t>function</w:t>
      </w:r>
      <w:r>
        <w:rPr>
          <w:b/>
          <w:bCs/>
          <w:color w:val="auto"/>
          <w:sz w:val="20"/>
          <w:szCs w:val="18"/>
        </w:rPr>
        <w:t>s based on salinity and temperature.</w:t>
      </w:r>
    </w:p>
    <w:tbl>
      <w:tblPr>
        <w:tblStyle w:val="TableGrid"/>
        <w:tblW w:w="0" w:type="auto"/>
        <w:tblInd w:w="108" w:type="dxa"/>
        <w:tblLook w:val="04A0" w:firstRow="1" w:lastRow="0" w:firstColumn="1" w:lastColumn="0" w:noHBand="0" w:noVBand="1"/>
        <w:tblDescription w:val="Fish habitat suitability functions based on salinity and temperature."/>
      </w:tblPr>
      <w:tblGrid>
        <w:gridCol w:w="3397"/>
        <w:gridCol w:w="5511"/>
      </w:tblGrid>
      <w:tr w:rsidR="00620A12" w:rsidRPr="00103FE1" w14:paraId="5BFA8605" w14:textId="77777777" w:rsidTr="00B245A8">
        <w:tc>
          <w:tcPr>
            <w:tcW w:w="3402" w:type="dxa"/>
            <w:tcBorders>
              <w:top w:val="single" w:sz="4" w:space="0" w:color="auto"/>
              <w:left w:val="single" w:sz="4" w:space="0" w:color="auto"/>
              <w:bottom w:val="single" w:sz="4" w:space="0" w:color="auto"/>
              <w:right w:val="single" w:sz="4" w:space="0" w:color="auto"/>
            </w:tcBorders>
            <w:vAlign w:val="center"/>
            <w:hideMark/>
          </w:tcPr>
          <w:bookmarkEnd w:id="602"/>
          <w:p w14:paraId="6B7B6041" w14:textId="77777777" w:rsidR="00620A12" w:rsidRPr="004E189E" w:rsidRDefault="00620A12" w:rsidP="00B245A8">
            <w:pPr>
              <w:spacing w:before="0" w:after="160" w:line="259" w:lineRule="auto"/>
              <w:jc w:val="left"/>
              <w:rPr>
                <w:color w:val="auto"/>
                <w:sz w:val="20"/>
                <w:szCs w:val="18"/>
              </w:rPr>
            </w:pPr>
            <m:oMath>
              <m:r>
                <w:rPr>
                  <w:rFonts w:ascii="Cambria Math" w:hAnsi="Cambria Math"/>
                  <w:color w:val="auto"/>
                  <w:sz w:val="20"/>
                  <w:szCs w:val="18"/>
                </w:rPr>
                <m:t>HSI</m:t>
              </m:r>
            </m:oMath>
            <w:r w:rsidRPr="004E189E">
              <w:rPr>
                <w:color w:val="auto"/>
                <w:sz w:val="20"/>
                <w:szCs w:val="18"/>
              </w:rPr>
              <w:t xml:space="preserve"> =</w:t>
            </w:r>
            <m:oMath>
              <m:d>
                <m:dPr>
                  <m:begChr m:val="{"/>
                  <m:endChr m:val=""/>
                  <m:ctrlPr>
                    <w:rPr>
                      <w:rFonts w:ascii="Cambria Math" w:hAnsi="Cambria Math"/>
                      <w:i/>
                      <w:color w:val="auto"/>
                      <w:sz w:val="20"/>
                      <w:szCs w:val="18"/>
                    </w:rPr>
                  </m:ctrlPr>
                </m:dPr>
                <m:e>
                  <m:f>
                    <m:fPr>
                      <m:ctrlPr>
                        <w:rPr>
                          <w:rFonts w:ascii="Cambria Math" w:hAnsi="Cambria Math"/>
                          <w:i/>
                          <w:color w:val="auto"/>
                          <w:sz w:val="20"/>
                          <w:szCs w:val="18"/>
                        </w:rPr>
                      </m:ctrlPr>
                    </m:fPr>
                    <m:num>
                      <m:sSub>
                        <m:sSubPr>
                          <m:ctrlPr>
                            <w:rPr>
                              <w:rFonts w:ascii="Cambria Math" w:hAnsi="Cambria Math"/>
                              <w:i/>
                              <w:color w:val="auto"/>
                              <w:sz w:val="20"/>
                              <w:szCs w:val="18"/>
                            </w:rPr>
                          </m:ctrlPr>
                        </m:sSubPr>
                        <m:e>
                          <m:r>
                            <w:rPr>
                              <w:rFonts w:ascii="Cambria Math" w:hAnsi="Cambria Math"/>
                              <w:color w:val="auto"/>
                              <w:sz w:val="20"/>
                              <w:szCs w:val="18"/>
                            </w:rPr>
                            <m:t>S</m:t>
                          </m:r>
                        </m:e>
                        <m:sub>
                          <m:r>
                            <w:rPr>
                              <w:rFonts w:ascii="Cambria Math" w:hAnsi="Cambria Math"/>
                              <w:color w:val="auto"/>
                              <w:sz w:val="20"/>
                              <w:szCs w:val="18"/>
                            </w:rPr>
                            <m:t>c50</m:t>
                          </m:r>
                        </m:sub>
                      </m:sSub>
                      <m:r>
                        <w:rPr>
                          <w:rFonts w:ascii="Cambria Math" w:hAnsi="Cambria Math"/>
                          <w:color w:val="auto"/>
                          <w:sz w:val="20"/>
                          <w:szCs w:val="18"/>
                        </w:rPr>
                        <m:t>-S</m:t>
                      </m:r>
                    </m:num>
                    <m:den>
                      <m:sSub>
                        <m:sSubPr>
                          <m:ctrlPr>
                            <w:rPr>
                              <w:rFonts w:ascii="Cambria Math" w:hAnsi="Cambria Math"/>
                              <w:i/>
                              <w:color w:val="auto"/>
                              <w:sz w:val="20"/>
                              <w:szCs w:val="18"/>
                            </w:rPr>
                          </m:ctrlPr>
                        </m:sSubPr>
                        <m:e>
                          <m:r>
                            <w:rPr>
                              <w:rFonts w:ascii="Cambria Math" w:hAnsi="Cambria Math"/>
                              <w:color w:val="auto"/>
                              <w:sz w:val="20"/>
                              <w:szCs w:val="18"/>
                            </w:rPr>
                            <m:t>S</m:t>
                          </m:r>
                        </m:e>
                        <m:sub>
                          <m:r>
                            <w:rPr>
                              <w:rFonts w:ascii="Cambria Math" w:hAnsi="Cambria Math"/>
                              <w:color w:val="auto"/>
                              <w:sz w:val="20"/>
                              <w:szCs w:val="18"/>
                            </w:rPr>
                            <m:t>c50</m:t>
                          </m:r>
                        </m:sub>
                      </m:sSub>
                      <m:r>
                        <w:rPr>
                          <w:rFonts w:ascii="Cambria Math" w:hAnsi="Cambria Math"/>
                          <w:color w:val="auto"/>
                          <w:sz w:val="20"/>
                          <w:szCs w:val="18"/>
                        </w:rPr>
                        <m:t>-</m:t>
                      </m:r>
                      <m:sSub>
                        <m:sSubPr>
                          <m:ctrlPr>
                            <w:rPr>
                              <w:rFonts w:ascii="Cambria Math" w:hAnsi="Cambria Math"/>
                              <w:i/>
                              <w:color w:val="auto"/>
                              <w:sz w:val="20"/>
                              <w:szCs w:val="18"/>
                            </w:rPr>
                          </m:ctrlPr>
                        </m:sSubPr>
                        <m:e>
                          <m:r>
                            <w:rPr>
                              <w:rFonts w:ascii="Cambria Math" w:hAnsi="Cambria Math"/>
                              <w:color w:val="auto"/>
                              <w:sz w:val="20"/>
                              <w:szCs w:val="18"/>
                            </w:rPr>
                            <m:t>S</m:t>
                          </m:r>
                        </m:e>
                        <m:sub>
                          <m:r>
                            <w:rPr>
                              <w:rFonts w:ascii="Cambria Math" w:hAnsi="Cambria Math"/>
                              <w:color w:val="auto"/>
                              <w:sz w:val="20"/>
                              <w:szCs w:val="18"/>
                            </w:rPr>
                            <m:t>c10</m:t>
                          </m:r>
                        </m:sub>
                      </m:sSub>
                    </m:den>
                  </m:f>
                  <m:eqArr>
                    <m:eqArrPr>
                      <m:ctrlPr>
                        <w:rPr>
                          <w:rFonts w:ascii="Cambria Math" w:hAnsi="Cambria Math"/>
                          <w:i/>
                          <w:color w:val="auto"/>
                          <w:sz w:val="20"/>
                          <w:szCs w:val="18"/>
                        </w:rPr>
                      </m:ctrlPr>
                    </m:eqArrPr>
                    <m:e>
                      <m:r>
                        <w:rPr>
                          <w:rFonts w:ascii="Cambria Math" w:hAnsi="Cambria Math"/>
                          <w:color w:val="auto"/>
                          <w:sz w:val="20"/>
                          <w:szCs w:val="18"/>
                        </w:rPr>
                        <m:t>1, 0≤S&lt;</m:t>
                      </m:r>
                      <m:sSub>
                        <m:sSubPr>
                          <m:ctrlPr>
                            <w:rPr>
                              <w:rFonts w:ascii="Cambria Math" w:hAnsi="Cambria Math"/>
                              <w:i/>
                              <w:color w:val="auto"/>
                              <w:sz w:val="20"/>
                              <w:szCs w:val="18"/>
                            </w:rPr>
                          </m:ctrlPr>
                        </m:sSubPr>
                        <m:e>
                          <m:r>
                            <w:rPr>
                              <w:rFonts w:ascii="Cambria Math" w:hAnsi="Cambria Math"/>
                              <w:color w:val="auto"/>
                              <w:sz w:val="20"/>
                              <w:szCs w:val="18"/>
                            </w:rPr>
                            <m:t>S</m:t>
                          </m:r>
                        </m:e>
                        <m:sub>
                          <m:r>
                            <w:rPr>
                              <w:rFonts w:ascii="Cambria Math" w:hAnsi="Cambria Math"/>
                              <w:color w:val="auto"/>
                              <w:sz w:val="20"/>
                              <w:szCs w:val="18"/>
                            </w:rPr>
                            <m:t>c10</m:t>
                          </m:r>
                        </m:sub>
                      </m:sSub>
                    </m:e>
                    <m:e>
                      <m:r>
                        <w:rPr>
                          <w:rFonts w:ascii="Cambria Math" w:hAnsi="Cambria Math"/>
                          <w:color w:val="auto"/>
                          <w:sz w:val="20"/>
                          <w:szCs w:val="18"/>
                        </w:rPr>
                        <m:t>,</m:t>
                      </m:r>
                      <m:sSub>
                        <m:sSubPr>
                          <m:ctrlPr>
                            <w:rPr>
                              <w:rFonts w:ascii="Cambria Math" w:hAnsi="Cambria Math"/>
                              <w:i/>
                              <w:color w:val="auto"/>
                              <w:sz w:val="20"/>
                              <w:szCs w:val="18"/>
                            </w:rPr>
                          </m:ctrlPr>
                        </m:sSubPr>
                        <m:e>
                          <m:r>
                            <w:rPr>
                              <w:rFonts w:ascii="Cambria Math" w:hAnsi="Cambria Math"/>
                              <w:color w:val="auto"/>
                              <w:sz w:val="20"/>
                              <w:szCs w:val="18"/>
                            </w:rPr>
                            <m:t>S</m:t>
                          </m:r>
                        </m:e>
                        <m:sub>
                          <m:r>
                            <w:rPr>
                              <w:rFonts w:ascii="Cambria Math" w:hAnsi="Cambria Math"/>
                              <w:color w:val="auto"/>
                              <w:sz w:val="20"/>
                              <w:szCs w:val="18"/>
                            </w:rPr>
                            <m:t>c10</m:t>
                          </m:r>
                        </m:sub>
                      </m:sSub>
                      <m:r>
                        <w:rPr>
                          <w:rFonts w:ascii="Cambria Math" w:hAnsi="Cambria Math"/>
                          <w:color w:val="auto"/>
                          <w:sz w:val="20"/>
                          <w:szCs w:val="18"/>
                        </w:rPr>
                        <m:t>≤S&lt;</m:t>
                      </m:r>
                      <m:sSub>
                        <m:sSubPr>
                          <m:ctrlPr>
                            <w:rPr>
                              <w:rFonts w:ascii="Cambria Math" w:hAnsi="Cambria Math"/>
                              <w:i/>
                              <w:color w:val="auto"/>
                              <w:sz w:val="20"/>
                              <w:szCs w:val="18"/>
                            </w:rPr>
                          </m:ctrlPr>
                        </m:sSubPr>
                        <m:e>
                          <m:r>
                            <w:rPr>
                              <w:rFonts w:ascii="Cambria Math" w:hAnsi="Cambria Math"/>
                              <w:color w:val="auto"/>
                              <w:sz w:val="20"/>
                              <w:szCs w:val="18"/>
                            </w:rPr>
                            <m:t>S</m:t>
                          </m:r>
                        </m:e>
                        <m:sub>
                          <m:r>
                            <w:rPr>
                              <w:rFonts w:ascii="Cambria Math" w:hAnsi="Cambria Math"/>
                              <w:color w:val="auto"/>
                              <w:sz w:val="20"/>
                              <w:szCs w:val="18"/>
                            </w:rPr>
                            <m:t>c50</m:t>
                          </m:r>
                        </m:sub>
                      </m:sSub>
                    </m:e>
                    <m:e>
                      <m:r>
                        <w:rPr>
                          <w:rFonts w:ascii="Cambria Math" w:hAnsi="Cambria Math"/>
                          <w:color w:val="auto"/>
                          <w:sz w:val="20"/>
                          <w:szCs w:val="18"/>
                        </w:rPr>
                        <m:t>0, S≥</m:t>
                      </m:r>
                      <m:sSub>
                        <m:sSubPr>
                          <m:ctrlPr>
                            <w:rPr>
                              <w:rFonts w:ascii="Cambria Math" w:hAnsi="Cambria Math"/>
                              <w:i/>
                              <w:color w:val="auto"/>
                              <w:sz w:val="20"/>
                              <w:szCs w:val="18"/>
                            </w:rPr>
                          </m:ctrlPr>
                        </m:sSubPr>
                        <m:e>
                          <m:r>
                            <w:rPr>
                              <w:rFonts w:ascii="Cambria Math" w:hAnsi="Cambria Math"/>
                              <w:color w:val="auto"/>
                              <w:sz w:val="20"/>
                              <w:szCs w:val="18"/>
                            </w:rPr>
                            <m:t>S</m:t>
                          </m:r>
                        </m:e>
                        <m:sub>
                          <m:r>
                            <w:rPr>
                              <w:rFonts w:ascii="Cambria Math" w:hAnsi="Cambria Math"/>
                              <w:color w:val="auto"/>
                              <w:sz w:val="20"/>
                              <w:szCs w:val="18"/>
                            </w:rPr>
                            <m:t>c50</m:t>
                          </m:r>
                        </m:sub>
                      </m:sSub>
                    </m:e>
                  </m:eqArr>
                </m:e>
              </m:d>
            </m:oMath>
          </w:p>
        </w:tc>
        <w:tc>
          <w:tcPr>
            <w:tcW w:w="5529" w:type="dxa"/>
            <w:tcBorders>
              <w:top w:val="single" w:sz="4" w:space="0" w:color="auto"/>
              <w:left w:val="single" w:sz="4" w:space="0" w:color="auto"/>
              <w:bottom w:val="single" w:sz="4" w:space="0" w:color="auto"/>
              <w:right w:val="single" w:sz="4" w:space="0" w:color="auto"/>
            </w:tcBorders>
            <w:vAlign w:val="center"/>
          </w:tcPr>
          <w:p w14:paraId="7728877C" w14:textId="77777777" w:rsidR="00620A12" w:rsidRPr="004E189E" w:rsidRDefault="00620A12" w:rsidP="00B245A8">
            <w:pPr>
              <w:spacing w:before="0" w:after="160" w:line="259" w:lineRule="auto"/>
              <w:jc w:val="left"/>
              <w:rPr>
                <w:color w:val="auto"/>
                <w:sz w:val="20"/>
                <w:szCs w:val="18"/>
              </w:rPr>
            </w:pPr>
            <w:r w:rsidRPr="004E189E">
              <w:rPr>
                <w:color w:val="auto"/>
                <w:sz w:val="20"/>
                <w:szCs w:val="18"/>
              </w:rPr>
              <w:t>where:</w:t>
            </w:r>
          </w:p>
          <w:p w14:paraId="68E29336" w14:textId="77777777" w:rsidR="00620A12" w:rsidRPr="004E189E" w:rsidRDefault="00000000" w:rsidP="00B245A8">
            <w:pPr>
              <w:spacing w:before="0" w:after="160" w:line="259" w:lineRule="auto"/>
              <w:jc w:val="left"/>
              <w:rPr>
                <w:color w:val="auto"/>
                <w:sz w:val="20"/>
                <w:szCs w:val="18"/>
              </w:rPr>
            </w:pPr>
            <m:oMath>
              <m:sSubSup>
                <m:sSubSupPr>
                  <m:ctrlPr>
                    <w:rPr>
                      <w:rFonts w:ascii="Cambria Math" w:hAnsi="Cambria Math"/>
                      <w:i/>
                      <w:color w:val="auto"/>
                      <w:sz w:val="20"/>
                      <w:szCs w:val="18"/>
                    </w:rPr>
                  </m:ctrlPr>
                </m:sSubSupPr>
                <m:e>
                  <m:r>
                    <w:rPr>
                      <w:rFonts w:ascii="Cambria Math" w:hAnsi="Cambria Math"/>
                      <w:color w:val="auto"/>
                      <w:sz w:val="20"/>
                      <w:szCs w:val="18"/>
                    </w:rPr>
                    <m:t>S</m:t>
                  </m:r>
                </m:e>
                <m:sub>
                  <m:r>
                    <w:rPr>
                      <w:rFonts w:ascii="Cambria Math" w:hAnsi="Cambria Math"/>
                      <w:color w:val="auto"/>
                      <w:sz w:val="20"/>
                      <w:szCs w:val="18"/>
                    </w:rPr>
                    <m:t>c10</m:t>
                  </m:r>
                </m:sub>
                <m:sup/>
              </m:sSubSup>
            </m:oMath>
            <w:r w:rsidR="00620A12" w:rsidRPr="004E189E">
              <w:rPr>
                <w:color w:val="auto"/>
                <w:sz w:val="20"/>
                <w:szCs w:val="18"/>
              </w:rPr>
              <w:t xml:space="preserve"> = </w:t>
            </w:r>
            <m:oMath>
              <m:d>
                <m:dPr>
                  <m:begChr m:val="{"/>
                  <m:endChr m:val=""/>
                  <m:ctrlPr>
                    <w:rPr>
                      <w:rFonts w:ascii="Cambria Math" w:hAnsi="Cambria Math"/>
                      <w:i/>
                      <w:color w:val="auto"/>
                      <w:sz w:val="20"/>
                      <w:szCs w:val="18"/>
                    </w:rPr>
                  </m:ctrlPr>
                </m:dPr>
                <m:e>
                  <m:r>
                    <w:rPr>
                      <w:rFonts w:ascii="Cambria Math" w:hAnsi="Cambria Math"/>
                      <w:color w:val="auto"/>
                      <w:sz w:val="20"/>
                      <w:szCs w:val="18"/>
                    </w:rPr>
                    <m:t>(</m:t>
                  </m:r>
                  <m:f>
                    <m:fPr>
                      <m:ctrlPr>
                        <w:rPr>
                          <w:rFonts w:ascii="Cambria Math" w:hAnsi="Cambria Math"/>
                          <w:i/>
                          <w:color w:val="auto"/>
                          <w:sz w:val="20"/>
                          <w:szCs w:val="18"/>
                        </w:rPr>
                      </m:ctrlPr>
                    </m:fPr>
                    <m:num>
                      <m:sSubSup>
                        <m:sSubSupPr>
                          <m:ctrlPr>
                            <w:rPr>
                              <w:rFonts w:ascii="Cambria Math" w:hAnsi="Cambria Math"/>
                              <w:i/>
                              <w:color w:val="auto"/>
                              <w:sz w:val="20"/>
                              <w:szCs w:val="18"/>
                            </w:rPr>
                          </m:ctrlPr>
                        </m:sSubSupPr>
                        <m:e>
                          <m:r>
                            <w:rPr>
                              <w:rFonts w:ascii="Cambria Math" w:hAnsi="Cambria Math"/>
                              <w:color w:val="auto"/>
                              <w:sz w:val="20"/>
                              <w:szCs w:val="18"/>
                            </w:rPr>
                            <m:t>LC</m:t>
                          </m:r>
                        </m:e>
                        <m:sub>
                          <m:r>
                            <w:rPr>
                              <w:rFonts w:ascii="Cambria Math" w:hAnsi="Cambria Math"/>
                              <w:color w:val="auto"/>
                              <w:sz w:val="20"/>
                              <w:szCs w:val="18"/>
                            </w:rPr>
                            <m:t>10</m:t>
                          </m:r>
                        </m:sub>
                        <m:sup>
                          <m:r>
                            <w:rPr>
                              <w:rFonts w:ascii="Cambria Math" w:hAnsi="Cambria Math"/>
                              <w:color w:val="auto"/>
                              <w:sz w:val="20"/>
                              <w:szCs w:val="18"/>
                            </w:rPr>
                            <m:t>23</m:t>
                          </m:r>
                        </m:sup>
                      </m:sSubSup>
                      <m:r>
                        <w:rPr>
                          <w:rFonts w:ascii="Cambria Math" w:hAnsi="Cambria Math"/>
                          <w:color w:val="auto"/>
                          <w:sz w:val="20"/>
                          <w:szCs w:val="18"/>
                        </w:rPr>
                        <m:t>-</m:t>
                      </m:r>
                      <m:sSubSup>
                        <m:sSubSupPr>
                          <m:ctrlPr>
                            <w:rPr>
                              <w:rFonts w:ascii="Cambria Math" w:hAnsi="Cambria Math"/>
                              <w:i/>
                              <w:color w:val="auto"/>
                              <w:sz w:val="20"/>
                              <w:szCs w:val="18"/>
                            </w:rPr>
                          </m:ctrlPr>
                        </m:sSubSupPr>
                        <m:e>
                          <m:r>
                            <w:rPr>
                              <w:rFonts w:ascii="Cambria Math" w:hAnsi="Cambria Math"/>
                              <w:color w:val="auto"/>
                              <w:sz w:val="20"/>
                              <w:szCs w:val="18"/>
                            </w:rPr>
                            <m:t>LC</m:t>
                          </m:r>
                        </m:e>
                        <m:sub>
                          <m:r>
                            <w:rPr>
                              <w:rFonts w:ascii="Cambria Math" w:hAnsi="Cambria Math"/>
                              <w:color w:val="auto"/>
                              <w:sz w:val="20"/>
                              <w:szCs w:val="18"/>
                            </w:rPr>
                            <m:t>10</m:t>
                          </m:r>
                        </m:sub>
                        <m:sup>
                          <m:r>
                            <w:rPr>
                              <w:rFonts w:ascii="Cambria Math" w:hAnsi="Cambria Math"/>
                              <w:color w:val="auto"/>
                              <w:sz w:val="20"/>
                              <w:szCs w:val="18"/>
                            </w:rPr>
                            <m:t>14</m:t>
                          </m:r>
                        </m:sup>
                      </m:sSubSup>
                    </m:num>
                    <m:den>
                      <m:r>
                        <w:rPr>
                          <w:rFonts w:ascii="Cambria Math" w:hAnsi="Cambria Math"/>
                          <w:color w:val="auto"/>
                          <w:sz w:val="20"/>
                          <w:szCs w:val="18"/>
                        </w:rPr>
                        <m:t>23-14</m:t>
                      </m:r>
                    </m:den>
                  </m:f>
                  <m:r>
                    <w:rPr>
                      <w:rFonts w:ascii="Cambria Math" w:hAnsi="Cambria Math"/>
                      <w:color w:val="auto"/>
                      <w:sz w:val="20"/>
                      <w:szCs w:val="18"/>
                    </w:rPr>
                    <m:t>)</m:t>
                  </m:r>
                  <m:d>
                    <m:dPr>
                      <m:ctrlPr>
                        <w:rPr>
                          <w:rFonts w:ascii="Cambria Math" w:hAnsi="Cambria Math"/>
                          <w:i/>
                          <w:color w:val="auto"/>
                          <w:sz w:val="20"/>
                          <w:szCs w:val="18"/>
                        </w:rPr>
                      </m:ctrlPr>
                    </m:dPr>
                    <m:e>
                      <m:r>
                        <w:rPr>
                          <w:rFonts w:ascii="Cambria Math" w:hAnsi="Cambria Math"/>
                          <w:color w:val="auto"/>
                          <w:sz w:val="20"/>
                          <w:szCs w:val="18"/>
                        </w:rPr>
                        <m:t>T-14</m:t>
                      </m:r>
                    </m:e>
                  </m:d>
                  <m:r>
                    <w:rPr>
                      <w:rFonts w:ascii="Cambria Math" w:hAnsi="Cambria Math"/>
                      <w:color w:val="auto"/>
                      <w:sz w:val="20"/>
                      <w:szCs w:val="18"/>
                    </w:rPr>
                    <m:t>+</m:t>
                  </m:r>
                  <m:sSubSup>
                    <m:sSubSupPr>
                      <m:ctrlPr>
                        <w:rPr>
                          <w:rFonts w:ascii="Cambria Math" w:hAnsi="Cambria Math"/>
                          <w:i/>
                          <w:color w:val="auto"/>
                          <w:sz w:val="20"/>
                          <w:szCs w:val="18"/>
                        </w:rPr>
                      </m:ctrlPr>
                    </m:sSubSupPr>
                    <m:e>
                      <m:r>
                        <w:rPr>
                          <w:rFonts w:ascii="Cambria Math" w:hAnsi="Cambria Math"/>
                          <w:color w:val="auto"/>
                          <w:sz w:val="20"/>
                          <w:szCs w:val="18"/>
                        </w:rPr>
                        <m:t>LC</m:t>
                      </m:r>
                    </m:e>
                    <m:sub>
                      <m:r>
                        <w:rPr>
                          <w:rFonts w:ascii="Cambria Math" w:hAnsi="Cambria Math"/>
                          <w:color w:val="auto"/>
                          <w:sz w:val="20"/>
                          <w:szCs w:val="18"/>
                        </w:rPr>
                        <m:t>10</m:t>
                      </m:r>
                    </m:sub>
                    <m:sup>
                      <m:r>
                        <w:rPr>
                          <w:rFonts w:ascii="Cambria Math" w:hAnsi="Cambria Math"/>
                          <w:color w:val="auto"/>
                          <w:sz w:val="20"/>
                          <w:szCs w:val="18"/>
                        </w:rPr>
                        <m:t>14</m:t>
                      </m:r>
                    </m:sup>
                  </m:sSubSup>
                  <m:eqArr>
                    <m:eqArrPr>
                      <m:ctrlPr>
                        <w:rPr>
                          <w:rFonts w:ascii="Cambria Math" w:hAnsi="Cambria Math"/>
                          <w:i/>
                          <w:color w:val="auto"/>
                          <w:sz w:val="20"/>
                          <w:szCs w:val="18"/>
                        </w:rPr>
                      </m:ctrlPr>
                    </m:eqArrPr>
                    <m:e>
                      <m:sSubSup>
                        <m:sSubSupPr>
                          <m:ctrlPr>
                            <w:rPr>
                              <w:rFonts w:ascii="Cambria Math" w:hAnsi="Cambria Math"/>
                              <w:i/>
                              <w:color w:val="auto"/>
                              <w:sz w:val="20"/>
                              <w:szCs w:val="18"/>
                            </w:rPr>
                          </m:ctrlPr>
                        </m:sSubSupPr>
                        <m:e>
                          <m:r>
                            <w:rPr>
                              <w:rFonts w:ascii="Cambria Math" w:hAnsi="Cambria Math"/>
                              <w:color w:val="auto"/>
                              <w:sz w:val="20"/>
                              <w:szCs w:val="18"/>
                            </w:rPr>
                            <m:t>LC</m:t>
                          </m:r>
                        </m:e>
                        <m:sub>
                          <m:r>
                            <w:rPr>
                              <w:rFonts w:ascii="Cambria Math" w:hAnsi="Cambria Math"/>
                              <w:color w:val="auto"/>
                              <w:sz w:val="20"/>
                              <w:szCs w:val="18"/>
                            </w:rPr>
                            <m:t>10</m:t>
                          </m:r>
                        </m:sub>
                        <m:sup>
                          <m:r>
                            <w:rPr>
                              <w:rFonts w:ascii="Cambria Math" w:hAnsi="Cambria Math"/>
                              <w:color w:val="auto"/>
                              <w:sz w:val="20"/>
                              <w:szCs w:val="18"/>
                            </w:rPr>
                            <m:t>14</m:t>
                          </m:r>
                        </m:sup>
                      </m:sSubSup>
                      <m:r>
                        <w:rPr>
                          <w:rFonts w:ascii="Cambria Math" w:hAnsi="Cambria Math"/>
                          <w:color w:val="auto"/>
                          <w:sz w:val="20"/>
                          <w:szCs w:val="18"/>
                        </w:rPr>
                        <m:t>, 0≤T&lt;14</m:t>
                      </m:r>
                    </m:e>
                    <m:e>
                      <m:r>
                        <w:rPr>
                          <w:rFonts w:ascii="Cambria Math" w:hAnsi="Cambria Math"/>
                          <w:color w:val="auto"/>
                          <w:sz w:val="20"/>
                          <w:szCs w:val="18"/>
                        </w:rPr>
                        <m:t>,14≤T&lt;23</m:t>
                      </m:r>
                    </m:e>
                    <m:e>
                      <m:sSubSup>
                        <m:sSubSupPr>
                          <m:ctrlPr>
                            <w:rPr>
                              <w:rFonts w:ascii="Cambria Math" w:hAnsi="Cambria Math"/>
                              <w:i/>
                              <w:color w:val="auto"/>
                              <w:sz w:val="20"/>
                              <w:szCs w:val="18"/>
                            </w:rPr>
                          </m:ctrlPr>
                        </m:sSubSupPr>
                        <m:e>
                          <m:r>
                            <w:rPr>
                              <w:rFonts w:ascii="Cambria Math" w:hAnsi="Cambria Math"/>
                              <w:color w:val="auto"/>
                              <w:sz w:val="20"/>
                              <w:szCs w:val="18"/>
                            </w:rPr>
                            <m:t>LC</m:t>
                          </m:r>
                        </m:e>
                        <m:sub>
                          <m:r>
                            <w:rPr>
                              <w:rFonts w:ascii="Cambria Math" w:hAnsi="Cambria Math"/>
                              <w:color w:val="auto"/>
                              <w:sz w:val="20"/>
                              <w:szCs w:val="18"/>
                            </w:rPr>
                            <m:t>10</m:t>
                          </m:r>
                        </m:sub>
                        <m:sup>
                          <m:r>
                            <w:rPr>
                              <w:rFonts w:ascii="Cambria Math" w:hAnsi="Cambria Math"/>
                              <w:color w:val="auto"/>
                              <w:sz w:val="20"/>
                              <w:szCs w:val="18"/>
                            </w:rPr>
                            <m:t>23</m:t>
                          </m:r>
                        </m:sup>
                      </m:sSubSup>
                      <m:r>
                        <w:rPr>
                          <w:rFonts w:ascii="Cambria Math" w:hAnsi="Cambria Math"/>
                          <w:color w:val="auto"/>
                          <w:sz w:val="20"/>
                          <w:szCs w:val="18"/>
                        </w:rPr>
                        <m:t>, T≥23</m:t>
                      </m:r>
                    </m:e>
                  </m:eqArr>
                </m:e>
              </m:d>
            </m:oMath>
          </w:p>
          <w:p w14:paraId="57365F80" w14:textId="77777777" w:rsidR="00620A12" w:rsidRPr="004E189E" w:rsidRDefault="00000000" w:rsidP="00B245A8">
            <w:pPr>
              <w:spacing w:before="0" w:after="160" w:line="259" w:lineRule="auto"/>
              <w:jc w:val="left"/>
              <w:rPr>
                <w:color w:val="auto"/>
                <w:sz w:val="20"/>
                <w:szCs w:val="18"/>
              </w:rPr>
            </w:pPr>
            <m:oMath>
              <m:sSubSup>
                <m:sSubSupPr>
                  <m:ctrlPr>
                    <w:rPr>
                      <w:rFonts w:ascii="Cambria Math" w:hAnsi="Cambria Math"/>
                      <w:i/>
                      <w:color w:val="auto"/>
                      <w:sz w:val="20"/>
                      <w:szCs w:val="18"/>
                    </w:rPr>
                  </m:ctrlPr>
                </m:sSubSupPr>
                <m:e>
                  <m:r>
                    <w:rPr>
                      <w:rFonts w:ascii="Cambria Math" w:hAnsi="Cambria Math"/>
                      <w:color w:val="auto"/>
                      <w:sz w:val="20"/>
                      <w:szCs w:val="18"/>
                    </w:rPr>
                    <m:t>S</m:t>
                  </m:r>
                </m:e>
                <m:sub>
                  <m:r>
                    <w:rPr>
                      <w:rFonts w:ascii="Cambria Math" w:hAnsi="Cambria Math"/>
                      <w:color w:val="auto"/>
                      <w:sz w:val="20"/>
                      <w:szCs w:val="18"/>
                    </w:rPr>
                    <m:t>c50</m:t>
                  </m:r>
                </m:sub>
                <m:sup/>
              </m:sSubSup>
            </m:oMath>
            <w:r w:rsidR="00620A12" w:rsidRPr="004E189E">
              <w:rPr>
                <w:color w:val="auto"/>
                <w:sz w:val="20"/>
                <w:szCs w:val="18"/>
              </w:rPr>
              <w:t xml:space="preserve"> = </w:t>
            </w:r>
            <m:oMath>
              <m:d>
                <m:dPr>
                  <m:begChr m:val="{"/>
                  <m:endChr m:val=""/>
                  <m:ctrlPr>
                    <w:rPr>
                      <w:rFonts w:ascii="Cambria Math" w:hAnsi="Cambria Math"/>
                      <w:i/>
                      <w:color w:val="auto"/>
                      <w:sz w:val="20"/>
                      <w:szCs w:val="18"/>
                    </w:rPr>
                  </m:ctrlPr>
                </m:dPr>
                <m:e>
                  <m:r>
                    <w:rPr>
                      <w:rFonts w:ascii="Cambria Math" w:hAnsi="Cambria Math"/>
                      <w:color w:val="auto"/>
                      <w:sz w:val="20"/>
                      <w:szCs w:val="18"/>
                    </w:rPr>
                    <m:t>(</m:t>
                  </m:r>
                  <m:f>
                    <m:fPr>
                      <m:ctrlPr>
                        <w:rPr>
                          <w:rFonts w:ascii="Cambria Math" w:hAnsi="Cambria Math"/>
                          <w:i/>
                          <w:color w:val="auto"/>
                          <w:sz w:val="20"/>
                          <w:szCs w:val="18"/>
                        </w:rPr>
                      </m:ctrlPr>
                    </m:fPr>
                    <m:num>
                      <m:sSubSup>
                        <m:sSubSupPr>
                          <m:ctrlPr>
                            <w:rPr>
                              <w:rFonts w:ascii="Cambria Math" w:hAnsi="Cambria Math"/>
                              <w:i/>
                              <w:color w:val="auto"/>
                              <w:sz w:val="20"/>
                              <w:szCs w:val="18"/>
                            </w:rPr>
                          </m:ctrlPr>
                        </m:sSubSupPr>
                        <m:e>
                          <m:r>
                            <w:rPr>
                              <w:rFonts w:ascii="Cambria Math" w:hAnsi="Cambria Math"/>
                              <w:color w:val="auto"/>
                              <w:sz w:val="20"/>
                              <w:szCs w:val="18"/>
                            </w:rPr>
                            <m:t>LC</m:t>
                          </m:r>
                        </m:e>
                        <m:sub>
                          <m:r>
                            <w:rPr>
                              <w:rFonts w:ascii="Cambria Math" w:hAnsi="Cambria Math"/>
                              <w:color w:val="auto"/>
                              <w:sz w:val="20"/>
                              <w:szCs w:val="18"/>
                            </w:rPr>
                            <m:t>50</m:t>
                          </m:r>
                        </m:sub>
                        <m:sup>
                          <m:r>
                            <w:rPr>
                              <w:rFonts w:ascii="Cambria Math" w:hAnsi="Cambria Math"/>
                              <w:color w:val="auto"/>
                              <w:sz w:val="20"/>
                              <w:szCs w:val="18"/>
                            </w:rPr>
                            <m:t>23</m:t>
                          </m:r>
                        </m:sup>
                      </m:sSubSup>
                      <m:r>
                        <w:rPr>
                          <w:rFonts w:ascii="Cambria Math" w:hAnsi="Cambria Math"/>
                          <w:color w:val="auto"/>
                          <w:sz w:val="20"/>
                          <w:szCs w:val="18"/>
                        </w:rPr>
                        <m:t>-</m:t>
                      </m:r>
                      <m:sSubSup>
                        <m:sSubSupPr>
                          <m:ctrlPr>
                            <w:rPr>
                              <w:rFonts w:ascii="Cambria Math" w:hAnsi="Cambria Math"/>
                              <w:i/>
                              <w:color w:val="auto"/>
                              <w:sz w:val="20"/>
                              <w:szCs w:val="18"/>
                            </w:rPr>
                          </m:ctrlPr>
                        </m:sSubSupPr>
                        <m:e>
                          <m:r>
                            <w:rPr>
                              <w:rFonts w:ascii="Cambria Math" w:hAnsi="Cambria Math"/>
                              <w:color w:val="auto"/>
                              <w:sz w:val="20"/>
                              <w:szCs w:val="18"/>
                            </w:rPr>
                            <m:t>LC</m:t>
                          </m:r>
                        </m:e>
                        <m:sub>
                          <m:r>
                            <w:rPr>
                              <w:rFonts w:ascii="Cambria Math" w:hAnsi="Cambria Math"/>
                              <w:color w:val="auto"/>
                              <w:sz w:val="20"/>
                              <w:szCs w:val="18"/>
                            </w:rPr>
                            <m:t>50</m:t>
                          </m:r>
                        </m:sub>
                        <m:sup>
                          <m:r>
                            <w:rPr>
                              <w:rFonts w:ascii="Cambria Math" w:hAnsi="Cambria Math"/>
                              <w:color w:val="auto"/>
                              <w:sz w:val="20"/>
                              <w:szCs w:val="18"/>
                            </w:rPr>
                            <m:t>14</m:t>
                          </m:r>
                        </m:sup>
                      </m:sSubSup>
                    </m:num>
                    <m:den>
                      <m:r>
                        <w:rPr>
                          <w:rFonts w:ascii="Cambria Math" w:hAnsi="Cambria Math"/>
                          <w:color w:val="auto"/>
                          <w:sz w:val="20"/>
                          <w:szCs w:val="18"/>
                        </w:rPr>
                        <m:t>23-14</m:t>
                      </m:r>
                    </m:den>
                  </m:f>
                  <m:r>
                    <w:rPr>
                      <w:rFonts w:ascii="Cambria Math" w:hAnsi="Cambria Math"/>
                      <w:color w:val="auto"/>
                      <w:sz w:val="20"/>
                      <w:szCs w:val="18"/>
                    </w:rPr>
                    <m:t>)</m:t>
                  </m:r>
                  <m:d>
                    <m:dPr>
                      <m:ctrlPr>
                        <w:rPr>
                          <w:rFonts w:ascii="Cambria Math" w:hAnsi="Cambria Math"/>
                          <w:i/>
                          <w:color w:val="auto"/>
                          <w:sz w:val="20"/>
                          <w:szCs w:val="18"/>
                        </w:rPr>
                      </m:ctrlPr>
                    </m:dPr>
                    <m:e>
                      <m:r>
                        <w:rPr>
                          <w:rFonts w:ascii="Cambria Math" w:hAnsi="Cambria Math"/>
                          <w:color w:val="auto"/>
                          <w:sz w:val="20"/>
                          <w:szCs w:val="18"/>
                        </w:rPr>
                        <m:t>T-14</m:t>
                      </m:r>
                    </m:e>
                  </m:d>
                  <m:r>
                    <w:rPr>
                      <w:rFonts w:ascii="Cambria Math" w:hAnsi="Cambria Math"/>
                      <w:color w:val="auto"/>
                      <w:sz w:val="20"/>
                      <w:szCs w:val="18"/>
                    </w:rPr>
                    <m:t>+</m:t>
                  </m:r>
                  <m:sSubSup>
                    <m:sSubSupPr>
                      <m:ctrlPr>
                        <w:rPr>
                          <w:rFonts w:ascii="Cambria Math" w:hAnsi="Cambria Math"/>
                          <w:i/>
                          <w:color w:val="auto"/>
                          <w:sz w:val="20"/>
                          <w:szCs w:val="18"/>
                        </w:rPr>
                      </m:ctrlPr>
                    </m:sSubSupPr>
                    <m:e>
                      <m:r>
                        <w:rPr>
                          <w:rFonts w:ascii="Cambria Math" w:hAnsi="Cambria Math"/>
                          <w:color w:val="auto"/>
                          <w:sz w:val="20"/>
                          <w:szCs w:val="18"/>
                        </w:rPr>
                        <m:t>LC</m:t>
                      </m:r>
                    </m:e>
                    <m:sub>
                      <m:r>
                        <w:rPr>
                          <w:rFonts w:ascii="Cambria Math" w:hAnsi="Cambria Math"/>
                          <w:color w:val="auto"/>
                          <w:sz w:val="20"/>
                          <w:szCs w:val="18"/>
                        </w:rPr>
                        <m:t>50</m:t>
                      </m:r>
                    </m:sub>
                    <m:sup>
                      <m:r>
                        <w:rPr>
                          <w:rFonts w:ascii="Cambria Math" w:hAnsi="Cambria Math"/>
                          <w:color w:val="auto"/>
                          <w:sz w:val="20"/>
                          <w:szCs w:val="18"/>
                        </w:rPr>
                        <m:t>14</m:t>
                      </m:r>
                    </m:sup>
                  </m:sSubSup>
                  <m:eqArr>
                    <m:eqArrPr>
                      <m:ctrlPr>
                        <w:rPr>
                          <w:rFonts w:ascii="Cambria Math" w:hAnsi="Cambria Math"/>
                          <w:i/>
                          <w:color w:val="auto"/>
                          <w:sz w:val="20"/>
                          <w:szCs w:val="18"/>
                        </w:rPr>
                      </m:ctrlPr>
                    </m:eqArrPr>
                    <m:e>
                      <m:sSubSup>
                        <m:sSubSupPr>
                          <m:ctrlPr>
                            <w:rPr>
                              <w:rFonts w:ascii="Cambria Math" w:hAnsi="Cambria Math"/>
                              <w:i/>
                              <w:color w:val="auto"/>
                              <w:sz w:val="20"/>
                              <w:szCs w:val="18"/>
                            </w:rPr>
                          </m:ctrlPr>
                        </m:sSubSupPr>
                        <m:e>
                          <m:r>
                            <w:rPr>
                              <w:rFonts w:ascii="Cambria Math" w:hAnsi="Cambria Math"/>
                              <w:color w:val="auto"/>
                              <w:sz w:val="20"/>
                              <w:szCs w:val="18"/>
                            </w:rPr>
                            <m:t>LC</m:t>
                          </m:r>
                        </m:e>
                        <m:sub>
                          <m:r>
                            <w:rPr>
                              <w:rFonts w:ascii="Cambria Math" w:hAnsi="Cambria Math"/>
                              <w:color w:val="auto"/>
                              <w:sz w:val="20"/>
                              <w:szCs w:val="18"/>
                            </w:rPr>
                            <m:t>50</m:t>
                          </m:r>
                        </m:sub>
                        <m:sup>
                          <m:r>
                            <w:rPr>
                              <w:rFonts w:ascii="Cambria Math" w:hAnsi="Cambria Math"/>
                              <w:color w:val="auto"/>
                              <w:sz w:val="20"/>
                              <w:szCs w:val="18"/>
                            </w:rPr>
                            <m:t>14</m:t>
                          </m:r>
                        </m:sup>
                      </m:sSubSup>
                      <m:r>
                        <w:rPr>
                          <w:rFonts w:ascii="Cambria Math" w:hAnsi="Cambria Math"/>
                          <w:color w:val="auto"/>
                          <w:sz w:val="20"/>
                          <w:szCs w:val="18"/>
                        </w:rPr>
                        <m:t>, 0≤T&lt;14</m:t>
                      </m:r>
                    </m:e>
                    <m:e>
                      <m:r>
                        <w:rPr>
                          <w:rFonts w:ascii="Cambria Math" w:hAnsi="Cambria Math"/>
                          <w:color w:val="auto"/>
                          <w:sz w:val="20"/>
                          <w:szCs w:val="18"/>
                        </w:rPr>
                        <m:t>,14≤T&lt;23</m:t>
                      </m:r>
                    </m:e>
                    <m:e>
                      <m:sSubSup>
                        <m:sSubSupPr>
                          <m:ctrlPr>
                            <w:rPr>
                              <w:rFonts w:ascii="Cambria Math" w:hAnsi="Cambria Math"/>
                              <w:i/>
                              <w:color w:val="auto"/>
                              <w:sz w:val="20"/>
                              <w:szCs w:val="18"/>
                            </w:rPr>
                          </m:ctrlPr>
                        </m:sSubSupPr>
                        <m:e>
                          <m:r>
                            <w:rPr>
                              <w:rFonts w:ascii="Cambria Math" w:hAnsi="Cambria Math"/>
                              <w:color w:val="auto"/>
                              <w:sz w:val="20"/>
                              <w:szCs w:val="18"/>
                            </w:rPr>
                            <m:t>LC</m:t>
                          </m:r>
                        </m:e>
                        <m:sub>
                          <m:r>
                            <w:rPr>
                              <w:rFonts w:ascii="Cambria Math" w:hAnsi="Cambria Math"/>
                              <w:color w:val="auto"/>
                              <w:sz w:val="20"/>
                              <w:szCs w:val="18"/>
                            </w:rPr>
                            <m:t>50</m:t>
                          </m:r>
                        </m:sub>
                        <m:sup>
                          <m:r>
                            <w:rPr>
                              <w:rFonts w:ascii="Cambria Math" w:hAnsi="Cambria Math"/>
                              <w:color w:val="auto"/>
                              <w:sz w:val="20"/>
                              <w:szCs w:val="18"/>
                            </w:rPr>
                            <m:t>23</m:t>
                          </m:r>
                        </m:sup>
                      </m:sSubSup>
                      <m:r>
                        <w:rPr>
                          <w:rFonts w:ascii="Cambria Math" w:hAnsi="Cambria Math"/>
                          <w:color w:val="auto"/>
                          <w:sz w:val="20"/>
                          <w:szCs w:val="18"/>
                        </w:rPr>
                        <m:t>, T≥23</m:t>
                      </m:r>
                    </m:e>
                  </m:eqArr>
                </m:e>
              </m:d>
            </m:oMath>
          </w:p>
        </w:tc>
      </w:tr>
    </w:tbl>
    <w:p w14:paraId="34F44376" w14:textId="77777777" w:rsidR="00620A12" w:rsidRPr="004E189E" w:rsidRDefault="00620A12" w:rsidP="00620A12">
      <w:pPr>
        <w:spacing w:before="0" w:after="0" w:line="240" w:lineRule="auto"/>
        <w:jc w:val="left"/>
        <w:rPr>
          <w:color w:val="auto"/>
          <w:sz w:val="20"/>
          <w:szCs w:val="18"/>
        </w:rPr>
      </w:pPr>
      <w:r w:rsidRPr="004E189E">
        <w:rPr>
          <w:color w:val="auto"/>
          <w:sz w:val="20"/>
          <w:szCs w:val="18"/>
        </w:rPr>
        <w:t>where:</w:t>
      </w:r>
    </w:p>
    <w:p w14:paraId="19CCD0F3" w14:textId="77777777" w:rsidR="00620A12" w:rsidRPr="004E189E" w:rsidRDefault="00620A12" w:rsidP="00620A12">
      <w:pPr>
        <w:spacing w:before="0" w:after="0" w:line="240" w:lineRule="auto"/>
        <w:jc w:val="left"/>
        <w:rPr>
          <w:color w:val="auto"/>
          <w:sz w:val="20"/>
          <w:szCs w:val="18"/>
        </w:rPr>
      </w:pPr>
      <w:r w:rsidRPr="004E189E">
        <w:rPr>
          <w:i/>
          <w:iCs/>
          <w:color w:val="auto"/>
          <w:sz w:val="20"/>
          <w:szCs w:val="18"/>
        </w:rPr>
        <w:t>S</w:t>
      </w:r>
      <w:r w:rsidRPr="004E189E">
        <w:rPr>
          <w:color w:val="auto"/>
          <w:sz w:val="20"/>
          <w:szCs w:val="18"/>
        </w:rPr>
        <w:t>: salinity.</w:t>
      </w:r>
    </w:p>
    <w:p w14:paraId="6178ADE7" w14:textId="77777777" w:rsidR="00620A12" w:rsidRPr="004E189E" w:rsidRDefault="00000000" w:rsidP="00620A12">
      <w:pPr>
        <w:spacing w:before="0" w:after="0" w:line="240" w:lineRule="auto"/>
        <w:jc w:val="left"/>
        <w:rPr>
          <w:color w:val="auto"/>
          <w:sz w:val="20"/>
          <w:szCs w:val="18"/>
        </w:rPr>
      </w:pPr>
      <m:oMath>
        <m:sSubSup>
          <m:sSubSupPr>
            <m:ctrlPr>
              <w:rPr>
                <w:rFonts w:ascii="Cambria Math" w:hAnsi="Cambria Math"/>
                <w:i/>
                <w:color w:val="auto"/>
                <w:sz w:val="20"/>
                <w:szCs w:val="18"/>
              </w:rPr>
            </m:ctrlPr>
          </m:sSubSupPr>
          <m:e>
            <m:r>
              <w:rPr>
                <w:rFonts w:ascii="Cambria Math" w:hAnsi="Cambria Math"/>
                <w:color w:val="auto"/>
                <w:sz w:val="20"/>
                <w:szCs w:val="18"/>
              </w:rPr>
              <m:t>S</m:t>
            </m:r>
          </m:e>
          <m:sub>
            <m:r>
              <w:rPr>
                <w:rFonts w:ascii="Cambria Math" w:hAnsi="Cambria Math"/>
                <w:color w:val="auto"/>
                <w:sz w:val="20"/>
                <w:szCs w:val="18"/>
              </w:rPr>
              <m:t>c50</m:t>
            </m:r>
          </m:sub>
          <m:sup/>
        </m:sSubSup>
      </m:oMath>
      <w:r w:rsidR="00620A12" w:rsidRPr="004E189E">
        <w:rPr>
          <w:color w:val="auto"/>
          <w:sz w:val="20"/>
          <w:szCs w:val="18"/>
        </w:rPr>
        <w:t>: </w:t>
      </w:r>
      <m:oMath>
        <m:sSubSup>
          <m:sSubSupPr>
            <m:ctrlPr>
              <w:rPr>
                <w:rFonts w:ascii="Cambria Math" w:hAnsi="Cambria Math"/>
                <w:i/>
                <w:color w:val="auto"/>
                <w:sz w:val="20"/>
                <w:szCs w:val="18"/>
              </w:rPr>
            </m:ctrlPr>
          </m:sSubSupPr>
          <m:e>
            <m:r>
              <w:rPr>
                <w:rFonts w:ascii="Cambria Math" w:hAnsi="Cambria Math"/>
                <w:color w:val="auto"/>
                <w:sz w:val="20"/>
                <w:szCs w:val="18"/>
              </w:rPr>
              <m:t>L</m:t>
            </m:r>
          </m:e>
          <m:sub>
            <m:r>
              <w:rPr>
                <w:rFonts w:ascii="Cambria Math" w:hAnsi="Cambria Math"/>
                <w:color w:val="auto"/>
                <w:sz w:val="20"/>
                <w:szCs w:val="18"/>
              </w:rPr>
              <m:t>c50</m:t>
            </m:r>
          </m:sub>
          <m:sup/>
        </m:sSubSup>
      </m:oMath>
      <w:r w:rsidR="00620A12" w:rsidRPr="004E189E">
        <w:rPr>
          <w:color w:val="auto"/>
          <w:sz w:val="20"/>
          <w:szCs w:val="18"/>
        </w:rPr>
        <w:t> (concentration of salinity that kills 50% of the test animals).</w:t>
      </w:r>
    </w:p>
    <w:p w14:paraId="6DB45686" w14:textId="77777777" w:rsidR="00620A12" w:rsidRPr="004E189E" w:rsidRDefault="00000000" w:rsidP="00620A12">
      <w:pPr>
        <w:spacing w:before="0" w:after="0" w:line="240" w:lineRule="auto"/>
        <w:jc w:val="left"/>
        <w:rPr>
          <w:color w:val="auto"/>
          <w:sz w:val="20"/>
          <w:szCs w:val="18"/>
        </w:rPr>
      </w:pPr>
      <m:oMath>
        <m:sSubSup>
          <m:sSubSupPr>
            <m:ctrlPr>
              <w:rPr>
                <w:rFonts w:ascii="Cambria Math" w:hAnsi="Cambria Math"/>
                <w:i/>
                <w:color w:val="auto"/>
                <w:sz w:val="20"/>
                <w:szCs w:val="18"/>
              </w:rPr>
            </m:ctrlPr>
          </m:sSubSupPr>
          <m:e>
            <m:r>
              <w:rPr>
                <w:rFonts w:ascii="Cambria Math" w:hAnsi="Cambria Math"/>
                <w:color w:val="auto"/>
                <w:sz w:val="20"/>
                <w:szCs w:val="18"/>
              </w:rPr>
              <m:t>S</m:t>
            </m:r>
          </m:e>
          <m:sub>
            <m:r>
              <w:rPr>
                <w:rFonts w:ascii="Cambria Math" w:hAnsi="Cambria Math"/>
                <w:color w:val="auto"/>
                <w:sz w:val="20"/>
                <w:szCs w:val="18"/>
              </w:rPr>
              <m:t>c10</m:t>
            </m:r>
          </m:sub>
          <m:sup/>
        </m:sSubSup>
      </m:oMath>
      <w:r w:rsidR="00620A12" w:rsidRPr="004E189E">
        <w:rPr>
          <w:color w:val="auto"/>
          <w:sz w:val="20"/>
          <w:szCs w:val="18"/>
        </w:rPr>
        <w:t>: </w:t>
      </w:r>
      <m:oMath>
        <m:sSubSup>
          <m:sSubSupPr>
            <m:ctrlPr>
              <w:rPr>
                <w:rFonts w:ascii="Cambria Math" w:hAnsi="Cambria Math"/>
                <w:i/>
                <w:color w:val="auto"/>
                <w:sz w:val="20"/>
                <w:szCs w:val="18"/>
              </w:rPr>
            </m:ctrlPr>
          </m:sSubSupPr>
          <m:e>
            <m:r>
              <w:rPr>
                <w:rFonts w:ascii="Cambria Math" w:hAnsi="Cambria Math"/>
                <w:color w:val="auto"/>
                <w:sz w:val="20"/>
                <w:szCs w:val="18"/>
              </w:rPr>
              <m:t>L</m:t>
            </m:r>
          </m:e>
          <m:sub>
            <m:r>
              <w:rPr>
                <w:rFonts w:ascii="Cambria Math" w:hAnsi="Cambria Math"/>
                <w:color w:val="auto"/>
                <w:sz w:val="20"/>
                <w:szCs w:val="18"/>
              </w:rPr>
              <m:t>c10</m:t>
            </m:r>
          </m:sub>
          <m:sup/>
        </m:sSubSup>
      </m:oMath>
      <w:r w:rsidR="00620A12" w:rsidRPr="004E189E">
        <w:rPr>
          <w:color w:val="auto"/>
          <w:sz w:val="20"/>
          <w:szCs w:val="18"/>
        </w:rPr>
        <w:t xml:space="preserve"> (concentration of salinity that kills 10% of the test animals).</w:t>
      </w:r>
    </w:p>
    <w:p w14:paraId="3A684A31" w14:textId="0EE10CDF" w:rsidR="00620A12" w:rsidRDefault="00000000" w:rsidP="00620A12">
      <w:pPr>
        <w:spacing w:before="0" w:after="0" w:line="240" w:lineRule="auto"/>
      </w:pPr>
      <m:oMath>
        <m:sSubSup>
          <m:sSubSupPr>
            <m:ctrlPr>
              <w:rPr>
                <w:rFonts w:ascii="Cambria Math" w:hAnsi="Cambria Math"/>
                <w:i/>
              </w:rPr>
            </m:ctrlPr>
          </m:sSubSupPr>
          <m:e>
            <m:r>
              <w:rPr>
                <w:rFonts w:ascii="Cambria Math" w:hAnsi="Cambria Math"/>
              </w:rPr>
              <m:t>LC</m:t>
            </m:r>
          </m:e>
          <m:sub>
            <m:r>
              <w:rPr>
                <w:rFonts w:ascii="Cambria Math" w:hAnsi="Cambria Math"/>
              </w:rPr>
              <m:t>50</m:t>
            </m:r>
          </m:sub>
          <m:sup>
            <m:r>
              <w:rPr>
                <w:rFonts w:ascii="Cambria Math" w:hAnsi="Cambria Math"/>
              </w:rPr>
              <m:t>23</m:t>
            </m:r>
          </m:sup>
        </m:sSubSup>
      </m:oMath>
      <w:r w:rsidR="00620A12" w:rsidRPr="00103FE1">
        <w:t xml:space="preserve"> or </w:t>
      </w:r>
      <m:oMath>
        <m:sSubSup>
          <m:sSubSupPr>
            <m:ctrlPr>
              <w:rPr>
                <w:rFonts w:ascii="Cambria Math" w:hAnsi="Cambria Math"/>
                <w:i/>
              </w:rPr>
            </m:ctrlPr>
          </m:sSubSupPr>
          <m:e>
            <m:r>
              <w:rPr>
                <w:rFonts w:ascii="Cambria Math" w:hAnsi="Cambria Math"/>
              </w:rPr>
              <m:t>LC</m:t>
            </m:r>
          </m:e>
          <m:sub>
            <m:r>
              <w:rPr>
                <w:rFonts w:ascii="Cambria Math" w:hAnsi="Cambria Math"/>
              </w:rPr>
              <m:t>50</m:t>
            </m:r>
          </m:sub>
          <m:sup>
            <m:r>
              <w:rPr>
                <w:rFonts w:ascii="Cambria Math" w:hAnsi="Cambria Math"/>
              </w:rPr>
              <m:t>14</m:t>
            </m:r>
          </m:sup>
        </m:sSubSup>
      </m:oMath>
      <w:r w:rsidR="00620A12" w:rsidRPr="00103FE1">
        <w:t>: concentration of salinity that kills 50% of the test animals at 23°C or 14°C</w:t>
      </w:r>
      <w:r w:rsidR="00620A12">
        <w:t>.</w:t>
      </w:r>
      <w:r w:rsidR="00620A12" w:rsidRPr="00103FE1">
        <w:t xml:space="preserve"> </w:t>
      </w:r>
      <w:r w:rsidR="00620A12">
        <w:t>Parameter values are based on Table C</w:t>
      </w:r>
      <w:r w:rsidR="00FB33C3">
        <w:t>3</w:t>
      </w:r>
      <w:r w:rsidR="00620A12">
        <w:t>.</w:t>
      </w:r>
    </w:p>
    <w:p w14:paraId="4DF308D9" w14:textId="6AB76ECC" w:rsidR="00620A12" w:rsidRPr="00103FE1" w:rsidRDefault="00000000" w:rsidP="00620A12">
      <w:pPr>
        <w:spacing w:before="0" w:after="0" w:line="240" w:lineRule="auto"/>
      </w:pPr>
      <m:oMath>
        <m:sSubSup>
          <m:sSubSupPr>
            <m:ctrlPr>
              <w:rPr>
                <w:rFonts w:ascii="Cambria Math" w:hAnsi="Cambria Math"/>
                <w:i/>
              </w:rPr>
            </m:ctrlPr>
          </m:sSubSupPr>
          <m:e>
            <m:r>
              <w:rPr>
                <w:rFonts w:ascii="Cambria Math" w:hAnsi="Cambria Math"/>
              </w:rPr>
              <m:t>LC</m:t>
            </m:r>
          </m:e>
          <m:sub>
            <m:r>
              <w:rPr>
                <w:rFonts w:ascii="Cambria Math" w:hAnsi="Cambria Math"/>
              </w:rPr>
              <m:t>10</m:t>
            </m:r>
          </m:sub>
          <m:sup>
            <m:r>
              <w:rPr>
                <w:rFonts w:ascii="Cambria Math" w:hAnsi="Cambria Math"/>
              </w:rPr>
              <m:t>23</m:t>
            </m:r>
          </m:sup>
        </m:sSubSup>
      </m:oMath>
      <w:r w:rsidR="00620A12" w:rsidRPr="00103FE1">
        <w:t xml:space="preserve"> or </w:t>
      </w:r>
      <m:oMath>
        <m:sSubSup>
          <m:sSubSupPr>
            <m:ctrlPr>
              <w:rPr>
                <w:rFonts w:ascii="Cambria Math" w:hAnsi="Cambria Math"/>
                <w:i/>
              </w:rPr>
            </m:ctrlPr>
          </m:sSubSupPr>
          <m:e>
            <m:r>
              <w:rPr>
                <w:rFonts w:ascii="Cambria Math" w:hAnsi="Cambria Math"/>
              </w:rPr>
              <m:t>LC</m:t>
            </m:r>
          </m:e>
          <m:sub>
            <m:r>
              <w:rPr>
                <w:rFonts w:ascii="Cambria Math" w:hAnsi="Cambria Math"/>
              </w:rPr>
              <m:t>10</m:t>
            </m:r>
          </m:sub>
          <m:sup>
            <m:r>
              <w:rPr>
                <w:rFonts w:ascii="Cambria Math" w:hAnsi="Cambria Math"/>
              </w:rPr>
              <m:t>14</m:t>
            </m:r>
          </m:sup>
        </m:sSubSup>
      </m:oMath>
      <w:r w:rsidR="00620A12" w:rsidRPr="00103FE1">
        <w:t xml:space="preserve">: concentration of salinity that kills 10% of the test animals at 23°C or 14°C.  </w:t>
      </w:r>
      <w:r w:rsidR="00620A12">
        <w:t>Parameter values are based on Table C</w:t>
      </w:r>
      <w:r w:rsidR="00FB33C3">
        <w:t>3</w:t>
      </w:r>
      <w:r w:rsidR="00620A12">
        <w:t>.</w:t>
      </w:r>
      <w:r w:rsidR="00620A12" w:rsidRPr="00103FE1">
        <w:t xml:space="preserve">  </w:t>
      </w:r>
    </w:p>
    <w:p w14:paraId="32F1A437" w14:textId="36D8023B" w:rsidR="00620A12" w:rsidRDefault="00620A12" w:rsidP="00620A12">
      <w:pPr>
        <w:spacing w:before="0" w:after="0" w:line="240" w:lineRule="auto"/>
        <w:jc w:val="left"/>
        <w:rPr>
          <w:b/>
          <w:bCs/>
          <w:color w:val="44546A" w:themeColor="text2"/>
          <w:sz w:val="26"/>
          <w:szCs w:val="26"/>
        </w:rPr>
      </w:pPr>
      <w:r w:rsidRPr="004E189E">
        <w:rPr>
          <w:i/>
          <w:iCs/>
          <w:color w:val="auto"/>
          <w:sz w:val="20"/>
          <w:szCs w:val="18"/>
        </w:rPr>
        <w:t>T</w:t>
      </w:r>
      <w:r w:rsidRPr="004E189E">
        <w:rPr>
          <w:color w:val="auto"/>
          <w:sz w:val="20"/>
          <w:szCs w:val="18"/>
        </w:rPr>
        <w:t>: water temperature (monthly average to represent seasonal conditions).</w:t>
      </w:r>
    </w:p>
    <w:p w14:paraId="53C89793" w14:textId="77777777" w:rsidR="00620A12" w:rsidRDefault="00620A12" w:rsidP="00A307BC">
      <w:pPr>
        <w:pStyle w:val="Caption"/>
        <w:rPr>
          <w:color w:val="44546A" w:themeColor="text2"/>
          <w:sz w:val="26"/>
          <w:szCs w:val="26"/>
        </w:rPr>
      </w:pPr>
    </w:p>
    <w:p w14:paraId="2DDF1FA9" w14:textId="77777777" w:rsidR="00620A12" w:rsidRDefault="00620A12">
      <w:pPr>
        <w:spacing w:before="0" w:after="160" w:line="259" w:lineRule="auto"/>
        <w:jc w:val="left"/>
        <w:rPr>
          <w:b/>
          <w:bCs/>
          <w:color w:val="44546A" w:themeColor="text2"/>
          <w:sz w:val="26"/>
          <w:szCs w:val="26"/>
        </w:rPr>
      </w:pPr>
      <w:r>
        <w:rPr>
          <w:color w:val="44546A" w:themeColor="text2"/>
          <w:sz w:val="26"/>
          <w:szCs w:val="26"/>
        </w:rPr>
        <w:br w:type="page"/>
      </w:r>
    </w:p>
    <w:p w14:paraId="6185E532" w14:textId="77777777" w:rsidR="000325B1" w:rsidRPr="002035C9" w:rsidRDefault="000325B1" w:rsidP="000325B1">
      <w:pPr>
        <w:pStyle w:val="Caption"/>
        <w:rPr>
          <w:color w:val="44546A" w:themeColor="text2"/>
          <w:sz w:val="26"/>
          <w:szCs w:val="26"/>
        </w:rPr>
      </w:pPr>
      <w:r w:rsidRPr="002035C9">
        <w:rPr>
          <w:color w:val="44546A" w:themeColor="text2"/>
          <w:sz w:val="26"/>
          <w:szCs w:val="26"/>
        </w:rPr>
        <w:lastRenderedPageBreak/>
        <w:t>Littoral Vegetation Diversity and Productivity</w:t>
      </w:r>
    </w:p>
    <w:p w14:paraId="68B69E21" w14:textId="144691D8" w:rsidR="000325B1" w:rsidRPr="00F77D16" w:rsidRDefault="000325B1" w:rsidP="00605FB2">
      <w:pPr>
        <w:pStyle w:val="Captions"/>
      </w:pPr>
      <w:r w:rsidRPr="00F77D16">
        <w:t>Table</w:t>
      </w:r>
      <w:r w:rsidRPr="00720C88">
        <w:t xml:space="preserve"> </w:t>
      </w:r>
      <w:r>
        <w:t>C</w:t>
      </w:r>
      <w:r w:rsidR="00FB33C3">
        <w:t>5</w:t>
      </w:r>
      <w:r w:rsidRPr="00720C88">
        <w:t>.</w:t>
      </w:r>
      <w:r w:rsidRPr="00F77D16">
        <w:t xml:space="preserve"> GPS coordinates for the lowest elevation of each transect.</w:t>
      </w:r>
    </w:p>
    <w:tbl>
      <w:tblPr>
        <w:tblW w:w="4957" w:type="dxa"/>
        <w:jc w:val="center"/>
        <w:tblLook w:val="04A0" w:firstRow="1" w:lastRow="0" w:firstColumn="1" w:lastColumn="0" w:noHBand="0" w:noVBand="1"/>
        <w:tblDescription w:val="GPS coordinates for the lowest elevation of each littoral vegeatition transect."/>
      </w:tblPr>
      <w:tblGrid>
        <w:gridCol w:w="960"/>
        <w:gridCol w:w="1061"/>
        <w:gridCol w:w="1582"/>
        <w:gridCol w:w="1418"/>
      </w:tblGrid>
      <w:tr w:rsidR="000325B1" w:rsidRPr="002035C9" w14:paraId="7B493A8B" w14:textId="77777777" w:rsidTr="008B4826">
        <w:trPr>
          <w:trHeight w:val="300"/>
          <w:jc w:val="center"/>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0DD5891" w14:textId="77777777" w:rsidR="000325B1" w:rsidRPr="002035C9" w:rsidRDefault="000325B1" w:rsidP="00D035C2">
            <w:pPr>
              <w:spacing w:before="0" w:after="0" w:line="240" w:lineRule="auto"/>
              <w:jc w:val="center"/>
              <w:rPr>
                <w:rFonts w:cs="Calibri"/>
                <w:b/>
                <w:bCs/>
                <w:kern w:val="0"/>
                <w:szCs w:val="21"/>
                <w:lang w:eastAsia="en-AU"/>
              </w:rPr>
            </w:pPr>
            <w:r w:rsidRPr="002035C9">
              <w:rPr>
                <w:rFonts w:cs="Calibri"/>
                <w:b/>
                <w:bCs/>
                <w:kern w:val="0"/>
                <w:szCs w:val="21"/>
                <w:lang w:eastAsia="en-AU"/>
              </w:rPr>
              <w:t>Reach</w:t>
            </w:r>
          </w:p>
        </w:tc>
        <w:tc>
          <w:tcPr>
            <w:tcW w:w="997" w:type="dxa"/>
            <w:tcBorders>
              <w:top w:val="single" w:sz="4" w:space="0" w:color="auto"/>
              <w:left w:val="nil"/>
              <w:bottom w:val="single" w:sz="4" w:space="0" w:color="auto"/>
              <w:right w:val="single" w:sz="4" w:space="0" w:color="auto"/>
            </w:tcBorders>
            <w:noWrap/>
            <w:vAlign w:val="bottom"/>
            <w:hideMark/>
          </w:tcPr>
          <w:p w14:paraId="069B80D4" w14:textId="77777777" w:rsidR="000325B1" w:rsidRPr="002035C9" w:rsidRDefault="000325B1" w:rsidP="00D035C2">
            <w:pPr>
              <w:spacing w:before="0" w:after="0" w:line="240" w:lineRule="auto"/>
              <w:jc w:val="center"/>
              <w:rPr>
                <w:rFonts w:cs="Calibri"/>
                <w:b/>
                <w:bCs/>
                <w:kern w:val="0"/>
                <w:szCs w:val="21"/>
                <w:lang w:eastAsia="en-AU"/>
              </w:rPr>
            </w:pPr>
            <w:r w:rsidRPr="002035C9">
              <w:rPr>
                <w:rFonts w:cs="Calibri"/>
                <w:b/>
                <w:bCs/>
                <w:kern w:val="0"/>
                <w:szCs w:val="21"/>
                <w:lang w:eastAsia="en-AU"/>
              </w:rPr>
              <w:t>Transect</w:t>
            </w:r>
          </w:p>
        </w:tc>
        <w:tc>
          <w:tcPr>
            <w:tcW w:w="1582" w:type="dxa"/>
            <w:tcBorders>
              <w:top w:val="single" w:sz="4" w:space="0" w:color="auto"/>
              <w:left w:val="nil"/>
              <w:bottom w:val="single" w:sz="4" w:space="0" w:color="auto"/>
              <w:right w:val="single" w:sz="4" w:space="0" w:color="auto"/>
            </w:tcBorders>
            <w:noWrap/>
            <w:vAlign w:val="bottom"/>
            <w:hideMark/>
          </w:tcPr>
          <w:p w14:paraId="16AA09CD" w14:textId="77777777" w:rsidR="000325B1" w:rsidRPr="002035C9" w:rsidRDefault="000325B1" w:rsidP="00D035C2">
            <w:pPr>
              <w:spacing w:before="0" w:after="0" w:line="240" w:lineRule="auto"/>
              <w:jc w:val="center"/>
              <w:rPr>
                <w:rFonts w:cs="Calibri"/>
                <w:b/>
                <w:bCs/>
                <w:kern w:val="0"/>
                <w:szCs w:val="21"/>
                <w:lang w:eastAsia="en-AU"/>
              </w:rPr>
            </w:pPr>
            <w:r w:rsidRPr="002035C9">
              <w:rPr>
                <w:rFonts w:cs="Calibri"/>
                <w:b/>
                <w:bCs/>
                <w:kern w:val="0"/>
                <w:szCs w:val="21"/>
                <w:lang w:eastAsia="en-AU"/>
              </w:rPr>
              <w:t>Latitude</w:t>
            </w:r>
          </w:p>
        </w:tc>
        <w:tc>
          <w:tcPr>
            <w:tcW w:w="1418" w:type="dxa"/>
            <w:tcBorders>
              <w:top w:val="single" w:sz="4" w:space="0" w:color="auto"/>
              <w:left w:val="nil"/>
              <w:bottom w:val="single" w:sz="4" w:space="0" w:color="auto"/>
              <w:right w:val="single" w:sz="4" w:space="0" w:color="auto"/>
            </w:tcBorders>
            <w:noWrap/>
            <w:vAlign w:val="bottom"/>
            <w:hideMark/>
          </w:tcPr>
          <w:p w14:paraId="1446CD93" w14:textId="77777777" w:rsidR="000325B1" w:rsidRPr="002035C9" w:rsidRDefault="000325B1" w:rsidP="00D035C2">
            <w:pPr>
              <w:spacing w:before="0" w:after="0" w:line="240" w:lineRule="auto"/>
              <w:jc w:val="center"/>
              <w:rPr>
                <w:rFonts w:cs="Calibri"/>
                <w:b/>
                <w:bCs/>
                <w:kern w:val="0"/>
                <w:szCs w:val="21"/>
                <w:lang w:eastAsia="en-AU"/>
              </w:rPr>
            </w:pPr>
            <w:r w:rsidRPr="002035C9">
              <w:rPr>
                <w:rFonts w:cs="Calibri"/>
                <w:b/>
                <w:bCs/>
                <w:kern w:val="0"/>
                <w:szCs w:val="21"/>
                <w:lang w:eastAsia="en-AU"/>
              </w:rPr>
              <w:t>Longitude</w:t>
            </w:r>
          </w:p>
        </w:tc>
      </w:tr>
      <w:tr w:rsidR="000325B1" w:rsidRPr="002035C9" w14:paraId="5501CB2E"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4357E4E6"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1</w:t>
            </w:r>
          </w:p>
        </w:tc>
        <w:tc>
          <w:tcPr>
            <w:tcW w:w="997" w:type="dxa"/>
            <w:tcBorders>
              <w:top w:val="nil"/>
              <w:left w:val="nil"/>
              <w:bottom w:val="single" w:sz="4" w:space="0" w:color="auto"/>
              <w:right w:val="single" w:sz="4" w:space="0" w:color="auto"/>
            </w:tcBorders>
            <w:noWrap/>
            <w:vAlign w:val="bottom"/>
            <w:hideMark/>
          </w:tcPr>
          <w:p w14:paraId="1DF535E1"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w:t>
            </w:r>
          </w:p>
        </w:tc>
        <w:tc>
          <w:tcPr>
            <w:tcW w:w="1582" w:type="dxa"/>
            <w:tcBorders>
              <w:top w:val="nil"/>
              <w:left w:val="nil"/>
              <w:bottom w:val="single" w:sz="4" w:space="0" w:color="auto"/>
              <w:right w:val="single" w:sz="4" w:space="0" w:color="auto"/>
            </w:tcBorders>
            <w:noWrap/>
            <w:vAlign w:val="bottom"/>
            <w:hideMark/>
          </w:tcPr>
          <w:p w14:paraId="6320C8E9"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-34.479019</w:t>
            </w:r>
          </w:p>
        </w:tc>
        <w:tc>
          <w:tcPr>
            <w:tcW w:w="1418" w:type="dxa"/>
            <w:tcBorders>
              <w:top w:val="nil"/>
              <w:left w:val="nil"/>
              <w:bottom w:val="single" w:sz="4" w:space="0" w:color="auto"/>
              <w:right w:val="single" w:sz="4" w:space="0" w:color="auto"/>
            </w:tcBorders>
            <w:noWrap/>
            <w:vAlign w:val="bottom"/>
            <w:hideMark/>
          </w:tcPr>
          <w:p w14:paraId="7BC87A1E"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139.596311</w:t>
            </w:r>
          </w:p>
        </w:tc>
      </w:tr>
      <w:tr w:rsidR="000325B1" w:rsidRPr="002035C9" w14:paraId="47B6FC77"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40DC8E56"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1</w:t>
            </w:r>
          </w:p>
        </w:tc>
        <w:tc>
          <w:tcPr>
            <w:tcW w:w="997" w:type="dxa"/>
            <w:tcBorders>
              <w:top w:val="nil"/>
              <w:left w:val="nil"/>
              <w:bottom w:val="single" w:sz="4" w:space="0" w:color="auto"/>
              <w:right w:val="single" w:sz="4" w:space="0" w:color="auto"/>
            </w:tcBorders>
            <w:noWrap/>
            <w:vAlign w:val="bottom"/>
            <w:hideMark/>
          </w:tcPr>
          <w:p w14:paraId="684D3EEC"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2</w:t>
            </w:r>
          </w:p>
        </w:tc>
        <w:tc>
          <w:tcPr>
            <w:tcW w:w="1582" w:type="dxa"/>
            <w:tcBorders>
              <w:top w:val="nil"/>
              <w:left w:val="nil"/>
              <w:bottom w:val="single" w:sz="4" w:space="0" w:color="auto"/>
              <w:right w:val="single" w:sz="4" w:space="0" w:color="auto"/>
            </w:tcBorders>
            <w:noWrap/>
            <w:vAlign w:val="bottom"/>
            <w:hideMark/>
          </w:tcPr>
          <w:p w14:paraId="7673E116"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-34.477575</w:t>
            </w:r>
          </w:p>
        </w:tc>
        <w:tc>
          <w:tcPr>
            <w:tcW w:w="1418" w:type="dxa"/>
            <w:tcBorders>
              <w:top w:val="nil"/>
              <w:left w:val="nil"/>
              <w:bottom w:val="single" w:sz="4" w:space="0" w:color="auto"/>
              <w:right w:val="single" w:sz="4" w:space="0" w:color="auto"/>
            </w:tcBorders>
            <w:noWrap/>
            <w:vAlign w:val="bottom"/>
            <w:hideMark/>
          </w:tcPr>
          <w:p w14:paraId="568F04C6"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139.598798</w:t>
            </w:r>
          </w:p>
        </w:tc>
      </w:tr>
      <w:tr w:rsidR="000325B1" w:rsidRPr="002035C9" w14:paraId="18754505"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52004795"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1</w:t>
            </w:r>
          </w:p>
        </w:tc>
        <w:tc>
          <w:tcPr>
            <w:tcW w:w="997" w:type="dxa"/>
            <w:tcBorders>
              <w:top w:val="nil"/>
              <w:left w:val="nil"/>
              <w:bottom w:val="single" w:sz="4" w:space="0" w:color="auto"/>
              <w:right w:val="single" w:sz="4" w:space="0" w:color="auto"/>
            </w:tcBorders>
            <w:noWrap/>
            <w:vAlign w:val="bottom"/>
            <w:hideMark/>
          </w:tcPr>
          <w:p w14:paraId="6FC6FD9C"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w:t>
            </w:r>
          </w:p>
        </w:tc>
        <w:tc>
          <w:tcPr>
            <w:tcW w:w="1582" w:type="dxa"/>
            <w:tcBorders>
              <w:top w:val="nil"/>
              <w:left w:val="nil"/>
              <w:bottom w:val="single" w:sz="4" w:space="0" w:color="auto"/>
              <w:right w:val="single" w:sz="4" w:space="0" w:color="auto"/>
            </w:tcBorders>
            <w:noWrap/>
            <w:vAlign w:val="bottom"/>
            <w:hideMark/>
          </w:tcPr>
          <w:p w14:paraId="3FFC4BBF"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-34.446681</w:t>
            </w:r>
          </w:p>
        </w:tc>
        <w:tc>
          <w:tcPr>
            <w:tcW w:w="1418" w:type="dxa"/>
            <w:tcBorders>
              <w:top w:val="nil"/>
              <w:left w:val="nil"/>
              <w:bottom w:val="single" w:sz="4" w:space="0" w:color="auto"/>
              <w:right w:val="single" w:sz="4" w:space="0" w:color="auto"/>
            </w:tcBorders>
            <w:noWrap/>
            <w:vAlign w:val="bottom"/>
            <w:hideMark/>
          </w:tcPr>
          <w:p w14:paraId="4CF2C4D0"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139.609714</w:t>
            </w:r>
          </w:p>
        </w:tc>
      </w:tr>
      <w:tr w:rsidR="000325B1" w:rsidRPr="002035C9" w14:paraId="18F63FDC"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65E5820B"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1</w:t>
            </w:r>
          </w:p>
        </w:tc>
        <w:tc>
          <w:tcPr>
            <w:tcW w:w="997" w:type="dxa"/>
            <w:tcBorders>
              <w:top w:val="nil"/>
              <w:left w:val="nil"/>
              <w:bottom w:val="single" w:sz="4" w:space="0" w:color="auto"/>
              <w:right w:val="single" w:sz="4" w:space="0" w:color="auto"/>
            </w:tcBorders>
            <w:noWrap/>
            <w:vAlign w:val="bottom"/>
            <w:hideMark/>
          </w:tcPr>
          <w:p w14:paraId="30BAC6CD"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4</w:t>
            </w:r>
          </w:p>
        </w:tc>
        <w:tc>
          <w:tcPr>
            <w:tcW w:w="1582" w:type="dxa"/>
            <w:tcBorders>
              <w:top w:val="nil"/>
              <w:left w:val="nil"/>
              <w:bottom w:val="single" w:sz="4" w:space="0" w:color="auto"/>
              <w:right w:val="single" w:sz="4" w:space="0" w:color="auto"/>
            </w:tcBorders>
            <w:noWrap/>
            <w:vAlign w:val="bottom"/>
            <w:hideMark/>
          </w:tcPr>
          <w:p w14:paraId="0869620B"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-34.419635</w:t>
            </w:r>
          </w:p>
        </w:tc>
        <w:tc>
          <w:tcPr>
            <w:tcW w:w="1418" w:type="dxa"/>
            <w:tcBorders>
              <w:top w:val="nil"/>
              <w:left w:val="nil"/>
              <w:bottom w:val="single" w:sz="4" w:space="0" w:color="auto"/>
              <w:right w:val="single" w:sz="4" w:space="0" w:color="auto"/>
            </w:tcBorders>
            <w:noWrap/>
            <w:vAlign w:val="bottom"/>
            <w:hideMark/>
          </w:tcPr>
          <w:p w14:paraId="4DE302FB"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139.613482</w:t>
            </w:r>
          </w:p>
        </w:tc>
      </w:tr>
      <w:tr w:rsidR="000325B1" w:rsidRPr="002035C9" w14:paraId="1C737F09"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39FCAB3F"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1</w:t>
            </w:r>
          </w:p>
        </w:tc>
        <w:tc>
          <w:tcPr>
            <w:tcW w:w="997" w:type="dxa"/>
            <w:tcBorders>
              <w:top w:val="nil"/>
              <w:left w:val="nil"/>
              <w:bottom w:val="single" w:sz="4" w:space="0" w:color="auto"/>
              <w:right w:val="single" w:sz="4" w:space="0" w:color="auto"/>
            </w:tcBorders>
            <w:noWrap/>
            <w:vAlign w:val="bottom"/>
            <w:hideMark/>
          </w:tcPr>
          <w:p w14:paraId="2D425EF0"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5</w:t>
            </w:r>
          </w:p>
        </w:tc>
        <w:tc>
          <w:tcPr>
            <w:tcW w:w="1582" w:type="dxa"/>
            <w:tcBorders>
              <w:top w:val="nil"/>
              <w:left w:val="nil"/>
              <w:bottom w:val="single" w:sz="4" w:space="0" w:color="auto"/>
              <w:right w:val="single" w:sz="4" w:space="0" w:color="auto"/>
            </w:tcBorders>
            <w:noWrap/>
            <w:vAlign w:val="bottom"/>
            <w:hideMark/>
          </w:tcPr>
          <w:p w14:paraId="6640E8DD"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-34.41855</w:t>
            </w:r>
          </w:p>
        </w:tc>
        <w:tc>
          <w:tcPr>
            <w:tcW w:w="1418" w:type="dxa"/>
            <w:tcBorders>
              <w:top w:val="nil"/>
              <w:left w:val="nil"/>
              <w:bottom w:val="single" w:sz="4" w:space="0" w:color="auto"/>
              <w:right w:val="single" w:sz="4" w:space="0" w:color="auto"/>
            </w:tcBorders>
            <w:noWrap/>
            <w:vAlign w:val="bottom"/>
            <w:hideMark/>
          </w:tcPr>
          <w:p w14:paraId="633251A8"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139.61395</w:t>
            </w:r>
          </w:p>
        </w:tc>
      </w:tr>
      <w:tr w:rsidR="000325B1" w:rsidRPr="002035C9" w14:paraId="016CEF85"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15DD506B"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1</w:t>
            </w:r>
          </w:p>
        </w:tc>
        <w:tc>
          <w:tcPr>
            <w:tcW w:w="997" w:type="dxa"/>
            <w:tcBorders>
              <w:top w:val="nil"/>
              <w:left w:val="nil"/>
              <w:bottom w:val="single" w:sz="4" w:space="0" w:color="auto"/>
              <w:right w:val="single" w:sz="4" w:space="0" w:color="auto"/>
            </w:tcBorders>
            <w:noWrap/>
            <w:vAlign w:val="bottom"/>
            <w:hideMark/>
          </w:tcPr>
          <w:p w14:paraId="6662CBAC"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6</w:t>
            </w:r>
          </w:p>
        </w:tc>
        <w:tc>
          <w:tcPr>
            <w:tcW w:w="1582" w:type="dxa"/>
            <w:tcBorders>
              <w:top w:val="nil"/>
              <w:left w:val="nil"/>
              <w:bottom w:val="single" w:sz="4" w:space="0" w:color="auto"/>
              <w:right w:val="single" w:sz="4" w:space="0" w:color="auto"/>
            </w:tcBorders>
            <w:noWrap/>
            <w:vAlign w:val="bottom"/>
            <w:hideMark/>
          </w:tcPr>
          <w:p w14:paraId="772C652A"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-34.391968</w:t>
            </w:r>
          </w:p>
        </w:tc>
        <w:tc>
          <w:tcPr>
            <w:tcW w:w="1418" w:type="dxa"/>
            <w:tcBorders>
              <w:top w:val="nil"/>
              <w:left w:val="nil"/>
              <w:bottom w:val="single" w:sz="4" w:space="0" w:color="auto"/>
              <w:right w:val="single" w:sz="4" w:space="0" w:color="auto"/>
            </w:tcBorders>
            <w:noWrap/>
            <w:vAlign w:val="bottom"/>
            <w:hideMark/>
          </w:tcPr>
          <w:p w14:paraId="7D31FABC"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139.619028</w:t>
            </w:r>
          </w:p>
        </w:tc>
      </w:tr>
      <w:tr w:rsidR="000325B1" w:rsidRPr="002035C9" w14:paraId="13FB6CDC"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4B2D601D"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4</w:t>
            </w:r>
          </w:p>
        </w:tc>
        <w:tc>
          <w:tcPr>
            <w:tcW w:w="997" w:type="dxa"/>
            <w:tcBorders>
              <w:top w:val="nil"/>
              <w:left w:val="nil"/>
              <w:bottom w:val="single" w:sz="4" w:space="0" w:color="auto"/>
              <w:right w:val="single" w:sz="4" w:space="0" w:color="auto"/>
            </w:tcBorders>
            <w:noWrap/>
            <w:vAlign w:val="bottom"/>
            <w:hideMark/>
          </w:tcPr>
          <w:p w14:paraId="26CD051D"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w:t>
            </w:r>
          </w:p>
        </w:tc>
        <w:tc>
          <w:tcPr>
            <w:tcW w:w="1582" w:type="dxa"/>
            <w:tcBorders>
              <w:top w:val="nil"/>
              <w:left w:val="nil"/>
              <w:bottom w:val="single" w:sz="4" w:space="0" w:color="auto"/>
              <w:right w:val="single" w:sz="4" w:space="0" w:color="auto"/>
            </w:tcBorders>
            <w:noWrap/>
            <w:vAlign w:val="bottom"/>
            <w:hideMark/>
          </w:tcPr>
          <w:p w14:paraId="224A00E7"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-34.361848</w:t>
            </w:r>
          </w:p>
        </w:tc>
        <w:tc>
          <w:tcPr>
            <w:tcW w:w="1418" w:type="dxa"/>
            <w:tcBorders>
              <w:top w:val="nil"/>
              <w:left w:val="nil"/>
              <w:bottom w:val="single" w:sz="4" w:space="0" w:color="auto"/>
              <w:right w:val="single" w:sz="4" w:space="0" w:color="auto"/>
            </w:tcBorders>
            <w:noWrap/>
            <w:vAlign w:val="bottom"/>
            <w:hideMark/>
          </w:tcPr>
          <w:p w14:paraId="0C116FD1"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140.565262</w:t>
            </w:r>
          </w:p>
        </w:tc>
      </w:tr>
      <w:tr w:rsidR="000325B1" w:rsidRPr="002035C9" w14:paraId="6407C9D1"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2F8BF5C9"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4</w:t>
            </w:r>
          </w:p>
        </w:tc>
        <w:tc>
          <w:tcPr>
            <w:tcW w:w="997" w:type="dxa"/>
            <w:tcBorders>
              <w:top w:val="nil"/>
              <w:left w:val="nil"/>
              <w:bottom w:val="single" w:sz="4" w:space="0" w:color="auto"/>
              <w:right w:val="single" w:sz="4" w:space="0" w:color="auto"/>
            </w:tcBorders>
            <w:noWrap/>
            <w:vAlign w:val="bottom"/>
            <w:hideMark/>
          </w:tcPr>
          <w:p w14:paraId="2760ECE6"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2</w:t>
            </w:r>
          </w:p>
        </w:tc>
        <w:tc>
          <w:tcPr>
            <w:tcW w:w="1582" w:type="dxa"/>
            <w:tcBorders>
              <w:top w:val="nil"/>
              <w:left w:val="nil"/>
              <w:bottom w:val="single" w:sz="4" w:space="0" w:color="auto"/>
              <w:right w:val="single" w:sz="4" w:space="0" w:color="auto"/>
            </w:tcBorders>
            <w:noWrap/>
            <w:vAlign w:val="bottom"/>
            <w:hideMark/>
          </w:tcPr>
          <w:p w14:paraId="4C6CF4F7"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-34.355854</w:t>
            </w:r>
          </w:p>
        </w:tc>
        <w:tc>
          <w:tcPr>
            <w:tcW w:w="1418" w:type="dxa"/>
            <w:tcBorders>
              <w:top w:val="nil"/>
              <w:left w:val="nil"/>
              <w:bottom w:val="single" w:sz="4" w:space="0" w:color="auto"/>
              <w:right w:val="single" w:sz="4" w:space="0" w:color="auto"/>
            </w:tcBorders>
            <w:noWrap/>
            <w:vAlign w:val="bottom"/>
            <w:hideMark/>
          </w:tcPr>
          <w:p w14:paraId="0AFE9787"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140.576385</w:t>
            </w:r>
          </w:p>
        </w:tc>
      </w:tr>
      <w:tr w:rsidR="000325B1" w:rsidRPr="002035C9" w14:paraId="0F8E3CC3"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19D64479"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4</w:t>
            </w:r>
          </w:p>
        </w:tc>
        <w:tc>
          <w:tcPr>
            <w:tcW w:w="997" w:type="dxa"/>
            <w:tcBorders>
              <w:top w:val="nil"/>
              <w:left w:val="nil"/>
              <w:bottom w:val="single" w:sz="4" w:space="0" w:color="auto"/>
              <w:right w:val="single" w:sz="4" w:space="0" w:color="auto"/>
            </w:tcBorders>
            <w:noWrap/>
            <w:vAlign w:val="bottom"/>
            <w:hideMark/>
          </w:tcPr>
          <w:p w14:paraId="4C0D9EDD"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w:t>
            </w:r>
          </w:p>
        </w:tc>
        <w:tc>
          <w:tcPr>
            <w:tcW w:w="1582" w:type="dxa"/>
            <w:tcBorders>
              <w:top w:val="nil"/>
              <w:left w:val="nil"/>
              <w:bottom w:val="single" w:sz="4" w:space="0" w:color="auto"/>
              <w:right w:val="single" w:sz="4" w:space="0" w:color="auto"/>
            </w:tcBorders>
            <w:noWrap/>
            <w:vAlign w:val="bottom"/>
            <w:hideMark/>
          </w:tcPr>
          <w:p w14:paraId="41945402"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-34.355763</w:t>
            </w:r>
          </w:p>
        </w:tc>
        <w:tc>
          <w:tcPr>
            <w:tcW w:w="1418" w:type="dxa"/>
            <w:tcBorders>
              <w:top w:val="nil"/>
              <w:left w:val="nil"/>
              <w:bottom w:val="single" w:sz="4" w:space="0" w:color="auto"/>
              <w:right w:val="single" w:sz="4" w:space="0" w:color="auto"/>
            </w:tcBorders>
            <w:noWrap/>
            <w:vAlign w:val="bottom"/>
            <w:hideMark/>
          </w:tcPr>
          <w:p w14:paraId="7267B4C1"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140.568069</w:t>
            </w:r>
          </w:p>
        </w:tc>
      </w:tr>
      <w:tr w:rsidR="000325B1" w:rsidRPr="002035C9" w14:paraId="2C254427"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5EBDC700"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4</w:t>
            </w:r>
          </w:p>
        </w:tc>
        <w:tc>
          <w:tcPr>
            <w:tcW w:w="997" w:type="dxa"/>
            <w:tcBorders>
              <w:top w:val="nil"/>
              <w:left w:val="nil"/>
              <w:bottom w:val="single" w:sz="4" w:space="0" w:color="auto"/>
              <w:right w:val="single" w:sz="4" w:space="0" w:color="auto"/>
            </w:tcBorders>
            <w:noWrap/>
            <w:vAlign w:val="bottom"/>
            <w:hideMark/>
          </w:tcPr>
          <w:p w14:paraId="318833C0"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4</w:t>
            </w:r>
          </w:p>
        </w:tc>
        <w:tc>
          <w:tcPr>
            <w:tcW w:w="1582" w:type="dxa"/>
            <w:tcBorders>
              <w:top w:val="nil"/>
              <w:left w:val="nil"/>
              <w:bottom w:val="single" w:sz="4" w:space="0" w:color="auto"/>
              <w:right w:val="single" w:sz="4" w:space="0" w:color="auto"/>
            </w:tcBorders>
            <w:noWrap/>
            <w:vAlign w:val="bottom"/>
            <w:hideMark/>
          </w:tcPr>
          <w:p w14:paraId="5136240A"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-34.350657</w:t>
            </w:r>
          </w:p>
        </w:tc>
        <w:tc>
          <w:tcPr>
            <w:tcW w:w="1418" w:type="dxa"/>
            <w:tcBorders>
              <w:top w:val="nil"/>
              <w:left w:val="nil"/>
              <w:bottom w:val="single" w:sz="4" w:space="0" w:color="auto"/>
              <w:right w:val="single" w:sz="4" w:space="0" w:color="auto"/>
            </w:tcBorders>
            <w:noWrap/>
            <w:vAlign w:val="bottom"/>
            <w:hideMark/>
          </w:tcPr>
          <w:p w14:paraId="251184ED"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140.562584</w:t>
            </w:r>
          </w:p>
        </w:tc>
      </w:tr>
      <w:tr w:rsidR="000325B1" w:rsidRPr="002035C9" w14:paraId="3BB4F968"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2CB44DA8"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4</w:t>
            </w:r>
          </w:p>
        </w:tc>
        <w:tc>
          <w:tcPr>
            <w:tcW w:w="997" w:type="dxa"/>
            <w:tcBorders>
              <w:top w:val="nil"/>
              <w:left w:val="nil"/>
              <w:bottom w:val="single" w:sz="4" w:space="0" w:color="auto"/>
              <w:right w:val="single" w:sz="4" w:space="0" w:color="auto"/>
            </w:tcBorders>
            <w:noWrap/>
            <w:vAlign w:val="bottom"/>
            <w:hideMark/>
          </w:tcPr>
          <w:p w14:paraId="1C13F66F"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5</w:t>
            </w:r>
          </w:p>
        </w:tc>
        <w:tc>
          <w:tcPr>
            <w:tcW w:w="1582" w:type="dxa"/>
            <w:tcBorders>
              <w:top w:val="nil"/>
              <w:left w:val="nil"/>
              <w:bottom w:val="single" w:sz="4" w:space="0" w:color="auto"/>
              <w:right w:val="single" w:sz="4" w:space="0" w:color="auto"/>
            </w:tcBorders>
            <w:noWrap/>
            <w:vAlign w:val="bottom"/>
            <w:hideMark/>
          </w:tcPr>
          <w:p w14:paraId="44E1AFFB"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-34.343043</w:t>
            </w:r>
          </w:p>
        </w:tc>
        <w:tc>
          <w:tcPr>
            <w:tcW w:w="1418" w:type="dxa"/>
            <w:tcBorders>
              <w:top w:val="nil"/>
              <w:left w:val="nil"/>
              <w:bottom w:val="single" w:sz="4" w:space="0" w:color="auto"/>
              <w:right w:val="single" w:sz="4" w:space="0" w:color="auto"/>
            </w:tcBorders>
            <w:noWrap/>
            <w:vAlign w:val="bottom"/>
            <w:hideMark/>
          </w:tcPr>
          <w:p w14:paraId="2128F7BE"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140.553056</w:t>
            </w:r>
          </w:p>
        </w:tc>
      </w:tr>
      <w:tr w:rsidR="000325B1" w:rsidRPr="002035C9" w14:paraId="6E539D03"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28D0EC44"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4</w:t>
            </w:r>
          </w:p>
        </w:tc>
        <w:tc>
          <w:tcPr>
            <w:tcW w:w="997" w:type="dxa"/>
            <w:tcBorders>
              <w:top w:val="nil"/>
              <w:left w:val="nil"/>
              <w:bottom w:val="single" w:sz="4" w:space="0" w:color="auto"/>
              <w:right w:val="single" w:sz="4" w:space="0" w:color="auto"/>
            </w:tcBorders>
            <w:noWrap/>
            <w:vAlign w:val="bottom"/>
            <w:hideMark/>
          </w:tcPr>
          <w:p w14:paraId="7204AC3D"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6</w:t>
            </w:r>
          </w:p>
        </w:tc>
        <w:tc>
          <w:tcPr>
            <w:tcW w:w="1582" w:type="dxa"/>
            <w:tcBorders>
              <w:top w:val="nil"/>
              <w:left w:val="nil"/>
              <w:bottom w:val="single" w:sz="4" w:space="0" w:color="auto"/>
              <w:right w:val="single" w:sz="4" w:space="0" w:color="auto"/>
            </w:tcBorders>
            <w:noWrap/>
            <w:vAlign w:val="bottom"/>
            <w:hideMark/>
          </w:tcPr>
          <w:p w14:paraId="3850A190"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-34.342492</w:t>
            </w:r>
          </w:p>
        </w:tc>
        <w:tc>
          <w:tcPr>
            <w:tcW w:w="1418" w:type="dxa"/>
            <w:tcBorders>
              <w:top w:val="nil"/>
              <w:left w:val="nil"/>
              <w:bottom w:val="single" w:sz="4" w:space="0" w:color="auto"/>
              <w:right w:val="single" w:sz="4" w:space="0" w:color="auto"/>
            </w:tcBorders>
            <w:noWrap/>
            <w:vAlign w:val="bottom"/>
            <w:hideMark/>
          </w:tcPr>
          <w:p w14:paraId="0852DF77"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140.554519</w:t>
            </w:r>
          </w:p>
        </w:tc>
      </w:tr>
      <w:tr w:rsidR="000325B1" w:rsidRPr="002035C9" w14:paraId="1CE5E72A"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18BB728E"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6</w:t>
            </w:r>
          </w:p>
        </w:tc>
        <w:tc>
          <w:tcPr>
            <w:tcW w:w="997" w:type="dxa"/>
            <w:tcBorders>
              <w:top w:val="nil"/>
              <w:left w:val="nil"/>
              <w:bottom w:val="single" w:sz="4" w:space="0" w:color="auto"/>
              <w:right w:val="single" w:sz="4" w:space="0" w:color="auto"/>
            </w:tcBorders>
            <w:noWrap/>
            <w:vAlign w:val="bottom"/>
            <w:hideMark/>
          </w:tcPr>
          <w:p w14:paraId="6A266BCE"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w:t>
            </w:r>
          </w:p>
        </w:tc>
        <w:tc>
          <w:tcPr>
            <w:tcW w:w="1582" w:type="dxa"/>
            <w:tcBorders>
              <w:top w:val="nil"/>
              <w:left w:val="nil"/>
              <w:bottom w:val="single" w:sz="4" w:space="0" w:color="auto"/>
              <w:right w:val="single" w:sz="4" w:space="0" w:color="auto"/>
            </w:tcBorders>
            <w:noWrap/>
            <w:vAlign w:val="bottom"/>
            <w:hideMark/>
          </w:tcPr>
          <w:p w14:paraId="5F029CD8"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-34.021533</w:t>
            </w:r>
          </w:p>
        </w:tc>
        <w:tc>
          <w:tcPr>
            <w:tcW w:w="1418" w:type="dxa"/>
            <w:tcBorders>
              <w:top w:val="nil"/>
              <w:left w:val="nil"/>
              <w:bottom w:val="single" w:sz="4" w:space="0" w:color="auto"/>
              <w:right w:val="single" w:sz="4" w:space="0" w:color="auto"/>
            </w:tcBorders>
            <w:noWrap/>
            <w:vAlign w:val="bottom"/>
            <w:hideMark/>
          </w:tcPr>
          <w:p w14:paraId="0247F09A"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140.867416</w:t>
            </w:r>
          </w:p>
        </w:tc>
      </w:tr>
      <w:tr w:rsidR="000325B1" w:rsidRPr="002035C9" w14:paraId="2D32CB8B"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3AE1F7F9"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6</w:t>
            </w:r>
          </w:p>
        </w:tc>
        <w:tc>
          <w:tcPr>
            <w:tcW w:w="997" w:type="dxa"/>
            <w:tcBorders>
              <w:top w:val="nil"/>
              <w:left w:val="nil"/>
              <w:bottom w:val="single" w:sz="4" w:space="0" w:color="auto"/>
              <w:right w:val="single" w:sz="4" w:space="0" w:color="auto"/>
            </w:tcBorders>
            <w:noWrap/>
            <w:vAlign w:val="bottom"/>
            <w:hideMark/>
          </w:tcPr>
          <w:p w14:paraId="09F2E167"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2</w:t>
            </w:r>
          </w:p>
        </w:tc>
        <w:tc>
          <w:tcPr>
            <w:tcW w:w="1582" w:type="dxa"/>
            <w:tcBorders>
              <w:top w:val="nil"/>
              <w:left w:val="nil"/>
              <w:bottom w:val="single" w:sz="4" w:space="0" w:color="auto"/>
              <w:right w:val="single" w:sz="4" w:space="0" w:color="auto"/>
            </w:tcBorders>
            <w:noWrap/>
            <w:vAlign w:val="bottom"/>
            <w:hideMark/>
          </w:tcPr>
          <w:p w14:paraId="45BDED02"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-34.01918</w:t>
            </w:r>
          </w:p>
        </w:tc>
        <w:tc>
          <w:tcPr>
            <w:tcW w:w="1418" w:type="dxa"/>
            <w:tcBorders>
              <w:top w:val="nil"/>
              <w:left w:val="nil"/>
              <w:bottom w:val="single" w:sz="4" w:space="0" w:color="auto"/>
              <w:right w:val="single" w:sz="4" w:space="0" w:color="auto"/>
            </w:tcBorders>
            <w:noWrap/>
            <w:vAlign w:val="bottom"/>
            <w:hideMark/>
          </w:tcPr>
          <w:p w14:paraId="223A2F3C"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140.876627</w:t>
            </w:r>
          </w:p>
        </w:tc>
      </w:tr>
      <w:tr w:rsidR="000325B1" w:rsidRPr="002035C9" w14:paraId="19D26BBD"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10B7568F"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6</w:t>
            </w:r>
          </w:p>
        </w:tc>
        <w:tc>
          <w:tcPr>
            <w:tcW w:w="997" w:type="dxa"/>
            <w:tcBorders>
              <w:top w:val="nil"/>
              <w:left w:val="nil"/>
              <w:bottom w:val="single" w:sz="4" w:space="0" w:color="auto"/>
              <w:right w:val="single" w:sz="4" w:space="0" w:color="auto"/>
            </w:tcBorders>
            <w:noWrap/>
            <w:vAlign w:val="bottom"/>
            <w:hideMark/>
          </w:tcPr>
          <w:p w14:paraId="6480753A"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w:t>
            </w:r>
          </w:p>
        </w:tc>
        <w:tc>
          <w:tcPr>
            <w:tcW w:w="1582" w:type="dxa"/>
            <w:tcBorders>
              <w:top w:val="nil"/>
              <w:left w:val="nil"/>
              <w:bottom w:val="single" w:sz="4" w:space="0" w:color="auto"/>
              <w:right w:val="single" w:sz="4" w:space="0" w:color="auto"/>
            </w:tcBorders>
            <w:noWrap/>
            <w:vAlign w:val="bottom"/>
            <w:hideMark/>
          </w:tcPr>
          <w:p w14:paraId="2F1E24A3"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-34.016288</w:t>
            </w:r>
          </w:p>
        </w:tc>
        <w:tc>
          <w:tcPr>
            <w:tcW w:w="1418" w:type="dxa"/>
            <w:tcBorders>
              <w:top w:val="nil"/>
              <w:left w:val="nil"/>
              <w:bottom w:val="single" w:sz="4" w:space="0" w:color="auto"/>
              <w:right w:val="single" w:sz="4" w:space="0" w:color="auto"/>
            </w:tcBorders>
            <w:noWrap/>
            <w:vAlign w:val="bottom"/>
            <w:hideMark/>
          </w:tcPr>
          <w:p w14:paraId="327050A4"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140.88713</w:t>
            </w:r>
          </w:p>
        </w:tc>
      </w:tr>
      <w:tr w:rsidR="000325B1" w:rsidRPr="002035C9" w14:paraId="04C8F726"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387BE211"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6</w:t>
            </w:r>
          </w:p>
        </w:tc>
        <w:tc>
          <w:tcPr>
            <w:tcW w:w="997" w:type="dxa"/>
            <w:tcBorders>
              <w:top w:val="nil"/>
              <w:left w:val="nil"/>
              <w:bottom w:val="single" w:sz="4" w:space="0" w:color="auto"/>
              <w:right w:val="single" w:sz="4" w:space="0" w:color="auto"/>
            </w:tcBorders>
            <w:noWrap/>
            <w:vAlign w:val="bottom"/>
            <w:hideMark/>
          </w:tcPr>
          <w:p w14:paraId="039C66B1"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4</w:t>
            </w:r>
          </w:p>
        </w:tc>
        <w:tc>
          <w:tcPr>
            <w:tcW w:w="1582" w:type="dxa"/>
            <w:tcBorders>
              <w:top w:val="nil"/>
              <w:left w:val="nil"/>
              <w:bottom w:val="single" w:sz="4" w:space="0" w:color="auto"/>
              <w:right w:val="single" w:sz="4" w:space="0" w:color="auto"/>
            </w:tcBorders>
            <w:noWrap/>
            <w:vAlign w:val="bottom"/>
            <w:hideMark/>
          </w:tcPr>
          <w:p w14:paraId="221C56D7"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-33.997601</w:t>
            </w:r>
          </w:p>
        </w:tc>
        <w:tc>
          <w:tcPr>
            <w:tcW w:w="1418" w:type="dxa"/>
            <w:tcBorders>
              <w:top w:val="nil"/>
              <w:left w:val="nil"/>
              <w:bottom w:val="single" w:sz="4" w:space="0" w:color="auto"/>
              <w:right w:val="single" w:sz="4" w:space="0" w:color="auto"/>
            </w:tcBorders>
            <w:noWrap/>
            <w:vAlign w:val="bottom"/>
            <w:hideMark/>
          </w:tcPr>
          <w:p w14:paraId="343C34F9"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140.879789</w:t>
            </w:r>
          </w:p>
        </w:tc>
      </w:tr>
      <w:tr w:rsidR="000325B1" w:rsidRPr="002035C9" w14:paraId="12373F47"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2CBE133F"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6</w:t>
            </w:r>
          </w:p>
        </w:tc>
        <w:tc>
          <w:tcPr>
            <w:tcW w:w="997" w:type="dxa"/>
            <w:tcBorders>
              <w:top w:val="nil"/>
              <w:left w:val="nil"/>
              <w:bottom w:val="single" w:sz="4" w:space="0" w:color="auto"/>
              <w:right w:val="single" w:sz="4" w:space="0" w:color="auto"/>
            </w:tcBorders>
            <w:noWrap/>
            <w:vAlign w:val="bottom"/>
            <w:hideMark/>
          </w:tcPr>
          <w:p w14:paraId="12F51255"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5</w:t>
            </w:r>
          </w:p>
        </w:tc>
        <w:tc>
          <w:tcPr>
            <w:tcW w:w="1582" w:type="dxa"/>
            <w:tcBorders>
              <w:top w:val="nil"/>
              <w:left w:val="nil"/>
              <w:bottom w:val="single" w:sz="4" w:space="0" w:color="auto"/>
              <w:right w:val="single" w:sz="4" w:space="0" w:color="auto"/>
            </w:tcBorders>
            <w:noWrap/>
            <w:vAlign w:val="bottom"/>
            <w:hideMark/>
          </w:tcPr>
          <w:p w14:paraId="5ECD146E"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-33.995581</w:t>
            </w:r>
          </w:p>
        </w:tc>
        <w:tc>
          <w:tcPr>
            <w:tcW w:w="1418" w:type="dxa"/>
            <w:tcBorders>
              <w:top w:val="nil"/>
              <w:left w:val="nil"/>
              <w:bottom w:val="single" w:sz="4" w:space="0" w:color="auto"/>
              <w:right w:val="single" w:sz="4" w:space="0" w:color="auto"/>
            </w:tcBorders>
            <w:noWrap/>
            <w:vAlign w:val="bottom"/>
            <w:hideMark/>
          </w:tcPr>
          <w:p w14:paraId="7C9599B9"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140.880611</w:t>
            </w:r>
          </w:p>
        </w:tc>
      </w:tr>
      <w:tr w:rsidR="000325B1" w:rsidRPr="002035C9" w14:paraId="3272CB7C" w14:textId="77777777" w:rsidTr="008B4826">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6C833E03" w14:textId="77777777" w:rsidR="000325B1" w:rsidRPr="002035C9" w:rsidRDefault="000325B1" w:rsidP="00D035C2">
            <w:pPr>
              <w:spacing w:before="0" w:after="0" w:line="240" w:lineRule="auto"/>
              <w:jc w:val="left"/>
              <w:rPr>
                <w:rFonts w:cs="Calibri"/>
                <w:kern w:val="0"/>
                <w:szCs w:val="21"/>
                <w:lang w:eastAsia="en-AU"/>
              </w:rPr>
            </w:pPr>
            <w:r w:rsidRPr="002035C9">
              <w:rPr>
                <w:rFonts w:cs="Calibri"/>
                <w:kern w:val="0"/>
                <w:szCs w:val="21"/>
                <w:lang w:eastAsia="en-AU"/>
              </w:rPr>
              <w:t>Lock 6</w:t>
            </w:r>
          </w:p>
        </w:tc>
        <w:tc>
          <w:tcPr>
            <w:tcW w:w="997" w:type="dxa"/>
            <w:tcBorders>
              <w:top w:val="nil"/>
              <w:left w:val="nil"/>
              <w:bottom w:val="single" w:sz="4" w:space="0" w:color="auto"/>
              <w:right w:val="single" w:sz="4" w:space="0" w:color="auto"/>
            </w:tcBorders>
            <w:noWrap/>
            <w:vAlign w:val="bottom"/>
            <w:hideMark/>
          </w:tcPr>
          <w:p w14:paraId="01EEF447"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6</w:t>
            </w:r>
          </w:p>
        </w:tc>
        <w:tc>
          <w:tcPr>
            <w:tcW w:w="1582" w:type="dxa"/>
            <w:tcBorders>
              <w:top w:val="nil"/>
              <w:left w:val="nil"/>
              <w:bottom w:val="single" w:sz="4" w:space="0" w:color="auto"/>
              <w:right w:val="single" w:sz="4" w:space="0" w:color="auto"/>
            </w:tcBorders>
            <w:noWrap/>
            <w:vAlign w:val="bottom"/>
            <w:hideMark/>
          </w:tcPr>
          <w:p w14:paraId="471DEC95"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-33.994623</w:t>
            </w:r>
          </w:p>
        </w:tc>
        <w:tc>
          <w:tcPr>
            <w:tcW w:w="1418" w:type="dxa"/>
            <w:tcBorders>
              <w:top w:val="nil"/>
              <w:left w:val="nil"/>
              <w:bottom w:val="single" w:sz="4" w:space="0" w:color="auto"/>
              <w:right w:val="single" w:sz="4" w:space="0" w:color="auto"/>
            </w:tcBorders>
            <w:noWrap/>
            <w:vAlign w:val="bottom"/>
            <w:hideMark/>
          </w:tcPr>
          <w:p w14:paraId="6209F116" w14:textId="77777777" w:rsidR="000325B1" w:rsidRPr="002035C9" w:rsidRDefault="000325B1" w:rsidP="00D035C2">
            <w:pPr>
              <w:spacing w:before="0" w:after="0" w:line="240" w:lineRule="auto"/>
              <w:jc w:val="center"/>
              <w:rPr>
                <w:rFonts w:cs="Calibri"/>
                <w:kern w:val="0"/>
                <w:szCs w:val="21"/>
                <w:lang w:eastAsia="en-AU"/>
              </w:rPr>
            </w:pPr>
            <w:r w:rsidRPr="002035C9">
              <w:rPr>
                <w:rFonts w:cs="Calibri"/>
                <w:kern w:val="0"/>
                <w:szCs w:val="21"/>
                <w:lang w:eastAsia="en-AU"/>
              </w:rPr>
              <w:t>140.882183</w:t>
            </w:r>
          </w:p>
        </w:tc>
      </w:tr>
    </w:tbl>
    <w:p w14:paraId="78F51C80" w14:textId="77777777" w:rsidR="000325B1" w:rsidRDefault="000325B1" w:rsidP="000325B1">
      <w:pPr>
        <w:sectPr w:rsidR="000325B1" w:rsidSect="000325B1">
          <w:pgSz w:w="11906" w:h="16838"/>
          <w:pgMar w:top="1440" w:right="1440" w:bottom="1440" w:left="1440" w:header="709" w:footer="709" w:gutter="0"/>
          <w:cols w:space="708"/>
          <w:docGrid w:linePitch="360"/>
        </w:sectPr>
      </w:pPr>
    </w:p>
    <w:p w14:paraId="6E534D23" w14:textId="5A0F9400" w:rsidR="000325B1" w:rsidRDefault="000325B1" w:rsidP="000325B1">
      <w:pPr>
        <w:pStyle w:val="Caption"/>
      </w:pPr>
      <w:r w:rsidRPr="00CC5B54">
        <w:lastRenderedPageBreak/>
        <w:t xml:space="preserve">Table </w:t>
      </w:r>
      <w:r>
        <w:t>C</w:t>
      </w:r>
      <w:r w:rsidR="00FB33C3">
        <w:t>6</w:t>
      </w:r>
      <w:r w:rsidRPr="00CC5B54">
        <w:t>. Species list, functional classification, life history strategy, conservation status</w:t>
      </w:r>
      <w:r>
        <w:t xml:space="preserve"> recorded in the June 2024 monitoring</w:t>
      </w:r>
      <w:r w:rsidRPr="00CC5B54">
        <w:t xml:space="preserve"> (state conservation status from listings in Barker </w:t>
      </w:r>
      <w:r w:rsidRPr="00CC5B54">
        <w:rPr>
          <w:i/>
          <w:iCs/>
        </w:rPr>
        <w:t>et al.</w:t>
      </w:r>
      <w:r w:rsidRPr="00CC5B54">
        <w:t xml:space="preserve"> (2005) (*denotes exotic species, **denotes proclaimed pest plant in South Australia).</w:t>
      </w:r>
    </w:p>
    <w:tbl>
      <w:tblPr>
        <w:tblW w:w="14029" w:type="dxa"/>
        <w:tblLook w:val="04A0" w:firstRow="1" w:lastRow="0" w:firstColumn="1" w:lastColumn="0" w:noHBand="0" w:noVBand="1"/>
        <w:tblDescription w:val="Species list of littoral vegetaion including functional classification, life history strategy, conservation status recorded in the June 2024 monitoring. "/>
      </w:tblPr>
      <w:tblGrid>
        <w:gridCol w:w="2972"/>
        <w:gridCol w:w="2528"/>
        <w:gridCol w:w="3000"/>
        <w:gridCol w:w="3261"/>
        <w:gridCol w:w="2268"/>
      </w:tblGrid>
      <w:tr w:rsidR="000325B1" w:rsidRPr="00865189" w14:paraId="4CEEA50C" w14:textId="77777777" w:rsidTr="008B4826">
        <w:trPr>
          <w:trHeight w:val="270"/>
          <w:tblHeader/>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CC334A0" w14:textId="77777777" w:rsidR="000325B1" w:rsidRPr="00865189" w:rsidRDefault="000325B1" w:rsidP="00D035C2">
            <w:pPr>
              <w:spacing w:before="0" w:after="0" w:line="240" w:lineRule="auto"/>
              <w:jc w:val="center"/>
              <w:rPr>
                <w:rFonts w:cs="Calibri"/>
                <w:b/>
                <w:bCs/>
                <w:kern w:val="0"/>
                <w:sz w:val="19"/>
                <w:szCs w:val="19"/>
                <w:lang w:eastAsia="en-AU"/>
              </w:rPr>
            </w:pPr>
            <w:r w:rsidRPr="00865189">
              <w:rPr>
                <w:rFonts w:cs="Calibri"/>
                <w:b/>
                <w:bCs/>
                <w:kern w:val="0"/>
                <w:sz w:val="19"/>
                <w:szCs w:val="19"/>
                <w:lang w:eastAsia="en-AU"/>
              </w:rPr>
              <w:t>Species</w:t>
            </w:r>
          </w:p>
        </w:tc>
        <w:tc>
          <w:tcPr>
            <w:tcW w:w="2528" w:type="dxa"/>
            <w:tcBorders>
              <w:top w:val="single" w:sz="4" w:space="0" w:color="auto"/>
              <w:left w:val="nil"/>
              <w:bottom w:val="single" w:sz="4" w:space="0" w:color="auto"/>
              <w:right w:val="single" w:sz="4" w:space="0" w:color="auto"/>
            </w:tcBorders>
            <w:noWrap/>
            <w:vAlign w:val="bottom"/>
            <w:hideMark/>
          </w:tcPr>
          <w:p w14:paraId="37C689CF" w14:textId="77777777" w:rsidR="000325B1" w:rsidRPr="00865189" w:rsidRDefault="000325B1" w:rsidP="00D035C2">
            <w:pPr>
              <w:spacing w:before="0" w:after="0" w:line="240" w:lineRule="auto"/>
              <w:jc w:val="center"/>
              <w:rPr>
                <w:rFonts w:cs="Calibri"/>
                <w:b/>
                <w:bCs/>
                <w:kern w:val="0"/>
                <w:sz w:val="19"/>
                <w:szCs w:val="19"/>
                <w:lang w:eastAsia="en-AU"/>
              </w:rPr>
            </w:pPr>
            <w:r w:rsidRPr="00865189">
              <w:rPr>
                <w:rFonts w:cs="Calibri"/>
                <w:b/>
                <w:bCs/>
                <w:kern w:val="0"/>
                <w:sz w:val="19"/>
                <w:szCs w:val="19"/>
                <w:lang w:eastAsia="en-AU"/>
              </w:rPr>
              <w:t>Family</w:t>
            </w:r>
          </w:p>
        </w:tc>
        <w:tc>
          <w:tcPr>
            <w:tcW w:w="3000" w:type="dxa"/>
            <w:tcBorders>
              <w:top w:val="single" w:sz="4" w:space="0" w:color="auto"/>
              <w:left w:val="nil"/>
              <w:bottom w:val="single" w:sz="4" w:space="0" w:color="auto"/>
              <w:right w:val="single" w:sz="4" w:space="0" w:color="auto"/>
            </w:tcBorders>
            <w:noWrap/>
            <w:vAlign w:val="bottom"/>
            <w:hideMark/>
          </w:tcPr>
          <w:p w14:paraId="56A1A011" w14:textId="77777777" w:rsidR="000325B1" w:rsidRPr="00865189" w:rsidRDefault="000325B1" w:rsidP="00D035C2">
            <w:pPr>
              <w:spacing w:before="0" w:after="0" w:line="240" w:lineRule="auto"/>
              <w:jc w:val="center"/>
              <w:rPr>
                <w:rFonts w:cs="Calibri"/>
                <w:b/>
                <w:bCs/>
                <w:kern w:val="0"/>
                <w:sz w:val="19"/>
                <w:szCs w:val="19"/>
                <w:lang w:eastAsia="en-AU"/>
              </w:rPr>
            </w:pPr>
            <w:r w:rsidRPr="00865189">
              <w:rPr>
                <w:rFonts w:cs="Calibri"/>
                <w:b/>
                <w:bCs/>
                <w:kern w:val="0"/>
                <w:sz w:val="19"/>
                <w:szCs w:val="19"/>
                <w:lang w:eastAsia="en-AU"/>
              </w:rPr>
              <w:t>Status</w:t>
            </w:r>
          </w:p>
        </w:tc>
        <w:tc>
          <w:tcPr>
            <w:tcW w:w="3261" w:type="dxa"/>
            <w:tcBorders>
              <w:top w:val="single" w:sz="4" w:space="0" w:color="auto"/>
              <w:left w:val="nil"/>
              <w:bottom w:val="single" w:sz="4" w:space="0" w:color="auto"/>
              <w:right w:val="single" w:sz="4" w:space="0" w:color="auto"/>
            </w:tcBorders>
            <w:noWrap/>
            <w:vAlign w:val="bottom"/>
            <w:hideMark/>
          </w:tcPr>
          <w:p w14:paraId="11868C29" w14:textId="77777777" w:rsidR="000325B1" w:rsidRPr="00865189" w:rsidRDefault="000325B1" w:rsidP="00D035C2">
            <w:pPr>
              <w:spacing w:before="0" w:after="0" w:line="240" w:lineRule="auto"/>
              <w:jc w:val="center"/>
              <w:rPr>
                <w:rFonts w:cs="Calibri"/>
                <w:b/>
                <w:bCs/>
                <w:kern w:val="0"/>
                <w:sz w:val="19"/>
                <w:szCs w:val="19"/>
                <w:lang w:eastAsia="en-AU"/>
              </w:rPr>
            </w:pPr>
            <w:r w:rsidRPr="00865189">
              <w:rPr>
                <w:rFonts w:cs="Calibri"/>
                <w:b/>
                <w:bCs/>
                <w:kern w:val="0"/>
                <w:sz w:val="19"/>
                <w:szCs w:val="19"/>
                <w:lang w:eastAsia="en-AU"/>
              </w:rPr>
              <w:t>Life history strategy/growth form</w:t>
            </w:r>
          </w:p>
        </w:tc>
        <w:tc>
          <w:tcPr>
            <w:tcW w:w="2268" w:type="dxa"/>
            <w:tcBorders>
              <w:top w:val="single" w:sz="4" w:space="0" w:color="auto"/>
              <w:left w:val="nil"/>
              <w:bottom w:val="single" w:sz="4" w:space="0" w:color="auto"/>
              <w:right w:val="single" w:sz="4" w:space="0" w:color="auto"/>
            </w:tcBorders>
            <w:noWrap/>
            <w:vAlign w:val="bottom"/>
            <w:hideMark/>
          </w:tcPr>
          <w:p w14:paraId="71BBCE84" w14:textId="77777777" w:rsidR="000325B1" w:rsidRPr="00865189" w:rsidRDefault="000325B1" w:rsidP="00D035C2">
            <w:pPr>
              <w:spacing w:before="0" w:after="0" w:line="240" w:lineRule="auto"/>
              <w:jc w:val="center"/>
              <w:rPr>
                <w:rFonts w:cs="Calibri"/>
                <w:b/>
                <w:bCs/>
                <w:kern w:val="0"/>
                <w:sz w:val="19"/>
                <w:szCs w:val="19"/>
                <w:lang w:eastAsia="en-AU"/>
              </w:rPr>
            </w:pPr>
            <w:r w:rsidRPr="00865189">
              <w:rPr>
                <w:rFonts w:cs="Calibri"/>
                <w:b/>
                <w:bCs/>
                <w:kern w:val="0"/>
                <w:sz w:val="19"/>
                <w:szCs w:val="19"/>
                <w:lang w:eastAsia="en-AU"/>
              </w:rPr>
              <w:t>Functional Group</w:t>
            </w:r>
          </w:p>
        </w:tc>
      </w:tr>
      <w:tr w:rsidR="000325B1" w:rsidRPr="00865189" w14:paraId="24DCEBC0"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7A3EAA60"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Acacia stenophylla</w:t>
            </w:r>
          </w:p>
        </w:tc>
        <w:tc>
          <w:tcPr>
            <w:tcW w:w="2528" w:type="dxa"/>
            <w:tcBorders>
              <w:top w:val="nil"/>
              <w:left w:val="nil"/>
              <w:bottom w:val="single" w:sz="4" w:space="0" w:color="auto"/>
              <w:right w:val="single" w:sz="4" w:space="0" w:color="auto"/>
            </w:tcBorders>
            <w:noWrap/>
            <w:vAlign w:val="bottom"/>
            <w:hideMark/>
          </w:tcPr>
          <w:p w14:paraId="511B3017"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Fabaceae</w:t>
            </w:r>
          </w:p>
        </w:tc>
        <w:tc>
          <w:tcPr>
            <w:tcW w:w="3000" w:type="dxa"/>
            <w:tcBorders>
              <w:top w:val="nil"/>
              <w:left w:val="nil"/>
              <w:bottom w:val="single" w:sz="4" w:space="0" w:color="auto"/>
              <w:right w:val="single" w:sz="4" w:space="0" w:color="auto"/>
            </w:tcBorders>
            <w:noWrap/>
            <w:vAlign w:val="bottom"/>
            <w:hideMark/>
          </w:tcPr>
          <w:p w14:paraId="1B10CF1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6EE4FB3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tree</w:t>
            </w:r>
          </w:p>
        </w:tc>
        <w:tc>
          <w:tcPr>
            <w:tcW w:w="2268" w:type="dxa"/>
            <w:tcBorders>
              <w:top w:val="nil"/>
              <w:left w:val="nil"/>
              <w:bottom w:val="single" w:sz="4" w:space="0" w:color="auto"/>
              <w:right w:val="single" w:sz="4" w:space="0" w:color="auto"/>
            </w:tcBorders>
            <w:noWrap/>
            <w:vAlign w:val="bottom"/>
            <w:hideMark/>
          </w:tcPr>
          <w:p w14:paraId="6187769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Amphibious</w:t>
            </w:r>
          </w:p>
        </w:tc>
      </w:tr>
      <w:tr w:rsidR="000325B1" w:rsidRPr="00865189" w14:paraId="7A1FF10B"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A4CF260"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Alternanthera denticulata</w:t>
            </w:r>
          </w:p>
        </w:tc>
        <w:tc>
          <w:tcPr>
            <w:tcW w:w="2528" w:type="dxa"/>
            <w:tcBorders>
              <w:top w:val="nil"/>
              <w:left w:val="nil"/>
              <w:bottom w:val="single" w:sz="4" w:space="0" w:color="auto"/>
              <w:right w:val="single" w:sz="4" w:space="0" w:color="auto"/>
            </w:tcBorders>
            <w:noWrap/>
            <w:vAlign w:val="bottom"/>
            <w:hideMark/>
          </w:tcPr>
          <w:p w14:paraId="04FB2D9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Amaranthaceae</w:t>
            </w:r>
          </w:p>
        </w:tc>
        <w:tc>
          <w:tcPr>
            <w:tcW w:w="3000" w:type="dxa"/>
            <w:tcBorders>
              <w:top w:val="nil"/>
              <w:left w:val="nil"/>
              <w:bottom w:val="single" w:sz="4" w:space="0" w:color="auto"/>
              <w:right w:val="single" w:sz="4" w:space="0" w:color="auto"/>
            </w:tcBorders>
            <w:noWrap/>
            <w:vAlign w:val="bottom"/>
            <w:hideMark/>
          </w:tcPr>
          <w:p w14:paraId="33118041"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41721B80"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5195C7D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3EC38C33"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366F3BD1"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Ammannia multiflora</w:t>
            </w:r>
          </w:p>
        </w:tc>
        <w:tc>
          <w:tcPr>
            <w:tcW w:w="2528" w:type="dxa"/>
            <w:tcBorders>
              <w:top w:val="nil"/>
              <w:left w:val="nil"/>
              <w:bottom w:val="single" w:sz="4" w:space="0" w:color="auto"/>
              <w:right w:val="single" w:sz="4" w:space="0" w:color="auto"/>
            </w:tcBorders>
            <w:noWrap/>
            <w:vAlign w:val="bottom"/>
            <w:hideMark/>
          </w:tcPr>
          <w:p w14:paraId="64568E7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Lythraceae</w:t>
            </w:r>
          </w:p>
        </w:tc>
        <w:tc>
          <w:tcPr>
            <w:tcW w:w="3000" w:type="dxa"/>
            <w:tcBorders>
              <w:top w:val="nil"/>
              <w:left w:val="nil"/>
              <w:bottom w:val="single" w:sz="4" w:space="0" w:color="auto"/>
              <w:right w:val="single" w:sz="4" w:space="0" w:color="auto"/>
            </w:tcBorders>
            <w:noWrap/>
            <w:vAlign w:val="bottom"/>
            <w:hideMark/>
          </w:tcPr>
          <w:p w14:paraId="67A4B81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3536EEB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1770002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1FD81C6D"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6EE64FCD"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Apium graveolens*</w:t>
            </w:r>
          </w:p>
        </w:tc>
        <w:tc>
          <w:tcPr>
            <w:tcW w:w="2528" w:type="dxa"/>
            <w:tcBorders>
              <w:top w:val="nil"/>
              <w:left w:val="nil"/>
              <w:bottom w:val="single" w:sz="4" w:space="0" w:color="auto"/>
              <w:right w:val="single" w:sz="4" w:space="0" w:color="auto"/>
            </w:tcBorders>
            <w:noWrap/>
            <w:vAlign w:val="bottom"/>
            <w:hideMark/>
          </w:tcPr>
          <w:p w14:paraId="14904C0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Apiaceae</w:t>
            </w:r>
          </w:p>
        </w:tc>
        <w:tc>
          <w:tcPr>
            <w:tcW w:w="3000" w:type="dxa"/>
            <w:tcBorders>
              <w:top w:val="nil"/>
              <w:left w:val="nil"/>
              <w:bottom w:val="single" w:sz="4" w:space="0" w:color="auto"/>
              <w:right w:val="single" w:sz="4" w:space="0" w:color="auto"/>
            </w:tcBorders>
            <w:noWrap/>
            <w:vAlign w:val="bottom"/>
            <w:hideMark/>
          </w:tcPr>
          <w:p w14:paraId="7EC2942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Naturalised</w:t>
            </w:r>
          </w:p>
        </w:tc>
        <w:tc>
          <w:tcPr>
            <w:tcW w:w="3261" w:type="dxa"/>
            <w:tcBorders>
              <w:top w:val="nil"/>
              <w:left w:val="nil"/>
              <w:bottom w:val="single" w:sz="4" w:space="0" w:color="auto"/>
              <w:right w:val="single" w:sz="4" w:space="0" w:color="auto"/>
            </w:tcBorders>
            <w:noWrap/>
            <w:vAlign w:val="bottom"/>
            <w:hideMark/>
          </w:tcPr>
          <w:p w14:paraId="09BB22B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6B2FB24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11D0457E"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0C73D2A"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Atriplex suberecta</w:t>
            </w:r>
          </w:p>
        </w:tc>
        <w:tc>
          <w:tcPr>
            <w:tcW w:w="2528" w:type="dxa"/>
            <w:tcBorders>
              <w:top w:val="nil"/>
              <w:left w:val="nil"/>
              <w:bottom w:val="single" w:sz="4" w:space="0" w:color="auto"/>
              <w:right w:val="single" w:sz="4" w:space="0" w:color="auto"/>
            </w:tcBorders>
            <w:noWrap/>
            <w:vAlign w:val="bottom"/>
            <w:hideMark/>
          </w:tcPr>
          <w:p w14:paraId="36825D9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Chenoppodiaceae</w:t>
            </w:r>
          </w:p>
        </w:tc>
        <w:tc>
          <w:tcPr>
            <w:tcW w:w="3000" w:type="dxa"/>
            <w:tcBorders>
              <w:top w:val="nil"/>
              <w:left w:val="nil"/>
              <w:bottom w:val="single" w:sz="4" w:space="0" w:color="auto"/>
              <w:right w:val="single" w:sz="4" w:space="0" w:color="auto"/>
            </w:tcBorders>
            <w:noWrap/>
            <w:vAlign w:val="bottom"/>
            <w:hideMark/>
          </w:tcPr>
          <w:p w14:paraId="424DEBF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4262F2D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690C240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5894065C"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7E06B7C7"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Bolboschoenus caldwellii</w:t>
            </w:r>
          </w:p>
        </w:tc>
        <w:tc>
          <w:tcPr>
            <w:tcW w:w="2528" w:type="dxa"/>
            <w:tcBorders>
              <w:top w:val="nil"/>
              <w:left w:val="nil"/>
              <w:bottom w:val="single" w:sz="4" w:space="0" w:color="auto"/>
              <w:right w:val="single" w:sz="4" w:space="0" w:color="auto"/>
            </w:tcBorders>
            <w:noWrap/>
            <w:vAlign w:val="bottom"/>
            <w:hideMark/>
          </w:tcPr>
          <w:p w14:paraId="62C558A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Cyperaceae</w:t>
            </w:r>
          </w:p>
        </w:tc>
        <w:tc>
          <w:tcPr>
            <w:tcW w:w="3000" w:type="dxa"/>
            <w:tcBorders>
              <w:top w:val="nil"/>
              <w:left w:val="nil"/>
              <w:bottom w:val="single" w:sz="4" w:space="0" w:color="auto"/>
              <w:right w:val="single" w:sz="4" w:space="0" w:color="auto"/>
            </w:tcBorders>
            <w:noWrap/>
            <w:vAlign w:val="bottom"/>
            <w:hideMark/>
          </w:tcPr>
          <w:p w14:paraId="47E71F8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08B1CA4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sedge</w:t>
            </w:r>
          </w:p>
        </w:tc>
        <w:tc>
          <w:tcPr>
            <w:tcW w:w="2268" w:type="dxa"/>
            <w:tcBorders>
              <w:top w:val="nil"/>
              <w:left w:val="nil"/>
              <w:bottom w:val="single" w:sz="4" w:space="0" w:color="auto"/>
              <w:right w:val="single" w:sz="4" w:space="0" w:color="auto"/>
            </w:tcBorders>
            <w:noWrap/>
            <w:vAlign w:val="bottom"/>
            <w:hideMark/>
          </w:tcPr>
          <w:p w14:paraId="27AAA54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Emergent</w:t>
            </w:r>
          </w:p>
        </w:tc>
      </w:tr>
      <w:tr w:rsidR="000325B1" w:rsidRPr="00865189" w14:paraId="456A6ED7"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1C4E8A4"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Brachyscome paludicola</w:t>
            </w:r>
          </w:p>
        </w:tc>
        <w:tc>
          <w:tcPr>
            <w:tcW w:w="2528" w:type="dxa"/>
            <w:tcBorders>
              <w:top w:val="nil"/>
              <w:left w:val="nil"/>
              <w:bottom w:val="single" w:sz="4" w:space="0" w:color="auto"/>
              <w:right w:val="single" w:sz="4" w:space="0" w:color="auto"/>
            </w:tcBorders>
            <w:noWrap/>
            <w:vAlign w:val="bottom"/>
            <w:hideMark/>
          </w:tcPr>
          <w:p w14:paraId="3A1DA0A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1DA95F5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05BC692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281B9687"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2FFFF606"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1F2B17FB"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Callistemon brachyandrus#</w:t>
            </w:r>
          </w:p>
        </w:tc>
        <w:tc>
          <w:tcPr>
            <w:tcW w:w="2528" w:type="dxa"/>
            <w:tcBorders>
              <w:top w:val="nil"/>
              <w:left w:val="nil"/>
              <w:bottom w:val="single" w:sz="4" w:space="0" w:color="auto"/>
              <w:right w:val="single" w:sz="4" w:space="0" w:color="auto"/>
            </w:tcBorders>
            <w:noWrap/>
            <w:vAlign w:val="bottom"/>
            <w:hideMark/>
          </w:tcPr>
          <w:p w14:paraId="5343C4E9"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Myrtaceae</w:t>
            </w:r>
          </w:p>
        </w:tc>
        <w:tc>
          <w:tcPr>
            <w:tcW w:w="3000" w:type="dxa"/>
            <w:tcBorders>
              <w:top w:val="nil"/>
              <w:left w:val="nil"/>
              <w:bottom w:val="single" w:sz="4" w:space="0" w:color="auto"/>
              <w:right w:val="single" w:sz="4" w:space="0" w:color="auto"/>
            </w:tcBorders>
            <w:noWrap/>
            <w:vAlign w:val="bottom"/>
            <w:hideMark/>
          </w:tcPr>
          <w:p w14:paraId="69E5F87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 Rare in South Australia</w:t>
            </w:r>
          </w:p>
        </w:tc>
        <w:tc>
          <w:tcPr>
            <w:tcW w:w="3261" w:type="dxa"/>
            <w:tcBorders>
              <w:top w:val="nil"/>
              <w:left w:val="nil"/>
              <w:bottom w:val="single" w:sz="4" w:space="0" w:color="auto"/>
              <w:right w:val="single" w:sz="4" w:space="0" w:color="auto"/>
            </w:tcBorders>
            <w:noWrap/>
            <w:vAlign w:val="bottom"/>
            <w:hideMark/>
          </w:tcPr>
          <w:p w14:paraId="367A7EB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shrub</w:t>
            </w:r>
          </w:p>
        </w:tc>
        <w:tc>
          <w:tcPr>
            <w:tcW w:w="2268" w:type="dxa"/>
            <w:tcBorders>
              <w:top w:val="nil"/>
              <w:left w:val="nil"/>
              <w:bottom w:val="single" w:sz="4" w:space="0" w:color="auto"/>
              <w:right w:val="single" w:sz="4" w:space="0" w:color="auto"/>
            </w:tcBorders>
            <w:noWrap/>
            <w:vAlign w:val="bottom"/>
            <w:hideMark/>
          </w:tcPr>
          <w:p w14:paraId="145C323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Amphibious</w:t>
            </w:r>
          </w:p>
        </w:tc>
      </w:tr>
      <w:tr w:rsidR="000325B1" w:rsidRPr="00865189" w14:paraId="1546493A"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098E0FF0"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Centaurea calcitrapa*</w:t>
            </w:r>
          </w:p>
        </w:tc>
        <w:tc>
          <w:tcPr>
            <w:tcW w:w="2528" w:type="dxa"/>
            <w:tcBorders>
              <w:top w:val="nil"/>
              <w:left w:val="nil"/>
              <w:bottom w:val="single" w:sz="4" w:space="0" w:color="auto"/>
              <w:right w:val="single" w:sz="4" w:space="0" w:color="auto"/>
            </w:tcBorders>
            <w:noWrap/>
            <w:vAlign w:val="bottom"/>
            <w:hideMark/>
          </w:tcPr>
          <w:p w14:paraId="2A060FC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45990C5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Naturalised</w:t>
            </w:r>
          </w:p>
        </w:tc>
        <w:tc>
          <w:tcPr>
            <w:tcW w:w="3261" w:type="dxa"/>
            <w:tcBorders>
              <w:top w:val="nil"/>
              <w:left w:val="nil"/>
              <w:bottom w:val="single" w:sz="4" w:space="0" w:color="auto"/>
              <w:right w:val="single" w:sz="4" w:space="0" w:color="auto"/>
            </w:tcBorders>
            <w:noWrap/>
            <w:vAlign w:val="bottom"/>
            <w:hideMark/>
          </w:tcPr>
          <w:p w14:paraId="1B7BD39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7870AA6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46EF073D"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473E9D9"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Centipeda minima</w:t>
            </w:r>
          </w:p>
        </w:tc>
        <w:tc>
          <w:tcPr>
            <w:tcW w:w="2528" w:type="dxa"/>
            <w:tcBorders>
              <w:top w:val="nil"/>
              <w:left w:val="nil"/>
              <w:bottom w:val="single" w:sz="4" w:space="0" w:color="auto"/>
              <w:right w:val="single" w:sz="4" w:space="0" w:color="auto"/>
            </w:tcBorders>
            <w:noWrap/>
            <w:vAlign w:val="bottom"/>
            <w:hideMark/>
          </w:tcPr>
          <w:p w14:paraId="2DDEF10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5CD0EF5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567B6C2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57F0AB7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5EC67DDA"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5AF59789"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Cyperus gymnocaulos</w:t>
            </w:r>
          </w:p>
        </w:tc>
        <w:tc>
          <w:tcPr>
            <w:tcW w:w="2528" w:type="dxa"/>
            <w:tcBorders>
              <w:top w:val="nil"/>
              <w:left w:val="nil"/>
              <w:bottom w:val="single" w:sz="4" w:space="0" w:color="auto"/>
              <w:right w:val="single" w:sz="4" w:space="0" w:color="auto"/>
            </w:tcBorders>
            <w:noWrap/>
            <w:vAlign w:val="bottom"/>
            <w:hideMark/>
          </w:tcPr>
          <w:p w14:paraId="1AC33D9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Cyperaceae</w:t>
            </w:r>
          </w:p>
        </w:tc>
        <w:tc>
          <w:tcPr>
            <w:tcW w:w="3000" w:type="dxa"/>
            <w:tcBorders>
              <w:top w:val="nil"/>
              <w:left w:val="nil"/>
              <w:bottom w:val="single" w:sz="4" w:space="0" w:color="auto"/>
              <w:right w:val="single" w:sz="4" w:space="0" w:color="auto"/>
            </w:tcBorders>
            <w:noWrap/>
            <w:vAlign w:val="bottom"/>
            <w:hideMark/>
          </w:tcPr>
          <w:p w14:paraId="4F1E5CA9"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5AD5AFE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sedge</w:t>
            </w:r>
          </w:p>
        </w:tc>
        <w:tc>
          <w:tcPr>
            <w:tcW w:w="2268" w:type="dxa"/>
            <w:tcBorders>
              <w:top w:val="nil"/>
              <w:left w:val="nil"/>
              <w:bottom w:val="single" w:sz="4" w:space="0" w:color="auto"/>
              <w:right w:val="single" w:sz="4" w:space="0" w:color="auto"/>
            </w:tcBorders>
            <w:noWrap/>
            <w:vAlign w:val="bottom"/>
            <w:hideMark/>
          </w:tcPr>
          <w:p w14:paraId="52CB5D4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Amphibious</w:t>
            </w:r>
          </w:p>
        </w:tc>
      </w:tr>
      <w:tr w:rsidR="000325B1" w:rsidRPr="00865189" w14:paraId="1C59CA33"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7FD70735"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Dittrichia graveolens*</w:t>
            </w:r>
          </w:p>
        </w:tc>
        <w:tc>
          <w:tcPr>
            <w:tcW w:w="2528" w:type="dxa"/>
            <w:tcBorders>
              <w:top w:val="nil"/>
              <w:left w:val="nil"/>
              <w:bottom w:val="single" w:sz="4" w:space="0" w:color="auto"/>
              <w:right w:val="single" w:sz="4" w:space="0" w:color="auto"/>
            </w:tcBorders>
            <w:noWrap/>
            <w:vAlign w:val="bottom"/>
            <w:hideMark/>
          </w:tcPr>
          <w:p w14:paraId="773C757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6574125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Naturalised</w:t>
            </w:r>
          </w:p>
        </w:tc>
        <w:tc>
          <w:tcPr>
            <w:tcW w:w="3261" w:type="dxa"/>
            <w:tcBorders>
              <w:top w:val="nil"/>
              <w:left w:val="nil"/>
              <w:bottom w:val="single" w:sz="4" w:space="0" w:color="auto"/>
              <w:right w:val="single" w:sz="4" w:space="0" w:color="auto"/>
            </w:tcBorders>
            <w:noWrap/>
            <w:vAlign w:val="bottom"/>
            <w:hideMark/>
          </w:tcPr>
          <w:p w14:paraId="30F0EDB9"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25DCA2A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597A8F00"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3BAEC9F7"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Duma florulenta</w:t>
            </w:r>
          </w:p>
        </w:tc>
        <w:tc>
          <w:tcPr>
            <w:tcW w:w="2528" w:type="dxa"/>
            <w:tcBorders>
              <w:top w:val="nil"/>
              <w:left w:val="nil"/>
              <w:bottom w:val="single" w:sz="4" w:space="0" w:color="auto"/>
              <w:right w:val="single" w:sz="4" w:space="0" w:color="auto"/>
            </w:tcBorders>
            <w:noWrap/>
            <w:vAlign w:val="bottom"/>
            <w:hideMark/>
          </w:tcPr>
          <w:p w14:paraId="3B86CE7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Polygonaceae</w:t>
            </w:r>
          </w:p>
        </w:tc>
        <w:tc>
          <w:tcPr>
            <w:tcW w:w="3000" w:type="dxa"/>
            <w:tcBorders>
              <w:top w:val="nil"/>
              <w:left w:val="nil"/>
              <w:bottom w:val="single" w:sz="4" w:space="0" w:color="auto"/>
              <w:right w:val="single" w:sz="4" w:space="0" w:color="auto"/>
            </w:tcBorders>
            <w:noWrap/>
            <w:vAlign w:val="bottom"/>
            <w:hideMark/>
          </w:tcPr>
          <w:p w14:paraId="3DAC6F5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1B3960D0"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shrub</w:t>
            </w:r>
          </w:p>
        </w:tc>
        <w:tc>
          <w:tcPr>
            <w:tcW w:w="2268" w:type="dxa"/>
            <w:tcBorders>
              <w:top w:val="nil"/>
              <w:left w:val="nil"/>
              <w:bottom w:val="single" w:sz="4" w:space="0" w:color="auto"/>
              <w:right w:val="single" w:sz="4" w:space="0" w:color="auto"/>
            </w:tcBorders>
            <w:noWrap/>
            <w:vAlign w:val="bottom"/>
            <w:hideMark/>
          </w:tcPr>
          <w:p w14:paraId="0343C21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Amphibious</w:t>
            </w:r>
          </w:p>
        </w:tc>
      </w:tr>
      <w:tr w:rsidR="000325B1" w:rsidRPr="00865189" w14:paraId="1DDDA719"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DCCE33F"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Einadia nutans</w:t>
            </w:r>
          </w:p>
        </w:tc>
        <w:tc>
          <w:tcPr>
            <w:tcW w:w="2528" w:type="dxa"/>
            <w:tcBorders>
              <w:top w:val="nil"/>
              <w:left w:val="nil"/>
              <w:bottom w:val="single" w:sz="4" w:space="0" w:color="auto"/>
              <w:right w:val="single" w:sz="4" w:space="0" w:color="auto"/>
            </w:tcBorders>
            <w:noWrap/>
            <w:vAlign w:val="bottom"/>
            <w:hideMark/>
          </w:tcPr>
          <w:p w14:paraId="4836B61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Chenoppodiaceae</w:t>
            </w:r>
          </w:p>
        </w:tc>
        <w:tc>
          <w:tcPr>
            <w:tcW w:w="3000" w:type="dxa"/>
            <w:tcBorders>
              <w:top w:val="nil"/>
              <w:left w:val="nil"/>
              <w:bottom w:val="single" w:sz="4" w:space="0" w:color="auto"/>
              <w:right w:val="single" w:sz="4" w:space="0" w:color="auto"/>
            </w:tcBorders>
            <w:noWrap/>
            <w:vAlign w:val="bottom"/>
            <w:hideMark/>
          </w:tcPr>
          <w:p w14:paraId="75F54249"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5CFCDCD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sub-shrub</w:t>
            </w:r>
          </w:p>
        </w:tc>
        <w:tc>
          <w:tcPr>
            <w:tcW w:w="2268" w:type="dxa"/>
            <w:tcBorders>
              <w:top w:val="nil"/>
              <w:left w:val="nil"/>
              <w:bottom w:val="single" w:sz="4" w:space="0" w:color="auto"/>
              <w:right w:val="single" w:sz="4" w:space="0" w:color="auto"/>
            </w:tcBorders>
            <w:noWrap/>
            <w:vAlign w:val="bottom"/>
            <w:hideMark/>
          </w:tcPr>
          <w:p w14:paraId="6BB1C4F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5C4149D5"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5B6037A2"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Eleocharis acuta</w:t>
            </w:r>
          </w:p>
        </w:tc>
        <w:tc>
          <w:tcPr>
            <w:tcW w:w="2528" w:type="dxa"/>
            <w:tcBorders>
              <w:top w:val="nil"/>
              <w:left w:val="nil"/>
              <w:bottom w:val="single" w:sz="4" w:space="0" w:color="auto"/>
              <w:right w:val="single" w:sz="4" w:space="0" w:color="auto"/>
            </w:tcBorders>
            <w:noWrap/>
            <w:vAlign w:val="bottom"/>
            <w:hideMark/>
          </w:tcPr>
          <w:p w14:paraId="15431B9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Cyperaceae</w:t>
            </w:r>
          </w:p>
        </w:tc>
        <w:tc>
          <w:tcPr>
            <w:tcW w:w="3000" w:type="dxa"/>
            <w:tcBorders>
              <w:top w:val="nil"/>
              <w:left w:val="nil"/>
              <w:bottom w:val="single" w:sz="4" w:space="0" w:color="auto"/>
              <w:right w:val="single" w:sz="4" w:space="0" w:color="auto"/>
            </w:tcBorders>
            <w:noWrap/>
            <w:vAlign w:val="bottom"/>
            <w:hideMark/>
          </w:tcPr>
          <w:p w14:paraId="4A87471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42BF8DF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sedge</w:t>
            </w:r>
          </w:p>
        </w:tc>
        <w:tc>
          <w:tcPr>
            <w:tcW w:w="2268" w:type="dxa"/>
            <w:tcBorders>
              <w:top w:val="nil"/>
              <w:left w:val="nil"/>
              <w:bottom w:val="single" w:sz="4" w:space="0" w:color="auto"/>
              <w:right w:val="single" w:sz="4" w:space="0" w:color="auto"/>
            </w:tcBorders>
            <w:noWrap/>
            <w:vAlign w:val="bottom"/>
            <w:hideMark/>
          </w:tcPr>
          <w:p w14:paraId="49B5BDD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Emergent</w:t>
            </w:r>
          </w:p>
        </w:tc>
      </w:tr>
      <w:tr w:rsidR="000325B1" w:rsidRPr="00865189" w14:paraId="1957506E"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FBA50F6"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Enchylaena tomentosa</w:t>
            </w:r>
          </w:p>
        </w:tc>
        <w:tc>
          <w:tcPr>
            <w:tcW w:w="2528" w:type="dxa"/>
            <w:tcBorders>
              <w:top w:val="nil"/>
              <w:left w:val="nil"/>
              <w:bottom w:val="single" w:sz="4" w:space="0" w:color="auto"/>
              <w:right w:val="single" w:sz="4" w:space="0" w:color="auto"/>
            </w:tcBorders>
            <w:noWrap/>
            <w:vAlign w:val="bottom"/>
            <w:hideMark/>
          </w:tcPr>
          <w:p w14:paraId="39C0CC61"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Chenoppodiaceae</w:t>
            </w:r>
          </w:p>
        </w:tc>
        <w:tc>
          <w:tcPr>
            <w:tcW w:w="3000" w:type="dxa"/>
            <w:tcBorders>
              <w:top w:val="nil"/>
              <w:left w:val="nil"/>
              <w:bottom w:val="single" w:sz="4" w:space="0" w:color="auto"/>
              <w:right w:val="single" w:sz="4" w:space="0" w:color="auto"/>
            </w:tcBorders>
            <w:noWrap/>
            <w:vAlign w:val="bottom"/>
            <w:hideMark/>
          </w:tcPr>
          <w:p w14:paraId="346D6501"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63C8A0F1"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sub-shrub</w:t>
            </w:r>
          </w:p>
        </w:tc>
        <w:tc>
          <w:tcPr>
            <w:tcW w:w="2268" w:type="dxa"/>
            <w:tcBorders>
              <w:top w:val="nil"/>
              <w:left w:val="nil"/>
              <w:bottom w:val="single" w:sz="4" w:space="0" w:color="auto"/>
              <w:right w:val="single" w:sz="4" w:space="0" w:color="auto"/>
            </w:tcBorders>
            <w:noWrap/>
            <w:vAlign w:val="bottom"/>
            <w:hideMark/>
          </w:tcPr>
          <w:p w14:paraId="22D325A1"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451B4C00"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5B5559E"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Erigeron bonariensis*</w:t>
            </w:r>
          </w:p>
        </w:tc>
        <w:tc>
          <w:tcPr>
            <w:tcW w:w="2528" w:type="dxa"/>
            <w:tcBorders>
              <w:top w:val="nil"/>
              <w:left w:val="nil"/>
              <w:bottom w:val="single" w:sz="4" w:space="0" w:color="auto"/>
              <w:right w:val="single" w:sz="4" w:space="0" w:color="auto"/>
            </w:tcBorders>
            <w:noWrap/>
            <w:vAlign w:val="bottom"/>
            <w:hideMark/>
          </w:tcPr>
          <w:p w14:paraId="58A2571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66F37B7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Naturalised</w:t>
            </w:r>
          </w:p>
        </w:tc>
        <w:tc>
          <w:tcPr>
            <w:tcW w:w="3261" w:type="dxa"/>
            <w:tcBorders>
              <w:top w:val="nil"/>
              <w:left w:val="nil"/>
              <w:bottom w:val="single" w:sz="4" w:space="0" w:color="auto"/>
              <w:right w:val="single" w:sz="4" w:space="0" w:color="auto"/>
            </w:tcBorders>
            <w:noWrap/>
            <w:vAlign w:val="bottom"/>
            <w:hideMark/>
          </w:tcPr>
          <w:p w14:paraId="25D3B4C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45CC2E5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3CC49E36"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33F67E7"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Eucalyptus camaldulensis</w:t>
            </w:r>
          </w:p>
        </w:tc>
        <w:tc>
          <w:tcPr>
            <w:tcW w:w="2528" w:type="dxa"/>
            <w:tcBorders>
              <w:top w:val="nil"/>
              <w:left w:val="nil"/>
              <w:bottom w:val="single" w:sz="4" w:space="0" w:color="auto"/>
              <w:right w:val="single" w:sz="4" w:space="0" w:color="auto"/>
            </w:tcBorders>
            <w:noWrap/>
            <w:vAlign w:val="bottom"/>
            <w:hideMark/>
          </w:tcPr>
          <w:p w14:paraId="7281E2D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Myrtaceae</w:t>
            </w:r>
          </w:p>
        </w:tc>
        <w:tc>
          <w:tcPr>
            <w:tcW w:w="3000" w:type="dxa"/>
            <w:tcBorders>
              <w:top w:val="nil"/>
              <w:left w:val="nil"/>
              <w:bottom w:val="single" w:sz="4" w:space="0" w:color="auto"/>
              <w:right w:val="single" w:sz="4" w:space="0" w:color="auto"/>
            </w:tcBorders>
            <w:noWrap/>
            <w:vAlign w:val="bottom"/>
            <w:hideMark/>
          </w:tcPr>
          <w:p w14:paraId="7BE7DE0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093D3B2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tree</w:t>
            </w:r>
          </w:p>
        </w:tc>
        <w:tc>
          <w:tcPr>
            <w:tcW w:w="2268" w:type="dxa"/>
            <w:tcBorders>
              <w:top w:val="nil"/>
              <w:left w:val="nil"/>
              <w:bottom w:val="single" w:sz="4" w:space="0" w:color="auto"/>
              <w:right w:val="single" w:sz="4" w:space="0" w:color="auto"/>
            </w:tcBorders>
            <w:noWrap/>
            <w:vAlign w:val="bottom"/>
            <w:hideMark/>
          </w:tcPr>
          <w:p w14:paraId="0D13698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Amphibious</w:t>
            </w:r>
          </w:p>
        </w:tc>
      </w:tr>
      <w:tr w:rsidR="000325B1" w:rsidRPr="00865189" w14:paraId="79F75E21"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5DF6579B"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Euphorbia drummondii</w:t>
            </w:r>
          </w:p>
        </w:tc>
        <w:tc>
          <w:tcPr>
            <w:tcW w:w="2528" w:type="dxa"/>
            <w:tcBorders>
              <w:top w:val="nil"/>
              <w:left w:val="nil"/>
              <w:bottom w:val="single" w:sz="4" w:space="0" w:color="auto"/>
              <w:right w:val="single" w:sz="4" w:space="0" w:color="auto"/>
            </w:tcBorders>
            <w:noWrap/>
            <w:vAlign w:val="bottom"/>
            <w:hideMark/>
          </w:tcPr>
          <w:p w14:paraId="4E8BB4E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Euphorbiaceae</w:t>
            </w:r>
          </w:p>
        </w:tc>
        <w:tc>
          <w:tcPr>
            <w:tcW w:w="3000" w:type="dxa"/>
            <w:tcBorders>
              <w:top w:val="nil"/>
              <w:left w:val="nil"/>
              <w:bottom w:val="single" w:sz="4" w:space="0" w:color="auto"/>
              <w:right w:val="single" w:sz="4" w:space="0" w:color="auto"/>
            </w:tcBorders>
            <w:noWrap/>
            <w:vAlign w:val="bottom"/>
            <w:hideMark/>
          </w:tcPr>
          <w:p w14:paraId="60A86C8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3857F94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220376F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24D1D044"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21E322FC"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Gazania rigens**</w:t>
            </w:r>
          </w:p>
        </w:tc>
        <w:tc>
          <w:tcPr>
            <w:tcW w:w="2528" w:type="dxa"/>
            <w:tcBorders>
              <w:top w:val="nil"/>
              <w:left w:val="nil"/>
              <w:bottom w:val="single" w:sz="4" w:space="0" w:color="auto"/>
              <w:right w:val="single" w:sz="4" w:space="0" w:color="auto"/>
            </w:tcBorders>
            <w:noWrap/>
            <w:vAlign w:val="bottom"/>
            <w:hideMark/>
          </w:tcPr>
          <w:p w14:paraId="21C1CEE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232C287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Declared Pest Plant in South Australia</w:t>
            </w:r>
          </w:p>
        </w:tc>
        <w:tc>
          <w:tcPr>
            <w:tcW w:w="3261" w:type="dxa"/>
            <w:tcBorders>
              <w:top w:val="nil"/>
              <w:left w:val="nil"/>
              <w:bottom w:val="single" w:sz="4" w:space="0" w:color="auto"/>
              <w:right w:val="single" w:sz="4" w:space="0" w:color="auto"/>
            </w:tcBorders>
            <w:noWrap/>
            <w:vAlign w:val="bottom"/>
            <w:hideMark/>
          </w:tcPr>
          <w:p w14:paraId="701983A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herb</w:t>
            </w:r>
          </w:p>
        </w:tc>
        <w:tc>
          <w:tcPr>
            <w:tcW w:w="2268" w:type="dxa"/>
            <w:tcBorders>
              <w:top w:val="nil"/>
              <w:left w:val="nil"/>
              <w:bottom w:val="single" w:sz="4" w:space="0" w:color="auto"/>
              <w:right w:val="single" w:sz="4" w:space="0" w:color="auto"/>
            </w:tcBorders>
            <w:noWrap/>
            <w:vAlign w:val="bottom"/>
            <w:hideMark/>
          </w:tcPr>
          <w:p w14:paraId="1DDC3B0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4A7CFC46"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202F8E2E"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Glinus lotoides</w:t>
            </w:r>
          </w:p>
        </w:tc>
        <w:tc>
          <w:tcPr>
            <w:tcW w:w="2528" w:type="dxa"/>
            <w:tcBorders>
              <w:top w:val="nil"/>
              <w:left w:val="nil"/>
              <w:bottom w:val="single" w:sz="4" w:space="0" w:color="auto"/>
              <w:right w:val="single" w:sz="4" w:space="0" w:color="auto"/>
            </w:tcBorders>
            <w:noWrap/>
            <w:vAlign w:val="bottom"/>
            <w:hideMark/>
          </w:tcPr>
          <w:p w14:paraId="5B6E4D81"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Aizoaceae</w:t>
            </w:r>
          </w:p>
        </w:tc>
        <w:tc>
          <w:tcPr>
            <w:tcW w:w="3000" w:type="dxa"/>
            <w:tcBorders>
              <w:top w:val="nil"/>
              <w:left w:val="nil"/>
              <w:bottom w:val="single" w:sz="4" w:space="0" w:color="auto"/>
              <w:right w:val="single" w:sz="4" w:space="0" w:color="auto"/>
            </w:tcBorders>
            <w:noWrap/>
            <w:vAlign w:val="bottom"/>
            <w:hideMark/>
          </w:tcPr>
          <w:p w14:paraId="31A0430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6C3926D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6794974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272CA167"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37E6F614"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Glycyrrhiza acanthocarpa</w:t>
            </w:r>
          </w:p>
        </w:tc>
        <w:tc>
          <w:tcPr>
            <w:tcW w:w="2528" w:type="dxa"/>
            <w:tcBorders>
              <w:top w:val="nil"/>
              <w:left w:val="nil"/>
              <w:bottom w:val="single" w:sz="4" w:space="0" w:color="auto"/>
              <w:right w:val="single" w:sz="4" w:space="0" w:color="auto"/>
            </w:tcBorders>
            <w:noWrap/>
            <w:vAlign w:val="bottom"/>
            <w:hideMark/>
          </w:tcPr>
          <w:p w14:paraId="327B1F47"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Fabaceae</w:t>
            </w:r>
          </w:p>
        </w:tc>
        <w:tc>
          <w:tcPr>
            <w:tcW w:w="3000" w:type="dxa"/>
            <w:tcBorders>
              <w:top w:val="nil"/>
              <w:left w:val="nil"/>
              <w:bottom w:val="single" w:sz="4" w:space="0" w:color="auto"/>
              <w:right w:val="single" w:sz="4" w:space="0" w:color="auto"/>
            </w:tcBorders>
            <w:noWrap/>
            <w:vAlign w:val="bottom"/>
            <w:hideMark/>
          </w:tcPr>
          <w:p w14:paraId="386BC19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18EF36D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2C17C6A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4B4DB00D"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7638B0C0"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Haloragis aspera</w:t>
            </w:r>
          </w:p>
        </w:tc>
        <w:tc>
          <w:tcPr>
            <w:tcW w:w="2528" w:type="dxa"/>
            <w:tcBorders>
              <w:top w:val="nil"/>
              <w:left w:val="nil"/>
              <w:bottom w:val="single" w:sz="4" w:space="0" w:color="auto"/>
              <w:right w:val="single" w:sz="4" w:space="0" w:color="auto"/>
            </w:tcBorders>
            <w:noWrap/>
            <w:vAlign w:val="bottom"/>
            <w:hideMark/>
          </w:tcPr>
          <w:p w14:paraId="77E1A8C3"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Haloragaceae</w:t>
            </w:r>
          </w:p>
        </w:tc>
        <w:tc>
          <w:tcPr>
            <w:tcW w:w="3000" w:type="dxa"/>
            <w:tcBorders>
              <w:top w:val="nil"/>
              <w:left w:val="nil"/>
              <w:bottom w:val="single" w:sz="4" w:space="0" w:color="auto"/>
              <w:right w:val="single" w:sz="4" w:space="0" w:color="auto"/>
            </w:tcBorders>
            <w:noWrap/>
            <w:vAlign w:val="bottom"/>
            <w:hideMark/>
          </w:tcPr>
          <w:p w14:paraId="27143A27"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4E07A0A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herb</w:t>
            </w:r>
          </w:p>
        </w:tc>
        <w:tc>
          <w:tcPr>
            <w:tcW w:w="2268" w:type="dxa"/>
            <w:tcBorders>
              <w:top w:val="nil"/>
              <w:left w:val="nil"/>
              <w:bottom w:val="single" w:sz="4" w:space="0" w:color="auto"/>
              <w:right w:val="single" w:sz="4" w:space="0" w:color="auto"/>
            </w:tcBorders>
            <w:noWrap/>
            <w:vAlign w:val="bottom"/>
            <w:hideMark/>
          </w:tcPr>
          <w:p w14:paraId="15AA8F71"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774BC333"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7E67BFEE"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Heliotropium curassavicum*</w:t>
            </w:r>
          </w:p>
        </w:tc>
        <w:tc>
          <w:tcPr>
            <w:tcW w:w="2528" w:type="dxa"/>
            <w:tcBorders>
              <w:top w:val="nil"/>
              <w:left w:val="nil"/>
              <w:bottom w:val="single" w:sz="4" w:space="0" w:color="auto"/>
              <w:right w:val="single" w:sz="4" w:space="0" w:color="auto"/>
            </w:tcBorders>
            <w:noWrap/>
            <w:vAlign w:val="bottom"/>
            <w:hideMark/>
          </w:tcPr>
          <w:p w14:paraId="6D3B0C2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Boraginaceae</w:t>
            </w:r>
          </w:p>
        </w:tc>
        <w:tc>
          <w:tcPr>
            <w:tcW w:w="3000" w:type="dxa"/>
            <w:tcBorders>
              <w:top w:val="nil"/>
              <w:left w:val="nil"/>
              <w:bottom w:val="single" w:sz="4" w:space="0" w:color="auto"/>
              <w:right w:val="single" w:sz="4" w:space="0" w:color="auto"/>
            </w:tcBorders>
            <w:noWrap/>
            <w:vAlign w:val="bottom"/>
            <w:hideMark/>
          </w:tcPr>
          <w:p w14:paraId="0D4E871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Naturalised</w:t>
            </w:r>
          </w:p>
        </w:tc>
        <w:tc>
          <w:tcPr>
            <w:tcW w:w="3261" w:type="dxa"/>
            <w:tcBorders>
              <w:top w:val="nil"/>
              <w:left w:val="nil"/>
              <w:bottom w:val="single" w:sz="4" w:space="0" w:color="auto"/>
              <w:right w:val="single" w:sz="4" w:space="0" w:color="auto"/>
            </w:tcBorders>
            <w:noWrap/>
            <w:vAlign w:val="bottom"/>
            <w:hideMark/>
          </w:tcPr>
          <w:p w14:paraId="18A1637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027255A1"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007D365F"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308C60D6"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Heliotropium europaeum*</w:t>
            </w:r>
          </w:p>
        </w:tc>
        <w:tc>
          <w:tcPr>
            <w:tcW w:w="2528" w:type="dxa"/>
            <w:tcBorders>
              <w:top w:val="nil"/>
              <w:left w:val="nil"/>
              <w:bottom w:val="single" w:sz="4" w:space="0" w:color="auto"/>
              <w:right w:val="single" w:sz="4" w:space="0" w:color="auto"/>
            </w:tcBorders>
            <w:noWrap/>
            <w:vAlign w:val="bottom"/>
            <w:hideMark/>
          </w:tcPr>
          <w:p w14:paraId="146BAC1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Boraginaceae</w:t>
            </w:r>
          </w:p>
        </w:tc>
        <w:tc>
          <w:tcPr>
            <w:tcW w:w="3000" w:type="dxa"/>
            <w:tcBorders>
              <w:top w:val="nil"/>
              <w:left w:val="nil"/>
              <w:bottom w:val="single" w:sz="4" w:space="0" w:color="auto"/>
              <w:right w:val="single" w:sz="4" w:space="0" w:color="auto"/>
            </w:tcBorders>
            <w:noWrap/>
            <w:vAlign w:val="bottom"/>
            <w:hideMark/>
          </w:tcPr>
          <w:p w14:paraId="01B69B1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Naturalised</w:t>
            </w:r>
          </w:p>
        </w:tc>
        <w:tc>
          <w:tcPr>
            <w:tcW w:w="3261" w:type="dxa"/>
            <w:tcBorders>
              <w:top w:val="nil"/>
              <w:left w:val="nil"/>
              <w:bottom w:val="single" w:sz="4" w:space="0" w:color="auto"/>
              <w:right w:val="single" w:sz="4" w:space="0" w:color="auto"/>
            </w:tcBorders>
            <w:noWrap/>
            <w:vAlign w:val="bottom"/>
            <w:hideMark/>
          </w:tcPr>
          <w:p w14:paraId="5569ABC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51F0085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34D091D0"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5E9B8D89"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Isoetopsis graminifolia</w:t>
            </w:r>
          </w:p>
        </w:tc>
        <w:tc>
          <w:tcPr>
            <w:tcW w:w="2528" w:type="dxa"/>
            <w:tcBorders>
              <w:top w:val="nil"/>
              <w:left w:val="nil"/>
              <w:bottom w:val="single" w:sz="4" w:space="0" w:color="auto"/>
              <w:right w:val="single" w:sz="4" w:space="0" w:color="auto"/>
            </w:tcBorders>
            <w:noWrap/>
            <w:vAlign w:val="bottom"/>
            <w:hideMark/>
          </w:tcPr>
          <w:p w14:paraId="1091B55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40E761A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0799948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29E4424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47B61CC0"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076AC7C"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Isolepis australiensis</w:t>
            </w:r>
          </w:p>
        </w:tc>
        <w:tc>
          <w:tcPr>
            <w:tcW w:w="2528" w:type="dxa"/>
            <w:tcBorders>
              <w:top w:val="nil"/>
              <w:left w:val="nil"/>
              <w:bottom w:val="single" w:sz="4" w:space="0" w:color="auto"/>
              <w:right w:val="single" w:sz="4" w:space="0" w:color="auto"/>
            </w:tcBorders>
            <w:noWrap/>
            <w:vAlign w:val="bottom"/>
            <w:hideMark/>
          </w:tcPr>
          <w:p w14:paraId="23C3D54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Cyperaceae</w:t>
            </w:r>
          </w:p>
        </w:tc>
        <w:tc>
          <w:tcPr>
            <w:tcW w:w="3000" w:type="dxa"/>
            <w:tcBorders>
              <w:top w:val="nil"/>
              <w:left w:val="nil"/>
              <w:bottom w:val="single" w:sz="4" w:space="0" w:color="auto"/>
              <w:right w:val="single" w:sz="4" w:space="0" w:color="auto"/>
            </w:tcBorders>
            <w:noWrap/>
            <w:vAlign w:val="bottom"/>
            <w:hideMark/>
          </w:tcPr>
          <w:p w14:paraId="2ADAFD6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2E376F9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herb</w:t>
            </w:r>
          </w:p>
        </w:tc>
        <w:tc>
          <w:tcPr>
            <w:tcW w:w="2268" w:type="dxa"/>
            <w:tcBorders>
              <w:top w:val="nil"/>
              <w:left w:val="nil"/>
              <w:bottom w:val="single" w:sz="4" w:space="0" w:color="auto"/>
              <w:right w:val="single" w:sz="4" w:space="0" w:color="auto"/>
            </w:tcBorders>
            <w:noWrap/>
            <w:vAlign w:val="bottom"/>
            <w:hideMark/>
          </w:tcPr>
          <w:p w14:paraId="1FC0EFA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Amphibious</w:t>
            </w:r>
          </w:p>
        </w:tc>
      </w:tr>
      <w:tr w:rsidR="000325B1" w:rsidRPr="00865189" w14:paraId="21F7F953"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3079D81A"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Juncus usitatus</w:t>
            </w:r>
          </w:p>
        </w:tc>
        <w:tc>
          <w:tcPr>
            <w:tcW w:w="2528" w:type="dxa"/>
            <w:tcBorders>
              <w:top w:val="nil"/>
              <w:left w:val="nil"/>
              <w:bottom w:val="single" w:sz="4" w:space="0" w:color="auto"/>
              <w:right w:val="single" w:sz="4" w:space="0" w:color="auto"/>
            </w:tcBorders>
            <w:noWrap/>
            <w:vAlign w:val="bottom"/>
            <w:hideMark/>
          </w:tcPr>
          <w:p w14:paraId="4D643BE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Juncaeae</w:t>
            </w:r>
          </w:p>
        </w:tc>
        <w:tc>
          <w:tcPr>
            <w:tcW w:w="3000" w:type="dxa"/>
            <w:tcBorders>
              <w:top w:val="nil"/>
              <w:left w:val="nil"/>
              <w:bottom w:val="single" w:sz="4" w:space="0" w:color="auto"/>
              <w:right w:val="single" w:sz="4" w:space="0" w:color="auto"/>
            </w:tcBorders>
            <w:noWrap/>
            <w:vAlign w:val="bottom"/>
            <w:hideMark/>
          </w:tcPr>
          <w:p w14:paraId="195BF52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77D97F69"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rush</w:t>
            </w:r>
          </w:p>
        </w:tc>
        <w:tc>
          <w:tcPr>
            <w:tcW w:w="2268" w:type="dxa"/>
            <w:tcBorders>
              <w:top w:val="nil"/>
              <w:left w:val="nil"/>
              <w:bottom w:val="single" w:sz="4" w:space="0" w:color="auto"/>
              <w:right w:val="single" w:sz="4" w:space="0" w:color="auto"/>
            </w:tcBorders>
            <w:noWrap/>
            <w:vAlign w:val="bottom"/>
            <w:hideMark/>
          </w:tcPr>
          <w:p w14:paraId="6DF9C49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Amphibious</w:t>
            </w:r>
          </w:p>
        </w:tc>
      </w:tr>
      <w:tr w:rsidR="000325B1" w:rsidRPr="00865189" w14:paraId="7A8F945F"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124B39A"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lastRenderedPageBreak/>
              <w:t>Lachnagrostis filiformis</w:t>
            </w:r>
          </w:p>
        </w:tc>
        <w:tc>
          <w:tcPr>
            <w:tcW w:w="2528" w:type="dxa"/>
            <w:tcBorders>
              <w:top w:val="nil"/>
              <w:left w:val="nil"/>
              <w:bottom w:val="single" w:sz="4" w:space="0" w:color="auto"/>
              <w:right w:val="single" w:sz="4" w:space="0" w:color="auto"/>
            </w:tcBorders>
            <w:noWrap/>
            <w:vAlign w:val="bottom"/>
            <w:hideMark/>
          </w:tcPr>
          <w:p w14:paraId="380AFB9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Poaceae</w:t>
            </w:r>
          </w:p>
        </w:tc>
        <w:tc>
          <w:tcPr>
            <w:tcW w:w="3000" w:type="dxa"/>
            <w:tcBorders>
              <w:top w:val="nil"/>
              <w:left w:val="nil"/>
              <w:bottom w:val="single" w:sz="4" w:space="0" w:color="auto"/>
              <w:right w:val="single" w:sz="4" w:space="0" w:color="auto"/>
            </w:tcBorders>
            <w:noWrap/>
            <w:vAlign w:val="bottom"/>
            <w:hideMark/>
          </w:tcPr>
          <w:p w14:paraId="186328E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2F25C7B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grass</w:t>
            </w:r>
          </w:p>
        </w:tc>
        <w:tc>
          <w:tcPr>
            <w:tcW w:w="2268" w:type="dxa"/>
            <w:tcBorders>
              <w:top w:val="nil"/>
              <w:left w:val="nil"/>
              <w:bottom w:val="single" w:sz="4" w:space="0" w:color="auto"/>
              <w:right w:val="single" w:sz="4" w:space="0" w:color="auto"/>
            </w:tcBorders>
            <w:noWrap/>
            <w:vAlign w:val="bottom"/>
            <w:hideMark/>
          </w:tcPr>
          <w:p w14:paraId="576C8DF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3F02477C"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713BF792"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Limosella australis</w:t>
            </w:r>
          </w:p>
        </w:tc>
        <w:tc>
          <w:tcPr>
            <w:tcW w:w="2528" w:type="dxa"/>
            <w:tcBorders>
              <w:top w:val="nil"/>
              <w:left w:val="nil"/>
              <w:bottom w:val="single" w:sz="4" w:space="0" w:color="auto"/>
              <w:right w:val="single" w:sz="4" w:space="0" w:color="auto"/>
            </w:tcBorders>
            <w:noWrap/>
            <w:vAlign w:val="bottom"/>
            <w:hideMark/>
          </w:tcPr>
          <w:p w14:paraId="24958E0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Scrophulariaceae</w:t>
            </w:r>
          </w:p>
        </w:tc>
        <w:tc>
          <w:tcPr>
            <w:tcW w:w="3000" w:type="dxa"/>
            <w:tcBorders>
              <w:top w:val="nil"/>
              <w:left w:val="nil"/>
              <w:bottom w:val="single" w:sz="4" w:space="0" w:color="auto"/>
              <w:right w:val="single" w:sz="4" w:space="0" w:color="auto"/>
            </w:tcBorders>
            <w:noWrap/>
            <w:vAlign w:val="bottom"/>
            <w:hideMark/>
          </w:tcPr>
          <w:p w14:paraId="1875A0D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73A8483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herb</w:t>
            </w:r>
          </w:p>
        </w:tc>
        <w:tc>
          <w:tcPr>
            <w:tcW w:w="2268" w:type="dxa"/>
            <w:tcBorders>
              <w:top w:val="nil"/>
              <w:left w:val="nil"/>
              <w:bottom w:val="single" w:sz="4" w:space="0" w:color="auto"/>
              <w:right w:val="single" w:sz="4" w:space="0" w:color="auto"/>
            </w:tcBorders>
            <w:noWrap/>
            <w:vAlign w:val="bottom"/>
            <w:hideMark/>
          </w:tcPr>
          <w:p w14:paraId="19E69C2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7EF3B7BA"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557D316B"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Ludwigia peploides</w:t>
            </w:r>
          </w:p>
        </w:tc>
        <w:tc>
          <w:tcPr>
            <w:tcW w:w="2528" w:type="dxa"/>
            <w:tcBorders>
              <w:top w:val="nil"/>
              <w:left w:val="nil"/>
              <w:bottom w:val="single" w:sz="4" w:space="0" w:color="auto"/>
              <w:right w:val="single" w:sz="4" w:space="0" w:color="auto"/>
            </w:tcBorders>
            <w:noWrap/>
            <w:vAlign w:val="bottom"/>
            <w:hideMark/>
          </w:tcPr>
          <w:p w14:paraId="3EDDB9C0"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Onagraceae</w:t>
            </w:r>
          </w:p>
        </w:tc>
        <w:tc>
          <w:tcPr>
            <w:tcW w:w="3000" w:type="dxa"/>
            <w:tcBorders>
              <w:top w:val="nil"/>
              <w:left w:val="nil"/>
              <w:bottom w:val="single" w:sz="4" w:space="0" w:color="auto"/>
              <w:right w:val="single" w:sz="4" w:space="0" w:color="auto"/>
            </w:tcBorders>
            <w:noWrap/>
            <w:vAlign w:val="bottom"/>
            <w:hideMark/>
          </w:tcPr>
          <w:p w14:paraId="5B2BD97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3C424E1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herb</w:t>
            </w:r>
          </w:p>
        </w:tc>
        <w:tc>
          <w:tcPr>
            <w:tcW w:w="2268" w:type="dxa"/>
            <w:tcBorders>
              <w:top w:val="nil"/>
              <w:left w:val="nil"/>
              <w:bottom w:val="single" w:sz="4" w:space="0" w:color="auto"/>
              <w:right w:val="single" w:sz="4" w:space="0" w:color="auto"/>
            </w:tcBorders>
            <w:noWrap/>
            <w:vAlign w:val="bottom"/>
            <w:hideMark/>
          </w:tcPr>
          <w:p w14:paraId="56BBD553"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Amphibious</w:t>
            </w:r>
          </w:p>
        </w:tc>
      </w:tr>
      <w:tr w:rsidR="000325B1" w:rsidRPr="00865189" w14:paraId="064AB550"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66DC4DF5"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Lythrum hyssopifolia</w:t>
            </w:r>
          </w:p>
        </w:tc>
        <w:tc>
          <w:tcPr>
            <w:tcW w:w="2528" w:type="dxa"/>
            <w:tcBorders>
              <w:top w:val="nil"/>
              <w:left w:val="nil"/>
              <w:bottom w:val="single" w:sz="4" w:space="0" w:color="auto"/>
              <w:right w:val="single" w:sz="4" w:space="0" w:color="auto"/>
            </w:tcBorders>
            <w:noWrap/>
            <w:vAlign w:val="bottom"/>
            <w:hideMark/>
          </w:tcPr>
          <w:p w14:paraId="2CA7A5B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Lythraceae</w:t>
            </w:r>
          </w:p>
        </w:tc>
        <w:tc>
          <w:tcPr>
            <w:tcW w:w="3000" w:type="dxa"/>
            <w:tcBorders>
              <w:top w:val="nil"/>
              <w:left w:val="nil"/>
              <w:bottom w:val="single" w:sz="4" w:space="0" w:color="auto"/>
              <w:right w:val="single" w:sz="4" w:space="0" w:color="auto"/>
            </w:tcBorders>
            <w:noWrap/>
            <w:vAlign w:val="bottom"/>
            <w:hideMark/>
          </w:tcPr>
          <w:p w14:paraId="368D450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649E1EC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21103840"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6F5C82EA"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7B1A6B2B"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Maireana</w:t>
            </w:r>
          </w:p>
        </w:tc>
        <w:tc>
          <w:tcPr>
            <w:tcW w:w="2528" w:type="dxa"/>
            <w:tcBorders>
              <w:top w:val="nil"/>
              <w:left w:val="nil"/>
              <w:bottom w:val="single" w:sz="4" w:space="0" w:color="auto"/>
              <w:right w:val="single" w:sz="4" w:space="0" w:color="auto"/>
            </w:tcBorders>
            <w:noWrap/>
            <w:vAlign w:val="bottom"/>
            <w:hideMark/>
          </w:tcPr>
          <w:p w14:paraId="3F8E37C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Chenoppodiaceae</w:t>
            </w:r>
          </w:p>
        </w:tc>
        <w:tc>
          <w:tcPr>
            <w:tcW w:w="3000" w:type="dxa"/>
            <w:tcBorders>
              <w:top w:val="nil"/>
              <w:left w:val="nil"/>
              <w:bottom w:val="single" w:sz="4" w:space="0" w:color="auto"/>
              <w:right w:val="single" w:sz="4" w:space="0" w:color="auto"/>
            </w:tcBorders>
            <w:noWrap/>
            <w:vAlign w:val="bottom"/>
            <w:hideMark/>
          </w:tcPr>
          <w:p w14:paraId="4DFF6B9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5ACF81E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sub-shrub</w:t>
            </w:r>
          </w:p>
        </w:tc>
        <w:tc>
          <w:tcPr>
            <w:tcW w:w="2268" w:type="dxa"/>
            <w:tcBorders>
              <w:top w:val="nil"/>
              <w:left w:val="nil"/>
              <w:bottom w:val="single" w:sz="4" w:space="0" w:color="auto"/>
              <w:right w:val="single" w:sz="4" w:space="0" w:color="auto"/>
            </w:tcBorders>
            <w:noWrap/>
            <w:vAlign w:val="bottom"/>
            <w:hideMark/>
          </w:tcPr>
          <w:p w14:paraId="65B86DE3"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5C813E2C"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B1748F6"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Medicago*</w:t>
            </w:r>
          </w:p>
        </w:tc>
        <w:tc>
          <w:tcPr>
            <w:tcW w:w="2528" w:type="dxa"/>
            <w:tcBorders>
              <w:top w:val="nil"/>
              <w:left w:val="nil"/>
              <w:bottom w:val="single" w:sz="4" w:space="0" w:color="auto"/>
              <w:right w:val="single" w:sz="4" w:space="0" w:color="auto"/>
            </w:tcBorders>
            <w:noWrap/>
            <w:vAlign w:val="bottom"/>
            <w:hideMark/>
          </w:tcPr>
          <w:p w14:paraId="5756EC3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Fabaceae</w:t>
            </w:r>
          </w:p>
        </w:tc>
        <w:tc>
          <w:tcPr>
            <w:tcW w:w="3000" w:type="dxa"/>
            <w:tcBorders>
              <w:top w:val="nil"/>
              <w:left w:val="nil"/>
              <w:bottom w:val="single" w:sz="4" w:space="0" w:color="auto"/>
              <w:right w:val="single" w:sz="4" w:space="0" w:color="auto"/>
            </w:tcBorders>
            <w:noWrap/>
            <w:vAlign w:val="bottom"/>
            <w:hideMark/>
          </w:tcPr>
          <w:p w14:paraId="3CB1EF6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Naturalised</w:t>
            </w:r>
          </w:p>
        </w:tc>
        <w:tc>
          <w:tcPr>
            <w:tcW w:w="3261" w:type="dxa"/>
            <w:tcBorders>
              <w:top w:val="nil"/>
              <w:left w:val="nil"/>
              <w:bottom w:val="single" w:sz="4" w:space="0" w:color="auto"/>
              <w:right w:val="single" w:sz="4" w:space="0" w:color="auto"/>
            </w:tcBorders>
            <w:noWrap/>
            <w:vAlign w:val="bottom"/>
            <w:hideMark/>
          </w:tcPr>
          <w:p w14:paraId="113AE777"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1BCE82E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34858584"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653AFECA"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Melaleuca lanceolata</w:t>
            </w:r>
          </w:p>
        </w:tc>
        <w:tc>
          <w:tcPr>
            <w:tcW w:w="2528" w:type="dxa"/>
            <w:tcBorders>
              <w:top w:val="nil"/>
              <w:left w:val="nil"/>
              <w:bottom w:val="single" w:sz="4" w:space="0" w:color="auto"/>
              <w:right w:val="single" w:sz="4" w:space="0" w:color="auto"/>
            </w:tcBorders>
            <w:noWrap/>
            <w:vAlign w:val="bottom"/>
            <w:hideMark/>
          </w:tcPr>
          <w:p w14:paraId="234D7F4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Myrtaceae</w:t>
            </w:r>
          </w:p>
        </w:tc>
        <w:tc>
          <w:tcPr>
            <w:tcW w:w="3000" w:type="dxa"/>
            <w:tcBorders>
              <w:top w:val="nil"/>
              <w:left w:val="nil"/>
              <w:bottom w:val="single" w:sz="4" w:space="0" w:color="auto"/>
              <w:right w:val="single" w:sz="4" w:space="0" w:color="auto"/>
            </w:tcBorders>
            <w:noWrap/>
            <w:vAlign w:val="bottom"/>
            <w:hideMark/>
          </w:tcPr>
          <w:p w14:paraId="6F19605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3B930D9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tree</w:t>
            </w:r>
          </w:p>
        </w:tc>
        <w:tc>
          <w:tcPr>
            <w:tcW w:w="2268" w:type="dxa"/>
            <w:tcBorders>
              <w:top w:val="nil"/>
              <w:left w:val="nil"/>
              <w:bottom w:val="single" w:sz="4" w:space="0" w:color="auto"/>
              <w:right w:val="single" w:sz="4" w:space="0" w:color="auto"/>
            </w:tcBorders>
            <w:noWrap/>
            <w:vAlign w:val="bottom"/>
            <w:hideMark/>
          </w:tcPr>
          <w:p w14:paraId="137CC45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2443BE7F"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015FE41C"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Melilotus albus*</w:t>
            </w:r>
          </w:p>
        </w:tc>
        <w:tc>
          <w:tcPr>
            <w:tcW w:w="2528" w:type="dxa"/>
            <w:tcBorders>
              <w:top w:val="nil"/>
              <w:left w:val="nil"/>
              <w:bottom w:val="single" w:sz="4" w:space="0" w:color="auto"/>
              <w:right w:val="single" w:sz="4" w:space="0" w:color="auto"/>
            </w:tcBorders>
            <w:noWrap/>
            <w:vAlign w:val="bottom"/>
            <w:hideMark/>
          </w:tcPr>
          <w:p w14:paraId="56BEC0C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Fabaceae</w:t>
            </w:r>
          </w:p>
        </w:tc>
        <w:tc>
          <w:tcPr>
            <w:tcW w:w="3000" w:type="dxa"/>
            <w:tcBorders>
              <w:top w:val="nil"/>
              <w:left w:val="nil"/>
              <w:bottom w:val="single" w:sz="4" w:space="0" w:color="auto"/>
              <w:right w:val="single" w:sz="4" w:space="0" w:color="auto"/>
            </w:tcBorders>
            <w:noWrap/>
            <w:vAlign w:val="bottom"/>
            <w:hideMark/>
          </w:tcPr>
          <w:p w14:paraId="6EF5FAB0"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Naturalised</w:t>
            </w:r>
          </w:p>
        </w:tc>
        <w:tc>
          <w:tcPr>
            <w:tcW w:w="3261" w:type="dxa"/>
            <w:tcBorders>
              <w:top w:val="nil"/>
              <w:left w:val="nil"/>
              <w:bottom w:val="single" w:sz="4" w:space="0" w:color="auto"/>
              <w:right w:val="single" w:sz="4" w:space="0" w:color="auto"/>
            </w:tcBorders>
            <w:noWrap/>
            <w:vAlign w:val="bottom"/>
            <w:hideMark/>
          </w:tcPr>
          <w:p w14:paraId="6D9F3549"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0FCC1B6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1DEAA196"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55EFC894"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Melilotus indicus*</w:t>
            </w:r>
          </w:p>
        </w:tc>
        <w:tc>
          <w:tcPr>
            <w:tcW w:w="2528" w:type="dxa"/>
            <w:tcBorders>
              <w:top w:val="nil"/>
              <w:left w:val="nil"/>
              <w:bottom w:val="single" w:sz="4" w:space="0" w:color="auto"/>
              <w:right w:val="single" w:sz="4" w:space="0" w:color="auto"/>
            </w:tcBorders>
            <w:noWrap/>
            <w:vAlign w:val="bottom"/>
            <w:hideMark/>
          </w:tcPr>
          <w:p w14:paraId="6AEEC9A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Fabaceae</w:t>
            </w:r>
          </w:p>
        </w:tc>
        <w:tc>
          <w:tcPr>
            <w:tcW w:w="3000" w:type="dxa"/>
            <w:tcBorders>
              <w:top w:val="nil"/>
              <w:left w:val="nil"/>
              <w:bottom w:val="single" w:sz="4" w:space="0" w:color="auto"/>
              <w:right w:val="single" w:sz="4" w:space="0" w:color="auto"/>
            </w:tcBorders>
            <w:noWrap/>
            <w:vAlign w:val="bottom"/>
            <w:hideMark/>
          </w:tcPr>
          <w:p w14:paraId="65BBF1F9"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Naturalised</w:t>
            </w:r>
          </w:p>
        </w:tc>
        <w:tc>
          <w:tcPr>
            <w:tcW w:w="3261" w:type="dxa"/>
            <w:tcBorders>
              <w:top w:val="nil"/>
              <w:left w:val="nil"/>
              <w:bottom w:val="single" w:sz="4" w:space="0" w:color="auto"/>
              <w:right w:val="single" w:sz="4" w:space="0" w:color="auto"/>
            </w:tcBorders>
            <w:noWrap/>
            <w:vAlign w:val="bottom"/>
            <w:hideMark/>
          </w:tcPr>
          <w:p w14:paraId="763ECEA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628B87E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4AF1BC74"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D45AF17"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Myoporum montanum</w:t>
            </w:r>
          </w:p>
        </w:tc>
        <w:tc>
          <w:tcPr>
            <w:tcW w:w="2528" w:type="dxa"/>
            <w:tcBorders>
              <w:top w:val="nil"/>
              <w:left w:val="nil"/>
              <w:bottom w:val="single" w:sz="4" w:space="0" w:color="auto"/>
              <w:right w:val="single" w:sz="4" w:space="0" w:color="auto"/>
            </w:tcBorders>
            <w:noWrap/>
            <w:vAlign w:val="bottom"/>
            <w:hideMark/>
          </w:tcPr>
          <w:p w14:paraId="055AD6A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Myoporaceae</w:t>
            </w:r>
          </w:p>
        </w:tc>
        <w:tc>
          <w:tcPr>
            <w:tcW w:w="3000" w:type="dxa"/>
            <w:tcBorders>
              <w:top w:val="nil"/>
              <w:left w:val="nil"/>
              <w:bottom w:val="single" w:sz="4" w:space="0" w:color="auto"/>
              <w:right w:val="single" w:sz="4" w:space="0" w:color="auto"/>
            </w:tcBorders>
            <w:noWrap/>
            <w:vAlign w:val="bottom"/>
            <w:hideMark/>
          </w:tcPr>
          <w:p w14:paraId="08E9A19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05E88D9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tree</w:t>
            </w:r>
          </w:p>
        </w:tc>
        <w:tc>
          <w:tcPr>
            <w:tcW w:w="2268" w:type="dxa"/>
            <w:tcBorders>
              <w:top w:val="nil"/>
              <w:left w:val="nil"/>
              <w:bottom w:val="single" w:sz="4" w:space="0" w:color="auto"/>
              <w:right w:val="single" w:sz="4" w:space="0" w:color="auto"/>
            </w:tcBorders>
            <w:noWrap/>
            <w:vAlign w:val="bottom"/>
            <w:hideMark/>
          </w:tcPr>
          <w:p w14:paraId="458CF07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1F97C0A6"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36D782F6"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Myriophyllum papillosum#</w:t>
            </w:r>
          </w:p>
        </w:tc>
        <w:tc>
          <w:tcPr>
            <w:tcW w:w="2528" w:type="dxa"/>
            <w:tcBorders>
              <w:top w:val="nil"/>
              <w:left w:val="nil"/>
              <w:bottom w:val="single" w:sz="4" w:space="0" w:color="auto"/>
              <w:right w:val="single" w:sz="4" w:space="0" w:color="auto"/>
            </w:tcBorders>
            <w:noWrap/>
            <w:vAlign w:val="bottom"/>
            <w:hideMark/>
          </w:tcPr>
          <w:p w14:paraId="04C7E28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Haloragaceae</w:t>
            </w:r>
          </w:p>
        </w:tc>
        <w:tc>
          <w:tcPr>
            <w:tcW w:w="3000" w:type="dxa"/>
            <w:tcBorders>
              <w:top w:val="nil"/>
              <w:left w:val="nil"/>
              <w:bottom w:val="single" w:sz="4" w:space="0" w:color="auto"/>
              <w:right w:val="single" w:sz="4" w:space="0" w:color="auto"/>
            </w:tcBorders>
            <w:noWrap/>
            <w:vAlign w:val="bottom"/>
            <w:hideMark/>
          </w:tcPr>
          <w:p w14:paraId="0349E947"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 Rare in South Australia</w:t>
            </w:r>
          </w:p>
        </w:tc>
        <w:tc>
          <w:tcPr>
            <w:tcW w:w="3261" w:type="dxa"/>
            <w:tcBorders>
              <w:top w:val="nil"/>
              <w:left w:val="nil"/>
              <w:bottom w:val="single" w:sz="4" w:space="0" w:color="auto"/>
              <w:right w:val="single" w:sz="4" w:space="0" w:color="auto"/>
            </w:tcBorders>
            <w:noWrap/>
            <w:vAlign w:val="bottom"/>
            <w:hideMark/>
          </w:tcPr>
          <w:p w14:paraId="4586FDE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herb</w:t>
            </w:r>
          </w:p>
        </w:tc>
        <w:tc>
          <w:tcPr>
            <w:tcW w:w="2268" w:type="dxa"/>
            <w:tcBorders>
              <w:top w:val="nil"/>
              <w:left w:val="nil"/>
              <w:bottom w:val="single" w:sz="4" w:space="0" w:color="auto"/>
              <w:right w:val="single" w:sz="4" w:space="0" w:color="auto"/>
            </w:tcBorders>
            <w:noWrap/>
            <w:vAlign w:val="bottom"/>
            <w:hideMark/>
          </w:tcPr>
          <w:p w14:paraId="66C7F1E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Amphibious</w:t>
            </w:r>
          </w:p>
        </w:tc>
      </w:tr>
      <w:tr w:rsidR="000325B1" w:rsidRPr="00865189" w14:paraId="4DA4D2CA"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1BC66DB5"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Oxalis*</w:t>
            </w:r>
          </w:p>
        </w:tc>
        <w:tc>
          <w:tcPr>
            <w:tcW w:w="2528" w:type="dxa"/>
            <w:tcBorders>
              <w:top w:val="nil"/>
              <w:left w:val="nil"/>
              <w:bottom w:val="single" w:sz="4" w:space="0" w:color="auto"/>
              <w:right w:val="single" w:sz="4" w:space="0" w:color="auto"/>
            </w:tcBorders>
            <w:noWrap/>
            <w:vAlign w:val="bottom"/>
            <w:hideMark/>
          </w:tcPr>
          <w:p w14:paraId="266B849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Oxalidaceae</w:t>
            </w:r>
          </w:p>
        </w:tc>
        <w:tc>
          <w:tcPr>
            <w:tcW w:w="3000" w:type="dxa"/>
            <w:tcBorders>
              <w:top w:val="nil"/>
              <w:left w:val="nil"/>
              <w:bottom w:val="single" w:sz="4" w:space="0" w:color="auto"/>
              <w:right w:val="single" w:sz="4" w:space="0" w:color="auto"/>
            </w:tcBorders>
            <w:noWrap/>
            <w:vAlign w:val="bottom"/>
            <w:hideMark/>
          </w:tcPr>
          <w:p w14:paraId="05CA1B1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Naturalised</w:t>
            </w:r>
          </w:p>
        </w:tc>
        <w:tc>
          <w:tcPr>
            <w:tcW w:w="3261" w:type="dxa"/>
            <w:tcBorders>
              <w:top w:val="nil"/>
              <w:left w:val="nil"/>
              <w:bottom w:val="single" w:sz="4" w:space="0" w:color="auto"/>
              <w:right w:val="single" w:sz="4" w:space="0" w:color="auto"/>
            </w:tcBorders>
            <w:noWrap/>
            <w:vAlign w:val="bottom"/>
            <w:hideMark/>
          </w:tcPr>
          <w:p w14:paraId="357D84A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herb</w:t>
            </w:r>
          </w:p>
        </w:tc>
        <w:tc>
          <w:tcPr>
            <w:tcW w:w="2268" w:type="dxa"/>
            <w:tcBorders>
              <w:top w:val="nil"/>
              <w:left w:val="nil"/>
              <w:bottom w:val="single" w:sz="4" w:space="0" w:color="auto"/>
              <w:right w:val="single" w:sz="4" w:space="0" w:color="auto"/>
            </w:tcBorders>
            <w:noWrap/>
            <w:vAlign w:val="bottom"/>
            <w:hideMark/>
          </w:tcPr>
          <w:p w14:paraId="2B5742A7"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4AA6C609"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7376C38"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Paspalidium jubiflorum</w:t>
            </w:r>
          </w:p>
        </w:tc>
        <w:tc>
          <w:tcPr>
            <w:tcW w:w="2528" w:type="dxa"/>
            <w:tcBorders>
              <w:top w:val="nil"/>
              <w:left w:val="nil"/>
              <w:bottom w:val="single" w:sz="4" w:space="0" w:color="auto"/>
              <w:right w:val="single" w:sz="4" w:space="0" w:color="auto"/>
            </w:tcBorders>
            <w:noWrap/>
            <w:vAlign w:val="bottom"/>
            <w:hideMark/>
          </w:tcPr>
          <w:p w14:paraId="343F7C3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Poaceae</w:t>
            </w:r>
          </w:p>
        </w:tc>
        <w:tc>
          <w:tcPr>
            <w:tcW w:w="3000" w:type="dxa"/>
            <w:tcBorders>
              <w:top w:val="nil"/>
              <w:left w:val="nil"/>
              <w:bottom w:val="single" w:sz="4" w:space="0" w:color="auto"/>
              <w:right w:val="single" w:sz="4" w:space="0" w:color="auto"/>
            </w:tcBorders>
            <w:noWrap/>
            <w:vAlign w:val="bottom"/>
            <w:hideMark/>
          </w:tcPr>
          <w:p w14:paraId="028CCB4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6E5E59D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grass</w:t>
            </w:r>
          </w:p>
        </w:tc>
        <w:tc>
          <w:tcPr>
            <w:tcW w:w="2268" w:type="dxa"/>
            <w:tcBorders>
              <w:top w:val="nil"/>
              <w:left w:val="nil"/>
              <w:bottom w:val="single" w:sz="4" w:space="0" w:color="auto"/>
              <w:right w:val="single" w:sz="4" w:space="0" w:color="auto"/>
            </w:tcBorders>
            <w:noWrap/>
            <w:vAlign w:val="bottom"/>
            <w:hideMark/>
          </w:tcPr>
          <w:p w14:paraId="34A8CBF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71DFF41C"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7B081D49"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Paspalum distichum</w:t>
            </w:r>
          </w:p>
        </w:tc>
        <w:tc>
          <w:tcPr>
            <w:tcW w:w="2528" w:type="dxa"/>
            <w:tcBorders>
              <w:top w:val="nil"/>
              <w:left w:val="nil"/>
              <w:bottom w:val="single" w:sz="4" w:space="0" w:color="auto"/>
              <w:right w:val="single" w:sz="4" w:space="0" w:color="auto"/>
            </w:tcBorders>
            <w:noWrap/>
            <w:vAlign w:val="bottom"/>
            <w:hideMark/>
          </w:tcPr>
          <w:p w14:paraId="0158677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Poaceae</w:t>
            </w:r>
          </w:p>
        </w:tc>
        <w:tc>
          <w:tcPr>
            <w:tcW w:w="3000" w:type="dxa"/>
            <w:tcBorders>
              <w:top w:val="nil"/>
              <w:left w:val="nil"/>
              <w:bottom w:val="single" w:sz="4" w:space="0" w:color="auto"/>
              <w:right w:val="single" w:sz="4" w:space="0" w:color="auto"/>
            </w:tcBorders>
            <w:noWrap/>
            <w:vAlign w:val="bottom"/>
            <w:hideMark/>
          </w:tcPr>
          <w:p w14:paraId="37851F83"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0916A6A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grass</w:t>
            </w:r>
          </w:p>
        </w:tc>
        <w:tc>
          <w:tcPr>
            <w:tcW w:w="2268" w:type="dxa"/>
            <w:tcBorders>
              <w:top w:val="nil"/>
              <w:left w:val="nil"/>
              <w:bottom w:val="single" w:sz="4" w:space="0" w:color="auto"/>
              <w:right w:val="single" w:sz="4" w:space="0" w:color="auto"/>
            </w:tcBorders>
            <w:noWrap/>
            <w:vAlign w:val="bottom"/>
            <w:hideMark/>
          </w:tcPr>
          <w:p w14:paraId="4505281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Amphibious</w:t>
            </w:r>
          </w:p>
        </w:tc>
      </w:tr>
      <w:tr w:rsidR="000325B1" w:rsidRPr="00865189" w14:paraId="0D9922EE"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37A4DCBE"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Persicaria lapathifolia</w:t>
            </w:r>
          </w:p>
        </w:tc>
        <w:tc>
          <w:tcPr>
            <w:tcW w:w="2528" w:type="dxa"/>
            <w:tcBorders>
              <w:top w:val="nil"/>
              <w:left w:val="nil"/>
              <w:bottom w:val="single" w:sz="4" w:space="0" w:color="auto"/>
              <w:right w:val="single" w:sz="4" w:space="0" w:color="auto"/>
            </w:tcBorders>
            <w:noWrap/>
            <w:vAlign w:val="bottom"/>
            <w:hideMark/>
          </w:tcPr>
          <w:p w14:paraId="4AB5478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Polygonaceae</w:t>
            </w:r>
          </w:p>
        </w:tc>
        <w:tc>
          <w:tcPr>
            <w:tcW w:w="3000" w:type="dxa"/>
            <w:tcBorders>
              <w:top w:val="nil"/>
              <w:left w:val="nil"/>
              <w:bottom w:val="single" w:sz="4" w:space="0" w:color="auto"/>
              <w:right w:val="single" w:sz="4" w:space="0" w:color="auto"/>
            </w:tcBorders>
            <w:noWrap/>
            <w:vAlign w:val="bottom"/>
            <w:hideMark/>
          </w:tcPr>
          <w:p w14:paraId="2786E6F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7D570CB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herb</w:t>
            </w:r>
          </w:p>
        </w:tc>
        <w:tc>
          <w:tcPr>
            <w:tcW w:w="2268" w:type="dxa"/>
            <w:tcBorders>
              <w:top w:val="nil"/>
              <w:left w:val="nil"/>
              <w:bottom w:val="single" w:sz="4" w:space="0" w:color="auto"/>
              <w:right w:val="single" w:sz="4" w:space="0" w:color="auto"/>
            </w:tcBorders>
            <w:noWrap/>
            <w:vAlign w:val="bottom"/>
            <w:hideMark/>
          </w:tcPr>
          <w:p w14:paraId="0F8F7571"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Amphibious</w:t>
            </w:r>
          </w:p>
        </w:tc>
      </w:tr>
      <w:tr w:rsidR="000325B1" w:rsidRPr="00865189" w14:paraId="1D222F59"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6DDC4C0"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Phragmites australis</w:t>
            </w:r>
          </w:p>
        </w:tc>
        <w:tc>
          <w:tcPr>
            <w:tcW w:w="2528" w:type="dxa"/>
            <w:tcBorders>
              <w:top w:val="nil"/>
              <w:left w:val="nil"/>
              <w:bottom w:val="single" w:sz="4" w:space="0" w:color="auto"/>
              <w:right w:val="single" w:sz="4" w:space="0" w:color="auto"/>
            </w:tcBorders>
            <w:noWrap/>
            <w:vAlign w:val="bottom"/>
            <w:hideMark/>
          </w:tcPr>
          <w:p w14:paraId="44D1CDB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Poaceae</w:t>
            </w:r>
          </w:p>
        </w:tc>
        <w:tc>
          <w:tcPr>
            <w:tcW w:w="3000" w:type="dxa"/>
            <w:tcBorders>
              <w:top w:val="nil"/>
              <w:left w:val="nil"/>
              <w:bottom w:val="single" w:sz="4" w:space="0" w:color="auto"/>
              <w:right w:val="single" w:sz="4" w:space="0" w:color="auto"/>
            </w:tcBorders>
            <w:noWrap/>
            <w:vAlign w:val="bottom"/>
            <w:hideMark/>
          </w:tcPr>
          <w:p w14:paraId="3FCEE39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7EFEE5F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grass</w:t>
            </w:r>
          </w:p>
        </w:tc>
        <w:tc>
          <w:tcPr>
            <w:tcW w:w="2268" w:type="dxa"/>
            <w:tcBorders>
              <w:top w:val="nil"/>
              <w:left w:val="nil"/>
              <w:bottom w:val="single" w:sz="4" w:space="0" w:color="auto"/>
              <w:right w:val="single" w:sz="4" w:space="0" w:color="auto"/>
            </w:tcBorders>
            <w:noWrap/>
            <w:vAlign w:val="bottom"/>
            <w:hideMark/>
          </w:tcPr>
          <w:p w14:paraId="13C8E5B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Emergent</w:t>
            </w:r>
          </w:p>
        </w:tc>
      </w:tr>
      <w:tr w:rsidR="000325B1" w:rsidRPr="00865189" w14:paraId="59B7CA99"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37F18D6"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Phyllanthus lacunarius</w:t>
            </w:r>
          </w:p>
        </w:tc>
        <w:tc>
          <w:tcPr>
            <w:tcW w:w="2528" w:type="dxa"/>
            <w:tcBorders>
              <w:top w:val="nil"/>
              <w:left w:val="nil"/>
              <w:bottom w:val="single" w:sz="4" w:space="0" w:color="auto"/>
              <w:right w:val="single" w:sz="4" w:space="0" w:color="auto"/>
            </w:tcBorders>
            <w:noWrap/>
            <w:vAlign w:val="bottom"/>
            <w:hideMark/>
          </w:tcPr>
          <w:p w14:paraId="7DE8A9B9"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Euphorbiaceae</w:t>
            </w:r>
          </w:p>
        </w:tc>
        <w:tc>
          <w:tcPr>
            <w:tcW w:w="3000" w:type="dxa"/>
            <w:tcBorders>
              <w:top w:val="nil"/>
              <w:left w:val="nil"/>
              <w:bottom w:val="single" w:sz="4" w:space="0" w:color="auto"/>
              <w:right w:val="single" w:sz="4" w:space="0" w:color="auto"/>
            </w:tcBorders>
            <w:noWrap/>
            <w:vAlign w:val="bottom"/>
            <w:hideMark/>
          </w:tcPr>
          <w:p w14:paraId="61C4123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39FAE8E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69C58623"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098BA4A9"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7AE44045"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Picris angustifolia</w:t>
            </w:r>
          </w:p>
        </w:tc>
        <w:tc>
          <w:tcPr>
            <w:tcW w:w="2528" w:type="dxa"/>
            <w:tcBorders>
              <w:top w:val="nil"/>
              <w:left w:val="nil"/>
              <w:bottom w:val="single" w:sz="4" w:space="0" w:color="auto"/>
              <w:right w:val="single" w:sz="4" w:space="0" w:color="auto"/>
            </w:tcBorders>
            <w:noWrap/>
            <w:vAlign w:val="bottom"/>
            <w:hideMark/>
          </w:tcPr>
          <w:p w14:paraId="21829E77"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2B05F76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1EF0D86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18AB954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0BDF0235"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D389A45"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Polygonum plebeium</w:t>
            </w:r>
          </w:p>
        </w:tc>
        <w:tc>
          <w:tcPr>
            <w:tcW w:w="2528" w:type="dxa"/>
            <w:tcBorders>
              <w:top w:val="nil"/>
              <w:left w:val="nil"/>
              <w:bottom w:val="single" w:sz="4" w:space="0" w:color="auto"/>
              <w:right w:val="single" w:sz="4" w:space="0" w:color="auto"/>
            </w:tcBorders>
            <w:noWrap/>
            <w:vAlign w:val="bottom"/>
            <w:hideMark/>
          </w:tcPr>
          <w:p w14:paraId="0F832FB9"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Polygonaceae</w:t>
            </w:r>
          </w:p>
        </w:tc>
        <w:tc>
          <w:tcPr>
            <w:tcW w:w="3000" w:type="dxa"/>
            <w:tcBorders>
              <w:top w:val="nil"/>
              <w:left w:val="nil"/>
              <w:bottom w:val="single" w:sz="4" w:space="0" w:color="auto"/>
              <w:right w:val="single" w:sz="4" w:space="0" w:color="auto"/>
            </w:tcBorders>
            <w:noWrap/>
            <w:vAlign w:val="bottom"/>
            <w:hideMark/>
          </w:tcPr>
          <w:p w14:paraId="36CA79D7"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10B0F85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7033BCC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73AE37BE"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056456F1"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Pseudognaphalium luteoalbum</w:t>
            </w:r>
          </w:p>
        </w:tc>
        <w:tc>
          <w:tcPr>
            <w:tcW w:w="2528" w:type="dxa"/>
            <w:tcBorders>
              <w:top w:val="nil"/>
              <w:left w:val="nil"/>
              <w:bottom w:val="single" w:sz="4" w:space="0" w:color="auto"/>
              <w:right w:val="single" w:sz="4" w:space="0" w:color="auto"/>
            </w:tcBorders>
            <w:noWrap/>
            <w:vAlign w:val="bottom"/>
            <w:hideMark/>
          </w:tcPr>
          <w:p w14:paraId="75680B0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337CF81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5C45983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74EE43D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04CBFCA9"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7D9D78B8"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Rhodanthe pygmaea</w:t>
            </w:r>
          </w:p>
        </w:tc>
        <w:tc>
          <w:tcPr>
            <w:tcW w:w="2528" w:type="dxa"/>
            <w:tcBorders>
              <w:top w:val="nil"/>
              <w:left w:val="nil"/>
              <w:bottom w:val="single" w:sz="4" w:space="0" w:color="auto"/>
              <w:right w:val="single" w:sz="4" w:space="0" w:color="auto"/>
            </w:tcBorders>
            <w:noWrap/>
            <w:vAlign w:val="bottom"/>
            <w:hideMark/>
          </w:tcPr>
          <w:p w14:paraId="1D2D1F0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670D51C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0507E6AA"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1B28BC49"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7CA3BE6F"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20A8A574"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Rorippa palustris*</w:t>
            </w:r>
          </w:p>
        </w:tc>
        <w:tc>
          <w:tcPr>
            <w:tcW w:w="2528" w:type="dxa"/>
            <w:tcBorders>
              <w:top w:val="nil"/>
              <w:left w:val="nil"/>
              <w:bottom w:val="single" w:sz="4" w:space="0" w:color="auto"/>
              <w:right w:val="single" w:sz="4" w:space="0" w:color="auto"/>
            </w:tcBorders>
            <w:noWrap/>
            <w:vAlign w:val="bottom"/>
            <w:hideMark/>
          </w:tcPr>
          <w:p w14:paraId="00E0269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Brassicaeae</w:t>
            </w:r>
          </w:p>
        </w:tc>
        <w:tc>
          <w:tcPr>
            <w:tcW w:w="3000" w:type="dxa"/>
            <w:tcBorders>
              <w:top w:val="nil"/>
              <w:left w:val="nil"/>
              <w:bottom w:val="single" w:sz="4" w:space="0" w:color="auto"/>
              <w:right w:val="single" w:sz="4" w:space="0" w:color="auto"/>
            </w:tcBorders>
            <w:noWrap/>
            <w:vAlign w:val="bottom"/>
            <w:hideMark/>
          </w:tcPr>
          <w:p w14:paraId="323615D9"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Naturalised</w:t>
            </w:r>
          </w:p>
        </w:tc>
        <w:tc>
          <w:tcPr>
            <w:tcW w:w="3261" w:type="dxa"/>
            <w:tcBorders>
              <w:top w:val="nil"/>
              <w:left w:val="nil"/>
              <w:bottom w:val="single" w:sz="4" w:space="0" w:color="auto"/>
              <w:right w:val="single" w:sz="4" w:space="0" w:color="auto"/>
            </w:tcBorders>
            <w:noWrap/>
            <w:vAlign w:val="bottom"/>
            <w:hideMark/>
          </w:tcPr>
          <w:p w14:paraId="5FF1043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3C3C9EC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2754D88F"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30CDA47B"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Schoenoplectus pungens</w:t>
            </w:r>
          </w:p>
        </w:tc>
        <w:tc>
          <w:tcPr>
            <w:tcW w:w="2528" w:type="dxa"/>
            <w:tcBorders>
              <w:top w:val="nil"/>
              <w:left w:val="nil"/>
              <w:bottom w:val="single" w:sz="4" w:space="0" w:color="auto"/>
              <w:right w:val="single" w:sz="4" w:space="0" w:color="auto"/>
            </w:tcBorders>
            <w:noWrap/>
            <w:vAlign w:val="bottom"/>
            <w:hideMark/>
          </w:tcPr>
          <w:p w14:paraId="5C2BDBC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Cyperaceae</w:t>
            </w:r>
          </w:p>
        </w:tc>
        <w:tc>
          <w:tcPr>
            <w:tcW w:w="3000" w:type="dxa"/>
            <w:tcBorders>
              <w:top w:val="nil"/>
              <w:left w:val="nil"/>
              <w:bottom w:val="single" w:sz="4" w:space="0" w:color="auto"/>
              <w:right w:val="single" w:sz="4" w:space="0" w:color="auto"/>
            </w:tcBorders>
            <w:noWrap/>
            <w:vAlign w:val="bottom"/>
            <w:hideMark/>
          </w:tcPr>
          <w:p w14:paraId="199B13A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6D4D7D2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sedge</w:t>
            </w:r>
          </w:p>
        </w:tc>
        <w:tc>
          <w:tcPr>
            <w:tcW w:w="2268" w:type="dxa"/>
            <w:tcBorders>
              <w:top w:val="nil"/>
              <w:left w:val="nil"/>
              <w:bottom w:val="single" w:sz="4" w:space="0" w:color="auto"/>
              <w:right w:val="single" w:sz="4" w:space="0" w:color="auto"/>
            </w:tcBorders>
            <w:noWrap/>
            <w:vAlign w:val="bottom"/>
            <w:hideMark/>
          </w:tcPr>
          <w:p w14:paraId="50C81830"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Amphibious</w:t>
            </w:r>
          </w:p>
        </w:tc>
      </w:tr>
      <w:tr w:rsidR="000325B1" w:rsidRPr="00865189" w14:paraId="77F8463F"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7D04A7BC"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Schoenoplectus tabernaemontani</w:t>
            </w:r>
          </w:p>
        </w:tc>
        <w:tc>
          <w:tcPr>
            <w:tcW w:w="2528" w:type="dxa"/>
            <w:tcBorders>
              <w:top w:val="nil"/>
              <w:left w:val="nil"/>
              <w:bottom w:val="single" w:sz="4" w:space="0" w:color="auto"/>
              <w:right w:val="single" w:sz="4" w:space="0" w:color="auto"/>
            </w:tcBorders>
            <w:noWrap/>
            <w:vAlign w:val="bottom"/>
            <w:hideMark/>
          </w:tcPr>
          <w:p w14:paraId="36A3C39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Cyperaceae</w:t>
            </w:r>
          </w:p>
        </w:tc>
        <w:tc>
          <w:tcPr>
            <w:tcW w:w="3000" w:type="dxa"/>
            <w:tcBorders>
              <w:top w:val="nil"/>
              <w:left w:val="nil"/>
              <w:bottom w:val="single" w:sz="4" w:space="0" w:color="auto"/>
              <w:right w:val="single" w:sz="4" w:space="0" w:color="auto"/>
            </w:tcBorders>
            <w:noWrap/>
            <w:vAlign w:val="bottom"/>
            <w:hideMark/>
          </w:tcPr>
          <w:p w14:paraId="43927DA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65EB1953"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sedge</w:t>
            </w:r>
          </w:p>
        </w:tc>
        <w:tc>
          <w:tcPr>
            <w:tcW w:w="2268" w:type="dxa"/>
            <w:tcBorders>
              <w:top w:val="nil"/>
              <w:left w:val="nil"/>
              <w:bottom w:val="single" w:sz="4" w:space="0" w:color="auto"/>
              <w:right w:val="single" w:sz="4" w:space="0" w:color="auto"/>
            </w:tcBorders>
            <w:noWrap/>
            <w:vAlign w:val="bottom"/>
            <w:hideMark/>
          </w:tcPr>
          <w:p w14:paraId="0737850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Emergent</w:t>
            </w:r>
          </w:p>
        </w:tc>
      </w:tr>
      <w:tr w:rsidR="000325B1" w:rsidRPr="00865189" w14:paraId="2E87568C"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0AABC8C4"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Sclerolaena divaricata</w:t>
            </w:r>
          </w:p>
        </w:tc>
        <w:tc>
          <w:tcPr>
            <w:tcW w:w="2528" w:type="dxa"/>
            <w:tcBorders>
              <w:top w:val="nil"/>
              <w:left w:val="nil"/>
              <w:bottom w:val="single" w:sz="4" w:space="0" w:color="auto"/>
              <w:right w:val="single" w:sz="4" w:space="0" w:color="auto"/>
            </w:tcBorders>
            <w:noWrap/>
            <w:vAlign w:val="bottom"/>
            <w:hideMark/>
          </w:tcPr>
          <w:p w14:paraId="7B41ADA3"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Chenoppodiaceae</w:t>
            </w:r>
          </w:p>
        </w:tc>
        <w:tc>
          <w:tcPr>
            <w:tcW w:w="3000" w:type="dxa"/>
            <w:tcBorders>
              <w:top w:val="nil"/>
              <w:left w:val="nil"/>
              <w:bottom w:val="single" w:sz="4" w:space="0" w:color="auto"/>
              <w:right w:val="single" w:sz="4" w:space="0" w:color="auto"/>
            </w:tcBorders>
            <w:noWrap/>
            <w:vAlign w:val="bottom"/>
            <w:hideMark/>
          </w:tcPr>
          <w:p w14:paraId="21AF4D63"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5D389C8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sub-shrub</w:t>
            </w:r>
          </w:p>
        </w:tc>
        <w:tc>
          <w:tcPr>
            <w:tcW w:w="2268" w:type="dxa"/>
            <w:tcBorders>
              <w:top w:val="nil"/>
              <w:left w:val="nil"/>
              <w:bottom w:val="single" w:sz="4" w:space="0" w:color="auto"/>
              <w:right w:val="single" w:sz="4" w:space="0" w:color="auto"/>
            </w:tcBorders>
            <w:noWrap/>
            <w:vAlign w:val="bottom"/>
            <w:hideMark/>
          </w:tcPr>
          <w:p w14:paraId="5FD94DB7"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63386701"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1910165F"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Senecio cunninghamii</w:t>
            </w:r>
          </w:p>
        </w:tc>
        <w:tc>
          <w:tcPr>
            <w:tcW w:w="2528" w:type="dxa"/>
            <w:tcBorders>
              <w:top w:val="nil"/>
              <w:left w:val="nil"/>
              <w:bottom w:val="single" w:sz="4" w:space="0" w:color="auto"/>
              <w:right w:val="single" w:sz="4" w:space="0" w:color="auto"/>
            </w:tcBorders>
            <w:noWrap/>
            <w:vAlign w:val="bottom"/>
            <w:hideMark/>
          </w:tcPr>
          <w:p w14:paraId="1937085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6F48A70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513DCB0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shrub</w:t>
            </w:r>
          </w:p>
        </w:tc>
        <w:tc>
          <w:tcPr>
            <w:tcW w:w="2268" w:type="dxa"/>
            <w:tcBorders>
              <w:top w:val="nil"/>
              <w:left w:val="nil"/>
              <w:bottom w:val="single" w:sz="4" w:space="0" w:color="auto"/>
              <w:right w:val="single" w:sz="4" w:space="0" w:color="auto"/>
            </w:tcBorders>
            <w:noWrap/>
            <w:vAlign w:val="bottom"/>
            <w:hideMark/>
          </w:tcPr>
          <w:p w14:paraId="4AA2D0F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32F41DB1"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05D47D30"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Senecio runcinifolius</w:t>
            </w:r>
          </w:p>
        </w:tc>
        <w:tc>
          <w:tcPr>
            <w:tcW w:w="2528" w:type="dxa"/>
            <w:tcBorders>
              <w:top w:val="nil"/>
              <w:left w:val="nil"/>
              <w:bottom w:val="single" w:sz="4" w:space="0" w:color="auto"/>
              <w:right w:val="single" w:sz="4" w:space="0" w:color="auto"/>
            </w:tcBorders>
            <w:noWrap/>
            <w:vAlign w:val="bottom"/>
            <w:hideMark/>
          </w:tcPr>
          <w:p w14:paraId="43D35C8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1E916277"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4A7B244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herb</w:t>
            </w:r>
          </w:p>
        </w:tc>
        <w:tc>
          <w:tcPr>
            <w:tcW w:w="2268" w:type="dxa"/>
            <w:tcBorders>
              <w:top w:val="nil"/>
              <w:left w:val="nil"/>
              <w:bottom w:val="single" w:sz="4" w:space="0" w:color="auto"/>
              <w:right w:val="single" w:sz="4" w:space="0" w:color="auto"/>
            </w:tcBorders>
            <w:noWrap/>
            <w:vAlign w:val="bottom"/>
            <w:hideMark/>
          </w:tcPr>
          <w:p w14:paraId="712BA8B5"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371CAFD3"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5A23E58B"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Silene nocturna*</w:t>
            </w:r>
          </w:p>
        </w:tc>
        <w:tc>
          <w:tcPr>
            <w:tcW w:w="2528" w:type="dxa"/>
            <w:tcBorders>
              <w:top w:val="nil"/>
              <w:left w:val="nil"/>
              <w:bottom w:val="single" w:sz="4" w:space="0" w:color="auto"/>
              <w:right w:val="single" w:sz="4" w:space="0" w:color="auto"/>
            </w:tcBorders>
            <w:noWrap/>
            <w:vAlign w:val="bottom"/>
            <w:hideMark/>
          </w:tcPr>
          <w:p w14:paraId="2E29E1F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Caryophyllaceae</w:t>
            </w:r>
          </w:p>
        </w:tc>
        <w:tc>
          <w:tcPr>
            <w:tcW w:w="3000" w:type="dxa"/>
            <w:tcBorders>
              <w:top w:val="nil"/>
              <w:left w:val="nil"/>
              <w:bottom w:val="single" w:sz="4" w:space="0" w:color="auto"/>
              <w:right w:val="single" w:sz="4" w:space="0" w:color="auto"/>
            </w:tcBorders>
            <w:noWrap/>
            <w:vAlign w:val="bottom"/>
            <w:hideMark/>
          </w:tcPr>
          <w:p w14:paraId="17CE536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Naturalised</w:t>
            </w:r>
          </w:p>
        </w:tc>
        <w:tc>
          <w:tcPr>
            <w:tcW w:w="3261" w:type="dxa"/>
            <w:tcBorders>
              <w:top w:val="nil"/>
              <w:left w:val="nil"/>
              <w:bottom w:val="single" w:sz="4" w:space="0" w:color="auto"/>
              <w:right w:val="single" w:sz="4" w:space="0" w:color="auto"/>
            </w:tcBorders>
            <w:noWrap/>
            <w:vAlign w:val="bottom"/>
            <w:hideMark/>
          </w:tcPr>
          <w:p w14:paraId="6161DF9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02CABF61"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Terrestrial</w:t>
            </w:r>
          </w:p>
        </w:tc>
      </w:tr>
      <w:tr w:rsidR="000325B1" w:rsidRPr="00865189" w14:paraId="6EC5F89B"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62920559"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Sphaeromorphaea australis</w:t>
            </w:r>
          </w:p>
        </w:tc>
        <w:tc>
          <w:tcPr>
            <w:tcW w:w="2528" w:type="dxa"/>
            <w:tcBorders>
              <w:top w:val="nil"/>
              <w:left w:val="nil"/>
              <w:bottom w:val="single" w:sz="4" w:space="0" w:color="auto"/>
              <w:right w:val="single" w:sz="4" w:space="0" w:color="auto"/>
            </w:tcBorders>
            <w:noWrap/>
            <w:vAlign w:val="bottom"/>
            <w:hideMark/>
          </w:tcPr>
          <w:p w14:paraId="16E4140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46E22611"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6CDB30D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2FEE948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53BEA9F3"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3BDF372A"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lastRenderedPageBreak/>
              <w:t>Sporobolus mitchellii</w:t>
            </w:r>
          </w:p>
        </w:tc>
        <w:tc>
          <w:tcPr>
            <w:tcW w:w="2528" w:type="dxa"/>
            <w:tcBorders>
              <w:top w:val="nil"/>
              <w:left w:val="nil"/>
              <w:bottom w:val="single" w:sz="4" w:space="0" w:color="auto"/>
              <w:right w:val="single" w:sz="4" w:space="0" w:color="auto"/>
            </w:tcBorders>
            <w:noWrap/>
            <w:vAlign w:val="bottom"/>
            <w:hideMark/>
          </w:tcPr>
          <w:p w14:paraId="7D540C9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Poaceae</w:t>
            </w:r>
          </w:p>
        </w:tc>
        <w:tc>
          <w:tcPr>
            <w:tcW w:w="3000" w:type="dxa"/>
            <w:tcBorders>
              <w:top w:val="nil"/>
              <w:left w:val="nil"/>
              <w:bottom w:val="single" w:sz="4" w:space="0" w:color="auto"/>
              <w:right w:val="single" w:sz="4" w:space="0" w:color="auto"/>
            </w:tcBorders>
            <w:noWrap/>
            <w:vAlign w:val="bottom"/>
            <w:hideMark/>
          </w:tcPr>
          <w:p w14:paraId="1C74D26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48B7AA1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grass</w:t>
            </w:r>
          </w:p>
        </w:tc>
        <w:tc>
          <w:tcPr>
            <w:tcW w:w="2268" w:type="dxa"/>
            <w:tcBorders>
              <w:top w:val="nil"/>
              <w:left w:val="nil"/>
              <w:bottom w:val="single" w:sz="4" w:space="0" w:color="auto"/>
              <w:right w:val="single" w:sz="4" w:space="0" w:color="auto"/>
            </w:tcBorders>
            <w:noWrap/>
            <w:vAlign w:val="bottom"/>
            <w:hideMark/>
          </w:tcPr>
          <w:p w14:paraId="4904AF1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6D0A75F5"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548AB4E1"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Stemodia florulenta</w:t>
            </w:r>
          </w:p>
        </w:tc>
        <w:tc>
          <w:tcPr>
            <w:tcW w:w="2528" w:type="dxa"/>
            <w:tcBorders>
              <w:top w:val="nil"/>
              <w:left w:val="nil"/>
              <w:bottom w:val="single" w:sz="4" w:space="0" w:color="auto"/>
              <w:right w:val="single" w:sz="4" w:space="0" w:color="auto"/>
            </w:tcBorders>
            <w:noWrap/>
            <w:vAlign w:val="bottom"/>
            <w:hideMark/>
          </w:tcPr>
          <w:p w14:paraId="684A014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Scrophulariaceae</w:t>
            </w:r>
          </w:p>
        </w:tc>
        <w:tc>
          <w:tcPr>
            <w:tcW w:w="3000" w:type="dxa"/>
            <w:tcBorders>
              <w:top w:val="nil"/>
              <w:left w:val="nil"/>
              <w:bottom w:val="single" w:sz="4" w:space="0" w:color="auto"/>
              <w:right w:val="single" w:sz="4" w:space="0" w:color="auto"/>
            </w:tcBorders>
            <w:noWrap/>
            <w:vAlign w:val="bottom"/>
            <w:hideMark/>
          </w:tcPr>
          <w:p w14:paraId="7A1F6C4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2289290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herb</w:t>
            </w:r>
          </w:p>
        </w:tc>
        <w:tc>
          <w:tcPr>
            <w:tcW w:w="2268" w:type="dxa"/>
            <w:tcBorders>
              <w:top w:val="nil"/>
              <w:left w:val="nil"/>
              <w:bottom w:val="single" w:sz="4" w:space="0" w:color="auto"/>
              <w:right w:val="single" w:sz="4" w:space="0" w:color="auto"/>
            </w:tcBorders>
            <w:noWrap/>
            <w:vAlign w:val="bottom"/>
            <w:hideMark/>
          </w:tcPr>
          <w:p w14:paraId="02F78734"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1430BC35"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55C2E51"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Symphyotrichum subulatum*</w:t>
            </w:r>
          </w:p>
        </w:tc>
        <w:tc>
          <w:tcPr>
            <w:tcW w:w="2528" w:type="dxa"/>
            <w:tcBorders>
              <w:top w:val="nil"/>
              <w:left w:val="nil"/>
              <w:bottom w:val="single" w:sz="4" w:space="0" w:color="auto"/>
              <w:right w:val="single" w:sz="4" w:space="0" w:color="auto"/>
            </w:tcBorders>
            <w:noWrap/>
            <w:vAlign w:val="bottom"/>
            <w:hideMark/>
          </w:tcPr>
          <w:p w14:paraId="7C69C2FF"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006AAE39"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Naturalised</w:t>
            </w:r>
          </w:p>
        </w:tc>
        <w:tc>
          <w:tcPr>
            <w:tcW w:w="3261" w:type="dxa"/>
            <w:tcBorders>
              <w:top w:val="nil"/>
              <w:left w:val="nil"/>
              <w:bottom w:val="single" w:sz="4" w:space="0" w:color="auto"/>
              <w:right w:val="single" w:sz="4" w:space="0" w:color="auto"/>
            </w:tcBorders>
            <w:noWrap/>
            <w:vAlign w:val="bottom"/>
            <w:hideMark/>
          </w:tcPr>
          <w:p w14:paraId="17AA5E4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7DF0A68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2730FD16"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2CB0F993"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Teucrium racemosum</w:t>
            </w:r>
          </w:p>
        </w:tc>
        <w:tc>
          <w:tcPr>
            <w:tcW w:w="2528" w:type="dxa"/>
            <w:tcBorders>
              <w:top w:val="nil"/>
              <w:left w:val="nil"/>
              <w:bottom w:val="single" w:sz="4" w:space="0" w:color="auto"/>
              <w:right w:val="single" w:sz="4" w:space="0" w:color="auto"/>
            </w:tcBorders>
            <w:noWrap/>
            <w:vAlign w:val="bottom"/>
            <w:hideMark/>
          </w:tcPr>
          <w:p w14:paraId="1C633859"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Lamiaceae</w:t>
            </w:r>
          </w:p>
        </w:tc>
        <w:tc>
          <w:tcPr>
            <w:tcW w:w="3000" w:type="dxa"/>
            <w:tcBorders>
              <w:top w:val="nil"/>
              <w:left w:val="nil"/>
              <w:bottom w:val="single" w:sz="4" w:space="0" w:color="auto"/>
              <w:right w:val="single" w:sz="4" w:space="0" w:color="auto"/>
            </w:tcBorders>
            <w:noWrap/>
            <w:vAlign w:val="bottom"/>
            <w:hideMark/>
          </w:tcPr>
          <w:p w14:paraId="25756DC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2501FF2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Perrennial herb</w:t>
            </w:r>
          </w:p>
        </w:tc>
        <w:tc>
          <w:tcPr>
            <w:tcW w:w="2268" w:type="dxa"/>
            <w:tcBorders>
              <w:top w:val="nil"/>
              <w:left w:val="nil"/>
              <w:bottom w:val="single" w:sz="4" w:space="0" w:color="auto"/>
              <w:right w:val="single" w:sz="4" w:space="0" w:color="auto"/>
            </w:tcBorders>
            <w:noWrap/>
            <w:vAlign w:val="bottom"/>
            <w:hideMark/>
          </w:tcPr>
          <w:p w14:paraId="58A759E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3A06CAD1"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1D6A0CBC"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Typha domingensis</w:t>
            </w:r>
          </w:p>
        </w:tc>
        <w:tc>
          <w:tcPr>
            <w:tcW w:w="2528" w:type="dxa"/>
            <w:tcBorders>
              <w:top w:val="nil"/>
              <w:left w:val="nil"/>
              <w:bottom w:val="single" w:sz="4" w:space="0" w:color="auto"/>
              <w:right w:val="single" w:sz="4" w:space="0" w:color="auto"/>
            </w:tcBorders>
            <w:noWrap/>
            <w:vAlign w:val="bottom"/>
            <w:hideMark/>
          </w:tcPr>
          <w:p w14:paraId="087756AD"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Typhaeae</w:t>
            </w:r>
          </w:p>
        </w:tc>
        <w:tc>
          <w:tcPr>
            <w:tcW w:w="3000" w:type="dxa"/>
            <w:tcBorders>
              <w:top w:val="nil"/>
              <w:left w:val="nil"/>
              <w:bottom w:val="single" w:sz="4" w:space="0" w:color="auto"/>
              <w:right w:val="single" w:sz="4" w:space="0" w:color="auto"/>
            </w:tcBorders>
            <w:noWrap/>
            <w:vAlign w:val="bottom"/>
            <w:hideMark/>
          </w:tcPr>
          <w:p w14:paraId="6544DE2C"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1E0C281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Perennial sedge</w:t>
            </w:r>
          </w:p>
        </w:tc>
        <w:tc>
          <w:tcPr>
            <w:tcW w:w="2268" w:type="dxa"/>
            <w:tcBorders>
              <w:top w:val="nil"/>
              <w:left w:val="nil"/>
              <w:bottom w:val="single" w:sz="4" w:space="0" w:color="auto"/>
              <w:right w:val="single" w:sz="4" w:space="0" w:color="auto"/>
            </w:tcBorders>
            <w:noWrap/>
            <w:vAlign w:val="bottom"/>
            <w:hideMark/>
          </w:tcPr>
          <w:p w14:paraId="536A8F4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Emergent</w:t>
            </w:r>
          </w:p>
        </w:tc>
      </w:tr>
      <w:tr w:rsidR="000325B1" w:rsidRPr="00865189" w14:paraId="03D99242"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319F86B9"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Wahlenbergia fluminalis</w:t>
            </w:r>
          </w:p>
        </w:tc>
        <w:tc>
          <w:tcPr>
            <w:tcW w:w="2528" w:type="dxa"/>
            <w:tcBorders>
              <w:top w:val="nil"/>
              <w:left w:val="nil"/>
              <w:bottom w:val="single" w:sz="4" w:space="0" w:color="auto"/>
              <w:right w:val="single" w:sz="4" w:space="0" w:color="auto"/>
            </w:tcBorders>
            <w:noWrap/>
            <w:vAlign w:val="bottom"/>
            <w:hideMark/>
          </w:tcPr>
          <w:p w14:paraId="50003608"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Campanulaceae</w:t>
            </w:r>
          </w:p>
        </w:tc>
        <w:tc>
          <w:tcPr>
            <w:tcW w:w="3000" w:type="dxa"/>
            <w:tcBorders>
              <w:top w:val="nil"/>
              <w:left w:val="nil"/>
              <w:bottom w:val="single" w:sz="4" w:space="0" w:color="auto"/>
              <w:right w:val="single" w:sz="4" w:space="0" w:color="auto"/>
            </w:tcBorders>
            <w:noWrap/>
            <w:vAlign w:val="bottom"/>
            <w:hideMark/>
          </w:tcPr>
          <w:p w14:paraId="3325AE0B"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Native</w:t>
            </w:r>
          </w:p>
        </w:tc>
        <w:tc>
          <w:tcPr>
            <w:tcW w:w="3261" w:type="dxa"/>
            <w:tcBorders>
              <w:top w:val="nil"/>
              <w:left w:val="nil"/>
              <w:bottom w:val="single" w:sz="4" w:space="0" w:color="auto"/>
              <w:right w:val="single" w:sz="4" w:space="0" w:color="auto"/>
            </w:tcBorders>
            <w:noWrap/>
            <w:vAlign w:val="bottom"/>
            <w:hideMark/>
          </w:tcPr>
          <w:p w14:paraId="4792AD5E"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6111D307"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Flood dependent</w:t>
            </w:r>
          </w:p>
        </w:tc>
      </w:tr>
      <w:tr w:rsidR="000325B1" w:rsidRPr="00865189" w14:paraId="1B2040DC" w14:textId="77777777" w:rsidTr="008B4826">
        <w:trPr>
          <w:trHeight w:val="270"/>
        </w:trPr>
        <w:tc>
          <w:tcPr>
            <w:tcW w:w="2972" w:type="dxa"/>
            <w:tcBorders>
              <w:top w:val="nil"/>
              <w:left w:val="single" w:sz="4" w:space="0" w:color="auto"/>
              <w:bottom w:val="single" w:sz="4" w:space="0" w:color="auto"/>
              <w:right w:val="single" w:sz="4" w:space="0" w:color="auto"/>
            </w:tcBorders>
            <w:noWrap/>
            <w:vAlign w:val="bottom"/>
            <w:hideMark/>
          </w:tcPr>
          <w:p w14:paraId="4CCC91DE" w14:textId="77777777" w:rsidR="000325B1" w:rsidRPr="00865189" w:rsidRDefault="000325B1" w:rsidP="00D035C2">
            <w:pPr>
              <w:spacing w:before="0" w:after="0" w:line="240" w:lineRule="auto"/>
              <w:jc w:val="left"/>
              <w:rPr>
                <w:rFonts w:cs="Calibri"/>
                <w:i/>
                <w:iCs/>
                <w:kern w:val="0"/>
                <w:sz w:val="19"/>
                <w:szCs w:val="19"/>
                <w:lang w:eastAsia="en-AU"/>
              </w:rPr>
            </w:pPr>
            <w:r w:rsidRPr="00865189">
              <w:rPr>
                <w:rFonts w:cs="Calibri"/>
                <w:i/>
                <w:iCs/>
                <w:kern w:val="0"/>
                <w:sz w:val="19"/>
                <w:szCs w:val="19"/>
                <w:lang w:eastAsia="en-AU"/>
              </w:rPr>
              <w:t>Xanthium occidentale**</w:t>
            </w:r>
          </w:p>
        </w:tc>
        <w:tc>
          <w:tcPr>
            <w:tcW w:w="2528" w:type="dxa"/>
            <w:tcBorders>
              <w:top w:val="nil"/>
              <w:left w:val="nil"/>
              <w:bottom w:val="single" w:sz="4" w:space="0" w:color="auto"/>
              <w:right w:val="single" w:sz="4" w:space="0" w:color="auto"/>
            </w:tcBorders>
            <w:noWrap/>
            <w:vAlign w:val="bottom"/>
            <w:hideMark/>
          </w:tcPr>
          <w:p w14:paraId="5F04CBB6"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Asteraceae</w:t>
            </w:r>
          </w:p>
        </w:tc>
        <w:tc>
          <w:tcPr>
            <w:tcW w:w="3000" w:type="dxa"/>
            <w:tcBorders>
              <w:top w:val="nil"/>
              <w:left w:val="nil"/>
              <w:bottom w:val="single" w:sz="4" w:space="0" w:color="auto"/>
              <w:right w:val="single" w:sz="4" w:space="0" w:color="auto"/>
            </w:tcBorders>
            <w:noWrap/>
            <w:vAlign w:val="bottom"/>
            <w:hideMark/>
          </w:tcPr>
          <w:p w14:paraId="5607EBB1"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Exotic, Declared Pest Plant in South Australia</w:t>
            </w:r>
          </w:p>
        </w:tc>
        <w:tc>
          <w:tcPr>
            <w:tcW w:w="3261" w:type="dxa"/>
            <w:tcBorders>
              <w:top w:val="nil"/>
              <w:left w:val="nil"/>
              <w:bottom w:val="single" w:sz="4" w:space="0" w:color="auto"/>
              <w:right w:val="single" w:sz="4" w:space="0" w:color="auto"/>
            </w:tcBorders>
            <w:noWrap/>
            <w:vAlign w:val="bottom"/>
            <w:hideMark/>
          </w:tcPr>
          <w:p w14:paraId="08E9D8B2"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Annual herb</w:t>
            </w:r>
          </w:p>
        </w:tc>
        <w:tc>
          <w:tcPr>
            <w:tcW w:w="2268" w:type="dxa"/>
            <w:tcBorders>
              <w:top w:val="nil"/>
              <w:left w:val="nil"/>
              <w:bottom w:val="single" w:sz="4" w:space="0" w:color="auto"/>
              <w:right w:val="single" w:sz="4" w:space="0" w:color="auto"/>
            </w:tcBorders>
            <w:noWrap/>
            <w:vAlign w:val="bottom"/>
            <w:hideMark/>
          </w:tcPr>
          <w:p w14:paraId="0E2ACDA7" w14:textId="77777777" w:rsidR="000325B1" w:rsidRPr="00865189" w:rsidRDefault="000325B1" w:rsidP="00D035C2">
            <w:pPr>
              <w:spacing w:before="0" w:after="0" w:line="240" w:lineRule="auto"/>
              <w:jc w:val="left"/>
              <w:rPr>
                <w:rFonts w:cs="Calibri"/>
                <w:kern w:val="0"/>
                <w:sz w:val="19"/>
                <w:szCs w:val="19"/>
                <w:lang w:eastAsia="en-AU"/>
              </w:rPr>
            </w:pPr>
            <w:r w:rsidRPr="00865189">
              <w:rPr>
                <w:rFonts w:cs="Calibri"/>
                <w:kern w:val="0"/>
                <w:sz w:val="19"/>
                <w:szCs w:val="19"/>
                <w:lang w:eastAsia="en-AU"/>
              </w:rPr>
              <w:t>Amphibious</w:t>
            </w:r>
          </w:p>
        </w:tc>
      </w:tr>
    </w:tbl>
    <w:p w14:paraId="3F64EC72" w14:textId="77777777" w:rsidR="000325B1" w:rsidRDefault="000325B1" w:rsidP="000325B1">
      <w:pPr>
        <w:sectPr w:rsidR="000325B1" w:rsidSect="000325B1">
          <w:pgSz w:w="16838" w:h="11906" w:orient="landscape"/>
          <w:pgMar w:top="1440" w:right="1440" w:bottom="1440" w:left="1440" w:header="709" w:footer="709" w:gutter="0"/>
          <w:cols w:space="708"/>
          <w:docGrid w:linePitch="360"/>
        </w:sectPr>
      </w:pPr>
    </w:p>
    <w:p w14:paraId="1DCFB7EB" w14:textId="22A638D5" w:rsidR="000325B1" w:rsidRDefault="000325B1" w:rsidP="000325B1">
      <w:pPr>
        <w:pStyle w:val="Caption"/>
      </w:pPr>
      <w:r w:rsidRPr="002035C9">
        <w:lastRenderedPageBreak/>
        <w:t>Table</w:t>
      </w:r>
      <w:r w:rsidRPr="002035C9">
        <w:rPr>
          <w:noProof/>
        </w:rPr>
        <w:t xml:space="preserve"> </w:t>
      </w:r>
      <w:r>
        <w:rPr>
          <w:noProof/>
        </w:rPr>
        <w:t>C</w:t>
      </w:r>
      <w:r w:rsidR="00FB33C3">
        <w:rPr>
          <w:noProof/>
        </w:rPr>
        <w:t>7</w:t>
      </w:r>
      <w:r w:rsidRPr="002035C9">
        <w:rPr>
          <w:noProof/>
        </w:rPr>
        <w:t>.</w:t>
      </w:r>
      <w:r w:rsidRPr="002035C9">
        <w:t xml:space="preserve"> </w:t>
      </w:r>
      <w:r>
        <w:t>Response to inundation for each functional group</w:t>
      </w:r>
      <w:r w:rsidRPr="002035C9">
        <w:t>.</w:t>
      </w:r>
    </w:p>
    <w:tbl>
      <w:tblPr>
        <w:tblW w:w="8926" w:type="dxa"/>
        <w:jc w:val="center"/>
        <w:tblLook w:val="04A0" w:firstRow="1" w:lastRow="0" w:firstColumn="1" w:lastColumn="0" w:noHBand="0" w:noVBand="1"/>
        <w:tblDescription w:val="Table of response to inundation for each vegetaion functional group."/>
      </w:tblPr>
      <w:tblGrid>
        <w:gridCol w:w="2122"/>
        <w:gridCol w:w="6804"/>
      </w:tblGrid>
      <w:tr w:rsidR="000325B1" w:rsidRPr="002035C9" w14:paraId="08FA4E24" w14:textId="77777777" w:rsidTr="008B4826">
        <w:trPr>
          <w:trHeight w:val="300"/>
          <w:jc w:val="center"/>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44CF786E" w14:textId="77777777" w:rsidR="000325B1" w:rsidRPr="002035C9" w:rsidRDefault="000325B1" w:rsidP="00D035C2">
            <w:pPr>
              <w:spacing w:before="0" w:after="0" w:line="240" w:lineRule="auto"/>
              <w:jc w:val="center"/>
              <w:rPr>
                <w:rFonts w:cs="Calibri"/>
                <w:b/>
                <w:bCs/>
                <w:kern w:val="0"/>
                <w:szCs w:val="21"/>
                <w:lang w:eastAsia="en-AU"/>
              </w:rPr>
            </w:pPr>
            <w:r>
              <w:rPr>
                <w:rFonts w:cs="Calibri"/>
                <w:b/>
                <w:bCs/>
                <w:kern w:val="0"/>
                <w:szCs w:val="21"/>
                <w:lang w:eastAsia="en-AU"/>
              </w:rPr>
              <w:t>Functional Group</w:t>
            </w:r>
          </w:p>
        </w:tc>
        <w:tc>
          <w:tcPr>
            <w:tcW w:w="6804" w:type="dxa"/>
            <w:tcBorders>
              <w:top w:val="single" w:sz="4" w:space="0" w:color="auto"/>
              <w:left w:val="nil"/>
              <w:bottom w:val="single" w:sz="4" w:space="0" w:color="auto"/>
              <w:right w:val="single" w:sz="4" w:space="0" w:color="auto"/>
            </w:tcBorders>
            <w:noWrap/>
            <w:vAlign w:val="bottom"/>
            <w:hideMark/>
          </w:tcPr>
          <w:p w14:paraId="664BE76E" w14:textId="77777777" w:rsidR="000325B1" w:rsidRPr="002035C9" w:rsidRDefault="000325B1" w:rsidP="00D035C2">
            <w:pPr>
              <w:spacing w:before="0" w:after="0" w:line="240" w:lineRule="auto"/>
              <w:jc w:val="center"/>
              <w:rPr>
                <w:rFonts w:cs="Calibri"/>
                <w:b/>
                <w:bCs/>
                <w:kern w:val="0"/>
                <w:szCs w:val="21"/>
                <w:lang w:eastAsia="en-AU"/>
              </w:rPr>
            </w:pPr>
            <w:r>
              <w:rPr>
                <w:rFonts w:cs="Calibri"/>
                <w:b/>
                <w:bCs/>
                <w:kern w:val="0"/>
                <w:szCs w:val="21"/>
                <w:lang w:eastAsia="en-AU"/>
              </w:rPr>
              <w:t>Inundation Response</w:t>
            </w:r>
          </w:p>
        </w:tc>
      </w:tr>
      <w:tr w:rsidR="000325B1" w:rsidRPr="002035C9" w14:paraId="55B76BB2" w14:textId="77777777" w:rsidTr="008B4826">
        <w:trPr>
          <w:trHeight w:val="369"/>
          <w:jc w:val="center"/>
        </w:trPr>
        <w:tc>
          <w:tcPr>
            <w:tcW w:w="2122" w:type="dxa"/>
            <w:tcBorders>
              <w:top w:val="nil"/>
              <w:left w:val="single" w:sz="4" w:space="0" w:color="auto"/>
              <w:bottom w:val="single" w:sz="4" w:space="0" w:color="auto"/>
              <w:right w:val="single" w:sz="4" w:space="0" w:color="auto"/>
            </w:tcBorders>
            <w:noWrap/>
            <w:vAlign w:val="center"/>
            <w:hideMark/>
          </w:tcPr>
          <w:p w14:paraId="05947321" w14:textId="77777777" w:rsidR="000325B1" w:rsidRPr="002035C9" w:rsidRDefault="000325B1" w:rsidP="00D035C2">
            <w:pPr>
              <w:spacing w:before="0" w:after="0" w:line="240" w:lineRule="auto"/>
              <w:jc w:val="left"/>
              <w:rPr>
                <w:rFonts w:cs="Calibri"/>
                <w:kern w:val="0"/>
                <w:szCs w:val="21"/>
                <w:lang w:eastAsia="en-AU"/>
              </w:rPr>
            </w:pPr>
            <w:r>
              <w:rPr>
                <w:rFonts w:cs="Calibri"/>
                <w:kern w:val="0"/>
                <w:szCs w:val="21"/>
                <w:lang w:eastAsia="en-AU"/>
              </w:rPr>
              <w:t>Terrestrial</w:t>
            </w:r>
          </w:p>
        </w:tc>
        <w:tc>
          <w:tcPr>
            <w:tcW w:w="6804" w:type="dxa"/>
            <w:tcBorders>
              <w:top w:val="nil"/>
              <w:left w:val="nil"/>
              <w:bottom w:val="single" w:sz="4" w:space="0" w:color="auto"/>
              <w:right w:val="single" w:sz="4" w:space="0" w:color="auto"/>
            </w:tcBorders>
            <w:noWrap/>
            <w:vAlign w:val="center"/>
            <w:hideMark/>
          </w:tcPr>
          <w:p w14:paraId="2B11675F" w14:textId="77777777" w:rsidR="000325B1" w:rsidRPr="002035C9" w:rsidRDefault="000325B1" w:rsidP="00D035C2">
            <w:pPr>
              <w:spacing w:before="0" w:after="0" w:line="240" w:lineRule="auto"/>
              <w:jc w:val="left"/>
              <w:rPr>
                <w:rFonts w:cs="Calibri"/>
                <w:kern w:val="0"/>
                <w:szCs w:val="21"/>
                <w:lang w:eastAsia="en-AU"/>
              </w:rPr>
            </w:pPr>
            <w:r>
              <w:rPr>
                <w:rFonts w:cs="Calibri"/>
                <w:kern w:val="0"/>
                <w:szCs w:val="21"/>
                <w:lang w:eastAsia="en-AU"/>
              </w:rPr>
              <w:t>I</w:t>
            </w:r>
            <w:r w:rsidRPr="00E52C89">
              <w:rPr>
                <w:rFonts w:cs="Calibri"/>
                <w:kern w:val="0"/>
                <w:szCs w:val="21"/>
                <w:lang w:eastAsia="en-AU"/>
              </w:rPr>
              <w:t>ntolerant of either partial or complete inundation</w:t>
            </w:r>
          </w:p>
        </w:tc>
      </w:tr>
      <w:tr w:rsidR="000325B1" w:rsidRPr="002035C9" w14:paraId="7BD887C1" w14:textId="77777777" w:rsidTr="008B4826">
        <w:trPr>
          <w:trHeight w:val="300"/>
          <w:jc w:val="center"/>
        </w:trPr>
        <w:tc>
          <w:tcPr>
            <w:tcW w:w="2122" w:type="dxa"/>
            <w:tcBorders>
              <w:top w:val="nil"/>
              <w:left w:val="single" w:sz="4" w:space="0" w:color="auto"/>
              <w:bottom w:val="single" w:sz="4" w:space="0" w:color="auto"/>
              <w:right w:val="single" w:sz="4" w:space="0" w:color="auto"/>
            </w:tcBorders>
            <w:noWrap/>
            <w:vAlign w:val="center"/>
            <w:hideMark/>
          </w:tcPr>
          <w:p w14:paraId="78AB70BD" w14:textId="77777777" w:rsidR="000325B1" w:rsidRPr="002035C9" w:rsidRDefault="000325B1" w:rsidP="00D035C2">
            <w:pPr>
              <w:spacing w:before="0" w:after="0" w:line="240" w:lineRule="auto"/>
              <w:jc w:val="left"/>
              <w:rPr>
                <w:rFonts w:cs="Calibri"/>
                <w:kern w:val="0"/>
                <w:szCs w:val="21"/>
                <w:lang w:eastAsia="en-AU"/>
              </w:rPr>
            </w:pPr>
            <w:r>
              <w:rPr>
                <w:rFonts w:cs="Calibri"/>
                <w:kern w:val="0"/>
                <w:szCs w:val="21"/>
                <w:lang w:eastAsia="en-AU"/>
              </w:rPr>
              <w:t>Flood dependent</w:t>
            </w:r>
          </w:p>
        </w:tc>
        <w:tc>
          <w:tcPr>
            <w:tcW w:w="6804" w:type="dxa"/>
            <w:tcBorders>
              <w:top w:val="nil"/>
              <w:left w:val="nil"/>
              <w:bottom w:val="single" w:sz="4" w:space="0" w:color="auto"/>
              <w:right w:val="single" w:sz="4" w:space="0" w:color="auto"/>
            </w:tcBorders>
            <w:noWrap/>
            <w:vAlign w:val="center"/>
            <w:hideMark/>
          </w:tcPr>
          <w:p w14:paraId="64110422" w14:textId="45F773A8" w:rsidR="000325B1" w:rsidRPr="002035C9" w:rsidRDefault="000325B1" w:rsidP="00D035C2">
            <w:pPr>
              <w:spacing w:before="0" w:after="0" w:line="240" w:lineRule="auto"/>
              <w:jc w:val="left"/>
              <w:rPr>
                <w:rFonts w:cs="Calibri"/>
                <w:kern w:val="0"/>
                <w:szCs w:val="21"/>
                <w:lang w:eastAsia="en-AU"/>
              </w:rPr>
            </w:pPr>
            <w:r>
              <w:rPr>
                <w:rFonts w:cs="Calibri"/>
                <w:kern w:val="0"/>
                <w:szCs w:val="21"/>
                <w:lang w:eastAsia="en-AU"/>
              </w:rPr>
              <w:t>I</w:t>
            </w:r>
            <w:r w:rsidRPr="00E52C89">
              <w:rPr>
                <w:rFonts w:cs="Calibri"/>
                <w:kern w:val="0"/>
                <w:szCs w:val="21"/>
                <w:lang w:eastAsia="en-AU"/>
              </w:rPr>
              <w:t>ntolerant of complete inundation as mature or juvenile plants but germinate on newly exposed soil after inundation but not in response to rainfall. Many of these species are short-lived annuals that take advantage of the bare soil (lack of competition) and high soil moisture after inundation and can complete their life cycle in a matter of weeks (Nicol 2004)</w:t>
            </w:r>
          </w:p>
        </w:tc>
      </w:tr>
      <w:tr w:rsidR="000325B1" w:rsidRPr="002035C9" w14:paraId="1D329D24" w14:textId="77777777" w:rsidTr="008B4826">
        <w:trPr>
          <w:trHeight w:val="300"/>
          <w:jc w:val="center"/>
        </w:trPr>
        <w:tc>
          <w:tcPr>
            <w:tcW w:w="2122" w:type="dxa"/>
            <w:tcBorders>
              <w:top w:val="nil"/>
              <w:left w:val="single" w:sz="4" w:space="0" w:color="auto"/>
              <w:bottom w:val="single" w:sz="4" w:space="0" w:color="auto"/>
              <w:right w:val="single" w:sz="4" w:space="0" w:color="auto"/>
            </w:tcBorders>
            <w:noWrap/>
            <w:vAlign w:val="center"/>
            <w:hideMark/>
          </w:tcPr>
          <w:p w14:paraId="3CDCFD89" w14:textId="77777777" w:rsidR="000325B1" w:rsidRPr="002035C9" w:rsidRDefault="000325B1" w:rsidP="00D035C2">
            <w:pPr>
              <w:spacing w:before="0" w:after="0" w:line="240" w:lineRule="auto"/>
              <w:jc w:val="left"/>
              <w:rPr>
                <w:rFonts w:cs="Calibri"/>
                <w:kern w:val="0"/>
                <w:szCs w:val="21"/>
                <w:lang w:eastAsia="en-AU"/>
              </w:rPr>
            </w:pPr>
            <w:r>
              <w:rPr>
                <w:rFonts w:cs="Calibri"/>
                <w:kern w:val="0"/>
                <w:szCs w:val="21"/>
                <w:lang w:eastAsia="en-AU"/>
              </w:rPr>
              <w:t>Amphibious</w:t>
            </w:r>
          </w:p>
        </w:tc>
        <w:tc>
          <w:tcPr>
            <w:tcW w:w="6804" w:type="dxa"/>
            <w:tcBorders>
              <w:top w:val="nil"/>
              <w:left w:val="nil"/>
              <w:bottom w:val="single" w:sz="4" w:space="0" w:color="auto"/>
              <w:right w:val="single" w:sz="4" w:space="0" w:color="auto"/>
            </w:tcBorders>
            <w:noWrap/>
            <w:vAlign w:val="center"/>
            <w:hideMark/>
          </w:tcPr>
          <w:p w14:paraId="04F74584" w14:textId="77777777" w:rsidR="000325B1" w:rsidRPr="002035C9" w:rsidRDefault="000325B1" w:rsidP="00D035C2">
            <w:pPr>
              <w:spacing w:before="0" w:after="0" w:line="240" w:lineRule="auto"/>
              <w:jc w:val="left"/>
              <w:rPr>
                <w:rFonts w:cs="Calibri"/>
                <w:kern w:val="0"/>
                <w:szCs w:val="21"/>
                <w:lang w:eastAsia="en-AU"/>
              </w:rPr>
            </w:pPr>
            <w:r>
              <w:rPr>
                <w:rFonts w:cs="Calibri"/>
                <w:kern w:val="0"/>
                <w:szCs w:val="21"/>
                <w:lang w:eastAsia="en-AU"/>
              </w:rPr>
              <w:t>R</w:t>
            </w:r>
            <w:r w:rsidRPr="00E52C89">
              <w:rPr>
                <w:rFonts w:cs="Calibri"/>
                <w:kern w:val="0"/>
                <w:szCs w:val="21"/>
                <w:lang w:eastAsia="en-AU"/>
              </w:rPr>
              <w:t>equire</w:t>
            </w:r>
            <w:r>
              <w:rPr>
                <w:rFonts w:cs="Calibri"/>
                <w:kern w:val="0"/>
                <w:szCs w:val="21"/>
                <w:lang w:eastAsia="en-AU"/>
              </w:rPr>
              <w:t>s</w:t>
            </w:r>
            <w:r w:rsidRPr="00E52C89">
              <w:rPr>
                <w:rFonts w:cs="Calibri"/>
                <w:kern w:val="0"/>
                <w:szCs w:val="21"/>
                <w:lang w:eastAsia="en-AU"/>
              </w:rPr>
              <w:t xml:space="preserve"> fluctuating water levels and are adapted to survive inundation and exposure as juvenile or adult plants. Brock and Casanova (1997) split this group into five different groups based on their anatomical responses to inundation; however, they all have similar water regime requirements</w:t>
            </w:r>
          </w:p>
        </w:tc>
      </w:tr>
      <w:tr w:rsidR="000325B1" w:rsidRPr="002035C9" w14:paraId="2C03C6F8" w14:textId="77777777" w:rsidTr="008B4826">
        <w:trPr>
          <w:trHeight w:val="300"/>
          <w:jc w:val="center"/>
        </w:trPr>
        <w:tc>
          <w:tcPr>
            <w:tcW w:w="2122" w:type="dxa"/>
            <w:tcBorders>
              <w:top w:val="nil"/>
              <w:left w:val="single" w:sz="4" w:space="0" w:color="auto"/>
              <w:bottom w:val="single" w:sz="4" w:space="0" w:color="auto"/>
              <w:right w:val="single" w:sz="4" w:space="0" w:color="auto"/>
            </w:tcBorders>
            <w:noWrap/>
            <w:vAlign w:val="center"/>
            <w:hideMark/>
          </w:tcPr>
          <w:p w14:paraId="39C32CCB" w14:textId="77777777" w:rsidR="000325B1" w:rsidRPr="002035C9" w:rsidRDefault="000325B1" w:rsidP="00D035C2">
            <w:pPr>
              <w:spacing w:before="0" w:after="0" w:line="240" w:lineRule="auto"/>
              <w:jc w:val="left"/>
              <w:rPr>
                <w:rFonts w:cs="Calibri"/>
                <w:kern w:val="0"/>
                <w:szCs w:val="21"/>
                <w:lang w:eastAsia="en-AU"/>
              </w:rPr>
            </w:pPr>
            <w:r>
              <w:rPr>
                <w:rFonts w:cs="Calibri"/>
                <w:kern w:val="0"/>
                <w:szCs w:val="21"/>
                <w:lang w:eastAsia="en-AU"/>
              </w:rPr>
              <w:t>Emergent</w:t>
            </w:r>
          </w:p>
        </w:tc>
        <w:tc>
          <w:tcPr>
            <w:tcW w:w="6804" w:type="dxa"/>
            <w:tcBorders>
              <w:top w:val="nil"/>
              <w:left w:val="nil"/>
              <w:bottom w:val="single" w:sz="4" w:space="0" w:color="auto"/>
              <w:right w:val="single" w:sz="4" w:space="0" w:color="auto"/>
            </w:tcBorders>
            <w:noWrap/>
            <w:vAlign w:val="center"/>
            <w:hideMark/>
          </w:tcPr>
          <w:p w14:paraId="0F9A42DD" w14:textId="77777777" w:rsidR="000325B1" w:rsidRPr="002035C9" w:rsidRDefault="000325B1" w:rsidP="00D035C2">
            <w:pPr>
              <w:spacing w:before="0" w:after="0" w:line="240" w:lineRule="auto"/>
              <w:jc w:val="left"/>
              <w:rPr>
                <w:rFonts w:cs="Calibri"/>
                <w:kern w:val="0"/>
                <w:szCs w:val="21"/>
                <w:lang w:eastAsia="en-AU"/>
              </w:rPr>
            </w:pPr>
            <w:r>
              <w:rPr>
                <w:rFonts w:cs="Calibri"/>
                <w:kern w:val="0"/>
                <w:szCs w:val="21"/>
                <w:lang w:eastAsia="en-AU"/>
              </w:rPr>
              <w:t>H</w:t>
            </w:r>
            <w:r w:rsidRPr="00E52C89">
              <w:rPr>
                <w:rFonts w:cs="Calibri"/>
                <w:kern w:val="0"/>
                <w:szCs w:val="21"/>
                <w:lang w:eastAsia="en-AU"/>
              </w:rPr>
              <w:t xml:space="preserve">ave a requirement for permanent shallow water or continuous high soil moisture in the root zone to survive. Unlike amphibious species these species are well adapted to static water levels and </w:t>
            </w:r>
            <w:r>
              <w:rPr>
                <w:rFonts w:cs="Calibri"/>
                <w:kern w:val="0"/>
                <w:szCs w:val="21"/>
                <w:lang w:eastAsia="en-AU"/>
              </w:rPr>
              <w:t>can</w:t>
            </w:r>
            <w:r w:rsidRPr="00E52C89">
              <w:rPr>
                <w:rFonts w:cs="Calibri"/>
                <w:kern w:val="0"/>
                <w:szCs w:val="21"/>
                <w:lang w:eastAsia="en-AU"/>
              </w:rPr>
              <w:t xml:space="preserve"> displace amphibious species under these conditions</w:t>
            </w:r>
          </w:p>
        </w:tc>
      </w:tr>
    </w:tbl>
    <w:p w14:paraId="27F4D1CA" w14:textId="2F03D2ED" w:rsidR="00610151" w:rsidRDefault="00610151" w:rsidP="000325B1"/>
    <w:p w14:paraId="40BFA6BD" w14:textId="0042949F" w:rsidR="00610151" w:rsidRDefault="00610151">
      <w:pPr>
        <w:spacing w:before="0" w:after="160" w:line="259" w:lineRule="auto"/>
        <w:jc w:val="left"/>
      </w:pPr>
    </w:p>
    <w:p w14:paraId="0BACC3CA" w14:textId="02C733C0" w:rsidR="008E3671" w:rsidRPr="00186EB5" w:rsidRDefault="008E3671" w:rsidP="008E3671">
      <w:pPr>
        <w:pStyle w:val="Caption"/>
        <w:keepNext/>
      </w:pPr>
      <w:bookmarkStart w:id="603" w:name="_Ref194324769"/>
      <w:bookmarkStart w:id="604" w:name="_Hlk207969044"/>
      <w:r>
        <w:t>Table</w:t>
      </w:r>
      <w:bookmarkEnd w:id="603"/>
      <w:r>
        <w:t xml:space="preserve"> C</w:t>
      </w:r>
      <w:r w:rsidR="00FB33C3">
        <w:t>8</w:t>
      </w:r>
      <w:r>
        <w:t>.</w:t>
      </w:r>
      <w:r w:rsidRPr="00865189">
        <w:t xml:space="preserve"> </w:t>
      </w:r>
      <w:r>
        <w:t>PERMANOVA results comparing the plant community in each inundation zone over the study period for each reach.</w:t>
      </w:r>
    </w:p>
    <w:tbl>
      <w:tblPr>
        <w:tblW w:w="6260" w:type="dxa"/>
        <w:jc w:val="center"/>
        <w:tblLook w:val="04A0" w:firstRow="1" w:lastRow="0" w:firstColumn="1" w:lastColumn="0" w:noHBand="0" w:noVBand="1"/>
        <w:tblDescription w:val="Table of PERMANOVA results comparing the plant community in each inundation zone over the study period for each reach."/>
      </w:tblPr>
      <w:tblGrid>
        <w:gridCol w:w="2880"/>
        <w:gridCol w:w="1020"/>
        <w:gridCol w:w="1340"/>
        <w:gridCol w:w="1020"/>
      </w:tblGrid>
      <w:tr w:rsidR="008E3671" w:rsidRPr="00186EB5" w14:paraId="16044524" w14:textId="77777777" w:rsidTr="00610151">
        <w:trPr>
          <w:trHeight w:val="248"/>
          <w:jc w:val="center"/>
        </w:trPr>
        <w:tc>
          <w:tcPr>
            <w:tcW w:w="2880" w:type="dxa"/>
            <w:tcBorders>
              <w:top w:val="single" w:sz="4" w:space="0" w:color="auto"/>
              <w:left w:val="single" w:sz="4" w:space="0" w:color="auto"/>
              <w:bottom w:val="single" w:sz="4" w:space="0" w:color="auto"/>
              <w:right w:val="nil"/>
            </w:tcBorders>
            <w:noWrap/>
            <w:vAlign w:val="bottom"/>
            <w:hideMark/>
          </w:tcPr>
          <w:bookmarkEnd w:id="604"/>
          <w:p w14:paraId="7DDFDD31" w14:textId="77777777" w:rsidR="008E3671" w:rsidRPr="00186EB5" w:rsidRDefault="008E3671" w:rsidP="00EE49FE">
            <w:pPr>
              <w:spacing w:before="0" w:after="0" w:line="240" w:lineRule="auto"/>
              <w:jc w:val="left"/>
              <w:rPr>
                <w:b/>
                <w:bCs/>
                <w:kern w:val="0"/>
                <w:sz w:val="19"/>
                <w:szCs w:val="19"/>
                <w:lang w:eastAsia="en-AU"/>
              </w:rPr>
            </w:pPr>
            <w:r w:rsidRPr="00186EB5">
              <w:rPr>
                <w:b/>
                <w:bCs/>
                <w:kern w:val="0"/>
                <w:sz w:val="19"/>
                <w:szCs w:val="19"/>
                <w:lang w:eastAsia="en-AU"/>
              </w:rPr>
              <w:t> </w:t>
            </w:r>
          </w:p>
        </w:tc>
        <w:tc>
          <w:tcPr>
            <w:tcW w:w="1020" w:type="dxa"/>
            <w:tcBorders>
              <w:top w:val="single" w:sz="4" w:space="0" w:color="auto"/>
              <w:left w:val="nil"/>
              <w:bottom w:val="single" w:sz="4" w:space="0" w:color="auto"/>
              <w:right w:val="nil"/>
            </w:tcBorders>
            <w:noWrap/>
            <w:vAlign w:val="bottom"/>
            <w:hideMark/>
          </w:tcPr>
          <w:p w14:paraId="1035A594"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Lock  1</w:t>
            </w:r>
          </w:p>
        </w:tc>
        <w:tc>
          <w:tcPr>
            <w:tcW w:w="1340" w:type="dxa"/>
            <w:tcBorders>
              <w:top w:val="single" w:sz="4" w:space="0" w:color="auto"/>
              <w:left w:val="nil"/>
              <w:bottom w:val="single" w:sz="4" w:space="0" w:color="auto"/>
              <w:right w:val="nil"/>
            </w:tcBorders>
            <w:noWrap/>
            <w:vAlign w:val="bottom"/>
            <w:hideMark/>
          </w:tcPr>
          <w:p w14:paraId="751DCD25"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 </w:t>
            </w:r>
          </w:p>
        </w:tc>
        <w:tc>
          <w:tcPr>
            <w:tcW w:w="1020" w:type="dxa"/>
            <w:tcBorders>
              <w:top w:val="single" w:sz="4" w:space="0" w:color="auto"/>
              <w:left w:val="nil"/>
              <w:bottom w:val="single" w:sz="4" w:space="0" w:color="auto"/>
              <w:right w:val="single" w:sz="4" w:space="0" w:color="auto"/>
            </w:tcBorders>
            <w:noWrap/>
            <w:vAlign w:val="bottom"/>
            <w:hideMark/>
          </w:tcPr>
          <w:p w14:paraId="1353EEFE"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 </w:t>
            </w:r>
          </w:p>
        </w:tc>
      </w:tr>
      <w:tr w:rsidR="008E3671" w:rsidRPr="00186EB5" w14:paraId="56E62588" w14:textId="77777777" w:rsidTr="00610151">
        <w:trPr>
          <w:trHeight w:val="255"/>
          <w:jc w:val="center"/>
        </w:trPr>
        <w:tc>
          <w:tcPr>
            <w:tcW w:w="2880" w:type="dxa"/>
            <w:tcBorders>
              <w:top w:val="nil"/>
              <w:left w:val="single" w:sz="4" w:space="0" w:color="auto"/>
              <w:bottom w:val="single" w:sz="4" w:space="0" w:color="auto"/>
              <w:right w:val="single" w:sz="4" w:space="0" w:color="auto"/>
            </w:tcBorders>
            <w:noWrap/>
            <w:vAlign w:val="bottom"/>
            <w:hideMark/>
          </w:tcPr>
          <w:p w14:paraId="3CDD38C4"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Factor</w:t>
            </w:r>
          </w:p>
        </w:tc>
        <w:tc>
          <w:tcPr>
            <w:tcW w:w="1020" w:type="dxa"/>
            <w:tcBorders>
              <w:top w:val="nil"/>
              <w:left w:val="nil"/>
              <w:bottom w:val="single" w:sz="4" w:space="0" w:color="auto"/>
              <w:right w:val="single" w:sz="4" w:space="0" w:color="auto"/>
            </w:tcBorders>
            <w:noWrap/>
            <w:vAlign w:val="bottom"/>
            <w:hideMark/>
          </w:tcPr>
          <w:p w14:paraId="0DD78402"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DF</w:t>
            </w:r>
          </w:p>
        </w:tc>
        <w:tc>
          <w:tcPr>
            <w:tcW w:w="1340" w:type="dxa"/>
            <w:tcBorders>
              <w:top w:val="nil"/>
              <w:left w:val="nil"/>
              <w:bottom w:val="single" w:sz="4" w:space="0" w:color="auto"/>
              <w:right w:val="single" w:sz="4" w:space="0" w:color="auto"/>
            </w:tcBorders>
            <w:noWrap/>
            <w:vAlign w:val="bottom"/>
            <w:hideMark/>
          </w:tcPr>
          <w:p w14:paraId="1FEFFB2C" w14:textId="77777777" w:rsidR="008E3671" w:rsidRPr="00186EB5" w:rsidRDefault="008E3671" w:rsidP="00EE49FE">
            <w:pPr>
              <w:spacing w:before="0" w:after="0" w:line="240" w:lineRule="auto"/>
              <w:jc w:val="center"/>
              <w:rPr>
                <w:b/>
                <w:bCs/>
                <w:i/>
                <w:iCs/>
                <w:kern w:val="0"/>
                <w:sz w:val="19"/>
                <w:szCs w:val="19"/>
                <w:lang w:eastAsia="en-AU"/>
              </w:rPr>
            </w:pPr>
            <w:r w:rsidRPr="00186EB5">
              <w:rPr>
                <w:b/>
                <w:bCs/>
                <w:i/>
                <w:iCs/>
                <w:kern w:val="0"/>
                <w:sz w:val="19"/>
                <w:szCs w:val="19"/>
                <w:lang w:eastAsia="en-AU"/>
              </w:rPr>
              <w:t>Pseudo-F</w:t>
            </w:r>
          </w:p>
        </w:tc>
        <w:tc>
          <w:tcPr>
            <w:tcW w:w="1020" w:type="dxa"/>
            <w:tcBorders>
              <w:top w:val="nil"/>
              <w:left w:val="nil"/>
              <w:bottom w:val="single" w:sz="4" w:space="0" w:color="auto"/>
              <w:right w:val="single" w:sz="4" w:space="0" w:color="auto"/>
            </w:tcBorders>
            <w:noWrap/>
            <w:vAlign w:val="bottom"/>
            <w:hideMark/>
          </w:tcPr>
          <w:p w14:paraId="54839489" w14:textId="77777777" w:rsidR="008E3671" w:rsidRPr="00186EB5" w:rsidRDefault="008E3671" w:rsidP="00EE49FE">
            <w:pPr>
              <w:spacing w:before="0" w:after="0" w:line="240" w:lineRule="auto"/>
              <w:jc w:val="center"/>
              <w:rPr>
                <w:b/>
                <w:bCs/>
                <w:i/>
                <w:iCs/>
                <w:kern w:val="0"/>
                <w:sz w:val="19"/>
                <w:szCs w:val="19"/>
                <w:lang w:eastAsia="en-AU"/>
              </w:rPr>
            </w:pPr>
            <w:r w:rsidRPr="00186EB5">
              <w:rPr>
                <w:b/>
                <w:bCs/>
                <w:i/>
                <w:iCs/>
                <w:kern w:val="0"/>
                <w:sz w:val="19"/>
                <w:szCs w:val="19"/>
                <w:lang w:eastAsia="en-AU"/>
              </w:rPr>
              <w:t>P</w:t>
            </w:r>
          </w:p>
        </w:tc>
      </w:tr>
      <w:tr w:rsidR="008E3671" w:rsidRPr="00186EB5" w14:paraId="37AD1385" w14:textId="77777777" w:rsidTr="00610151">
        <w:trPr>
          <w:trHeight w:val="248"/>
          <w:jc w:val="center"/>
        </w:trPr>
        <w:tc>
          <w:tcPr>
            <w:tcW w:w="2880" w:type="dxa"/>
            <w:tcBorders>
              <w:top w:val="nil"/>
              <w:left w:val="single" w:sz="4" w:space="0" w:color="auto"/>
              <w:bottom w:val="single" w:sz="4" w:space="0" w:color="auto"/>
              <w:right w:val="single" w:sz="4" w:space="0" w:color="auto"/>
            </w:tcBorders>
            <w:noWrap/>
            <w:vAlign w:val="bottom"/>
            <w:hideMark/>
          </w:tcPr>
          <w:p w14:paraId="563AC379" w14:textId="77777777" w:rsidR="008E3671" w:rsidRPr="00186EB5" w:rsidRDefault="008E3671" w:rsidP="00EE49FE">
            <w:pPr>
              <w:spacing w:before="0" w:after="0" w:line="240" w:lineRule="auto"/>
              <w:jc w:val="left"/>
              <w:rPr>
                <w:kern w:val="0"/>
                <w:sz w:val="19"/>
                <w:szCs w:val="19"/>
                <w:lang w:eastAsia="en-AU"/>
              </w:rPr>
            </w:pPr>
            <w:r w:rsidRPr="00186EB5">
              <w:rPr>
                <w:kern w:val="0"/>
                <w:sz w:val="19"/>
                <w:szCs w:val="19"/>
                <w:lang w:eastAsia="en-AU"/>
              </w:rPr>
              <w:t>Year</w:t>
            </w:r>
          </w:p>
        </w:tc>
        <w:tc>
          <w:tcPr>
            <w:tcW w:w="1020" w:type="dxa"/>
            <w:tcBorders>
              <w:top w:val="nil"/>
              <w:left w:val="nil"/>
              <w:bottom w:val="single" w:sz="4" w:space="0" w:color="auto"/>
              <w:right w:val="single" w:sz="4" w:space="0" w:color="auto"/>
            </w:tcBorders>
            <w:noWrap/>
            <w:vAlign w:val="bottom"/>
            <w:hideMark/>
          </w:tcPr>
          <w:p w14:paraId="2769D678"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2,111</w:t>
            </w:r>
          </w:p>
        </w:tc>
        <w:tc>
          <w:tcPr>
            <w:tcW w:w="1340" w:type="dxa"/>
            <w:tcBorders>
              <w:top w:val="nil"/>
              <w:left w:val="nil"/>
              <w:bottom w:val="single" w:sz="4" w:space="0" w:color="auto"/>
              <w:right w:val="single" w:sz="4" w:space="0" w:color="auto"/>
            </w:tcBorders>
            <w:noWrap/>
            <w:vAlign w:val="bottom"/>
            <w:hideMark/>
          </w:tcPr>
          <w:p w14:paraId="22558772"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6.11</w:t>
            </w:r>
          </w:p>
        </w:tc>
        <w:tc>
          <w:tcPr>
            <w:tcW w:w="1020" w:type="dxa"/>
            <w:tcBorders>
              <w:top w:val="nil"/>
              <w:left w:val="nil"/>
              <w:bottom w:val="single" w:sz="4" w:space="0" w:color="auto"/>
              <w:right w:val="single" w:sz="4" w:space="0" w:color="auto"/>
            </w:tcBorders>
            <w:noWrap/>
            <w:vAlign w:val="bottom"/>
            <w:hideMark/>
          </w:tcPr>
          <w:p w14:paraId="4639EFB0"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0.001</w:t>
            </w:r>
          </w:p>
        </w:tc>
      </w:tr>
      <w:tr w:rsidR="008E3671" w:rsidRPr="00186EB5" w14:paraId="282E328F" w14:textId="77777777" w:rsidTr="00610151">
        <w:trPr>
          <w:trHeight w:val="248"/>
          <w:jc w:val="center"/>
        </w:trPr>
        <w:tc>
          <w:tcPr>
            <w:tcW w:w="2880" w:type="dxa"/>
            <w:tcBorders>
              <w:top w:val="nil"/>
              <w:left w:val="single" w:sz="4" w:space="0" w:color="auto"/>
              <w:bottom w:val="single" w:sz="4" w:space="0" w:color="auto"/>
              <w:right w:val="single" w:sz="4" w:space="0" w:color="auto"/>
            </w:tcBorders>
            <w:noWrap/>
            <w:vAlign w:val="bottom"/>
            <w:hideMark/>
          </w:tcPr>
          <w:p w14:paraId="05D2B454" w14:textId="77777777" w:rsidR="008E3671" w:rsidRPr="00186EB5" w:rsidRDefault="008E3671" w:rsidP="00EE49FE">
            <w:pPr>
              <w:spacing w:before="0" w:after="0" w:line="240" w:lineRule="auto"/>
              <w:jc w:val="left"/>
              <w:rPr>
                <w:kern w:val="0"/>
                <w:sz w:val="19"/>
                <w:szCs w:val="19"/>
                <w:lang w:eastAsia="en-AU"/>
              </w:rPr>
            </w:pPr>
            <w:r w:rsidRPr="00186EB5">
              <w:rPr>
                <w:kern w:val="0"/>
                <w:sz w:val="19"/>
                <w:szCs w:val="19"/>
                <w:lang w:eastAsia="en-AU"/>
              </w:rPr>
              <w:t>Inundation zone</w:t>
            </w:r>
          </w:p>
        </w:tc>
        <w:tc>
          <w:tcPr>
            <w:tcW w:w="1020" w:type="dxa"/>
            <w:tcBorders>
              <w:top w:val="nil"/>
              <w:left w:val="nil"/>
              <w:bottom w:val="single" w:sz="4" w:space="0" w:color="auto"/>
              <w:right w:val="single" w:sz="4" w:space="0" w:color="auto"/>
            </w:tcBorders>
            <w:noWrap/>
            <w:vAlign w:val="bottom"/>
            <w:hideMark/>
          </w:tcPr>
          <w:p w14:paraId="7F5CBA47"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3,111</w:t>
            </w:r>
          </w:p>
        </w:tc>
        <w:tc>
          <w:tcPr>
            <w:tcW w:w="1340" w:type="dxa"/>
            <w:tcBorders>
              <w:top w:val="nil"/>
              <w:left w:val="nil"/>
              <w:bottom w:val="single" w:sz="4" w:space="0" w:color="auto"/>
              <w:right w:val="single" w:sz="4" w:space="0" w:color="auto"/>
            </w:tcBorders>
            <w:noWrap/>
            <w:vAlign w:val="bottom"/>
            <w:hideMark/>
          </w:tcPr>
          <w:p w14:paraId="236325BD"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3.6</w:t>
            </w:r>
          </w:p>
        </w:tc>
        <w:tc>
          <w:tcPr>
            <w:tcW w:w="1020" w:type="dxa"/>
            <w:tcBorders>
              <w:top w:val="nil"/>
              <w:left w:val="nil"/>
              <w:bottom w:val="single" w:sz="4" w:space="0" w:color="auto"/>
              <w:right w:val="single" w:sz="4" w:space="0" w:color="auto"/>
            </w:tcBorders>
            <w:noWrap/>
            <w:vAlign w:val="bottom"/>
            <w:hideMark/>
          </w:tcPr>
          <w:p w14:paraId="2DAB8586"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0.001</w:t>
            </w:r>
          </w:p>
        </w:tc>
      </w:tr>
      <w:tr w:rsidR="008E3671" w:rsidRPr="00186EB5" w14:paraId="0B201832" w14:textId="77777777" w:rsidTr="00610151">
        <w:trPr>
          <w:trHeight w:val="248"/>
          <w:jc w:val="center"/>
        </w:trPr>
        <w:tc>
          <w:tcPr>
            <w:tcW w:w="2880" w:type="dxa"/>
            <w:tcBorders>
              <w:top w:val="nil"/>
              <w:left w:val="single" w:sz="4" w:space="0" w:color="auto"/>
              <w:bottom w:val="single" w:sz="4" w:space="0" w:color="auto"/>
              <w:right w:val="single" w:sz="4" w:space="0" w:color="auto"/>
            </w:tcBorders>
            <w:noWrap/>
            <w:vAlign w:val="bottom"/>
            <w:hideMark/>
          </w:tcPr>
          <w:p w14:paraId="0F56595D" w14:textId="77777777" w:rsidR="008E3671" w:rsidRPr="00186EB5" w:rsidRDefault="008E3671" w:rsidP="00EE49FE">
            <w:pPr>
              <w:spacing w:before="0" w:after="0" w:line="240" w:lineRule="auto"/>
              <w:jc w:val="left"/>
              <w:rPr>
                <w:kern w:val="0"/>
                <w:sz w:val="19"/>
                <w:szCs w:val="19"/>
                <w:lang w:eastAsia="en-AU"/>
              </w:rPr>
            </w:pPr>
            <w:r w:rsidRPr="00186EB5">
              <w:rPr>
                <w:kern w:val="0"/>
                <w:sz w:val="19"/>
                <w:szCs w:val="19"/>
                <w:lang w:eastAsia="en-AU"/>
              </w:rPr>
              <w:t>Year x Inundation zone</w:t>
            </w:r>
          </w:p>
        </w:tc>
        <w:tc>
          <w:tcPr>
            <w:tcW w:w="1020" w:type="dxa"/>
            <w:tcBorders>
              <w:top w:val="nil"/>
              <w:left w:val="nil"/>
              <w:bottom w:val="single" w:sz="4" w:space="0" w:color="auto"/>
              <w:right w:val="single" w:sz="4" w:space="0" w:color="auto"/>
            </w:tcBorders>
            <w:noWrap/>
            <w:vAlign w:val="bottom"/>
            <w:hideMark/>
          </w:tcPr>
          <w:p w14:paraId="7EAF0E36"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6,111</w:t>
            </w:r>
          </w:p>
        </w:tc>
        <w:tc>
          <w:tcPr>
            <w:tcW w:w="1340" w:type="dxa"/>
            <w:tcBorders>
              <w:top w:val="nil"/>
              <w:left w:val="nil"/>
              <w:bottom w:val="single" w:sz="4" w:space="0" w:color="auto"/>
              <w:right w:val="single" w:sz="4" w:space="0" w:color="auto"/>
            </w:tcBorders>
            <w:noWrap/>
            <w:vAlign w:val="bottom"/>
            <w:hideMark/>
          </w:tcPr>
          <w:p w14:paraId="1CC12E1F"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1.57</w:t>
            </w:r>
          </w:p>
        </w:tc>
        <w:tc>
          <w:tcPr>
            <w:tcW w:w="1020" w:type="dxa"/>
            <w:tcBorders>
              <w:top w:val="nil"/>
              <w:left w:val="nil"/>
              <w:bottom w:val="single" w:sz="4" w:space="0" w:color="auto"/>
              <w:right w:val="single" w:sz="4" w:space="0" w:color="auto"/>
            </w:tcBorders>
            <w:noWrap/>
            <w:vAlign w:val="bottom"/>
            <w:hideMark/>
          </w:tcPr>
          <w:p w14:paraId="3A132285"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0.013</w:t>
            </w:r>
          </w:p>
        </w:tc>
      </w:tr>
      <w:tr w:rsidR="008E3671" w:rsidRPr="00186EB5" w14:paraId="054031A2" w14:textId="77777777" w:rsidTr="00610151">
        <w:trPr>
          <w:trHeight w:val="248"/>
          <w:jc w:val="center"/>
        </w:trPr>
        <w:tc>
          <w:tcPr>
            <w:tcW w:w="2880" w:type="dxa"/>
            <w:tcBorders>
              <w:top w:val="nil"/>
              <w:left w:val="single" w:sz="4" w:space="0" w:color="auto"/>
              <w:bottom w:val="single" w:sz="4" w:space="0" w:color="auto"/>
              <w:right w:val="nil"/>
            </w:tcBorders>
            <w:noWrap/>
            <w:vAlign w:val="bottom"/>
            <w:hideMark/>
          </w:tcPr>
          <w:p w14:paraId="694CDB67" w14:textId="77777777" w:rsidR="008E3671" w:rsidRPr="00186EB5" w:rsidRDefault="008E3671" w:rsidP="00EE49FE">
            <w:pPr>
              <w:spacing w:before="0" w:after="0" w:line="240" w:lineRule="auto"/>
              <w:jc w:val="left"/>
              <w:rPr>
                <w:b/>
                <w:bCs/>
                <w:kern w:val="0"/>
                <w:sz w:val="19"/>
                <w:szCs w:val="19"/>
                <w:lang w:eastAsia="en-AU"/>
              </w:rPr>
            </w:pPr>
            <w:r w:rsidRPr="00186EB5">
              <w:rPr>
                <w:b/>
                <w:bCs/>
                <w:kern w:val="0"/>
                <w:sz w:val="19"/>
                <w:szCs w:val="19"/>
                <w:lang w:eastAsia="en-AU"/>
              </w:rPr>
              <w:t> </w:t>
            </w:r>
          </w:p>
        </w:tc>
        <w:tc>
          <w:tcPr>
            <w:tcW w:w="1020" w:type="dxa"/>
            <w:tcBorders>
              <w:top w:val="nil"/>
              <w:left w:val="nil"/>
              <w:bottom w:val="single" w:sz="4" w:space="0" w:color="auto"/>
              <w:right w:val="nil"/>
            </w:tcBorders>
            <w:noWrap/>
            <w:vAlign w:val="bottom"/>
            <w:hideMark/>
          </w:tcPr>
          <w:p w14:paraId="4489E2D2"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Lock  4</w:t>
            </w:r>
          </w:p>
        </w:tc>
        <w:tc>
          <w:tcPr>
            <w:tcW w:w="1340" w:type="dxa"/>
            <w:tcBorders>
              <w:top w:val="nil"/>
              <w:left w:val="nil"/>
              <w:bottom w:val="single" w:sz="4" w:space="0" w:color="auto"/>
              <w:right w:val="nil"/>
            </w:tcBorders>
            <w:noWrap/>
            <w:vAlign w:val="bottom"/>
            <w:hideMark/>
          </w:tcPr>
          <w:p w14:paraId="78CF7B69"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 </w:t>
            </w:r>
          </w:p>
        </w:tc>
        <w:tc>
          <w:tcPr>
            <w:tcW w:w="1020" w:type="dxa"/>
            <w:tcBorders>
              <w:top w:val="nil"/>
              <w:left w:val="nil"/>
              <w:bottom w:val="single" w:sz="4" w:space="0" w:color="auto"/>
              <w:right w:val="single" w:sz="4" w:space="0" w:color="auto"/>
            </w:tcBorders>
            <w:noWrap/>
            <w:vAlign w:val="bottom"/>
            <w:hideMark/>
          </w:tcPr>
          <w:p w14:paraId="4ABE6547"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 </w:t>
            </w:r>
          </w:p>
        </w:tc>
      </w:tr>
      <w:tr w:rsidR="008E3671" w:rsidRPr="00186EB5" w14:paraId="001C8D3E" w14:textId="77777777" w:rsidTr="00610151">
        <w:trPr>
          <w:trHeight w:val="255"/>
          <w:jc w:val="center"/>
        </w:trPr>
        <w:tc>
          <w:tcPr>
            <w:tcW w:w="2880" w:type="dxa"/>
            <w:tcBorders>
              <w:top w:val="nil"/>
              <w:left w:val="single" w:sz="4" w:space="0" w:color="auto"/>
              <w:bottom w:val="single" w:sz="4" w:space="0" w:color="auto"/>
              <w:right w:val="single" w:sz="4" w:space="0" w:color="auto"/>
            </w:tcBorders>
            <w:noWrap/>
            <w:vAlign w:val="bottom"/>
            <w:hideMark/>
          </w:tcPr>
          <w:p w14:paraId="0ABCC95B"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Factor</w:t>
            </w:r>
          </w:p>
        </w:tc>
        <w:tc>
          <w:tcPr>
            <w:tcW w:w="1020" w:type="dxa"/>
            <w:tcBorders>
              <w:top w:val="nil"/>
              <w:left w:val="nil"/>
              <w:bottom w:val="single" w:sz="4" w:space="0" w:color="auto"/>
              <w:right w:val="single" w:sz="4" w:space="0" w:color="auto"/>
            </w:tcBorders>
            <w:noWrap/>
            <w:vAlign w:val="bottom"/>
            <w:hideMark/>
          </w:tcPr>
          <w:p w14:paraId="07854FB3"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DF</w:t>
            </w:r>
          </w:p>
        </w:tc>
        <w:tc>
          <w:tcPr>
            <w:tcW w:w="1340" w:type="dxa"/>
            <w:tcBorders>
              <w:top w:val="nil"/>
              <w:left w:val="nil"/>
              <w:bottom w:val="single" w:sz="4" w:space="0" w:color="auto"/>
              <w:right w:val="single" w:sz="4" w:space="0" w:color="auto"/>
            </w:tcBorders>
            <w:noWrap/>
            <w:vAlign w:val="bottom"/>
            <w:hideMark/>
          </w:tcPr>
          <w:p w14:paraId="204F3CE1" w14:textId="77777777" w:rsidR="008E3671" w:rsidRPr="00186EB5" w:rsidRDefault="008E3671" w:rsidP="00EE49FE">
            <w:pPr>
              <w:spacing w:before="0" w:after="0" w:line="240" w:lineRule="auto"/>
              <w:jc w:val="center"/>
              <w:rPr>
                <w:b/>
                <w:bCs/>
                <w:i/>
                <w:iCs/>
                <w:kern w:val="0"/>
                <w:sz w:val="19"/>
                <w:szCs w:val="19"/>
                <w:lang w:eastAsia="en-AU"/>
              </w:rPr>
            </w:pPr>
            <w:r w:rsidRPr="00186EB5">
              <w:rPr>
                <w:b/>
                <w:bCs/>
                <w:i/>
                <w:iCs/>
                <w:kern w:val="0"/>
                <w:sz w:val="19"/>
                <w:szCs w:val="19"/>
                <w:lang w:eastAsia="en-AU"/>
              </w:rPr>
              <w:t>Pseudo-F</w:t>
            </w:r>
          </w:p>
        </w:tc>
        <w:tc>
          <w:tcPr>
            <w:tcW w:w="1020" w:type="dxa"/>
            <w:tcBorders>
              <w:top w:val="nil"/>
              <w:left w:val="nil"/>
              <w:bottom w:val="single" w:sz="4" w:space="0" w:color="auto"/>
              <w:right w:val="single" w:sz="4" w:space="0" w:color="auto"/>
            </w:tcBorders>
            <w:noWrap/>
            <w:vAlign w:val="bottom"/>
            <w:hideMark/>
          </w:tcPr>
          <w:p w14:paraId="1ADF35B8" w14:textId="77777777" w:rsidR="008E3671" w:rsidRPr="00186EB5" w:rsidRDefault="008E3671" w:rsidP="00EE49FE">
            <w:pPr>
              <w:spacing w:before="0" w:after="0" w:line="240" w:lineRule="auto"/>
              <w:jc w:val="center"/>
              <w:rPr>
                <w:b/>
                <w:bCs/>
                <w:i/>
                <w:iCs/>
                <w:kern w:val="0"/>
                <w:sz w:val="19"/>
                <w:szCs w:val="19"/>
                <w:lang w:eastAsia="en-AU"/>
              </w:rPr>
            </w:pPr>
            <w:r w:rsidRPr="00186EB5">
              <w:rPr>
                <w:b/>
                <w:bCs/>
                <w:i/>
                <w:iCs/>
                <w:kern w:val="0"/>
                <w:sz w:val="19"/>
                <w:szCs w:val="19"/>
                <w:lang w:eastAsia="en-AU"/>
              </w:rPr>
              <w:t>P</w:t>
            </w:r>
          </w:p>
        </w:tc>
      </w:tr>
      <w:tr w:rsidR="008E3671" w:rsidRPr="00186EB5" w14:paraId="433F8489" w14:textId="77777777" w:rsidTr="00610151">
        <w:trPr>
          <w:trHeight w:val="248"/>
          <w:jc w:val="center"/>
        </w:trPr>
        <w:tc>
          <w:tcPr>
            <w:tcW w:w="2880" w:type="dxa"/>
            <w:tcBorders>
              <w:top w:val="nil"/>
              <w:left w:val="single" w:sz="4" w:space="0" w:color="auto"/>
              <w:bottom w:val="single" w:sz="4" w:space="0" w:color="auto"/>
              <w:right w:val="single" w:sz="4" w:space="0" w:color="auto"/>
            </w:tcBorders>
            <w:noWrap/>
            <w:vAlign w:val="bottom"/>
            <w:hideMark/>
          </w:tcPr>
          <w:p w14:paraId="62633C3E" w14:textId="77777777" w:rsidR="008E3671" w:rsidRPr="00186EB5" w:rsidRDefault="008E3671" w:rsidP="00EE49FE">
            <w:pPr>
              <w:spacing w:before="0" w:after="0" w:line="240" w:lineRule="auto"/>
              <w:jc w:val="left"/>
              <w:rPr>
                <w:kern w:val="0"/>
                <w:sz w:val="19"/>
                <w:szCs w:val="19"/>
                <w:lang w:eastAsia="en-AU"/>
              </w:rPr>
            </w:pPr>
            <w:r w:rsidRPr="00186EB5">
              <w:rPr>
                <w:kern w:val="0"/>
                <w:sz w:val="19"/>
                <w:szCs w:val="19"/>
                <w:lang w:eastAsia="en-AU"/>
              </w:rPr>
              <w:t>Year</w:t>
            </w:r>
          </w:p>
        </w:tc>
        <w:tc>
          <w:tcPr>
            <w:tcW w:w="1020" w:type="dxa"/>
            <w:tcBorders>
              <w:top w:val="nil"/>
              <w:left w:val="nil"/>
              <w:bottom w:val="single" w:sz="4" w:space="0" w:color="auto"/>
              <w:right w:val="single" w:sz="4" w:space="0" w:color="auto"/>
            </w:tcBorders>
            <w:noWrap/>
            <w:vAlign w:val="bottom"/>
            <w:hideMark/>
          </w:tcPr>
          <w:p w14:paraId="140B03A0"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2,107</w:t>
            </w:r>
          </w:p>
        </w:tc>
        <w:tc>
          <w:tcPr>
            <w:tcW w:w="1340" w:type="dxa"/>
            <w:tcBorders>
              <w:top w:val="nil"/>
              <w:left w:val="nil"/>
              <w:bottom w:val="single" w:sz="4" w:space="0" w:color="auto"/>
              <w:right w:val="single" w:sz="4" w:space="0" w:color="auto"/>
            </w:tcBorders>
            <w:noWrap/>
            <w:vAlign w:val="bottom"/>
            <w:hideMark/>
          </w:tcPr>
          <w:p w14:paraId="0596BE9C"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8.74</w:t>
            </w:r>
          </w:p>
        </w:tc>
        <w:tc>
          <w:tcPr>
            <w:tcW w:w="1020" w:type="dxa"/>
            <w:tcBorders>
              <w:top w:val="nil"/>
              <w:left w:val="nil"/>
              <w:bottom w:val="single" w:sz="4" w:space="0" w:color="auto"/>
              <w:right w:val="single" w:sz="4" w:space="0" w:color="auto"/>
            </w:tcBorders>
            <w:noWrap/>
            <w:vAlign w:val="bottom"/>
            <w:hideMark/>
          </w:tcPr>
          <w:p w14:paraId="031B23F8"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0.001</w:t>
            </w:r>
          </w:p>
        </w:tc>
      </w:tr>
      <w:tr w:rsidR="008E3671" w:rsidRPr="00186EB5" w14:paraId="2924CC39" w14:textId="77777777" w:rsidTr="00610151">
        <w:trPr>
          <w:trHeight w:val="248"/>
          <w:jc w:val="center"/>
        </w:trPr>
        <w:tc>
          <w:tcPr>
            <w:tcW w:w="2880" w:type="dxa"/>
            <w:tcBorders>
              <w:top w:val="nil"/>
              <w:left w:val="single" w:sz="4" w:space="0" w:color="auto"/>
              <w:bottom w:val="single" w:sz="4" w:space="0" w:color="auto"/>
              <w:right w:val="single" w:sz="4" w:space="0" w:color="auto"/>
            </w:tcBorders>
            <w:noWrap/>
            <w:vAlign w:val="bottom"/>
            <w:hideMark/>
          </w:tcPr>
          <w:p w14:paraId="76CC5263" w14:textId="77777777" w:rsidR="008E3671" w:rsidRPr="00186EB5" w:rsidRDefault="008E3671" w:rsidP="00EE49FE">
            <w:pPr>
              <w:spacing w:before="0" w:after="0" w:line="240" w:lineRule="auto"/>
              <w:jc w:val="left"/>
              <w:rPr>
                <w:kern w:val="0"/>
                <w:sz w:val="19"/>
                <w:szCs w:val="19"/>
                <w:lang w:eastAsia="en-AU"/>
              </w:rPr>
            </w:pPr>
            <w:r w:rsidRPr="00186EB5">
              <w:rPr>
                <w:kern w:val="0"/>
                <w:sz w:val="19"/>
                <w:szCs w:val="19"/>
                <w:lang w:eastAsia="en-AU"/>
              </w:rPr>
              <w:t>Inundation zone</w:t>
            </w:r>
          </w:p>
        </w:tc>
        <w:tc>
          <w:tcPr>
            <w:tcW w:w="1020" w:type="dxa"/>
            <w:tcBorders>
              <w:top w:val="nil"/>
              <w:left w:val="nil"/>
              <w:bottom w:val="single" w:sz="4" w:space="0" w:color="auto"/>
              <w:right w:val="single" w:sz="4" w:space="0" w:color="auto"/>
            </w:tcBorders>
            <w:noWrap/>
            <w:vAlign w:val="bottom"/>
            <w:hideMark/>
          </w:tcPr>
          <w:p w14:paraId="17818FE9"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3,107</w:t>
            </w:r>
          </w:p>
        </w:tc>
        <w:tc>
          <w:tcPr>
            <w:tcW w:w="1340" w:type="dxa"/>
            <w:tcBorders>
              <w:top w:val="nil"/>
              <w:left w:val="nil"/>
              <w:bottom w:val="single" w:sz="4" w:space="0" w:color="auto"/>
              <w:right w:val="single" w:sz="4" w:space="0" w:color="auto"/>
            </w:tcBorders>
            <w:noWrap/>
            <w:vAlign w:val="bottom"/>
            <w:hideMark/>
          </w:tcPr>
          <w:p w14:paraId="607A9F81"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2.5</w:t>
            </w:r>
          </w:p>
        </w:tc>
        <w:tc>
          <w:tcPr>
            <w:tcW w:w="1020" w:type="dxa"/>
            <w:tcBorders>
              <w:top w:val="nil"/>
              <w:left w:val="nil"/>
              <w:bottom w:val="single" w:sz="4" w:space="0" w:color="auto"/>
              <w:right w:val="single" w:sz="4" w:space="0" w:color="auto"/>
            </w:tcBorders>
            <w:noWrap/>
            <w:vAlign w:val="bottom"/>
            <w:hideMark/>
          </w:tcPr>
          <w:p w14:paraId="5B460B1A"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0.003</w:t>
            </w:r>
          </w:p>
        </w:tc>
      </w:tr>
      <w:tr w:rsidR="008E3671" w:rsidRPr="00186EB5" w14:paraId="6908572F" w14:textId="77777777" w:rsidTr="00610151">
        <w:trPr>
          <w:trHeight w:val="248"/>
          <w:jc w:val="center"/>
        </w:trPr>
        <w:tc>
          <w:tcPr>
            <w:tcW w:w="2880" w:type="dxa"/>
            <w:tcBorders>
              <w:top w:val="nil"/>
              <w:left w:val="single" w:sz="4" w:space="0" w:color="auto"/>
              <w:bottom w:val="single" w:sz="4" w:space="0" w:color="auto"/>
              <w:right w:val="single" w:sz="4" w:space="0" w:color="auto"/>
            </w:tcBorders>
            <w:noWrap/>
            <w:vAlign w:val="bottom"/>
            <w:hideMark/>
          </w:tcPr>
          <w:p w14:paraId="03BB7024" w14:textId="77777777" w:rsidR="008E3671" w:rsidRPr="00186EB5" w:rsidRDefault="008E3671" w:rsidP="00EE49FE">
            <w:pPr>
              <w:spacing w:before="0" w:after="0" w:line="240" w:lineRule="auto"/>
              <w:jc w:val="left"/>
              <w:rPr>
                <w:kern w:val="0"/>
                <w:sz w:val="19"/>
                <w:szCs w:val="19"/>
                <w:lang w:eastAsia="en-AU"/>
              </w:rPr>
            </w:pPr>
            <w:r w:rsidRPr="00186EB5">
              <w:rPr>
                <w:kern w:val="0"/>
                <w:sz w:val="19"/>
                <w:szCs w:val="19"/>
                <w:lang w:eastAsia="en-AU"/>
              </w:rPr>
              <w:t>Year x Inundation zone</w:t>
            </w:r>
          </w:p>
        </w:tc>
        <w:tc>
          <w:tcPr>
            <w:tcW w:w="1020" w:type="dxa"/>
            <w:tcBorders>
              <w:top w:val="nil"/>
              <w:left w:val="nil"/>
              <w:bottom w:val="single" w:sz="4" w:space="0" w:color="auto"/>
              <w:right w:val="single" w:sz="4" w:space="0" w:color="auto"/>
            </w:tcBorders>
            <w:noWrap/>
            <w:vAlign w:val="bottom"/>
            <w:hideMark/>
          </w:tcPr>
          <w:p w14:paraId="48C9C8DA"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6,107</w:t>
            </w:r>
          </w:p>
        </w:tc>
        <w:tc>
          <w:tcPr>
            <w:tcW w:w="1340" w:type="dxa"/>
            <w:tcBorders>
              <w:top w:val="nil"/>
              <w:left w:val="nil"/>
              <w:bottom w:val="single" w:sz="4" w:space="0" w:color="auto"/>
              <w:right w:val="single" w:sz="4" w:space="0" w:color="auto"/>
            </w:tcBorders>
            <w:noWrap/>
            <w:vAlign w:val="bottom"/>
            <w:hideMark/>
          </w:tcPr>
          <w:p w14:paraId="002B40BF"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1.87</w:t>
            </w:r>
          </w:p>
        </w:tc>
        <w:tc>
          <w:tcPr>
            <w:tcW w:w="1020" w:type="dxa"/>
            <w:tcBorders>
              <w:top w:val="nil"/>
              <w:left w:val="nil"/>
              <w:bottom w:val="single" w:sz="4" w:space="0" w:color="auto"/>
              <w:right w:val="single" w:sz="4" w:space="0" w:color="auto"/>
            </w:tcBorders>
            <w:noWrap/>
            <w:vAlign w:val="bottom"/>
            <w:hideMark/>
          </w:tcPr>
          <w:p w14:paraId="165F81EE"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0.006</w:t>
            </w:r>
          </w:p>
        </w:tc>
      </w:tr>
      <w:tr w:rsidR="008E3671" w:rsidRPr="00186EB5" w14:paraId="1CDE59EC" w14:textId="77777777" w:rsidTr="00610151">
        <w:trPr>
          <w:trHeight w:val="248"/>
          <w:jc w:val="center"/>
        </w:trPr>
        <w:tc>
          <w:tcPr>
            <w:tcW w:w="2880" w:type="dxa"/>
            <w:tcBorders>
              <w:top w:val="nil"/>
              <w:left w:val="single" w:sz="4" w:space="0" w:color="auto"/>
              <w:bottom w:val="single" w:sz="4" w:space="0" w:color="auto"/>
              <w:right w:val="nil"/>
            </w:tcBorders>
            <w:noWrap/>
            <w:vAlign w:val="bottom"/>
            <w:hideMark/>
          </w:tcPr>
          <w:p w14:paraId="0005987A" w14:textId="77777777" w:rsidR="008E3671" w:rsidRPr="00186EB5" w:rsidRDefault="008E3671" w:rsidP="00EE49FE">
            <w:pPr>
              <w:spacing w:before="0" w:after="0" w:line="240" w:lineRule="auto"/>
              <w:jc w:val="left"/>
              <w:rPr>
                <w:b/>
                <w:bCs/>
                <w:kern w:val="0"/>
                <w:sz w:val="19"/>
                <w:szCs w:val="19"/>
                <w:lang w:eastAsia="en-AU"/>
              </w:rPr>
            </w:pPr>
            <w:r w:rsidRPr="00186EB5">
              <w:rPr>
                <w:b/>
                <w:bCs/>
                <w:kern w:val="0"/>
                <w:sz w:val="19"/>
                <w:szCs w:val="19"/>
                <w:lang w:eastAsia="en-AU"/>
              </w:rPr>
              <w:t> </w:t>
            </w:r>
          </w:p>
        </w:tc>
        <w:tc>
          <w:tcPr>
            <w:tcW w:w="1020" w:type="dxa"/>
            <w:tcBorders>
              <w:top w:val="nil"/>
              <w:left w:val="nil"/>
              <w:bottom w:val="single" w:sz="4" w:space="0" w:color="auto"/>
              <w:right w:val="nil"/>
            </w:tcBorders>
            <w:noWrap/>
            <w:vAlign w:val="bottom"/>
            <w:hideMark/>
          </w:tcPr>
          <w:p w14:paraId="71B7234F"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Lock 6</w:t>
            </w:r>
          </w:p>
        </w:tc>
        <w:tc>
          <w:tcPr>
            <w:tcW w:w="1340" w:type="dxa"/>
            <w:tcBorders>
              <w:top w:val="nil"/>
              <w:left w:val="nil"/>
              <w:bottom w:val="single" w:sz="4" w:space="0" w:color="auto"/>
              <w:right w:val="nil"/>
            </w:tcBorders>
            <w:noWrap/>
            <w:vAlign w:val="bottom"/>
            <w:hideMark/>
          </w:tcPr>
          <w:p w14:paraId="19D2873D"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 </w:t>
            </w:r>
          </w:p>
        </w:tc>
        <w:tc>
          <w:tcPr>
            <w:tcW w:w="1020" w:type="dxa"/>
            <w:tcBorders>
              <w:top w:val="nil"/>
              <w:left w:val="nil"/>
              <w:bottom w:val="single" w:sz="4" w:space="0" w:color="auto"/>
              <w:right w:val="single" w:sz="4" w:space="0" w:color="auto"/>
            </w:tcBorders>
            <w:noWrap/>
            <w:vAlign w:val="bottom"/>
            <w:hideMark/>
          </w:tcPr>
          <w:p w14:paraId="3C9AE209"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 </w:t>
            </w:r>
          </w:p>
        </w:tc>
      </w:tr>
      <w:tr w:rsidR="008E3671" w:rsidRPr="00186EB5" w14:paraId="392098EE" w14:textId="77777777" w:rsidTr="00610151">
        <w:trPr>
          <w:trHeight w:val="255"/>
          <w:jc w:val="center"/>
        </w:trPr>
        <w:tc>
          <w:tcPr>
            <w:tcW w:w="2880" w:type="dxa"/>
            <w:tcBorders>
              <w:top w:val="nil"/>
              <w:left w:val="single" w:sz="4" w:space="0" w:color="auto"/>
              <w:bottom w:val="single" w:sz="4" w:space="0" w:color="auto"/>
              <w:right w:val="single" w:sz="4" w:space="0" w:color="auto"/>
            </w:tcBorders>
            <w:noWrap/>
            <w:vAlign w:val="bottom"/>
            <w:hideMark/>
          </w:tcPr>
          <w:p w14:paraId="192C86BB"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Factor</w:t>
            </w:r>
          </w:p>
        </w:tc>
        <w:tc>
          <w:tcPr>
            <w:tcW w:w="1020" w:type="dxa"/>
            <w:tcBorders>
              <w:top w:val="nil"/>
              <w:left w:val="nil"/>
              <w:bottom w:val="single" w:sz="4" w:space="0" w:color="auto"/>
              <w:right w:val="single" w:sz="4" w:space="0" w:color="auto"/>
            </w:tcBorders>
            <w:noWrap/>
            <w:vAlign w:val="bottom"/>
            <w:hideMark/>
          </w:tcPr>
          <w:p w14:paraId="5C397F29" w14:textId="77777777" w:rsidR="008E3671" w:rsidRPr="00186EB5" w:rsidRDefault="008E3671" w:rsidP="00EE49FE">
            <w:pPr>
              <w:spacing w:before="0" w:after="0" w:line="240" w:lineRule="auto"/>
              <w:jc w:val="center"/>
              <w:rPr>
                <w:b/>
                <w:bCs/>
                <w:kern w:val="0"/>
                <w:sz w:val="19"/>
                <w:szCs w:val="19"/>
                <w:lang w:eastAsia="en-AU"/>
              </w:rPr>
            </w:pPr>
            <w:r w:rsidRPr="00186EB5">
              <w:rPr>
                <w:b/>
                <w:bCs/>
                <w:kern w:val="0"/>
                <w:sz w:val="19"/>
                <w:szCs w:val="19"/>
                <w:lang w:eastAsia="en-AU"/>
              </w:rPr>
              <w:t>DF</w:t>
            </w:r>
          </w:p>
        </w:tc>
        <w:tc>
          <w:tcPr>
            <w:tcW w:w="1340" w:type="dxa"/>
            <w:tcBorders>
              <w:top w:val="nil"/>
              <w:left w:val="nil"/>
              <w:bottom w:val="single" w:sz="4" w:space="0" w:color="auto"/>
              <w:right w:val="single" w:sz="4" w:space="0" w:color="auto"/>
            </w:tcBorders>
            <w:noWrap/>
            <w:vAlign w:val="bottom"/>
            <w:hideMark/>
          </w:tcPr>
          <w:p w14:paraId="24D02FD2" w14:textId="77777777" w:rsidR="008E3671" w:rsidRPr="00186EB5" w:rsidRDefault="008E3671" w:rsidP="00EE49FE">
            <w:pPr>
              <w:spacing w:before="0" w:after="0" w:line="240" w:lineRule="auto"/>
              <w:jc w:val="center"/>
              <w:rPr>
                <w:b/>
                <w:bCs/>
                <w:i/>
                <w:iCs/>
                <w:kern w:val="0"/>
                <w:sz w:val="19"/>
                <w:szCs w:val="19"/>
                <w:lang w:eastAsia="en-AU"/>
              </w:rPr>
            </w:pPr>
            <w:r w:rsidRPr="00186EB5">
              <w:rPr>
                <w:b/>
                <w:bCs/>
                <w:i/>
                <w:iCs/>
                <w:kern w:val="0"/>
                <w:sz w:val="19"/>
                <w:szCs w:val="19"/>
                <w:lang w:eastAsia="en-AU"/>
              </w:rPr>
              <w:t>Pseudo-F</w:t>
            </w:r>
          </w:p>
        </w:tc>
        <w:tc>
          <w:tcPr>
            <w:tcW w:w="1020" w:type="dxa"/>
            <w:tcBorders>
              <w:top w:val="nil"/>
              <w:left w:val="nil"/>
              <w:bottom w:val="single" w:sz="4" w:space="0" w:color="auto"/>
              <w:right w:val="single" w:sz="4" w:space="0" w:color="auto"/>
            </w:tcBorders>
            <w:noWrap/>
            <w:vAlign w:val="bottom"/>
            <w:hideMark/>
          </w:tcPr>
          <w:p w14:paraId="61C762A7" w14:textId="77777777" w:rsidR="008E3671" w:rsidRPr="00186EB5" w:rsidRDefault="008E3671" w:rsidP="00EE49FE">
            <w:pPr>
              <w:spacing w:before="0" w:after="0" w:line="240" w:lineRule="auto"/>
              <w:jc w:val="center"/>
              <w:rPr>
                <w:b/>
                <w:bCs/>
                <w:i/>
                <w:iCs/>
                <w:kern w:val="0"/>
                <w:sz w:val="19"/>
                <w:szCs w:val="19"/>
                <w:lang w:eastAsia="en-AU"/>
              </w:rPr>
            </w:pPr>
            <w:r w:rsidRPr="00186EB5">
              <w:rPr>
                <w:b/>
                <w:bCs/>
                <w:i/>
                <w:iCs/>
                <w:kern w:val="0"/>
                <w:sz w:val="19"/>
                <w:szCs w:val="19"/>
                <w:lang w:eastAsia="en-AU"/>
              </w:rPr>
              <w:t>P</w:t>
            </w:r>
          </w:p>
        </w:tc>
      </w:tr>
      <w:tr w:rsidR="008E3671" w:rsidRPr="00186EB5" w14:paraId="32F4B31D" w14:textId="77777777" w:rsidTr="00610151">
        <w:trPr>
          <w:trHeight w:val="248"/>
          <w:jc w:val="center"/>
        </w:trPr>
        <w:tc>
          <w:tcPr>
            <w:tcW w:w="2880" w:type="dxa"/>
            <w:tcBorders>
              <w:top w:val="nil"/>
              <w:left w:val="single" w:sz="4" w:space="0" w:color="auto"/>
              <w:bottom w:val="single" w:sz="4" w:space="0" w:color="auto"/>
              <w:right w:val="single" w:sz="4" w:space="0" w:color="auto"/>
            </w:tcBorders>
            <w:noWrap/>
            <w:vAlign w:val="bottom"/>
            <w:hideMark/>
          </w:tcPr>
          <w:p w14:paraId="3297AA65" w14:textId="77777777" w:rsidR="008E3671" w:rsidRPr="00186EB5" w:rsidRDefault="008E3671" w:rsidP="00EE49FE">
            <w:pPr>
              <w:spacing w:before="0" w:after="0" w:line="240" w:lineRule="auto"/>
              <w:jc w:val="left"/>
              <w:rPr>
                <w:kern w:val="0"/>
                <w:sz w:val="19"/>
                <w:szCs w:val="19"/>
                <w:lang w:eastAsia="en-AU"/>
              </w:rPr>
            </w:pPr>
            <w:r w:rsidRPr="00186EB5">
              <w:rPr>
                <w:kern w:val="0"/>
                <w:sz w:val="19"/>
                <w:szCs w:val="19"/>
                <w:lang w:eastAsia="en-AU"/>
              </w:rPr>
              <w:t>Year</w:t>
            </w:r>
          </w:p>
        </w:tc>
        <w:tc>
          <w:tcPr>
            <w:tcW w:w="1020" w:type="dxa"/>
            <w:tcBorders>
              <w:top w:val="nil"/>
              <w:left w:val="nil"/>
              <w:bottom w:val="single" w:sz="4" w:space="0" w:color="auto"/>
              <w:right w:val="single" w:sz="4" w:space="0" w:color="auto"/>
            </w:tcBorders>
            <w:noWrap/>
            <w:vAlign w:val="bottom"/>
            <w:hideMark/>
          </w:tcPr>
          <w:p w14:paraId="7F70A68D"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2,113</w:t>
            </w:r>
          </w:p>
        </w:tc>
        <w:tc>
          <w:tcPr>
            <w:tcW w:w="1340" w:type="dxa"/>
            <w:tcBorders>
              <w:top w:val="nil"/>
              <w:left w:val="nil"/>
              <w:bottom w:val="single" w:sz="4" w:space="0" w:color="auto"/>
              <w:right w:val="single" w:sz="4" w:space="0" w:color="auto"/>
            </w:tcBorders>
            <w:noWrap/>
            <w:vAlign w:val="bottom"/>
            <w:hideMark/>
          </w:tcPr>
          <w:p w14:paraId="1FB26277"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7.34</w:t>
            </w:r>
          </w:p>
        </w:tc>
        <w:tc>
          <w:tcPr>
            <w:tcW w:w="1020" w:type="dxa"/>
            <w:tcBorders>
              <w:top w:val="nil"/>
              <w:left w:val="nil"/>
              <w:bottom w:val="single" w:sz="4" w:space="0" w:color="auto"/>
              <w:right w:val="single" w:sz="4" w:space="0" w:color="auto"/>
            </w:tcBorders>
            <w:noWrap/>
            <w:vAlign w:val="bottom"/>
            <w:hideMark/>
          </w:tcPr>
          <w:p w14:paraId="197830CC"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0.001</w:t>
            </w:r>
          </w:p>
        </w:tc>
      </w:tr>
      <w:tr w:rsidR="008E3671" w:rsidRPr="00186EB5" w14:paraId="6C0798F5" w14:textId="77777777" w:rsidTr="00610151">
        <w:trPr>
          <w:trHeight w:val="248"/>
          <w:jc w:val="center"/>
        </w:trPr>
        <w:tc>
          <w:tcPr>
            <w:tcW w:w="2880" w:type="dxa"/>
            <w:tcBorders>
              <w:top w:val="nil"/>
              <w:left w:val="single" w:sz="4" w:space="0" w:color="auto"/>
              <w:bottom w:val="single" w:sz="4" w:space="0" w:color="auto"/>
              <w:right w:val="single" w:sz="4" w:space="0" w:color="auto"/>
            </w:tcBorders>
            <w:noWrap/>
            <w:vAlign w:val="bottom"/>
            <w:hideMark/>
          </w:tcPr>
          <w:p w14:paraId="7088316E" w14:textId="77777777" w:rsidR="008E3671" w:rsidRPr="00186EB5" w:rsidRDefault="008E3671" w:rsidP="00EE49FE">
            <w:pPr>
              <w:spacing w:before="0" w:after="0" w:line="240" w:lineRule="auto"/>
              <w:jc w:val="left"/>
              <w:rPr>
                <w:kern w:val="0"/>
                <w:sz w:val="19"/>
                <w:szCs w:val="19"/>
                <w:lang w:eastAsia="en-AU"/>
              </w:rPr>
            </w:pPr>
            <w:r w:rsidRPr="00186EB5">
              <w:rPr>
                <w:kern w:val="0"/>
                <w:sz w:val="19"/>
                <w:szCs w:val="19"/>
                <w:lang w:eastAsia="en-AU"/>
              </w:rPr>
              <w:t>Inundation zone</w:t>
            </w:r>
          </w:p>
        </w:tc>
        <w:tc>
          <w:tcPr>
            <w:tcW w:w="1020" w:type="dxa"/>
            <w:tcBorders>
              <w:top w:val="nil"/>
              <w:left w:val="nil"/>
              <w:bottom w:val="single" w:sz="4" w:space="0" w:color="auto"/>
              <w:right w:val="single" w:sz="4" w:space="0" w:color="auto"/>
            </w:tcBorders>
            <w:noWrap/>
            <w:vAlign w:val="bottom"/>
            <w:hideMark/>
          </w:tcPr>
          <w:p w14:paraId="33DD3742"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3,113</w:t>
            </w:r>
          </w:p>
        </w:tc>
        <w:tc>
          <w:tcPr>
            <w:tcW w:w="1340" w:type="dxa"/>
            <w:tcBorders>
              <w:top w:val="nil"/>
              <w:left w:val="nil"/>
              <w:bottom w:val="single" w:sz="4" w:space="0" w:color="auto"/>
              <w:right w:val="single" w:sz="4" w:space="0" w:color="auto"/>
            </w:tcBorders>
            <w:noWrap/>
            <w:vAlign w:val="bottom"/>
            <w:hideMark/>
          </w:tcPr>
          <w:p w14:paraId="489DA0D7"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6.34</w:t>
            </w:r>
          </w:p>
        </w:tc>
        <w:tc>
          <w:tcPr>
            <w:tcW w:w="1020" w:type="dxa"/>
            <w:tcBorders>
              <w:top w:val="nil"/>
              <w:left w:val="nil"/>
              <w:bottom w:val="single" w:sz="4" w:space="0" w:color="auto"/>
              <w:right w:val="single" w:sz="4" w:space="0" w:color="auto"/>
            </w:tcBorders>
            <w:noWrap/>
            <w:vAlign w:val="bottom"/>
            <w:hideMark/>
          </w:tcPr>
          <w:p w14:paraId="623024FB"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0.001</w:t>
            </w:r>
          </w:p>
        </w:tc>
      </w:tr>
      <w:tr w:rsidR="008E3671" w:rsidRPr="00186EB5" w14:paraId="7717180C" w14:textId="77777777" w:rsidTr="00610151">
        <w:trPr>
          <w:trHeight w:val="248"/>
          <w:jc w:val="center"/>
        </w:trPr>
        <w:tc>
          <w:tcPr>
            <w:tcW w:w="2880" w:type="dxa"/>
            <w:tcBorders>
              <w:top w:val="nil"/>
              <w:left w:val="single" w:sz="4" w:space="0" w:color="auto"/>
              <w:bottom w:val="single" w:sz="4" w:space="0" w:color="auto"/>
              <w:right w:val="single" w:sz="4" w:space="0" w:color="auto"/>
            </w:tcBorders>
            <w:noWrap/>
            <w:vAlign w:val="bottom"/>
            <w:hideMark/>
          </w:tcPr>
          <w:p w14:paraId="7A83DECB" w14:textId="77777777" w:rsidR="008E3671" w:rsidRPr="00186EB5" w:rsidRDefault="008E3671" w:rsidP="00EE49FE">
            <w:pPr>
              <w:spacing w:before="0" w:after="0" w:line="240" w:lineRule="auto"/>
              <w:jc w:val="left"/>
              <w:rPr>
                <w:kern w:val="0"/>
                <w:sz w:val="19"/>
                <w:szCs w:val="19"/>
                <w:lang w:eastAsia="en-AU"/>
              </w:rPr>
            </w:pPr>
            <w:r w:rsidRPr="00186EB5">
              <w:rPr>
                <w:kern w:val="0"/>
                <w:sz w:val="19"/>
                <w:szCs w:val="19"/>
                <w:lang w:eastAsia="en-AU"/>
              </w:rPr>
              <w:t>Year x Inundation zone</w:t>
            </w:r>
          </w:p>
        </w:tc>
        <w:tc>
          <w:tcPr>
            <w:tcW w:w="1020" w:type="dxa"/>
            <w:tcBorders>
              <w:top w:val="nil"/>
              <w:left w:val="nil"/>
              <w:bottom w:val="single" w:sz="4" w:space="0" w:color="auto"/>
              <w:right w:val="single" w:sz="4" w:space="0" w:color="auto"/>
            </w:tcBorders>
            <w:noWrap/>
            <w:vAlign w:val="bottom"/>
            <w:hideMark/>
          </w:tcPr>
          <w:p w14:paraId="30071240"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6,113</w:t>
            </w:r>
          </w:p>
        </w:tc>
        <w:tc>
          <w:tcPr>
            <w:tcW w:w="1340" w:type="dxa"/>
            <w:tcBorders>
              <w:top w:val="nil"/>
              <w:left w:val="nil"/>
              <w:bottom w:val="single" w:sz="4" w:space="0" w:color="auto"/>
              <w:right w:val="single" w:sz="4" w:space="0" w:color="auto"/>
            </w:tcBorders>
            <w:noWrap/>
            <w:vAlign w:val="bottom"/>
            <w:hideMark/>
          </w:tcPr>
          <w:p w14:paraId="1A53E882"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3.86</w:t>
            </w:r>
          </w:p>
        </w:tc>
        <w:tc>
          <w:tcPr>
            <w:tcW w:w="1020" w:type="dxa"/>
            <w:tcBorders>
              <w:top w:val="nil"/>
              <w:left w:val="nil"/>
              <w:bottom w:val="single" w:sz="4" w:space="0" w:color="auto"/>
              <w:right w:val="single" w:sz="4" w:space="0" w:color="auto"/>
            </w:tcBorders>
            <w:noWrap/>
            <w:vAlign w:val="bottom"/>
            <w:hideMark/>
          </w:tcPr>
          <w:p w14:paraId="200B931A" w14:textId="77777777" w:rsidR="008E3671" w:rsidRPr="00186EB5" w:rsidRDefault="008E3671" w:rsidP="00EE49FE">
            <w:pPr>
              <w:spacing w:before="0" w:after="0" w:line="240" w:lineRule="auto"/>
              <w:jc w:val="center"/>
              <w:rPr>
                <w:kern w:val="0"/>
                <w:sz w:val="19"/>
                <w:szCs w:val="19"/>
                <w:lang w:eastAsia="en-AU"/>
              </w:rPr>
            </w:pPr>
            <w:r w:rsidRPr="00186EB5">
              <w:rPr>
                <w:kern w:val="0"/>
                <w:sz w:val="19"/>
                <w:szCs w:val="19"/>
                <w:lang w:eastAsia="en-AU"/>
              </w:rPr>
              <w:t>0.001</w:t>
            </w:r>
          </w:p>
        </w:tc>
      </w:tr>
    </w:tbl>
    <w:p w14:paraId="3932106A" w14:textId="77777777" w:rsidR="000325B1" w:rsidRPr="00720C88" w:rsidRDefault="000325B1" w:rsidP="000325B1"/>
    <w:p w14:paraId="2BE389D8" w14:textId="77777777" w:rsidR="0009632D" w:rsidRDefault="0009632D">
      <w:pPr>
        <w:spacing w:before="0" w:after="160" w:line="259" w:lineRule="auto"/>
        <w:jc w:val="left"/>
        <w:rPr>
          <w:b/>
          <w:bCs/>
          <w:color w:val="auto"/>
          <w:sz w:val="20"/>
          <w:szCs w:val="18"/>
        </w:rPr>
      </w:pPr>
      <w:r>
        <w:br w:type="page"/>
      </w:r>
    </w:p>
    <w:p w14:paraId="50AC903E" w14:textId="71B31405" w:rsidR="000325B1" w:rsidRPr="00117AE2" w:rsidRDefault="000325B1" w:rsidP="000325B1">
      <w:pPr>
        <w:pStyle w:val="Caption"/>
        <w:rPr>
          <w:lang w:val="en-US"/>
        </w:rPr>
      </w:pPr>
      <w:r w:rsidRPr="00117AE2">
        <w:lastRenderedPageBreak/>
        <w:t xml:space="preserve">Table </w:t>
      </w:r>
      <w:r>
        <w:t>C</w:t>
      </w:r>
      <w:r w:rsidR="00FB33C3">
        <w:t>9</w:t>
      </w:r>
      <w:r w:rsidRPr="00117AE2">
        <w:t xml:space="preserve">. Indicator Species Analysis results comparing plant community in each inundation zone </w:t>
      </w:r>
      <w:r>
        <w:t>downstream of</w:t>
      </w:r>
      <w:r w:rsidRPr="00117AE2">
        <w:t xml:space="preserve"> a. Lock 1, b. Lock 4 and c. Lock 6 in </w:t>
      </w:r>
      <w:r>
        <w:t>June 2024</w:t>
      </w:r>
      <w:r w:rsidRPr="00117AE2">
        <w:t xml:space="preserve">, * denotes exotic species, ** denotes declared pest plant in South Australia, </w:t>
      </w:r>
      <w:r w:rsidR="00E11287">
        <w:t>bolded rows</w:t>
      </w:r>
      <w:r w:rsidRPr="00117AE2">
        <w:t xml:space="preserve"> denote significant indicator</w:t>
      </w:r>
      <w:r w:rsidR="00E11287">
        <w:t>s</w:t>
      </w:r>
      <w:r w:rsidRPr="00117AE2">
        <w:t>; blue highlighting denotes not significant but exclusive to the Pool level and Inundated zones.</w:t>
      </w:r>
    </w:p>
    <w:p w14:paraId="07267D48" w14:textId="77777777" w:rsidR="000325B1" w:rsidRDefault="000325B1" w:rsidP="000325B1">
      <w:pPr>
        <w:spacing w:before="0" w:after="160" w:line="259" w:lineRule="auto"/>
        <w:jc w:val="left"/>
        <w:rPr>
          <w:rFonts w:eastAsia="MS Mincho" w:cs="Arial"/>
          <w:noProof/>
          <w:color w:val="auto"/>
          <w:kern w:val="0"/>
          <w:sz w:val="20"/>
          <w:lang w:val="en-US" w:eastAsia="en-AU"/>
        </w:rPr>
      </w:pPr>
      <w:r w:rsidRPr="001F252F">
        <w:rPr>
          <w:rFonts w:eastAsia="MS Mincho" w:cs="Arial"/>
          <w:noProof/>
          <w:color w:val="auto"/>
          <w:kern w:val="0"/>
          <w:sz w:val="20"/>
          <w:lang w:val="en-US" w:eastAsia="en-AU"/>
        </w:rPr>
        <w:t>a.</w:t>
      </w:r>
    </w:p>
    <w:tbl>
      <w:tblPr>
        <w:tblW w:w="6420" w:type="dxa"/>
        <w:jc w:val="center"/>
        <w:tblLook w:val="04A0" w:firstRow="1" w:lastRow="0" w:firstColumn="1" w:lastColumn="0" w:noHBand="0" w:noVBand="1"/>
        <w:tblDescription w:val="Table of Indicator Species Analysis results comparing plant community in each inundation zone downstream of Lock 1, Lock 4 and Lock 6 in June 2024."/>
      </w:tblPr>
      <w:tblGrid>
        <w:gridCol w:w="3180"/>
        <w:gridCol w:w="2120"/>
        <w:gridCol w:w="1120"/>
      </w:tblGrid>
      <w:tr w:rsidR="000325B1" w:rsidRPr="00E11287" w14:paraId="766ED688" w14:textId="77777777" w:rsidTr="00E11287">
        <w:trPr>
          <w:trHeight w:val="300"/>
          <w:tblHeader/>
          <w:jc w:val="center"/>
        </w:trPr>
        <w:tc>
          <w:tcPr>
            <w:tcW w:w="3180" w:type="dxa"/>
            <w:tcBorders>
              <w:top w:val="single" w:sz="4" w:space="0" w:color="auto"/>
              <w:left w:val="single" w:sz="4" w:space="0" w:color="auto"/>
              <w:bottom w:val="single" w:sz="4" w:space="0" w:color="auto"/>
              <w:right w:val="single" w:sz="4" w:space="0" w:color="auto"/>
            </w:tcBorders>
            <w:noWrap/>
            <w:vAlign w:val="bottom"/>
            <w:hideMark/>
          </w:tcPr>
          <w:p w14:paraId="6AA0F611" w14:textId="77777777" w:rsidR="000325B1" w:rsidRPr="00E11287" w:rsidRDefault="000325B1" w:rsidP="00D035C2">
            <w:pPr>
              <w:spacing w:before="0" w:after="0" w:line="240" w:lineRule="auto"/>
              <w:jc w:val="center"/>
              <w:rPr>
                <w:rFonts w:cs="Calibri"/>
                <w:b/>
                <w:bCs/>
                <w:kern w:val="0"/>
                <w:sz w:val="19"/>
                <w:szCs w:val="19"/>
                <w:lang w:eastAsia="en-AU"/>
              </w:rPr>
            </w:pPr>
            <w:r w:rsidRPr="00E11287">
              <w:rPr>
                <w:rFonts w:cs="Calibri"/>
                <w:b/>
                <w:bCs/>
                <w:kern w:val="0"/>
                <w:sz w:val="19"/>
                <w:szCs w:val="19"/>
                <w:lang w:eastAsia="en-AU"/>
              </w:rPr>
              <w:t>Species</w:t>
            </w:r>
          </w:p>
        </w:tc>
        <w:tc>
          <w:tcPr>
            <w:tcW w:w="2120" w:type="dxa"/>
            <w:tcBorders>
              <w:top w:val="single" w:sz="4" w:space="0" w:color="auto"/>
              <w:left w:val="nil"/>
              <w:bottom w:val="single" w:sz="4" w:space="0" w:color="auto"/>
              <w:right w:val="single" w:sz="4" w:space="0" w:color="auto"/>
            </w:tcBorders>
            <w:noWrap/>
            <w:vAlign w:val="bottom"/>
            <w:hideMark/>
          </w:tcPr>
          <w:p w14:paraId="3C0CCBE2" w14:textId="77777777" w:rsidR="000325B1" w:rsidRPr="00E11287" w:rsidRDefault="000325B1" w:rsidP="00D035C2">
            <w:pPr>
              <w:spacing w:before="0" w:after="0" w:line="240" w:lineRule="auto"/>
              <w:jc w:val="center"/>
              <w:rPr>
                <w:rFonts w:cs="Calibri"/>
                <w:b/>
                <w:bCs/>
                <w:kern w:val="0"/>
                <w:sz w:val="19"/>
                <w:szCs w:val="19"/>
                <w:lang w:eastAsia="en-AU"/>
              </w:rPr>
            </w:pPr>
            <w:r w:rsidRPr="00E11287">
              <w:rPr>
                <w:rFonts w:cs="Calibri"/>
                <w:b/>
                <w:bCs/>
                <w:kern w:val="0"/>
                <w:sz w:val="19"/>
                <w:szCs w:val="19"/>
                <w:lang w:eastAsia="en-AU"/>
              </w:rPr>
              <w:t>Zone</w:t>
            </w:r>
          </w:p>
        </w:tc>
        <w:tc>
          <w:tcPr>
            <w:tcW w:w="1120" w:type="dxa"/>
            <w:tcBorders>
              <w:top w:val="single" w:sz="4" w:space="0" w:color="auto"/>
              <w:left w:val="nil"/>
              <w:bottom w:val="single" w:sz="4" w:space="0" w:color="auto"/>
              <w:right w:val="single" w:sz="4" w:space="0" w:color="auto"/>
            </w:tcBorders>
            <w:noWrap/>
            <w:vAlign w:val="bottom"/>
            <w:hideMark/>
          </w:tcPr>
          <w:p w14:paraId="51F6718C" w14:textId="77777777" w:rsidR="000325B1" w:rsidRPr="00E11287" w:rsidRDefault="000325B1" w:rsidP="00D035C2">
            <w:pPr>
              <w:spacing w:before="0" w:after="0" w:line="240" w:lineRule="auto"/>
              <w:jc w:val="center"/>
              <w:rPr>
                <w:rFonts w:cs="Calibri"/>
                <w:b/>
                <w:bCs/>
                <w:kern w:val="0"/>
                <w:sz w:val="19"/>
                <w:szCs w:val="19"/>
                <w:lang w:eastAsia="en-AU"/>
              </w:rPr>
            </w:pPr>
            <w:r w:rsidRPr="00E11287">
              <w:rPr>
                <w:rFonts w:cs="Calibri"/>
                <w:b/>
                <w:bCs/>
                <w:kern w:val="0"/>
                <w:sz w:val="19"/>
                <w:szCs w:val="19"/>
                <w:lang w:eastAsia="en-AU"/>
              </w:rPr>
              <w:t>P</w:t>
            </w:r>
          </w:p>
        </w:tc>
      </w:tr>
      <w:tr w:rsidR="000325B1" w:rsidRPr="00E11287" w14:paraId="5832A6BE"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152914F9"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Acacia stenophylla</w:t>
            </w:r>
          </w:p>
        </w:tc>
        <w:tc>
          <w:tcPr>
            <w:tcW w:w="2120" w:type="dxa"/>
            <w:tcBorders>
              <w:top w:val="nil"/>
              <w:left w:val="nil"/>
              <w:bottom w:val="single" w:sz="4" w:space="0" w:color="auto"/>
              <w:right w:val="single" w:sz="4" w:space="0" w:color="auto"/>
            </w:tcBorders>
            <w:noWrap/>
            <w:vAlign w:val="bottom"/>
            <w:hideMark/>
          </w:tcPr>
          <w:p w14:paraId="641647C8"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45CCADC1"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0.3327</w:t>
            </w:r>
          </w:p>
        </w:tc>
      </w:tr>
      <w:tr w:rsidR="000325B1" w:rsidRPr="00E11287" w14:paraId="6973BE46"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2A33BADD"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Alternanthera denticulata</w:t>
            </w:r>
          </w:p>
        </w:tc>
        <w:tc>
          <w:tcPr>
            <w:tcW w:w="2120" w:type="dxa"/>
            <w:tcBorders>
              <w:top w:val="nil"/>
              <w:left w:val="nil"/>
              <w:bottom w:val="single" w:sz="4" w:space="0" w:color="auto"/>
              <w:right w:val="single" w:sz="4" w:space="0" w:color="auto"/>
            </w:tcBorders>
            <w:noWrap/>
            <w:vAlign w:val="bottom"/>
            <w:hideMark/>
          </w:tcPr>
          <w:p w14:paraId="1D948315"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65758B74"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0.4847</w:t>
            </w:r>
          </w:p>
        </w:tc>
      </w:tr>
      <w:tr w:rsidR="000325B1" w:rsidRPr="00E11287" w14:paraId="508FF6DA"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18577B2B"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Ammannia multiflora</w:t>
            </w:r>
          </w:p>
        </w:tc>
        <w:tc>
          <w:tcPr>
            <w:tcW w:w="2120" w:type="dxa"/>
            <w:tcBorders>
              <w:top w:val="nil"/>
              <w:left w:val="nil"/>
              <w:bottom w:val="single" w:sz="4" w:space="0" w:color="auto"/>
              <w:right w:val="single" w:sz="4" w:space="0" w:color="auto"/>
            </w:tcBorders>
            <w:noWrap/>
            <w:vAlign w:val="bottom"/>
            <w:hideMark/>
          </w:tcPr>
          <w:p w14:paraId="6F1CDE22"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Pool level</w:t>
            </w:r>
          </w:p>
        </w:tc>
        <w:tc>
          <w:tcPr>
            <w:tcW w:w="1120" w:type="dxa"/>
            <w:tcBorders>
              <w:top w:val="nil"/>
              <w:left w:val="nil"/>
              <w:bottom w:val="single" w:sz="4" w:space="0" w:color="auto"/>
              <w:right w:val="single" w:sz="4" w:space="0" w:color="auto"/>
            </w:tcBorders>
            <w:noWrap/>
            <w:vAlign w:val="bottom"/>
            <w:hideMark/>
          </w:tcPr>
          <w:p w14:paraId="4182C36D"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0.3331</w:t>
            </w:r>
          </w:p>
        </w:tc>
      </w:tr>
      <w:tr w:rsidR="000325B1" w:rsidRPr="00E11287" w14:paraId="7BD1A362"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3DFDE342"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Bare soil</w:t>
            </w:r>
          </w:p>
        </w:tc>
        <w:tc>
          <w:tcPr>
            <w:tcW w:w="2120" w:type="dxa"/>
            <w:tcBorders>
              <w:top w:val="nil"/>
              <w:left w:val="nil"/>
              <w:bottom w:val="single" w:sz="4" w:space="0" w:color="auto"/>
              <w:right w:val="single" w:sz="4" w:space="0" w:color="auto"/>
            </w:tcBorders>
            <w:noWrap/>
            <w:vAlign w:val="bottom"/>
            <w:hideMark/>
          </w:tcPr>
          <w:p w14:paraId="5004418E"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Pool level</w:t>
            </w:r>
          </w:p>
        </w:tc>
        <w:tc>
          <w:tcPr>
            <w:tcW w:w="1120" w:type="dxa"/>
            <w:tcBorders>
              <w:top w:val="nil"/>
              <w:left w:val="nil"/>
              <w:bottom w:val="single" w:sz="4" w:space="0" w:color="auto"/>
              <w:right w:val="single" w:sz="4" w:space="0" w:color="auto"/>
            </w:tcBorders>
            <w:noWrap/>
            <w:vAlign w:val="bottom"/>
            <w:hideMark/>
          </w:tcPr>
          <w:p w14:paraId="4E53B19D"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0.121</w:t>
            </w:r>
          </w:p>
        </w:tc>
      </w:tr>
      <w:tr w:rsidR="000325B1" w:rsidRPr="00E11287" w14:paraId="7C0F6EB1"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3475CE27"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Bolboschoenus caldwellii</w:t>
            </w:r>
          </w:p>
        </w:tc>
        <w:tc>
          <w:tcPr>
            <w:tcW w:w="2120" w:type="dxa"/>
            <w:tcBorders>
              <w:top w:val="nil"/>
              <w:left w:val="nil"/>
              <w:bottom w:val="single" w:sz="4" w:space="0" w:color="auto"/>
              <w:right w:val="single" w:sz="4" w:space="0" w:color="auto"/>
            </w:tcBorders>
            <w:noWrap/>
            <w:vAlign w:val="bottom"/>
            <w:hideMark/>
          </w:tcPr>
          <w:p w14:paraId="26728935"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Pool level</w:t>
            </w:r>
          </w:p>
        </w:tc>
        <w:tc>
          <w:tcPr>
            <w:tcW w:w="1120" w:type="dxa"/>
            <w:tcBorders>
              <w:top w:val="nil"/>
              <w:left w:val="nil"/>
              <w:bottom w:val="single" w:sz="4" w:space="0" w:color="auto"/>
              <w:right w:val="single" w:sz="4" w:space="0" w:color="auto"/>
            </w:tcBorders>
            <w:noWrap/>
            <w:vAlign w:val="bottom"/>
            <w:hideMark/>
          </w:tcPr>
          <w:p w14:paraId="13068455"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0.3461</w:t>
            </w:r>
          </w:p>
        </w:tc>
      </w:tr>
      <w:tr w:rsidR="000325B1" w:rsidRPr="00E11287" w14:paraId="6DDCD2C8"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771676E1" w14:textId="77777777" w:rsidR="000325B1" w:rsidRPr="00E11287" w:rsidRDefault="000325B1" w:rsidP="00D035C2">
            <w:pPr>
              <w:spacing w:before="0" w:after="0" w:line="240" w:lineRule="auto"/>
              <w:jc w:val="left"/>
              <w:rPr>
                <w:rFonts w:ascii="Calibri" w:hAnsi="Calibri" w:cs="Calibri"/>
                <w:b/>
                <w:bCs/>
                <w:i/>
                <w:iCs/>
                <w:kern w:val="0"/>
                <w:sz w:val="22"/>
                <w:szCs w:val="22"/>
                <w:lang w:eastAsia="en-AU"/>
              </w:rPr>
            </w:pPr>
            <w:r w:rsidRPr="00E11287">
              <w:rPr>
                <w:rFonts w:ascii="Calibri" w:hAnsi="Calibri" w:cs="Calibri"/>
                <w:b/>
                <w:bCs/>
                <w:i/>
                <w:iCs/>
                <w:kern w:val="0"/>
                <w:sz w:val="22"/>
                <w:szCs w:val="22"/>
                <w:lang w:eastAsia="en-AU"/>
              </w:rPr>
              <w:t>Brachyscome paludicola</w:t>
            </w:r>
          </w:p>
        </w:tc>
        <w:tc>
          <w:tcPr>
            <w:tcW w:w="2120" w:type="dxa"/>
            <w:tcBorders>
              <w:top w:val="nil"/>
              <w:left w:val="nil"/>
              <w:bottom w:val="single" w:sz="4" w:space="0" w:color="auto"/>
              <w:right w:val="single" w:sz="4" w:space="0" w:color="auto"/>
            </w:tcBorders>
            <w:noWrap/>
            <w:vAlign w:val="bottom"/>
            <w:hideMark/>
          </w:tcPr>
          <w:p w14:paraId="33DB9C3C" w14:textId="77777777" w:rsidR="000325B1" w:rsidRPr="00E11287" w:rsidRDefault="000325B1" w:rsidP="00D035C2">
            <w:pPr>
              <w:spacing w:before="0" w:after="0" w:line="240" w:lineRule="auto"/>
              <w:jc w:val="left"/>
              <w:rPr>
                <w:rFonts w:ascii="Calibri" w:hAnsi="Calibri" w:cs="Calibri"/>
                <w:b/>
                <w:bCs/>
                <w:kern w:val="0"/>
                <w:sz w:val="22"/>
                <w:szCs w:val="22"/>
                <w:lang w:eastAsia="en-AU"/>
              </w:rPr>
            </w:pPr>
            <w:r w:rsidRPr="00E11287">
              <w:rPr>
                <w:rFonts w:ascii="Calibri" w:hAnsi="Calibri" w:cs="Calibri"/>
                <w:b/>
                <w:bCs/>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0B058570" w14:textId="77777777" w:rsidR="000325B1" w:rsidRPr="00E11287" w:rsidRDefault="000325B1" w:rsidP="00D035C2">
            <w:pPr>
              <w:spacing w:before="0" w:after="0" w:line="240" w:lineRule="auto"/>
              <w:jc w:val="right"/>
              <w:rPr>
                <w:rFonts w:ascii="Calibri" w:hAnsi="Calibri" w:cs="Calibri"/>
                <w:b/>
                <w:bCs/>
                <w:kern w:val="0"/>
                <w:sz w:val="22"/>
                <w:szCs w:val="22"/>
                <w:lang w:eastAsia="en-AU"/>
              </w:rPr>
            </w:pPr>
            <w:r w:rsidRPr="00E11287">
              <w:rPr>
                <w:rFonts w:ascii="Calibri" w:hAnsi="Calibri" w:cs="Calibri"/>
                <w:b/>
                <w:bCs/>
                <w:kern w:val="0"/>
                <w:sz w:val="22"/>
                <w:szCs w:val="22"/>
                <w:lang w:eastAsia="en-AU"/>
              </w:rPr>
              <w:t>0.0032</w:t>
            </w:r>
          </w:p>
        </w:tc>
      </w:tr>
      <w:tr w:rsidR="000325B1" w:rsidRPr="00E11287" w14:paraId="31C9368E"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4B8F2C3B"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Calotis cuneifolia</w:t>
            </w:r>
          </w:p>
        </w:tc>
        <w:tc>
          <w:tcPr>
            <w:tcW w:w="2120" w:type="dxa"/>
            <w:tcBorders>
              <w:top w:val="nil"/>
              <w:left w:val="nil"/>
              <w:bottom w:val="single" w:sz="4" w:space="0" w:color="auto"/>
              <w:right w:val="single" w:sz="4" w:space="0" w:color="auto"/>
            </w:tcBorders>
            <w:noWrap/>
            <w:vAlign w:val="bottom"/>
            <w:hideMark/>
          </w:tcPr>
          <w:p w14:paraId="4EA0AAB9"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04C26C81"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0.5913</w:t>
            </w:r>
          </w:p>
        </w:tc>
      </w:tr>
      <w:tr w:rsidR="000325B1" w:rsidRPr="00E11287" w14:paraId="5AE94ED4"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0F3EA714"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Calotis hispidula</w:t>
            </w:r>
          </w:p>
        </w:tc>
        <w:tc>
          <w:tcPr>
            <w:tcW w:w="2120" w:type="dxa"/>
            <w:tcBorders>
              <w:top w:val="nil"/>
              <w:left w:val="nil"/>
              <w:bottom w:val="single" w:sz="4" w:space="0" w:color="auto"/>
              <w:right w:val="single" w:sz="4" w:space="0" w:color="auto"/>
            </w:tcBorders>
            <w:noWrap/>
            <w:vAlign w:val="bottom"/>
            <w:hideMark/>
          </w:tcPr>
          <w:p w14:paraId="719C544C"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155AE3FE"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1</w:t>
            </w:r>
          </w:p>
        </w:tc>
      </w:tr>
      <w:tr w:rsidR="000325B1" w:rsidRPr="00E11287" w14:paraId="57C1FC56"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438206C3"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Centaurea calcitrapa*</w:t>
            </w:r>
          </w:p>
        </w:tc>
        <w:tc>
          <w:tcPr>
            <w:tcW w:w="2120" w:type="dxa"/>
            <w:tcBorders>
              <w:top w:val="nil"/>
              <w:left w:val="nil"/>
              <w:bottom w:val="single" w:sz="4" w:space="0" w:color="auto"/>
              <w:right w:val="single" w:sz="4" w:space="0" w:color="auto"/>
            </w:tcBorders>
            <w:noWrap/>
            <w:vAlign w:val="bottom"/>
            <w:hideMark/>
          </w:tcPr>
          <w:p w14:paraId="6E4A4852"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32C557B1"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0.2765</w:t>
            </w:r>
          </w:p>
        </w:tc>
      </w:tr>
      <w:tr w:rsidR="000325B1" w:rsidRPr="00E11287" w14:paraId="124B48FF"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47FA63AE"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Centipeda cunninghamii</w:t>
            </w:r>
          </w:p>
        </w:tc>
        <w:tc>
          <w:tcPr>
            <w:tcW w:w="2120" w:type="dxa"/>
            <w:tcBorders>
              <w:top w:val="nil"/>
              <w:left w:val="nil"/>
              <w:bottom w:val="single" w:sz="4" w:space="0" w:color="auto"/>
              <w:right w:val="single" w:sz="4" w:space="0" w:color="auto"/>
            </w:tcBorders>
            <w:noWrap/>
            <w:vAlign w:val="bottom"/>
            <w:hideMark/>
          </w:tcPr>
          <w:p w14:paraId="6BCEEE63"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7C9C468B"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0.2394</w:t>
            </w:r>
          </w:p>
        </w:tc>
      </w:tr>
      <w:tr w:rsidR="000325B1" w:rsidRPr="00E11287" w14:paraId="7F9482C5"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6D3C13E9"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Cyperus gymnocaulos</w:t>
            </w:r>
          </w:p>
        </w:tc>
        <w:tc>
          <w:tcPr>
            <w:tcW w:w="2120" w:type="dxa"/>
            <w:tcBorders>
              <w:top w:val="nil"/>
              <w:left w:val="nil"/>
              <w:bottom w:val="single" w:sz="4" w:space="0" w:color="auto"/>
              <w:right w:val="single" w:sz="4" w:space="0" w:color="auto"/>
            </w:tcBorders>
            <w:noWrap/>
            <w:vAlign w:val="bottom"/>
            <w:hideMark/>
          </w:tcPr>
          <w:p w14:paraId="34D4B11B"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5E9B1C2B"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0.9068</w:t>
            </w:r>
          </w:p>
        </w:tc>
      </w:tr>
      <w:tr w:rsidR="000325B1" w:rsidRPr="00E11287" w14:paraId="1582A284"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7F69C802"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Duma florulenta</w:t>
            </w:r>
          </w:p>
        </w:tc>
        <w:tc>
          <w:tcPr>
            <w:tcW w:w="2120" w:type="dxa"/>
            <w:tcBorders>
              <w:top w:val="nil"/>
              <w:left w:val="nil"/>
              <w:bottom w:val="single" w:sz="4" w:space="0" w:color="auto"/>
              <w:right w:val="single" w:sz="4" w:space="0" w:color="auto"/>
            </w:tcBorders>
            <w:noWrap/>
            <w:vAlign w:val="bottom"/>
            <w:hideMark/>
          </w:tcPr>
          <w:p w14:paraId="182AEC17"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41AFEF78"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0.5749</w:t>
            </w:r>
          </w:p>
        </w:tc>
      </w:tr>
      <w:tr w:rsidR="000325B1" w:rsidRPr="00E11287" w14:paraId="6382043E"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4FA16636" w14:textId="77777777" w:rsidR="000325B1" w:rsidRPr="00E11287" w:rsidRDefault="000325B1" w:rsidP="00D035C2">
            <w:pPr>
              <w:spacing w:before="0" w:after="0" w:line="240" w:lineRule="auto"/>
              <w:jc w:val="left"/>
              <w:rPr>
                <w:rFonts w:ascii="Calibri" w:hAnsi="Calibri" w:cs="Calibri"/>
                <w:b/>
                <w:bCs/>
                <w:i/>
                <w:iCs/>
                <w:kern w:val="0"/>
                <w:sz w:val="22"/>
                <w:szCs w:val="22"/>
                <w:lang w:eastAsia="en-AU"/>
              </w:rPr>
            </w:pPr>
            <w:r w:rsidRPr="00E11287">
              <w:rPr>
                <w:rFonts w:ascii="Calibri" w:hAnsi="Calibri" w:cs="Calibri"/>
                <w:b/>
                <w:bCs/>
                <w:i/>
                <w:iCs/>
                <w:kern w:val="0"/>
                <w:sz w:val="22"/>
                <w:szCs w:val="22"/>
                <w:lang w:eastAsia="en-AU"/>
              </w:rPr>
              <w:t>Eucalyptus camaldulensis</w:t>
            </w:r>
          </w:p>
        </w:tc>
        <w:tc>
          <w:tcPr>
            <w:tcW w:w="2120" w:type="dxa"/>
            <w:tcBorders>
              <w:top w:val="nil"/>
              <w:left w:val="nil"/>
              <w:bottom w:val="single" w:sz="4" w:space="0" w:color="auto"/>
              <w:right w:val="single" w:sz="4" w:space="0" w:color="auto"/>
            </w:tcBorders>
            <w:noWrap/>
            <w:vAlign w:val="bottom"/>
            <w:hideMark/>
          </w:tcPr>
          <w:p w14:paraId="7DDB11A9" w14:textId="77777777" w:rsidR="000325B1" w:rsidRPr="00E11287" w:rsidRDefault="000325B1" w:rsidP="00D035C2">
            <w:pPr>
              <w:spacing w:before="0" w:after="0" w:line="240" w:lineRule="auto"/>
              <w:jc w:val="left"/>
              <w:rPr>
                <w:rFonts w:ascii="Calibri" w:hAnsi="Calibri" w:cs="Calibri"/>
                <w:b/>
                <w:bCs/>
                <w:kern w:val="0"/>
                <w:sz w:val="22"/>
                <w:szCs w:val="22"/>
                <w:lang w:eastAsia="en-AU"/>
              </w:rPr>
            </w:pPr>
            <w:r w:rsidRPr="00E11287">
              <w:rPr>
                <w:rFonts w:ascii="Calibri" w:hAnsi="Calibri" w:cs="Calibri"/>
                <w:b/>
                <w:bCs/>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58417DC0" w14:textId="77777777" w:rsidR="000325B1" w:rsidRPr="00E11287" w:rsidRDefault="000325B1" w:rsidP="00D035C2">
            <w:pPr>
              <w:spacing w:before="0" w:after="0" w:line="240" w:lineRule="auto"/>
              <w:jc w:val="right"/>
              <w:rPr>
                <w:rFonts w:ascii="Calibri" w:hAnsi="Calibri" w:cs="Calibri"/>
                <w:b/>
                <w:bCs/>
                <w:kern w:val="0"/>
                <w:sz w:val="22"/>
                <w:szCs w:val="22"/>
                <w:lang w:eastAsia="en-AU"/>
              </w:rPr>
            </w:pPr>
            <w:r w:rsidRPr="00E11287">
              <w:rPr>
                <w:rFonts w:ascii="Calibri" w:hAnsi="Calibri" w:cs="Calibri"/>
                <w:b/>
                <w:bCs/>
                <w:kern w:val="0"/>
                <w:sz w:val="22"/>
                <w:szCs w:val="22"/>
                <w:lang w:eastAsia="en-AU"/>
              </w:rPr>
              <w:t>0.0382</w:t>
            </w:r>
          </w:p>
        </w:tc>
      </w:tr>
      <w:tr w:rsidR="000325B1" w:rsidRPr="00E11287" w14:paraId="34E14793"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0DE9A208"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Euphorbia drummondii</w:t>
            </w:r>
          </w:p>
        </w:tc>
        <w:tc>
          <w:tcPr>
            <w:tcW w:w="2120" w:type="dxa"/>
            <w:tcBorders>
              <w:top w:val="nil"/>
              <w:left w:val="nil"/>
              <w:bottom w:val="single" w:sz="4" w:space="0" w:color="auto"/>
              <w:right w:val="single" w:sz="4" w:space="0" w:color="auto"/>
            </w:tcBorders>
            <w:noWrap/>
            <w:vAlign w:val="bottom"/>
            <w:hideMark/>
          </w:tcPr>
          <w:p w14:paraId="56F9C8C6"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479832CA"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0.8694</w:t>
            </w:r>
          </w:p>
        </w:tc>
      </w:tr>
      <w:tr w:rsidR="000325B1" w:rsidRPr="00E11287" w14:paraId="7A848343"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4183A439"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Heliotropium curassavicum*</w:t>
            </w:r>
          </w:p>
        </w:tc>
        <w:tc>
          <w:tcPr>
            <w:tcW w:w="2120" w:type="dxa"/>
            <w:tcBorders>
              <w:top w:val="nil"/>
              <w:left w:val="nil"/>
              <w:bottom w:val="single" w:sz="4" w:space="0" w:color="auto"/>
              <w:right w:val="single" w:sz="4" w:space="0" w:color="auto"/>
            </w:tcBorders>
            <w:noWrap/>
            <w:vAlign w:val="bottom"/>
            <w:hideMark/>
          </w:tcPr>
          <w:p w14:paraId="72400608"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1D344D41"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0.4045</w:t>
            </w:r>
          </w:p>
        </w:tc>
      </w:tr>
      <w:tr w:rsidR="000325B1" w:rsidRPr="00E11287" w14:paraId="7325AC3C"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48AC9A93" w14:textId="77777777" w:rsidR="000325B1" w:rsidRPr="00E11287" w:rsidRDefault="000325B1" w:rsidP="00D035C2">
            <w:pPr>
              <w:spacing w:before="0" w:after="0" w:line="240" w:lineRule="auto"/>
              <w:jc w:val="left"/>
              <w:rPr>
                <w:rFonts w:ascii="Calibri" w:hAnsi="Calibri" w:cs="Calibri"/>
                <w:i/>
                <w:iCs/>
                <w:color w:val="auto"/>
                <w:kern w:val="0"/>
                <w:sz w:val="22"/>
                <w:szCs w:val="22"/>
                <w:lang w:eastAsia="en-AU"/>
              </w:rPr>
            </w:pPr>
            <w:r w:rsidRPr="00E11287">
              <w:rPr>
                <w:rFonts w:ascii="Calibri" w:hAnsi="Calibri" w:cs="Calibri"/>
                <w:i/>
                <w:iCs/>
                <w:color w:val="auto"/>
                <w:kern w:val="0"/>
                <w:sz w:val="22"/>
                <w:szCs w:val="22"/>
                <w:lang w:eastAsia="en-AU"/>
              </w:rPr>
              <w:t>Hypochaeris glabra</w:t>
            </w:r>
          </w:p>
        </w:tc>
        <w:tc>
          <w:tcPr>
            <w:tcW w:w="2120" w:type="dxa"/>
            <w:tcBorders>
              <w:top w:val="nil"/>
              <w:left w:val="nil"/>
              <w:bottom w:val="single" w:sz="4" w:space="0" w:color="auto"/>
              <w:right w:val="single" w:sz="4" w:space="0" w:color="auto"/>
            </w:tcBorders>
            <w:noWrap/>
            <w:vAlign w:val="bottom"/>
            <w:hideMark/>
          </w:tcPr>
          <w:p w14:paraId="20B2CF59"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06C949ED"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1</w:t>
            </w:r>
          </w:p>
        </w:tc>
      </w:tr>
      <w:tr w:rsidR="000325B1" w:rsidRPr="00E11287" w14:paraId="4FEB0145"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074D8145"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Lachnagrostis filiformis</w:t>
            </w:r>
          </w:p>
        </w:tc>
        <w:tc>
          <w:tcPr>
            <w:tcW w:w="2120" w:type="dxa"/>
            <w:tcBorders>
              <w:top w:val="nil"/>
              <w:left w:val="nil"/>
              <w:bottom w:val="single" w:sz="4" w:space="0" w:color="auto"/>
              <w:right w:val="single" w:sz="4" w:space="0" w:color="auto"/>
            </w:tcBorders>
            <w:noWrap/>
            <w:vAlign w:val="bottom"/>
            <w:hideMark/>
          </w:tcPr>
          <w:p w14:paraId="4364F721"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13697645"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0.1674</w:t>
            </w:r>
          </w:p>
        </w:tc>
      </w:tr>
      <w:tr w:rsidR="000325B1" w:rsidRPr="00E11287" w14:paraId="4CE1B4F2"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059C837F" w14:textId="77777777" w:rsidR="000325B1" w:rsidRPr="00E11287" w:rsidRDefault="000325B1" w:rsidP="00D035C2">
            <w:pPr>
              <w:spacing w:before="0" w:after="0" w:line="240" w:lineRule="auto"/>
              <w:jc w:val="left"/>
              <w:rPr>
                <w:rFonts w:ascii="Calibri" w:hAnsi="Calibri" w:cs="Calibri"/>
                <w:i/>
                <w:iCs/>
                <w:color w:val="auto"/>
                <w:kern w:val="0"/>
                <w:sz w:val="22"/>
                <w:szCs w:val="22"/>
                <w:lang w:eastAsia="en-AU"/>
              </w:rPr>
            </w:pPr>
            <w:r w:rsidRPr="00E11287">
              <w:rPr>
                <w:rFonts w:ascii="Calibri" w:hAnsi="Calibri" w:cs="Calibri"/>
                <w:i/>
                <w:iCs/>
                <w:color w:val="auto"/>
                <w:kern w:val="0"/>
                <w:sz w:val="22"/>
                <w:szCs w:val="22"/>
                <w:lang w:eastAsia="en-AU"/>
              </w:rPr>
              <w:t>Lactuca saligna</w:t>
            </w:r>
          </w:p>
        </w:tc>
        <w:tc>
          <w:tcPr>
            <w:tcW w:w="2120" w:type="dxa"/>
            <w:tcBorders>
              <w:top w:val="nil"/>
              <w:left w:val="nil"/>
              <w:bottom w:val="single" w:sz="4" w:space="0" w:color="auto"/>
              <w:right w:val="single" w:sz="4" w:space="0" w:color="auto"/>
            </w:tcBorders>
            <w:noWrap/>
            <w:vAlign w:val="bottom"/>
            <w:hideMark/>
          </w:tcPr>
          <w:p w14:paraId="606D40ED"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5A60C13A"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0.7117</w:t>
            </w:r>
          </w:p>
        </w:tc>
      </w:tr>
      <w:tr w:rsidR="000325B1" w:rsidRPr="00E11287" w14:paraId="7A0F851F"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09E790D1"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Ludwigia peploides</w:t>
            </w:r>
          </w:p>
        </w:tc>
        <w:tc>
          <w:tcPr>
            <w:tcW w:w="2120" w:type="dxa"/>
            <w:tcBorders>
              <w:top w:val="nil"/>
              <w:left w:val="nil"/>
              <w:bottom w:val="single" w:sz="4" w:space="0" w:color="auto"/>
              <w:right w:val="single" w:sz="4" w:space="0" w:color="auto"/>
            </w:tcBorders>
            <w:noWrap/>
            <w:vAlign w:val="bottom"/>
            <w:hideMark/>
          </w:tcPr>
          <w:p w14:paraId="13AB60CB"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Pool level</w:t>
            </w:r>
          </w:p>
        </w:tc>
        <w:tc>
          <w:tcPr>
            <w:tcW w:w="1120" w:type="dxa"/>
            <w:tcBorders>
              <w:top w:val="nil"/>
              <w:left w:val="nil"/>
              <w:bottom w:val="single" w:sz="4" w:space="0" w:color="auto"/>
              <w:right w:val="single" w:sz="4" w:space="0" w:color="auto"/>
            </w:tcBorders>
            <w:noWrap/>
            <w:vAlign w:val="bottom"/>
            <w:hideMark/>
          </w:tcPr>
          <w:p w14:paraId="30AD0E6F"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0.3461</w:t>
            </w:r>
          </w:p>
        </w:tc>
      </w:tr>
      <w:tr w:rsidR="000325B1" w:rsidRPr="00E11287" w14:paraId="53C726C8"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4072FD6F"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Medicago*</w:t>
            </w:r>
          </w:p>
        </w:tc>
        <w:tc>
          <w:tcPr>
            <w:tcW w:w="2120" w:type="dxa"/>
            <w:tcBorders>
              <w:top w:val="nil"/>
              <w:left w:val="nil"/>
              <w:bottom w:val="single" w:sz="4" w:space="0" w:color="auto"/>
              <w:right w:val="single" w:sz="4" w:space="0" w:color="auto"/>
            </w:tcBorders>
            <w:noWrap/>
            <w:vAlign w:val="bottom"/>
            <w:hideMark/>
          </w:tcPr>
          <w:p w14:paraId="167158E1"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Pool level</w:t>
            </w:r>
          </w:p>
        </w:tc>
        <w:tc>
          <w:tcPr>
            <w:tcW w:w="1120" w:type="dxa"/>
            <w:tcBorders>
              <w:top w:val="nil"/>
              <w:left w:val="nil"/>
              <w:bottom w:val="single" w:sz="4" w:space="0" w:color="auto"/>
              <w:right w:val="single" w:sz="4" w:space="0" w:color="auto"/>
            </w:tcBorders>
            <w:noWrap/>
            <w:vAlign w:val="bottom"/>
            <w:hideMark/>
          </w:tcPr>
          <w:p w14:paraId="156B6324"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0.4071</w:t>
            </w:r>
          </w:p>
        </w:tc>
      </w:tr>
      <w:tr w:rsidR="000325B1" w:rsidRPr="00E11287" w14:paraId="2C9EF02B"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1A27A42B"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Melilotus albus*</w:t>
            </w:r>
          </w:p>
        </w:tc>
        <w:tc>
          <w:tcPr>
            <w:tcW w:w="2120" w:type="dxa"/>
            <w:tcBorders>
              <w:top w:val="nil"/>
              <w:left w:val="nil"/>
              <w:bottom w:val="single" w:sz="4" w:space="0" w:color="auto"/>
              <w:right w:val="single" w:sz="4" w:space="0" w:color="auto"/>
            </w:tcBorders>
            <w:noWrap/>
            <w:vAlign w:val="bottom"/>
            <w:hideMark/>
          </w:tcPr>
          <w:p w14:paraId="7DD1D378"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75AA983A"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0.4929</w:t>
            </w:r>
          </w:p>
        </w:tc>
      </w:tr>
      <w:tr w:rsidR="000325B1" w:rsidRPr="00E11287" w14:paraId="3EC5A0FF"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68706847"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Paspalum distichum</w:t>
            </w:r>
          </w:p>
        </w:tc>
        <w:tc>
          <w:tcPr>
            <w:tcW w:w="2120" w:type="dxa"/>
            <w:tcBorders>
              <w:top w:val="nil"/>
              <w:left w:val="nil"/>
              <w:bottom w:val="single" w:sz="4" w:space="0" w:color="auto"/>
              <w:right w:val="single" w:sz="4" w:space="0" w:color="auto"/>
            </w:tcBorders>
            <w:noWrap/>
            <w:vAlign w:val="bottom"/>
            <w:hideMark/>
          </w:tcPr>
          <w:p w14:paraId="3B5D50A6"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05EBB684"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0.1072</w:t>
            </w:r>
          </w:p>
        </w:tc>
      </w:tr>
      <w:tr w:rsidR="000325B1" w:rsidRPr="00E11287" w14:paraId="3296CBC6"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3EBE3592"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Phragmites australis</w:t>
            </w:r>
          </w:p>
        </w:tc>
        <w:tc>
          <w:tcPr>
            <w:tcW w:w="2120" w:type="dxa"/>
            <w:tcBorders>
              <w:top w:val="nil"/>
              <w:left w:val="nil"/>
              <w:bottom w:val="single" w:sz="4" w:space="0" w:color="auto"/>
              <w:right w:val="single" w:sz="4" w:space="0" w:color="auto"/>
            </w:tcBorders>
            <w:noWrap/>
            <w:vAlign w:val="bottom"/>
            <w:hideMark/>
          </w:tcPr>
          <w:p w14:paraId="221A0133"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5AACCF3A"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0.8042</w:t>
            </w:r>
          </w:p>
        </w:tc>
      </w:tr>
      <w:tr w:rsidR="000325B1" w:rsidRPr="00E11287" w14:paraId="67A9BC2F"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5E142D64" w14:textId="77777777" w:rsidR="000325B1" w:rsidRPr="00E11287" w:rsidRDefault="000325B1" w:rsidP="00D035C2">
            <w:pPr>
              <w:spacing w:before="0" w:after="0" w:line="240" w:lineRule="auto"/>
              <w:jc w:val="left"/>
              <w:rPr>
                <w:rFonts w:ascii="Calibri" w:hAnsi="Calibri" w:cs="Calibri"/>
                <w:b/>
                <w:bCs/>
                <w:i/>
                <w:iCs/>
                <w:kern w:val="0"/>
                <w:sz w:val="22"/>
                <w:szCs w:val="22"/>
                <w:lang w:eastAsia="en-AU"/>
              </w:rPr>
            </w:pPr>
            <w:r w:rsidRPr="00E11287">
              <w:rPr>
                <w:rFonts w:ascii="Calibri" w:hAnsi="Calibri" w:cs="Calibri"/>
                <w:b/>
                <w:bCs/>
                <w:i/>
                <w:iCs/>
                <w:kern w:val="0"/>
                <w:sz w:val="22"/>
                <w:szCs w:val="22"/>
                <w:lang w:eastAsia="en-AU"/>
              </w:rPr>
              <w:t>Pseudognaphalium luteoalbum</w:t>
            </w:r>
          </w:p>
        </w:tc>
        <w:tc>
          <w:tcPr>
            <w:tcW w:w="2120" w:type="dxa"/>
            <w:tcBorders>
              <w:top w:val="nil"/>
              <w:left w:val="nil"/>
              <w:bottom w:val="single" w:sz="4" w:space="0" w:color="auto"/>
              <w:right w:val="single" w:sz="4" w:space="0" w:color="auto"/>
            </w:tcBorders>
            <w:noWrap/>
            <w:vAlign w:val="bottom"/>
            <w:hideMark/>
          </w:tcPr>
          <w:p w14:paraId="471E3396" w14:textId="77777777" w:rsidR="000325B1" w:rsidRPr="00E11287" w:rsidRDefault="000325B1" w:rsidP="00D035C2">
            <w:pPr>
              <w:spacing w:before="0" w:after="0" w:line="240" w:lineRule="auto"/>
              <w:jc w:val="left"/>
              <w:rPr>
                <w:rFonts w:ascii="Calibri" w:hAnsi="Calibri" w:cs="Calibri"/>
                <w:b/>
                <w:bCs/>
                <w:kern w:val="0"/>
                <w:sz w:val="22"/>
                <w:szCs w:val="22"/>
                <w:lang w:eastAsia="en-AU"/>
              </w:rPr>
            </w:pPr>
            <w:r w:rsidRPr="00E11287">
              <w:rPr>
                <w:rFonts w:ascii="Calibri" w:hAnsi="Calibri" w:cs="Calibri"/>
                <w:b/>
                <w:bCs/>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6CADEEA9" w14:textId="77777777" w:rsidR="000325B1" w:rsidRPr="00E11287" w:rsidRDefault="000325B1" w:rsidP="00D035C2">
            <w:pPr>
              <w:spacing w:before="0" w:after="0" w:line="240" w:lineRule="auto"/>
              <w:jc w:val="right"/>
              <w:rPr>
                <w:rFonts w:ascii="Calibri" w:hAnsi="Calibri" w:cs="Calibri"/>
                <w:b/>
                <w:bCs/>
                <w:kern w:val="0"/>
                <w:sz w:val="22"/>
                <w:szCs w:val="22"/>
                <w:lang w:eastAsia="en-AU"/>
              </w:rPr>
            </w:pPr>
            <w:r w:rsidRPr="00E11287">
              <w:rPr>
                <w:rFonts w:ascii="Calibri" w:hAnsi="Calibri" w:cs="Calibri"/>
                <w:b/>
                <w:bCs/>
                <w:kern w:val="0"/>
                <w:sz w:val="22"/>
                <w:szCs w:val="22"/>
                <w:lang w:eastAsia="en-AU"/>
              </w:rPr>
              <w:t>0.0282</w:t>
            </w:r>
          </w:p>
        </w:tc>
      </w:tr>
      <w:tr w:rsidR="000325B1" w:rsidRPr="00E11287" w14:paraId="473D9C4D"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75A53B66" w14:textId="77777777" w:rsidR="000325B1" w:rsidRPr="00E11287" w:rsidRDefault="000325B1" w:rsidP="00D035C2">
            <w:pPr>
              <w:spacing w:before="0" w:after="0" w:line="240" w:lineRule="auto"/>
              <w:jc w:val="left"/>
              <w:rPr>
                <w:rFonts w:ascii="Calibri" w:hAnsi="Calibri" w:cs="Calibri"/>
                <w:i/>
                <w:iCs/>
                <w:color w:val="auto"/>
                <w:kern w:val="0"/>
                <w:sz w:val="22"/>
                <w:szCs w:val="22"/>
                <w:lang w:eastAsia="en-AU"/>
              </w:rPr>
            </w:pPr>
            <w:r w:rsidRPr="00E11287">
              <w:rPr>
                <w:rFonts w:ascii="Calibri" w:hAnsi="Calibri" w:cs="Calibri"/>
                <w:i/>
                <w:iCs/>
                <w:color w:val="auto"/>
                <w:kern w:val="0"/>
                <w:sz w:val="22"/>
                <w:szCs w:val="22"/>
                <w:lang w:eastAsia="en-AU"/>
              </w:rPr>
              <w:t>Reichardia tingitana</w:t>
            </w:r>
          </w:p>
        </w:tc>
        <w:tc>
          <w:tcPr>
            <w:tcW w:w="2120" w:type="dxa"/>
            <w:tcBorders>
              <w:top w:val="nil"/>
              <w:left w:val="nil"/>
              <w:bottom w:val="single" w:sz="4" w:space="0" w:color="auto"/>
              <w:right w:val="single" w:sz="4" w:space="0" w:color="auto"/>
            </w:tcBorders>
            <w:noWrap/>
            <w:vAlign w:val="bottom"/>
            <w:hideMark/>
          </w:tcPr>
          <w:p w14:paraId="5EE4C093"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08BC9F72"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0.7075</w:t>
            </w:r>
          </w:p>
        </w:tc>
      </w:tr>
      <w:tr w:rsidR="000325B1" w:rsidRPr="00E11287" w14:paraId="06F47DA7"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21A1FF2E"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Rorippa palustris*</w:t>
            </w:r>
          </w:p>
        </w:tc>
        <w:tc>
          <w:tcPr>
            <w:tcW w:w="2120" w:type="dxa"/>
            <w:tcBorders>
              <w:top w:val="nil"/>
              <w:left w:val="nil"/>
              <w:bottom w:val="single" w:sz="4" w:space="0" w:color="auto"/>
              <w:right w:val="single" w:sz="4" w:space="0" w:color="auto"/>
            </w:tcBorders>
            <w:noWrap/>
            <w:vAlign w:val="bottom"/>
            <w:hideMark/>
          </w:tcPr>
          <w:p w14:paraId="5EC74CF1"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Inundated</w:t>
            </w:r>
          </w:p>
        </w:tc>
        <w:tc>
          <w:tcPr>
            <w:tcW w:w="1120" w:type="dxa"/>
            <w:tcBorders>
              <w:top w:val="nil"/>
              <w:left w:val="nil"/>
              <w:bottom w:val="single" w:sz="4" w:space="0" w:color="auto"/>
              <w:right w:val="single" w:sz="4" w:space="0" w:color="auto"/>
            </w:tcBorders>
            <w:noWrap/>
            <w:vAlign w:val="bottom"/>
            <w:hideMark/>
          </w:tcPr>
          <w:p w14:paraId="1EDFB376"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1</w:t>
            </w:r>
          </w:p>
        </w:tc>
      </w:tr>
      <w:tr w:rsidR="000325B1" w:rsidRPr="00E11287" w14:paraId="3F84B48A"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6C852397"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Rumex bidens</w:t>
            </w:r>
          </w:p>
        </w:tc>
        <w:tc>
          <w:tcPr>
            <w:tcW w:w="2120" w:type="dxa"/>
            <w:tcBorders>
              <w:top w:val="nil"/>
              <w:left w:val="nil"/>
              <w:bottom w:val="single" w:sz="4" w:space="0" w:color="auto"/>
              <w:right w:val="single" w:sz="4" w:space="0" w:color="auto"/>
            </w:tcBorders>
            <w:noWrap/>
            <w:vAlign w:val="bottom"/>
            <w:hideMark/>
          </w:tcPr>
          <w:p w14:paraId="4AB35356"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5C90F144"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1</w:t>
            </w:r>
          </w:p>
        </w:tc>
      </w:tr>
      <w:tr w:rsidR="000325B1" w:rsidRPr="00E11287" w14:paraId="189287FB"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610EEF1E"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Senecio runcinifolius</w:t>
            </w:r>
          </w:p>
        </w:tc>
        <w:tc>
          <w:tcPr>
            <w:tcW w:w="2120" w:type="dxa"/>
            <w:tcBorders>
              <w:top w:val="nil"/>
              <w:left w:val="nil"/>
              <w:bottom w:val="single" w:sz="4" w:space="0" w:color="auto"/>
              <w:right w:val="single" w:sz="4" w:space="0" w:color="auto"/>
            </w:tcBorders>
            <w:noWrap/>
            <w:vAlign w:val="bottom"/>
            <w:hideMark/>
          </w:tcPr>
          <w:p w14:paraId="14F83BB3"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121707CA"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1</w:t>
            </w:r>
          </w:p>
        </w:tc>
      </w:tr>
      <w:tr w:rsidR="000325B1" w:rsidRPr="00E11287" w14:paraId="190DBE9B"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4877797B"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Sphaeromorphaea australis</w:t>
            </w:r>
          </w:p>
        </w:tc>
        <w:tc>
          <w:tcPr>
            <w:tcW w:w="2120" w:type="dxa"/>
            <w:tcBorders>
              <w:top w:val="nil"/>
              <w:left w:val="nil"/>
              <w:bottom w:val="single" w:sz="4" w:space="0" w:color="auto"/>
              <w:right w:val="single" w:sz="4" w:space="0" w:color="auto"/>
            </w:tcBorders>
            <w:noWrap/>
            <w:vAlign w:val="bottom"/>
            <w:hideMark/>
          </w:tcPr>
          <w:p w14:paraId="2A7C4099"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Pool level</w:t>
            </w:r>
          </w:p>
        </w:tc>
        <w:tc>
          <w:tcPr>
            <w:tcW w:w="1120" w:type="dxa"/>
            <w:tcBorders>
              <w:top w:val="nil"/>
              <w:left w:val="nil"/>
              <w:bottom w:val="single" w:sz="4" w:space="0" w:color="auto"/>
              <w:right w:val="single" w:sz="4" w:space="0" w:color="auto"/>
            </w:tcBorders>
            <w:noWrap/>
            <w:vAlign w:val="bottom"/>
            <w:hideMark/>
          </w:tcPr>
          <w:p w14:paraId="7BC6EA0C"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0.1806</w:t>
            </w:r>
          </w:p>
        </w:tc>
      </w:tr>
      <w:tr w:rsidR="000325B1" w:rsidRPr="00E11287" w14:paraId="3F7B5112"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3F55F7AE" w14:textId="77777777" w:rsidR="000325B1" w:rsidRPr="00E11287" w:rsidRDefault="000325B1" w:rsidP="00D035C2">
            <w:pPr>
              <w:spacing w:before="0" w:after="0" w:line="240" w:lineRule="auto"/>
              <w:jc w:val="left"/>
              <w:rPr>
                <w:rFonts w:ascii="Calibri" w:hAnsi="Calibri" w:cs="Calibri"/>
                <w:b/>
                <w:bCs/>
                <w:i/>
                <w:iCs/>
                <w:kern w:val="0"/>
                <w:sz w:val="22"/>
                <w:szCs w:val="22"/>
                <w:lang w:eastAsia="en-AU"/>
              </w:rPr>
            </w:pPr>
            <w:r w:rsidRPr="00E11287">
              <w:rPr>
                <w:rFonts w:ascii="Calibri" w:hAnsi="Calibri" w:cs="Calibri"/>
                <w:b/>
                <w:bCs/>
                <w:i/>
                <w:iCs/>
                <w:kern w:val="0"/>
                <w:sz w:val="22"/>
                <w:szCs w:val="22"/>
                <w:lang w:eastAsia="en-AU"/>
              </w:rPr>
              <w:t>Sporobolus mitchellii</w:t>
            </w:r>
          </w:p>
        </w:tc>
        <w:tc>
          <w:tcPr>
            <w:tcW w:w="2120" w:type="dxa"/>
            <w:tcBorders>
              <w:top w:val="nil"/>
              <w:left w:val="nil"/>
              <w:bottom w:val="single" w:sz="4" w:space="0" w:color="auto"/>
              <w:right w:val="single" w:sz="4" w:space="0" w:color="auto"/>
            </w:tcBorders>
            <w:noWrap/>
            <w:vAlign w:val="bottom"/>
            <w:hideMark/>
          </w:tcPr>
          <w:p w14:paraId="600BB0F7" w14:textId="77777777" w:rsidR="000325B1" w:rsidRPr="00E11287" w:rsidRDefault="000325B1" w:rsidP="00D035C2">
            <w:pPr>
              <w:spacing w:before="0" w:after="0" w:line="240" w:lineRule="auto"/>
              <w:jc w:val="left"/>
              <w:rPr>
                <w:rFonts w:ascii="Calibri" w:hAnsi="Calibri" w:cs="Calibri"/>
                <w:b/>
                <w:bCs/>
                <w:kern w:val="0"/>
                <w:sz w:val="22"/>
                <w:szCs w:val="22"/>
                <w:lang w:eastAsia="en-AU"/>
              </w:rPr>
            </w:pPr>
            <w:r w:rsidRPr="00E11287">
              <w:rPr>
                <w:rFonts w:ascii="Calibri" w:hAnsi="Calibri" w:cs="Calibri"/>
                <w:b/>
                <w:bCs/>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3B90DD01" w14:textId="77777777" w:rsidR="000325B1" w:rsidRPr="00E11287" w:rsidRDefault="000325B1" w:rsidP="00D035C2">
            <w:pPr>
              <w:spacing w:before="0" w:after="0" w:line="240" w:lineRule="auto"/>
              <w:jc w:val="right"/>
              <w:rPr>
                <w:rFonts w:ascii="Calibri" w:hAnsi="Calibri" w:cs="Calibri"/>
                <w:b/>
                <w:bCs/>
                <w:kern w:val="0"/>
                <w:sz w:val="22"/>
                <w:szCs w:val="22"/>
                <w:lang w:eastAsia="en-AU"/>
              </w:rPr>
            </w:pPr>
            <w:r w:rsidRPr="00E11287">
              <w:rPr>
                <w:rFonts w:ascii="Calibri" w:hAnsi="Calibri" w:cs="Calibri"/>
                <w:b/>
                <w:bCs/>
                <w:kern w:val="0"/>
                <w:sz w:val="22"/>
                <w:szCs w:val="22"/>
                <w:lang w:eastAsia="en-AU"/>
              </w:rPr>
              <w:t>0.036</w:t>
            </w:r>
          </w:p>
        </w:tc>
      </w:tr>
      <w:tr w:rsidR="000325B1" w:rsidRPr="00E11287" w14:paraId="66ED13A3"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78E1F3FB"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Stemodia florulenta</w:t>
            </w:r>
          </w:p>
        </w:tc>
        <w:tc>
          <w:tcPr>
            <w:tcW w:w="2120" w:type="dxa"/>
            <w:tcBorders>
              <w:top w:val="nil"/>
              <w:left w:val="nil"/>
              <w:bottom w:val="single" w:sz="4" w:space="0" w:color="auto"/>
              <w:right w:val="single" w:sz="4" w:space="0" w:color="auto"/>
            </w:tcBorders>
            <w:noWrap/>
            <w:vAlign w:val="bottom"/>
            <w:hideMark/>
          </w:tcPr>
          <w:p w14:paraId="0F59D93A"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Inundated</w:t>
            </w:r>
          </w:p>
        </w:tc>
        <w:tc>
          <w:tcPr>
            <w:tcW w:w="1120" w:type="dxa"/>
            <w:tcBorders>
              <w:top w:val="nil"/>
              <w:left w:val="nil"/>
              <w:bottom w:val="single" w:sz="4" w:space="0" w:color="auto"/>
              <w:right w:val="single" w:sz="4" w:space="0" w:color="auto"/>
            </w:tcBorders>
            <w:noWrap/>
            <w:vAlign w:val="bottom"/>
            <w:hideMark/>
          </w:tcPr>
          <w:p w14:paraId="04EF2F0F"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0.966</w:t>
            </w:r>
          </w:p>
        </w:tc>
      </w:tr>
      <w:tr w:rsidR="000325B1" w:rsidRPr="00E11287" w14:paraId="2E5274B7"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30172F1B" w14:textId="77777777" w:rsidR="000325B1" w:rsidRPr="00E11287" w:rsidRDefault="000325B1" w:rsidP="00D035C2">
            <w:pPr>
              <w:spacing w:before="0" w:after="0" w:line="240" w:lineRule="auto"/>
              <w:jc w:val="left"/>
              <w:rPr>
                <w:rFonts w:ascii="Calibri" w:hAnsi="Calibri" w:cs="Calibri"/>
                <w:b/>
                <w:bCs/>
                <w:i/>
                <w:iCs/>
                <w:kern w:val="0"/>
                <w:sz w:val="22"/>
                <w:szCs w:val="22"/>
                <w:lang w:eastAsia="en-AU"/>
              </w:rPr>
            </w:pPr>
            <w:r w:rsidRPr="00E11287">
              <w:rPr>
                <w:rFonts w:ascii="Calibri" w:hAnsi="Calibri" w:cs="Calibri"/>
                <w:b/>
                <w:bCs/>
                <w:i/>
                <w:iCs/>
                <w:kern w:val="0"/>
                <w:sz w:val="22"/>
                <w:szCs w:val="22"/>
                <w:lang w:eastAsia="en-AU"/>
              </w:rPr>
              <w:t>Symphyotrichum subulatum*</w:t>
            </w:r>
          </w:p>
        </w:tc>
        <w:tc>
          <w:tcPr>
            <w:tcW w:w="2120" w:type="dxa"/>
            <w:tcBorders>
              <w:top w:val="nil"/>
              <w:left w:val="nil"/>
              <w:bottom w:val="single" w:sz="4" w:space="0" w:color="auto"/>
              <w:right w:val="single" w:sz="4" w:space="0" w:color="auto"/>
            </w:tcBorders>
            <w:noWrap/>
            <w:vAlign w:val="bottom"/>
            <w:hideMark/>
          </w:tcPr>
          <w:p w14:paraId="0476DEF4" w14:textId="77777777" w:rsidR="000325B1" w:rsidRPr="00E11287" w:rsidRDefault="000325B1" w:rsidP="00D035C2">
            <w:pPr>
              <w:spacing w:before="0" w:after="0" w:line="240" w:lineRule="auto"/>
              <w:jc w:val="left"/>
              <w:rPr>
                <w:rFonts w:ascii="Calibri" w:hAnsi="Calibri" w:cs="Calibri"/>
                <w:b/>
                <w:bCs/>
                <w:kern w:val="0"/>
                <w:sz w:val="22"/>
                <w:szCs w:val="22"/>
                <w:lang w:eastAsia="en-AU"/>
              </w:rPr>
            </w:pPr>
            <w:r w:rsidRPr="00E11287">
              <w:rPr>
                <w:rFonts w:ascii="Calibri" w:hAnsi="Calibri" w:cs="Calibri"/>
                <w:b/>
                <w:bCs/>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5F53D655" w14:textId="77777777" w:rsidR="000325B1" w:rsidRPr="00E11287" w:rsidRDefault="000325B1" w:rsidP="00D035C2">
            <w:pPr>
              <w:spacing w:before="0" w:after="0" w:line="240" w:lineRule="auto"/>
              <w:jc w:val="right"/>
              <w:rPr>
                <w:rFonts w:ascii="Calibri" w:hAnsi="Calibri" w:cs="Calibri"/>
                <w:b/>
                <w:bCs/>
                <w:kern w:val="0"/>
                <w:sz w:val="22"/>
                <w:szCs w:val="22"/>
                <w:lang w:eastAsia="en-AU"/>
              </w:rPr>
            </w:pPr>
            <w:r w:rsidRPr="00E11287">
              <w:rPr>
                <w:rFonts w:ascii="Calibri" w:hAnsi="Calibri" w:cs="Calibri"/>
                <w:b/>
                <w:bCs/>
                <w:kern w:val="0"/>
                <w:sz w:val="22"/>
                <w:szCs w:val="22"/>
                <w:lang w:eastAsia="en-AU"/>
              </w:rPr>
              <w:t>0.0354</w:t>
            </w:r>
          </w:p>
        </w:tc>
      </w:tr>
      <w:tr w:rsidR="000325B1" w:rsidRPr="00E11287" w14:paraId="52E8BB7A"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2C54514C"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Teucrium racemosum</w:t>
            </w:r>
          </w:p>
        </w:tc>
        <w:tc>
          <w:tcPr>
            <w:tcW w:w="2120" w:type="dxa"/>
            <w:tcBorders>
              <w:top w:val="nil"/>
              <w:left w:val="nil"/>
              <w:bottom w:val="single" w:sz="4" w:space="0" w:color="auto"/>
              <w:right w:val="single" w:sz="4" w:space="0" w:color="auto"/>
            </w:tcBorders>
            <w:noWrap/>
            <w:vAlign w:val="bottom"/>
            <w:hideMark/>
          </w:tcPr>
          <w:p w14:paraId="39BF88A8"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03EA69C7"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0.234</w:t>
            </w:r>
          </w:p>
        </w:tc>
      </w:tr>
      <w:tr w:rsidR="000325B1" w:rsidRPr="00E11287" w14:paraId="663897D0"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456D1C66"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Trachymene cyanopetala</w:t>
            </w:r>
          </w:p>
        </w:tc>
        <w:tc>
          <w:tcPr>
            <w:tcW w:w="2120" w:type="dxa"/>
            <w:tcBorders>
              <w:top w:val="nil"/>
              <w:left w:val="nil"/>
              <w:bottom w:val="single" w:sz="4" w:space="0" w:color="auto"/>
              <w:right w:val="single" w:sz="4" w:space="0" w:color="auto"/>
            </w:tcBorders>
            <w:noWrap/>
            <w:vAlign w:val="bottom"/>
            <w:hideMark/>
          </w:tcPr>
          <w:p w14:paraId="05E7502C"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Pool level</w:t>
            </w:r>
          </w:p>
        </w:tc>
        <w:tc>
          <w:tcPr>
            <w:tcW w:w="1120" w:type="dxa"/>
            <w:tcBorders>
              <w:top w:val="nil"/>
              <w:left w:val="nil"/>
              <w:bottom w:val="single" w:sz="4" w:space="0" w:color="auto"/>
              <w:right w:val="single" w:sz="4" w:space="0" w:color="auto"/>
            </w:tcBorders>
            <w:noWrap/>
            <w:vAlign w:val="bottom"/>
            <w:hideMark/>
          </w:tcPr>
          <w:p w14:paraId="15FB56AB"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0.3281</w:t>
            </w:r>
          </w:p>
        </w:tc>
      </w:tr>
      <w:tr w:rsidR="000325B1" w:rsidRPr="00E11287" w14:paraId="54DD8F3C"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24250186" w14:textId="77777777" w:rsidR="000325B1" w:rsidRPr="00E11287" w:rsidRDefault="000325B1" w:rsidP="00D035C2">
            <w:pPr>
              <w:spacing w:before="0" w:after="0" w:line="240" w:lineRule="auto"/>
              <w:jc w:val="left"/>
              <w:rPr>
                <w:rFonts w:ascii="Calibri" w:hAnsi="Calibri" w:cs="Calibri"/>
                <w:i/>
                <w:iCs/>
                <w:kern w:val="0"/>
                <w:sz w:val="22"/>
                <w:szCs w:val="22"/>
                <w:lang w:eastAsia="en-AU"/>
              </w:rPr>
            </w:pPr>
            <w:r w:rsidRPr="00E11287">
              <w:rPr>
                <w:rFonts w:ascii="Calibri" w:hAnsi="Calibri" w:cs="Calibri"/>
                <w:i/>
                <w:iCs/>
                <w:kern w:val="0"/>
                <w:sz w:val="22"/>
                <w:szCs w:val="22"/>
                <w:lang w:eastAsia="en-AU"/>
              </w:rPr>
              <w:t>Trifolium</w:t>
            </w:r>
          </w:p>
        </w:tc>
        <w:tc>
          <w:tcPr>
            <w:tcW w:w="2120" w:type="dxa"/>
            <w:tcBorders>
              <w:top w:val="nil"/>
              <w:left w:val="nil"/>
              <w:bottom w:val="single" w:sz="4" w:space="0" w:color="auto"/>
              <w:right w:val="single" w:sz="4" w:space="0" w:color="auto"/>
            </w:tcBorders>
            <w:noWrap/>
            <w:vAlign w:val="bottom"/>
            <w:hideMark/>
          </w:tcPr>
          <w:p w14:paraId="3AB827EE"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Inundated</w:t>
            </w:r>
          </w:p>
        </w:tc>
        <w:tc>
          <w:tcPr>
            <w:tcW w:w="1120" w:type="dxa"/>
            <w:tcBorders>
              <w:top w:val="nil"/>
              <w:left w:val="nil"/>
              <w:bottom w:val="single" w:sz="4" w:space="0" w:color="auto"/>
              <w:right w:val="single" w:sz="4" w:space="0" w:color="auto"/>
            </w:tcBorders>
            <w:noWrap/>
            <w:vAlign w:val="bottom"/>
            <w:hideMark/>
          </w:tcPr>
          <w:p w14:paraId="45E09C6B"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0.873</w:t>
            </w:r>
          </w:p>
        </w:tc>
      </w:tr>
      <w:tr w:rsidR="000325B1" w:rsidRPr="00E11287" w14:paraId="7DC6EEDD"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52CCCCE2"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Unknown</w:t>
            </w:r>
          </w:p>
        </w:tc>
        <w:tc>
          <w:tcPr>
            <w:tcW w:w="2120" w:type="dxa"/>
            <w:tcBorders>
              <w:top w:val="nil"/>
              <w:left w:val="nil"/>
              <w:bottom w:val="single" w:sz="4" w:space="0" w:color="auto"/>
              <w:right w:val="single" w:sz="4" w:space="0" w:color="auto"/>
            </w:tcBorders>
            <w:noWrap/>
            <w:vAlign w:val="bottom"/>
            <w:hideMark/>
          </w:tcPr>
          <w:p w14:paraId="15DCDD03" w14:textId="77777777" w:rsidR="000325B1" w:rsidRPr="00E11287" w:rsidRDefault="000325B1" w:rsidP="00D035C2">
            <w:pPr>
              <w:spacing w:before="0" w:after="0" w:line="240" w:lineRule="auto"/>
              <w:jc w:val="left"/>
              <w:rPr>
                <w:rFonts w:ascii="Calibri" w:hAnsi="Calibri" w:cs="Calibri"/>
                <w:kern w:val="0"/>
                <w:sz w:val="22"/>
                <w:szCs w:val="22"/>
                <w:lang w:eastAsia="en-AU"/>
              </w:rPr>
            </w:pPr>
            <w:r w:rsidRPr="00E11287">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55176693" w14:textId="77777777" w:rsidR="000325B1" w:rsidRPr="00E11287" w:rsidRDefault="000325B1" w:rsidP="00D035C2">
            <w:pPr>
              <w:spacing w:before="0" w:after="0" w:line="240" w:lineRule="auto"/>
              <w:jc w:val="right"/>
              <w:rPr>
                <w:rFonts w:ascii="Calibri" w:hAnsi="Calibri" w:cs="Calibri"/>
                <w:kern w:val="0"/>
                <w:sz w:val="22"/>
                <w:szCs w:val="22"/>
                <w:lang w:eastAsia="en-AU"/>
              </w:rPr>
            </w:pPr>
            <w:r w:rsidRPr="00E11287">
              <w:rPr>
                <w:rFonts w:ascii="Calibri" w:hAnsi="Calibri" w:cs="Calibri"/>
                <w:kern w:val="0"/>
                <w:sz w:val="22"/>
                <w:szCs w:val="22"/>
                <w:lang w:eastAsia="en-AU"/>
              </w:rPr>
              <w:t>1</w:t>
            </w:r>
          </w:p>
        </w:tc>
      </w:tr>
      <w:tr w:rsidR="000325B1" w:rsidRPr="00C921B6" w14:paraId="7DE1C75B" w14:textId="77777777" w:rsidTr="00E11287">
        <w:trPr>
          <w:trHeight w:val="300"/>
          <w:jc w:val="center"/>
        </w:trPr>
        <w:tc>
          <w:tcPr>
            <w:tcW w:w="3180" w:type="dxa"/>
            <w:tcBorders>
              <w:top w:val="nil"/>
              <w:left w:val="single" w:sz="4" w:space="0" w:color="auto"/>
              <w:bottom w:val="single" w:sz="4" w:space="0" w:color="auto"/>
              <w:right w:val="single" w:sz="4" w:space="0" w:color="auto"/>
            </w:tcBorders>
            <w:noWrap/>
            <w:vAlign w:val="bottom"/>
            <w:hideMark/>
          </w:tcPr>
          <w:p w14:paraId="53C68FD7" w14:textId="77777777" w:rsidR="000325B1" w:rsidRPr="00E11287" w:rsidRDefault="000325B1" w:rsidP="00D035C2">
            <w:pPr>
              <w:spacing w:before="0" w:after="0" w:line="240" w:lineRule="auto"/>
              <w:jc w:val="left"/>
              <w:rPr>
                <w:rFonts w:ascii="Calibri" w:hAnsi="Calibri" w:cs="Calibri"/>
                <w:b/>
                <w:bCs/>
                <w:i/>
                <w:iCs/>
                <w:kern w:val="0"/>
                <w:sz w:val="22"/>
                <w:szCs w:val="22"/>
                <w:lang w:eastAsia="en-AU"/>
              </w:rPr>
            </w:pPr>
            <w:r w:rsidRPr="00E11287">
              <w:rPr>
                <w:rFonts w:ascii="Calibri" w:hAnsi="Calibri" w:cs="Calibri"/>
                <w:b/>
                <w:bCs/>
                <w:i/>
                <w:iCs/>
                <w:kern w:val="0"/>
                <w:sz w:val="22"/>
                <w:szCs w:val="22"/>
                <w:lang w:eastAsia="en-AU"/>
              </w:rPr>
              <w:t>Wahlenbergia fluminalis</w:t>
            </w:r>
          </w:p>
        </w:tc>
        <w:tc>
          <w:tcPr>
            <w:tcW w:w="2120" w:type="dxa"/>
            <w:tcBorders>
              <w:top w:val="nil"/>
              <w:left w:val="nil"/>
              <w:bottom w:val="single" w:sz="4" w:space="0" w:color="auto"/>
              <w:right w:val="single" w:sz="4" w:space="0" w:color="auto"/>
            </w:tcBorders>
            <w:noWrap/>
            <w:vAlign w:val="bottom"/>
            <w:hideMark/>
          </w:tcPr>
          <w:p w14:paraId="0389192E" w14:textId="77777777" w:rsidR="000325B1" w:rsidRPr="00E11287" w:rsidRDefault="000325B1" w:rsidP="00D035C2">
            <w:pPr>
              <w:spacing w:before="0" w:after="0" w:line="240" w:lineRule="auto"/>
              <w:jc w:val="left"/>
              <w:rPr>
                <w:rFonts w:ascii="Calibri" w:hAnsi="Calibri" w:cs="Calibri"/>
                <w:b/>
                <w:bCs/>
                <w:kern w:val="0"/>
                <w:sz w:val="22"/>
                <w:szCs w:val="22"/>
                <w:lang w:eastAsia="en-AU"/>
              </w:rPr>
            </w:pPr>
            <w:r w:rsidRPr="00E11287">
              <w:rPr>
                <w:rFonts w:ascii="Calibri" w:hAnsi="Calibri" w:cs="Calibri"/>
                <w:b/>
                <w:bCs/>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3D97A6AB" w14:textId="77777777" w:rsidR="000325B1" w:rsidRPr="00E11287" w:rsidRDefault="000325B1" w:rsidP="00D035C2">
            <w:pPr>
              <w:spacing w:before="0" w:after="0" w:line="240" w:lineRule="auto"/>
              <w:jc w:val="right"/>
              <w:rPr>
                <w:rFonts w:ascii="Calibri" w:hAnsi="Calibri" w:cs="Calibri"/>
                <w:b/>
                <w:bCs/>
                <w:kern w:val="0"/>
                <w:sz w:val="22"/>
                <w:szCs w:val="22"/>
                <w:lang w:eastAsia="en-AU"/>
              </w:rPr>
            </w:pPr>
            <w:r w:rsidRPr="00E11287">
              <w:rPr>
                <w:rFonts w:ascii="Calibri" w:hAnsi="Calibri" w:cs="Calibri"/>
                <w:b/>
                <w:bCs/>
                <w:kern w:val="0"/>
                <w:sz w:val="22"/>
                <w:szCs w:val="22"/>
                <w:lang w:eastAsia="en-AU"/>
              </w:rPr>
              <w:t>0.01</w:t>
            </w:r>
          </w:p>
        </w:tc>
      </w:tr>
    </w:tbl>
    <w:p w14:paraId="55372C3F" w14:textId="77777777" w:rsidR="0009632D" w:rsidRDefault="0009632D" w:rsidP="000325B1">
      <w:pPr>
        <w:pStyle w:val="EndNoteBibliography"/>
        <w:spacing w:before="240" w:after="0" w:line="360" w:lineRule="auto"/>
        <w:jc w:val="left"/>
        <w:rPr>
          <w:rFonts w:ascii="Century Gothic" w:hAnsi="Century Gothic" w:cstheme="minorHAnsi"/>
          <w:szCs w:val="21"/>
        </w:rPr>
      </w:pPr>
    </w:p>
    <w:p w14:paraId="6911DC0B" w14:textId="40A9515E" w:rsidR="000325B1" w:rsidRDefault="000325B1" w:rsidP="000325B1">
      <w:pPr>
        <w:pStyle w:val="EndNoteBibliography"/>
        <w:spacing w:before="240" w:after="0" w:line="360" w:lineRule="auto"/>
        <w:jc w:val="left"/>
        <w:rPr>
          <w:rFonts w:ascii="Century Gothic" w:hAnsi="Century Gothic" w:cstheme="minorHAnsi"/>
          <w:szCs w:val="21"/>
        </w:rPr>
      </w:pPr>
      <w:r>
        <w:rPr>
          <w:rFonts w:ascii="Century Gothic" w:hAnsi="Century Gothic" w:cstheme="minorHAnsi"/>
          <w:szCs w:val="21"/>
        </w:rPr>
        <w:lastRenderedPageBreak/>
        <w:t>b.</w:t>
      </w:r>
    </w:p>
    <w:tbl>
      <w:tblPr>
        <w:tblW w:w="6420" w:type="dxa"/>
        <w:jc w:val="center"/>
        <w:tblLook w:val="04A0" w:firstRow="1" w:lastRow="0" w:firstColumn="1" w:lastColumn="0" w:noHBand="0" w:noVBand="1"/>
      </w:tblPr>
      <w:tblGrid>
        <w:gridCol w:w="3200"/>
        <w:gridCol w:w="2080"/>
        <w:gridCol w:w="1140"/>
      </w:tblGrid>
      <w:tr w:rsidR="000325B1" w:rsidRPr="00C921B6" w14:paraId="08C3FCB8" w14:textId="77777777" w:rsidTr="00E11287">
        <w:trPr>
          <w:trHeight w:val="300"/>
          <w:tblHeader/>
          <w:jc w:val="center"/>
        </w:trPr>
        <w:tc>
          <w:tcPr>
            <w:tcW w:w="3200" w:type="dxa"/>
            <w:tcBorders>
              <w:top w:val="single" w:sz="4" w:space="0" w:color="auto"/>
              <w:left w:val="single" w:sz="4" w:space="0" w:color="auto"/>
              <w:bottom w:val="single" w:sz="4" w:space="0" w:color="auto"/>
              <w:right w:val="single" w:sz="4" w:space="0" w:color="auto"/>
            </w:tcBorders>
            <w:noWrap/>
            <w:vAlign w:val="bottom"/>
            <w:hideMark/>
          </w:tcPr>
          <w:p w14:paraId="6D339186" w14:textId="77777777" w:rsidR="000325B1" w:rsidRPr="00C921B6" w:rsidRDefault="000325B1" w:rsidP="00D035C2">
            <w:pPr>
              <w:spacing w:before="0" w:after="0" w:line="240" w:lineRule="auto"/>
              <w:jc w:val="center"/>
              <w:rPr>
                <w:rFonts w:cs="Calibri"/>
                <w:b/>
                <w:bCs/>
                <w:kern w:val="0"/>
                <w:sz w:val="19"/>
                <w:szCs w:val="19"/>
                <w:lang w:eastAsia="en-AU"/>
              </w:rPr>
            </w:pPr>
            <w:r w:rsidRPr="00C921B6">
              <w:rPr>
                <w:rFonts w:cs="Calibri"/>
                <w:b/>
                <w:bCs/>
                <w:kern w:val="0"/>
                <w:sz w:val="19"/>
                <w:szCs w:val="19"/>
                <w:lang w:eastAsia="en-AU"/>
              </w:rPr>
              <w:t>Species</w:t>
            </w:r>
          </w:p>
        </w:tc>
        <w:tc>
          <w:tcPr>
            <w:tcW w:w="2080" w:type="dxa"/>
            <w:tcBorders>
              <w:top w:val="single" w:sz="4" w:space="0" w:color="auto"/>
              <w:left w:val="nil"/>
              <w:bottom w:val="single" w:sz="4" w:space="0" w:color="auto"/>
              <w:right w:val="single" w:sz="4" w:space="0" w:color="auto"/>
            </w:tcBorders>
            <w:noWrap/>
            <w:vAlign w:val="bottom"/>
            <w:hideMark/>
          </w:tcPr>
          <w:p w14:paraId="6E62A15C" w14:textId="77777777" w:rsidR="000325B1" w:rsidRPr="00C921B6" w:rsidRDefault="000325B1" w:rsidP="00D035C2">
            <w:pPr>
              <w:spacing w:before="0" w:after="0" w:line="240" w:lineRule="auto"/>
              <w:jc w:val="center"/>
              <w:rPr>
                <w:rFonts w:cs="Calibri"/>
                <w:b/>
                <w:bCs/>
                <w:kern w:val="0"/>
                <w:sz w:val="19"/>
                <w:szCs w:val="19"/>
                <w:lang w:eastAsia="en-AU"/>
              </w:rPr>
            </w:pPr>
            <w:r w:rsidRPr="00C921B6">
              <w:rPr>
                <w:rFonts w:cs="Calibri"/>
                <w:b/>
                <w:bCs/>
                <w:kern w:val="0"/>
                <w:sz w:val="19"/>
                <w:szCs w:val="19"/>
                <w:lang w:eastAsia="en-AU"/>
              </w:rPr>
              <w:t>Zone</w:t>
            </w:r>
          </w:p>
        </w:tc>
        <w:tc>
          <w:tcPr>
            <w:tcW w:w="1140" w:type="dxa"/>
            <w:tcBorders>
              <w:top w:val="single" w:sz="4" w:space="0" w:color="auto"/>
              <w:left w:val="nil"/>
              <w:bottom w:val="single" w:sz="4" w:space="0" w:color="auto"/>
              <w:right w:val="single" w:sz="4" w:space="0" w:color="auto"/>
            </w:tcBorders>
            <w:noWrap/>
            <w:vAlign w:val="bottom"/>
            <w:hideMark/>
          </w:tcPr>
          <w:p w14:paraId="58D544F9" w14:textId="77777777" w:rsidR="000325B1" w:rsidRPr="00C921B6" w:rsidRDefault="000325B1" w:rsidP="00D035C2">
            <w:pPr>
              <w:spacing w:before="0" w:after="0" w:line="240" w:lineRule="auto"/>
              <w:jc w:val="center"/>
              <w:rPr>
                <w:rFonts w:cs="Calibri"/>
                <w:b/>
                <w:bCs/>
                <w:kern w:val="0"/>
                <w:sz w:val="19"/>
                <w:szCs w:val="19"/>
                <w:lang w:eastAsia="en-AU"/>
              </w:rPr>
            </w:pPr>
            <w:r w:rsidRPr="00C921B6">
              <w:rPr>
                <w:rFonts w:cs="Calibri"/>
                <w:b/>
                <w:bCs/>
                <w:kern w:val="0"/>
                <w:sz w:val="19"/>
                <w:szCs w:val="19"/>
                <w:lang w:eastAsia="en-AU"/>
              </w:rPr>
              <w:t>P</w:t>
            </w:r>
          </w:p>
        </w:tc>
      </w:tr>
      <w:tr w:rsidR="000325B1" w:rsidRPr="00C921B6" w14:paraId="2942EE8F"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61C2E6C6"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Alternanthera denticulata</w:t>
            </w:r>
          </w:p>
        </w:tc>
        <w:tc>
          <w:tcPr>
            <w:tcW w:w="2080" w:type="dxa"/>
            <w:tcBorders>
              <w:top w:val="nil"/>
              <w:left w:val="nil"/>
              <w:bottom w:val="single" w:sz="4" w:space="0" w:color="auto"/>
              <w:right w:val="single" w:sz="4" w:space="0" w:color="auto"/>
            </w:tcBorders>
            <w:noWrap/>
            <w:vAlign w:val="bottom"/>
            <w:hideMark/>
          </w:tcPr>
          <w:p w14:paraId="0D1C2229"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0B572569"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0.0778</w:t>
            </w:r>
          </w:p>
        </w:tc>
      </w:tr>
      <w:tr w:rsidR="000325B1" w:rsidRPr="00C921B6" w14:paraId="548A244A"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07C6AD62"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Ammannia multiflora</w:t>
            </w:r>
          </w:p>
        </w:tc>
        <w:tc>
          <w:tcPr>
            <w:tcW w:w="2080" w:type="dxa"/>
            <w:tcBorders>
              <w:top w:val="nil"/>
              <w:left w:val="nil"/>
              <w:bottom w:val="single" w:sz="4" w:space="0" w:color="auto"/>
              <w:right w:val="single" w:sz="4" w:space="0" w:color="auto"/>
            </w:tcBorders>
            <w:noWrap/>
            <w:vAlign w:val="bottom"/>
            <w:hideMark/>
          </w:tcPr>
          <w:p w14:paraId="6BF63C60"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Inundated</w:t>
            </w:r>
          </w:p>
        </w:tc>
        <w:tc>
          <w:tcPr>
            <w:tcW w:w="1140" w:type="dxa"/>
            <w:tcBorders>
              <w:top w:val="nil"/>
              <w:left w:val="nil"/>
              <w:bottom w:val="single" w:sz="4" w:space="0" w:color="auto"/>
              <w:right w:val="single" w:sz="4" w:space="0" w:color="auto"/>
            </w:tcBorders>
            <w:noWrap/>
            <w:vAlign w:val="bottom"/>
            <w:hideMark/>
          </w:tcPr>
          <w:p w14:paraId="60771C6B"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67A7D58D"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529F088B"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Atriplex lindleyi</w:t>
            </w:r>
          </w:p>
        </w:tc>
        <w:tc>
          <w:tcPr>
            <w:tcW w:w="2080" w:type="dxa"/>
            <w:tcBorders>
              <w:top w:val="nil"/>
              <w:left w:val="nil"/>
              <w:bottom w:val="single" w:sz="4" w:space="0" w:color="auto"/>
              <w:right w:val="single" w:sz="4" w:space="0" w:color="auto"/>
            </w:tcBorders>
            <w:noWrap/>
            <w:vAlign w:val="bottom"/>
            <w:hideMark/>
          </w:tcPr>
          <w:p w14:paraId="3A179849"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3639EF8D"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0.3497</w:t>
            </w:r>
          </w:p>
        </w:tc>
      </w:tr>
      <w:tr w:rsidR="000325B1" w:rsidRPr="00C921B6" w14:paraId="25101AA9"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2CB8808E" w14:textId="77777777" w:rsidR="000325B1" w:rsidRPr="00E11287" w:rsidRDefault="000325B1" w:rsidP="00D035C2">
            <w:pPr>
              <w:spacing w:before="0" w:after="0" w:line="240" w:lineRule="auto"/>
              <w:jc w:val="left"/>
              <w:rPr>
                <w:rFonts w:ascii="Calibri" w:hAnsi="Calibri" w:cs="Calibri"/>
                <w:b/>
                <w:bCs/>
                <w:kern w:val="0"/>
                <w:sz w:val="22"/>
                <w:szCs w:val="22"/>
                <w:lang w:eastAsia="en-AU"/>
              </w:rPr>
            </w:pPr>
            <w:r w:rsidRPr="00E11287">
              <w:rPr>
                <w:rFonts w:ascii="Calibri" w:hAnsi="Calibri" w:cs="Calibri"/>
                <w:b/>
                <w:bCs/>
                <w:kern w:val="0"/>
                <w:sz w:val="22"/>
                <w:szCs w:val="22"/>
                <w:lang w:eastAsia="en-AU"/>
              </w:rPr>
              <w:t>Bare soil</w:t>
            </w:r>
          </w:p>
        </w:tc>
        <w:tc>
          <w:tcPr>
            <w:tcW w:w="2080" w:type="dxa"/>
            <w:tcBorders>
              <w:top w:val="nil"/>
              <w:left w:val="nil"/>
              <w:bottom w:val="single" w:sz="4" w:space="0" w:color="auto"/>
              <w:right w:val="single" w:sz="4" w:space="0" w:color="auto"/>
            </w:tcBorders>
            <w:noWrap/>
            <w:vAlign w:val="bottom"/>
            <w:hideMark/>
          </w:tcPr>
          <w:p w14:paraId="3D288481" w14:textId="77777777" w:rsidR="000325B1" w:rsidRPr="00E11287" w:rsidRDefault="000325B1" w:rsidP="00D035C2">
            <w:pPr>
              <w:spacing w:before="0" w:after="0" w:line="240" w:lineRule="auto"/>
              <w:jc w:val="left"/>
              <w:rPr>
                <w:rFonts w:ascii="Calibri" w:hAnsi="Calibri" w:cs="Calibri"/>
                <w:b/>
                <w:bCs/>
                <w:kern w:val="0"/>
                <w:sz w:val="22"/>
                <w:szCs w:val="22"/>
                <w:lang w:eastAsia="en-AU"/>
              </w:rPr>
            </w:pPr>
            <w:r w:rsidRPr="00E11287">
              <w:rPr>
                <w:rFonts w:ascii="Calibri" w:hAnsi="Calibri" w:cs="Calibri"/>
                <w:b/>
                <w:bCs/>
                <w:kern w:val="0"/>
                <w:sz w:val="22"/>
                <w:szCs w:val="22"/>
                <w:lang w:eastAsia="en-AU"/>
              </w:rPr>
              <w:t>Pool level</w:t>
            </w:r>
          </w:p>
        </w:tc>
        <w:tc>
          <w:tcPr>
            <w:tcW w:w="1140" w:type="dxa"/>
            <w:tcBorders>
              <w:top w:val="nil"/>
              <w:left w:val="nil"/>
              <w:bottom w:val="single" w:sz="4" w:space="0" w:color="auto"/>
              <w:right w:val="single" w:sz="4" w:space="0" w:color="auto"/>
            </w:tcBorders>
            <w:noWrap/>
            <w:vAlign w:val="bottom"/>
            <w:hideMark/>
          </w:tcPr>
          <w:p w14:paraId="56701630" w14:textId="77777777" w:rsidR="000325B1" w:rsidRPr="00E11287" w:rsidRDefault="000325B1" w:rsidP="00D035C2">
            <w:pPr>
              <w:spacing w:before="0" w:after="0" w:line="240" w:lineRule="auto"/>
              <w:jc w:val="right"/>
              <w:rPr>
                <w:rFonts w:ascii="Calibri" w:hAnsi="Calibri" w:cs="Calibri"/>
                <w:b/>
                <w:bCs/>
                <w:kern w:val="0"/>
                <w:sz w:val="22"/>
                <w:szCs w:val="22"/>
                <w:lang w:eastAsia="en-AU"/>
              </w:rPr>
            </w:pPr>
            <w:r w:rsidRPr="00E11287">
              <w:rPr>
                <w:rFonts w:ascii="Calibri" w:hAnsi="Calibri" w:cs="Calibri"/>
                <w:b/>
                <w:bCs/>
                <w:kern w:val="0"/>
                <w:sz w:val="22"/>
                <w:szCs w:val="22"/>
                <w:lang w:eastAsia="en-AU"/>
              </w:rPr>
              <w:t>0.002</w:t>
            </w:r>
          </w:p>
        </w:tc>
      </w:tr>
      <w:tr w:rsidR="000325B1" w:rsidRPr="00C921B6" w14:paraId="4C4D8024"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75DB9C75"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Bolboschoenus caldwellii</w:t>
            </w:r>
          </w:p>
        </w:tc>
        <w:tc>
          <w:tcPr>
            <w:tcW w:w="2080" w:type="dxa"/>
            <w:tcBorders>
              <w:top w:val="nil"/>
              <w:left w:val="nil"/>
              <w:bottom w:val="single" w:sz="4" w:space="0" w:color="auto"/>
              <w:right w:val="single" w:sz="4" w:space="0" w:color="auto"/>
            </w:tcBorders>
            <w:noWrap/>
            <w:vAlign w:val="bottom"/>
            <w:hideMark/>
          </w:tcPr>
          <w:p w14:paraId="050E3742"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Inundated</w:t>
            </w:r>
          </w:p>
        </w:tc>
        <w:tc>
          <w:tcPr>
            <w:tcW w:w="1140" w:type="dxa"/>
            <w:tcBorders>
              <w:top w:val="nil"/>
              <w:left w:val="nil"/>
              <w:bottom w:val="single" w:sz="4" w:space="0" w:color="auto"/>
              <w:right w:val="single" w:sz="4" w:space="0" w:color="auto"/>
            </w:tcBorders>
            <w:noWrap/>
            <w:vAlign w:val="bottom"/>
            <w:hideMark/>
          </w:tcPr>
          <w:p w14:paraId="0D6A911B"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0.1614</w:t>
            </w:r>
          </w:p>
        </w:tc>
      </w:tr>
      <w:tr w:rsidR="000325B1" w:rsidRPr="00C921B6" w14:paraId="743A0614"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5439BBEB"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Brachyscome paludicola</w:t>
            </w:r>
          </w:p>
        </w:tc>
        <w:tc>
          <w:tcPr>
            <w:tcW w:w="2080" w:type="dxa"/>
            <w:tcBorders>
              <w:top w:val="nil"/>
              <w:left w:val="nil"/>
              <w:bottom w:val="single" w:sz="4" w:space="0" w:color="auto"/>
              <w:right w:val="single" w:sz="4" w:space="0" w:color="auto"/>
            </w:tcBorders>
            <w:noWrap/>
            <w:vAlign w:val="bottom"/>
            <w:hideMark/>
          </w:tcPr>
          <w:p w14:paraId="45EB1437"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40" w:type="dxa"/>
            <w:tcBorders>
              <w:top w:val="nil"/>
              <w:left w:val="nil"/>
              <w:bottom w:val="single" w:sz="4" w:space="0" w:color="auto"/>
              <w:right w:val="single" w:sz="4" w:space="0" w:color="auto"/>
            </w:tcBorders>
            <w:noWrap/>
            <w:vAlign w:val="bottom"/>
            <w:hideMark/>
          </w:tcPr>
          <w:p w14:paraId="667366C2"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0.3187</w:t>
            </w:r>
          </w:p>
        </w:tc>
      </w:tr>
      <w:tr w:rsidR="000325B1" w:rsidRPr="00C921B6" w14:paraId="60EDA085"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710812CA"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Calotis cuneifolia</w:t>
            </w:r>
          </w:p>
        </w:tc>
        <w:tc>
          <w:tcPr>
            <w:tcW w:w="2080" w:type="dxa"/>
            <w:tcBorders>
              <w:top w:val="nil"/>
              <w:left w:val="nil"/>
              <w:bottom w:val="single" w:sz="4" w:space="0" w:color="auto"/>
              <w:right w:val="single" w:sz="4" w:space="0" w:color="auto"/>
            </w:tcBorders>
            <w:noWrap/>
            <w:vAlign w:val="bottom"/>
            <w:hideMark/>
          </w:tcPr>
          <w:p w14:paraId="5DC5D461"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40" w:type="dxa"/>
            <w:tcBorders>
              <w:top w:val="nil"/>
              <w:left w:val="nil"/>
              <w:bottom w:val="single" w:sz="4" w:space="0" w:color="auto"/>
              <w:right w:val="single" w:sz="4" w:space="0" w:color="auto"/>
            </w:tcBorders>
            <w:noWrap/>
            <w:vAlign w:val="bottom"/>
            <w:hideMark/>
          </w:tcPr>
          <w:p w14:paraId="097176F7"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0.1454</w:t>
            </w:r>
          </w:p>
        </w:tc>
      </w:tr>
      <w:tr w:rsidR="000325B1" w:rsidRPr="00C921B6" w14:paraId="7B527AAF"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1733F066"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Centipeda cunninghamii</w:t>
            </w:r>
          </w:p>
        </w:tc>
        <w:tc>
          <w:tcPr>
            <w:tcW w:w="2080" w:type="dxa"/>
            <w:tcBorders>
              <w:top w:val="nil"/>
              <w:left w:val="nil"/>
              <w:bottom w:val="single" w:sz="4" w:space="0" w:color="auto"/>
              <w:right w:val="single" w:sz="4" w:space="0" w:color="auto"/>
            </w:tcBorders>
            <w:noWrap/>
            <w:vAlign w:val="bottom"/>
            <w:hideMark/>
          </w:tcPr>
          <w:p w14:paraId="3E9A49FA"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4014DC41"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0.3675</w:t>
            </w:r>
          </w:p>
        </w:tc>
      </w:tr>
      <w:tr w:rsidR="000325B1" w:rsidRPr="00C921B6" w14:paraId="70D9481E"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263979F2"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Cyperus gymnocaulos</w:t>
            </w:r>
          </w:p>
        </w:tc>
        <w:tc>
          <w:tcPr>
            <w:tcW w:w="2080" w:type="dxa"/>
            <w:tcBorders>
              <w:top w:val="nil"/>
              <w:left w:val="nil"/>
              <w:bottom w:val="single" w:sz="4" w:space="0" w:color="auto"/>
              <w:right w:val="single" w:sz="4" w:space="0" w:color="auto"/>
            </w:tcBorders>
            <w:noWrap/>
            <w:vAlign w:val="bottom"/>
            <w:hideMark/>
          </w:tcPr>
          <w:p w14:paraId="060801D3"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7C3AA502"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0.0776</w:t>
            </w:r>
          </w:p>
        </w:tc>
      </w:tr>
      <w:tr w:rsidR="000325B1" w:rsidRPr="00C921B6" w14:paraId="255FC448"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5AB0939E"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Dysphania pumilio</w:t>
            </w:r>
          </w:p>
        </w:tc>
        <w:tc>
          <w:tcPr>
            <w:tcW w:w="2080" w:type="dxa"/>
            <w:tcBorders>
              <w:top w:val="nil"/>
              <w:left w:val="nil"/>
              <w:bottom w:val="single" w:sz="4" w:space="0" w:color="auto"/>
              <w:right w:val="single" w:sz="4" w:space="0" w:color="auto"/>
            </w:tcBorders>
            <w:noWrap/>
            <w:vAlign w:val="bottom"/>
            <w:hideMark/>
          </w:tcPr>
          <w:p w14:paraId="431C03D1"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24CB4697"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0.7089</w:t>
            </w:r>
          </w:p>
        </w:tc>
      </w:tr>
      <w:tr w:rsidR="000325B1" w:rsidRPr="00C921B6" w14:paraId="442808B0"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65F9C530"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Einadia nutans</w:t>
            </w:r>
          </w:p>
        </w:tc>
        <w:tc>
          <w:tcPr>
            <w:tcW w:w="2080" w:type="dxa"/>
            <w:tcBorders>
              <w:top w:val="nil"/>
              <w:left w:val="nil"/>
              <w:bottom w:val="single" w:sz="4" w:space="0" w:color="auto"/>
              <w:right w:val="single" w:sz="4" w:space="0" w:color="auto"/>
            </w:tcBorders>
            <w:noWrap/>
            <w:vAlign w:val="bottom"/>
            <w:hideMark/>
          </w:tcPr>
          <w:p w14:paraId="3A0EA3C5"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40" w:type="dxa"/>
            <w:tcBorders>
              <w:top w:val="nil"/>
              <w:left w:val="nil"/>
              <w:bottom w:val="single" w:sz="4" w:space="0" w:color="auto"/>
              <w:right w:val="single" w:sz="4" w:space="0" w:color="auto"/>
            </w:tcBorders>
            <w:noWrap/>
            <w:vAlign w:val="bottom"/>
            <w:hideMark/>
          </w:tcPr>
          <w:p w14:paraId="5EAD9488"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0F380AA1"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4EE21543"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Eucalyptus camaldulensis</w:t>
            </w:r>
          </w:p>
        </w:tc>
        <w:tc>
          <w:tcPr>
            <w:tcW w:w="2080" w:type="dxa"/>
            <w:tcBorders>
              <w:top w:val="nil"/>
              <w:left w:val="nil"/>
              <w:bottom w:val="single" w:sz="4" w:space="0" w:color="auto"/>
              <w:right w:val="single" w:sz="4" w:space="0" w:color="auto"/>
            </w:tcBorders>
            <w:noWrap/>
            <w:vAlign w:val="bottom"/>
            <w:hideMark/>
          </w:tcPr>
          <w:p w14:paraId="52569690"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Inundated</w:t>
            </w:r>
          </w:p>
        </w:tc>
        <w:tc>
          <w:tcPr>
            <w:tcW w:w="1140" w:type="dxa"/>
            <w:tcBorders>
              <w:top w:val="nil"/>
              <w:left w:val="nil"/>
              <w:bottom w:val="single" w:sz="4" w:space="0" w:color="auto"/>
              <w:right w:val="single" w:sz="4" w:space="0" w:color="auto"/>
            </w:tcBorders>
            <w:noWrap/>
            <w:vAlign w:val="bottom"/>
            <w:hideMark/>
          </w:tcPr>
          <w:p w14:paraId="5EDAE961"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0.1522</w:t>
            </w:r>
          </w:p>
        </w:tc>
      </w:tr>
      <w:tr w:rsidR="000325B1" w:rsidRPr="00C921B6" w14:paraId="66326D71"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73FC748A"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Euchiton involucratus</w:t>
            </w:r>
          </w:p>
        </w:tc>
        <w:tc>
          <w:tcPr>
            <w:tcW w:w="2080" w:type="dxa"/>
            <w:tcBorders>
              <w:top w:val="nil"/>
              <w:left w:val="nil"/>
              <w:bottom w:val="single" w:sz="4" w:space="0" w:color="auto"/>
              <w:right w:val="single" w:sz="4" w:space="0" w:color="auto"/>
            </w:tcBorders>
            <w:noWrap/>
            <w:vAlign w:val="bottom"/>
            <w:hideMark/>
          </w:tcPr>
          <w:p w14:paraId="370FB8DC"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Inundated</w:t>
            </w:r>
          </w:p>
        </w:tc>
        <w:tc>
          <w:tcPr>
            <w:tcW w:w="1140" w:type="dxa"/>
            <w:tcBorders>
              <w:top w:val="nil"/>
              <w:left w:val="nil"/>
              <w:bottom w:val="single" w:sz="4" w:space="0" w:color="auto"/>
              <w:right w:val="single" w:sz="4" w:space="0" w:color="auto"/>
            </w:tcBorders>
            <w:noWrap/>
            <w:vAlign w:val="bottom"/>
            <w:hideMark/>
          </w:tcPr>
          <w:p w14:paraId="7133AAF5"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0.5641</w:t>
            </w:r>
          </w:p>
        </w:tc>
      </w:tr>
      <w:tr w:rsidR="000325B1" w:rsidRPr="00C921B6" w14:paraId="0D622172"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379D6C61"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Heliotropium curassavicum*</w:t>
            </w:r>
          </w:p>
        </w:tc>
        <w:tc>
          <w:tcPr>
            <w:tcW w:w="2080" w:type="dxa"/>
            <w:tcBorders>
              <w:top w:val="nil"/>
              <w:left w:val="nil"/>
              <w:bottom w:val="single" w:sz="4" w:space="0" w:color="auto"/>
              <w:right w:val="single" w:sz="4" w:space="0" w:color="auto"/>
            </w:tcBorders>
            <w:noWrap/>
            <w:vAlign w:val="bottom"/>
            <w:hideMark/>
          </w:tcPr>
          <w:p w14:paraId="2D53A765"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7D49A594"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0.4815</w:t>
            </w:r>
          </w:p>
        </w:tc>
      </w:tr>
      <w:tr w:rsidR="000325B1" w:rsidRPr="00C921B6" w14:paraId="7DA1226A"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08A9BD80"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Isolepis australiensis</w:t>
            </w:r>
          </w:p>
        </w:tc>
        <w:tc>
          <w:tcPr>
            <w:tcW w:w="2080" w:type="dxa"/>
            <w:tcBorders>
              <w:top w:val="nil"/>
              <w:left w:val="nil"/>
              <w:bottom w:val="single" w:sz="4" w:space="0" w:color="auto"/>
              <w:right w:val="single" w:sz="4" w:space="0" w:color="auto"/>
            </w:tcBorders>
            <w:noWrap/>
            <w:vAlign w:val="bottom"/>
            <w:hideMark/>
          </w:tcPr>
          <w:p w14:paraId="72D79BFB"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Inundated</w:t>
            </w:r>
          </w:p>
        </w:tc>
        <w:tc>
          <w:tcPr>
            <w:tcW w:w="1140" w:type="dxa"/>
            <w:tcBorders>
              <w:top w:val="nil"/>
              <w:left w:val="nil"/>
              <w:bottom w:val="single" w:sz="4" w:space="0" w:color="auto"/>
              <w:right w:val="single" w:sz="4" w:space="0" w:color="auto"/>
            </w:tcBorders>
            <w:noWrap/>
            <w:vAlign w:val="bottom"/>
            <w:hideMark/>
          </w:tcPr>
          <w:p w14:paraId="5487ED22"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19B3F518"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29B24062"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Juncus usitatus</w:t>
            </w:r>
          </w:p>
        </w:tc>
        <w:tc>
          <w:tcPr>
            <w:tcW w:w="2080" w:type="dxa"/>
            <w:tcBorders>
              <w:top w:val="nil"/>
              <w:left w:val="nil"/>
              <w:bottom w:val="single" w:sz="4" w:space="0" w:color="auto"/>
              <w:right w:val="single" w:sz="4" w:space="0" w:color="auto"/>
            </w:tcBorders>
            <w:noWrap/>
            <w:vAlign w:val="bottom"/>
            <w:hideMark/>
          </w:tcPr>
          <w:p w14:paraId="365CBD74"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40" w:type="dxa"/>
            <w:tcBorders>
              <w:top w:val="nil"/>
              <w:left w:val="nil"/>
              <w:bottom w:val="single" w:sz="4" w:space="0" w:color="auto"/>
              <w:right w:val="single" w:sz="4" w:space="0" w:color="auto"/>
            </w:tcBorders>
            <w:noWrap/>
            <w:vAlign w:val="bottom"/>
            <w:hideMark/>
          </w:tcPr>
          <w:p w14:paraId="1EDCDA6B"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0.1444</w:t>
            </w:r>
          </w:p>
        </w:tc>
      </w:tr>
      <w:tr w:rsidR="000325B1" w:rsidRPr="00C921B6" w14:paraId="254B6B92"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27CE525E" w14:textId="77777777" w:rsidR="000325B1" w:rsidRPr="00C921B6" w:rsidRDefault="000325B1" w:rsidP="00D035C2">
            <w:pPr>
              <w:spacing w:before="0" w:after="0" w:line="240" w:lineRule="auto"/>
              <w:jc w:val="left"/>
              <w:rPr>
                <w:rFonts w:ascii="Calibri" w:hAnsi="Calibri" w:cs="Calibri"/>
                <w:i/>
                <w:iCs/>
                <w:color w:val="auto"/>
                <w:kern w:val="0"/>
                <w:sz w:val="22"/>
                <w:szCs w:val="22"/>
                <w:lang w:eastAsia="en-AU"/>
              </w:rPr>
            </w:pPr>
            <w:r w:rsidRPr="00C921B6">
              <w:rPr>
                <w:rFonts w:ascii="Calibri" w:hAnsi="Calibri" w:cs="Calibri"/>
                <w:i/>
                <w:iCs/>
                <w:color w:val="auto"/>
                <w:kern w:val="0"/>
                <w:sz w:val="22"/>
                <w:szCs w:val="22"/>
                <w:lang w:eastAsia="en-AU"/>
              </w:rPr>
              <w:t>Lactuca saligna</w:t>
            </w:r>
          </w:p>
        </w:tc>
        <w:tc>
          <w:tcPr>
            <w:tcW w:w="2080" w:type="dxa"/>
            <w:tcBorders>
              <w:top w:val="nil"/>
              <w:left w:val="nil"/>
              <w:bottom w:val="single" w:sz="4" w:space="0" w:color="auto"/>
              <w:right w:val="single" w:sz="4" w:space="0" w:color="auto"/>
            </w:tcBorders>
            <w:noWrap/>
            <w:vAlign w:val="bottom"/>
            <w:hideMark/>
          </w:tcPr>
          <w:p w14:paraId="313A9FEA"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31159D97"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0.3497</w:t>
            </w:r>
          </w:p>
        </w:tc>
      </w:tr>
      <w:tr w:rsidR="000325B1" w:rsidRPr="00C921B6" w14:paraId="1DE88C34"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596A7EFA"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Ludwigia peploides</w:t>
            </w:r>
          </w:p>
        </w:tc>
        <w:tc>
          <w:tcPr>
            <w:tcW w:w="2080" w:type="dxa"/>
            <w:tcBorders>
              <w:top w:val="nil"/>
              <w:left w:val="nil"/>
              <w:bottom w:val="single" w:sz="4" w:space="0" w:color="auto"/>
              <w:right w:val="single" w:sz="4" w:space="0" w:color="auto"/>
            </w:tcBorders>
            <w:noWrap/>
            <w:vAlign w:val="bottom"/>
            <w:hideMark/>
          </w:tcPr>
          <w:p w14:paraId="65962CD6"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4D42FCC9"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0.3351</w:t>
            </w:r>
          </w:p>
        </w:tc>
      </w:tr>
      <w:tr w:rsidR="000325B1" w:rsidRPr="00C921B6" w14:paraId="4BB29C57"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7D5770EB"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Mollugo cerviana</w:t>
            </w:r>
          </w:p>
        </w:tc>
        <w:tc>
          <w:tcPr>
            <w:tcW w:w="2080" w:type="dxa"/>
            <w:tcBorders>
              <w:top w:val="nil"/>
              <w:left w:val="nil"/>
              <w:bottom w:val="single" w:sz="4" w:space="0" w:color="auto"/>
              <w:right w:val="single" w:sz="4" w:space="0" w:color="auto"/>
            </w:tcBorders>
            <w:noWrap/>
            <w:vAlign w:val="bottom"/>
            <w:hideMark/>
          </w:tcPr>
          <w:p w14:paraId="1E93D2E5"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280E67D8"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0.3395</w:t>
            </w:r>
          </w:p>
        </w:tc>
      </w:tr>
      <w:tr w:rsidR="000325B1" w:rsidRPr="00C921B6" w14:paraId="5DD22DF3"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1E248B67"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Paspalum distichum</w:t>
            </w:r>
          </w:p>
        </w:tc>
        <w:tc>
          <w:tcPr>
            <w:tcW w:w="2080" w:type="dxa"/>
            <w:tcBorders>
              <w:top w:val="nil"/>
              <w:left w:val="nil"/>
              <w:bottom w:val="single" w:sz="4" w:space="0" w:color="auto"/>
              <w:right w:val="single" w:sz="4" w:space="0" w:color="auto"/>
            </w:tcBorders>
            <w:noWrap/>
            <w:vAlign w:val="bottom"/>
            <w:hideMark/>
          </w:tcPr>
          <w:p w14:paraId="7B04A111"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40" w:type="dxa"/>
            <w:tcBorders>
              <w:top w:val="nil"/>
              <w:left w:val="nil"/>
              <w:bottom w:val="single" w:sz="4" w:space="0" w:color="auto"/>
              <w:right w:val="single" w:sz="4" w:space="0" w:color="auto"/>
            </w:tcBorders>
            <w:noWrap/>
            <w:vAlign w:val="bottom"/>
            <w:hideMark/>
          </w:tcPr>
          <w:p w14:paraId="7BA40148"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4AD2CD7B"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6339BAC9"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Persicaria lapathifolia</w:t>
            </w:r>
          </w:p>
        </w:tc>
        <w:tc>
          <w:tcPr>
            <w:tcW w:w="2080" w:type="dxa"/>
            <w:tcBorders>
              <w:top w:val="nil"/>
              <w:left w:val="nil"/>
              <w:bottom w:val="single" w:sz="4" w:space="0" w:color="auto"/>
              <w:right w:val="single" w:sz="4" w:space="0" w:color="auto"/>
            </w:tcBorders>
            <w:noWrap/>
            <w:vAlign w:val="bottom"/>
            <w:hideMark/>
          </w:tcPr>
          <w:p w14:paraId="38BFA65C"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2B5DDC22"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0.4811</w:t>
            </w:r>
          </w:p>
        </w:tc>
      </w:tr>
      <w:tr w:rsidR="000325B1" w:rsidRPr="00C921B6" w14:paraId="3E65D07E"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1421CC51"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Pseudognaphalium luteoalbum</w:t>
            </w:r>
          </w:p>
        </w:tc>
        <w:tc>
          <w:tcPr>
            <w:tcW w:w="2080" w:type="dxa"/>
            <w:tcBorders>
              <w:top w:val="nil"/>
              <w:left w:val="nil"/>
              <w:bottom w:val="single" w:sz="4" w:space="0" w:color="auto"/>
              <w:right w:val="single" w:sz="4" w:space="0" w:color="auto"/>
            </w:tcBorders>
            <w:noWrap/>
            <w:vAlign w:val="bottom"/>
            <w:hideMark/>
          </w:tcPr>
          <w:p w14:paraId="6FA7F0BA"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18CAFD58"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0.072</w:t>
            </w:r>
          </w:p>
        </w:tc>
      </w:tr>
      <w:tr w:rsidR="000325B1" w:rsidRPr="00C921B6" w14:paraId="63DF83B1"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62FC3C1A"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Rorippa palustris*</w:t>
            </w:r>
          </w:p>
        </w:tc>
        <w:tc>
          <w:tcPr>
            <w:tcW w:w="2080" w:type="dxa"/>
            <w:tcBorders>
              <w:top w:val="nil"/>
              <w:left w:val="nil"/>
              <w:bottom w:val="single" w:sz="4" w:space="0" w:color="auto"/>
              <w:right w:val="single" w:sz="4" w:space="0" w:color="auto"/>
            </w:tcBorders>
            <w:noWrap/>
            <w:vAlign w:val="bottom"/>
            <w:hideMark/>
          </w:tcPr>
          <w:p w14:paraId="019A927B"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21F234C7"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0.7173</w:t>
            </w:r>
          </w:p>
        </w:tc>
      </w:tr>
      <w:tr w:rsidR="000325B1" w:rsidRPr="00C921B6" w14:paraId="18E9E363"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10CC1AFF"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Rumex bidens</w:t>
            </w:r>
          </w:p>
        </w:tc>
        <w:tc>
          <w:tcPr>
            <w:tcW w:w="2080" w:type="dxa"/>
            <w:tcBorders>
              <w:top w:val="nil"/>
              <w:left w:val="nil"/>
              <w:bottom w:val="single" w:sz="4" w:space="0" w:color="auto"/>
              <w:right w:val="single" w:sz="4" w:space="0" w:color="auto"/>
            </w:tcBorders>
            <w:noWrap/>
            <w:vAlign w:val="bottom"/>
            <w:hideMark/>
          </w:tcPr>
          <w:p w14:paraId="013463D6"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40" w:type="dxa"/>
            <w:tcBorders>
              <w:top w:val="nil"/>
              <w:left w:val="nil"/>
              <w:bottom w:val="single" w:sz="4" w:space="0" w:color="auto"/>
              <w:right w:val="single" w:sz="4" w:space="0" w:color="auto"/>
            </w:tcBorders>
            <w:noWrap/>
            <w:vAlign w:val="bottom"/>
            <w:hideMark/>
          </w:tcPr>
          <w:p w14:paraId="51E6A8E3"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49CDD602"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5FC50084"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Senecio runcinifolius</w:t>
            </w:r>
          </w:p>
        </w:tc>
        <w:tc>
          <w:tcPr>
            <w:tcW w:w="2080" w:type="dxa"/>
            <w:tcBorders>
              <w:top w:val="nil"/>
              <w:left w:val="nil"/>
              <w:bottom w:val="single" w:sz="4" w:space="0" w:color="auto"/>
              <w:right w:val="single" w:sz="4" w:space="0" w:color="auto"/>
            </w:tcBorders>
            <w:noWrap/>
            <w:vAlign w:val="bottom"/>
            <w:hideMark/>
          </w:tcPr>
          <w:p w14:paraId="23B1A098"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40" w:type="dxa"/>
            <w:tcBorders>
              <w:top w:val="nil"/>
              <w:left w:val="nil"/>
              <w:bottom w:val="single" w:sz="4" w:space="0" w:color="auto"/>
              <w:right w:val="single" w:sz="4" w:space="0" w:color="auto"/>
            </w:tcBorders>
            <w:noWrap/>
            <w:vAlign w:val="bottom"/>
            <w:hideMark/>
          </w:tcPr>
          <w:p w14:paraId="706ABC7C"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201812E1"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7897F964"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Solanum nigrum*</w:t>
            </w:r>
          </w:p>
        </w:tc>
        <w:tc>
          <w:tcPr>
            <w:tcW w:w="2080" w:type="dxa"/>
            <w:tcBorders>
              <w:top w:val="nil"/>
              <w:left w:val="nil"/>
              <w:bottom w:val="single" w:sz="4" w:space="0" w:color="auto"/>
              <w:right w:val="single" w:sz="4" w:space="0" w:color="auto"/>
            </w:tcBorders>
            <w:noWrap/>
            <w:vAlign w:val="bottom"/>
            <w:hideMark/>
          </w:tcPr>
          <w:p w14:paraId="79477C64"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467C0D53"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0.3497</w:t>
            </w:r>
          </w:p>
        </w:tc>
      </w:tr>
      <w:tr w:rsidR="000325B1" w:rsidRPr="00C921B6" w14:paraId="29154C4B"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56990087"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Sphaeromorphaea australis</w:t>
            </w:r>
          </w:p>
        </w:tc>
        <w:tc>
          <w:tcPr>
            <w:tcW w:w="2080" w:type="dxa"/>
            <w:tcBorders>
              <w:top w:val="nil"/>
              <w:left w:val="nil"/>
              <w:bottom w:val="single" w:sz="4" w:space="0" w:color="auto"/>
              <w:right w:val="single" w:sz="4" w:space="0" w:color="auto"/>
            </w:tcBorders>
            <w:noWrap/>
            <w:vAlign w:val="bottom"/>
            <w:hideMark/>
          </w:tcPr>
          <w:p w14:paraId="46B61D20"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5388258C"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0.1742</w:t>
            </w:r>
          </w:p>
        </w:tc>
      </w:tr>
      <w:tr w:rsidR="000325B1" w:rsidRPr="00C921B6" w14:paraId="58E7434E"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311CAA52"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Stemodia florulenta</w:t>
            </w:r>
          </w:p>
        </w:tc>
        <w:tc>
          <w:tcPr>
            <w:tcW w:w="2080" w:type="dxa"/>
            <w:tcBorders>
              <w:top w:val="nil"/>
              <w:left w:val="nil"/>
              <w:bottom w:val="single" w:sz="4" w:space="0" w:color="auto"/>
              <w:right w:val="single" w:sz="4" w:space="0" w:color="auto"/>
            </w:tcBorders>
            <w:noWrap/>
            <w:vAlign w:val="bottom"/>
            <w:hideMark/>
          </w:tcPr>
          <w:p w14:paraId="33BED3CC"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40" w:type="dxa"/>
            <w:tcBorders>
              <w:top w:val="nil"/>
              <w:left w:val="nil"/>
              <w:bottom w:val="single" w:sz="4" w:space="0" w:color="auto"/>
              <w:right w:val="single" w:sz="4" w:space="0" w:color="auto"/>
            </w:tcBorders>
            <w:noWrap/>
            <w:vAlign w:val="bottom"/>
            <w:hideMark/>
          </w:tcPr>
          <w:p w14:paraId="3AD001F1"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0.1336</w:t>
            </w:r>
          </w:p>
        </w:tc>
      </w:tr>
      <w:tr w:rsidR="000325B1" w:rsidRPr="00C921B6" w14:paraId="7F64A034"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3B0DEF7D"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Symphyotrichum subulatum*</w:t>
            </w:r>
          </w:p>
        </w:tc>
        <w:tc>
          <w:tcPr>
            <w:tcW w:w="2080" w:type="dxa"/>
            <w:tcBorders>
              <w:top w:val="nil"/>
              <w:left w:val="nil"/>
              <w:bottom w:val="single" w:sz="4" w:space="0" w:color="auto"/>
              <w:right w:val="single" w:sz="4" w:space="0" w:color="auto"/>
            </w:tcBorders>
            <w:noWrap/>
            <w:vAlign w:val="bottom"/>
            <w:hideMark/>
          </w:tcPr>
          <w:p w14:paraId="20A95452"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40" w:type="dxa"/>
            <w:tcBorders>
              <w:top w:val="nil"/>
              <w:left w:val="nil"/>
              <w:bottom w:val="single" w:sz="4" w:space="0" w:color="auto"/>
              <w:right w:val="single" w:sz="4" w:space="0" w:color="auto"/>
            </w:tcBorders>
            <w:noWrap/>
            <w:vAlign w:val="bottom"/>
            <w:hideMark/>
          </w:tcPr>
          <w:p w14:paraId="1B149353"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234F6132"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5262EEEA"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Unknown</w:t>
            </w:r>
          </w:p>
        </w:tc>
        <w:tc>
          <w:tcPr>
            <w:tcW w:w="2080" w:type="dxa"/>
            <w:tcBorders>
              <w:top w:val="nil"/>
              <w:left w:val="nil"/>
              <w:bottom w:val="single" w:sz="4" w:space="0" w:color="auto"/>
              <w:right w:val="single" w:sz="4" w:space="0" w:color="auto"/>
            </w:tcBorders>
            <w:noWrap/>
            <w:vAlign w:val="bottom"/>
            <w:hideMark/>
          </w:tcPr>
          <w:p w14:paraId="387462F2"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40" w:type="dxa"/>
            <w:tcBorders>
              <w:top w:val="nil"/>
              <w:left w:val="nil"/>
              <w:bottom w:val="single" w:sz="4" w:space="0" w:color="auto"/>
              <w:right w:val="single" w:sz="4" w:space="0" w:color="auto"/>
            </w:tcBorders>
            <w:noWrap/>
            <w:vAlign w:val="bottom"/>
            <w:hideMark/>
          </w:tcPr>
          <w:p w14:paraId="6404B2E2"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70E2D1C2" w14:textId="77777777" w:rsidTr="00E11287">
        <w:trPr>
          <w:trHeight w:val="300"/>
          <w:jc w:val="center"/>
        </w:trPr>
        <w:tc>
          <w:tcPr>
            <w:tcW w:w="3200" w:type="dxa"/>
            <w:tcBorders>
              <w:top w:val="nil"/>
              <w:left w:val="single" w:sz="4" w:space="0" w:color="auto"/>
              <w:bottom w:val="single" w:sz="4" w:space="0" w:color="auto"/>
              <w:right w:val="single" w:sz="4" w:space="0" w:color="auto"/>
            </w:tcBorders>
            <w:noWrap/>
            <w:vAlign w:val="bottom"/>
            <w:hideMark/>
          </w:tcPr>
          <w:p w14:paraId="37506D84"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Wahlenbergia fluminalis</w:t>
            </w:r>
          </w:p>
        </w:tc>
        <w:tc>
          <w:tcPr>
            <w:tcW w:w="2080" w:type="dxa"/>
            <w:tcBorders>
              <w:top w:val="nil"/>
              <w:left w:val="nil"/>
              <w:bottom w:val="single" w:sz="4" w:space="0" w:color="auto"/>
              <w:right w:val="single" w:sz="4" w:space="0" w:color="auto"/>
            </w:tcBorders>
            <w:noWrap/>
            <w:vAlign w:val="bottom"/>
            <w:hideMark/>
          </w:tcPr>
          <w:p w14:paraId="23863D31"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40" w:type="dxa"/>
            <w:tcBorders>
              <w:top w:val="nil"/>
              <w:left w:val="nil"/>
              <w:bottom w:val="single" w:sz="4" w:space="0" w:color="auto"/>
              <w:right w:val="single" w:sz="4" w:space="0" w:color="auto"/>
            </w:tcBorders>
            <w:noWrap/>
            <w:vAlign w:val="bottom"/>
            <w:hideMark/>
          </w:tcPr>
          <w:p w14:paraId="6FE64B47"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0.3579</w:t>
            </w:r>
          </w:p>
        </w:tc>
      </w:tr>
    </w:tbl>
    <w:p w14:paraId="3D8FC72F" w14:textId="77777777" w:rsidR="000325B1" w:rsidRPr="00C921B6" w:rsidRDefault="000325B1" w:rsidP="000325B1">
      <w:pPr>
        <w:spacing w:line="480" w:lineRule="auto"/>
        <w:rPr>
          <w:rFonts w:cstheme="minorHAnsi"/>
          <w:szCs w:val="21"/>
        </w:rPr>
      </w:pPr>
      <w:r w:rsidRPr="00C921B6">
        <w:rPr>
          <w:rFonts w:cstheme="minorHAnsi"/>
          <w:szCs w:val="21"/>
        </w:rPr>
        <w:t>c.</w:t>
      </w:r>
    </w:p>
    <w:tbl>
      <w:tblPr>
        <w:tblW w:w="6600" w:type="dxa"/>
        <w:jc w:val="center"/>
        <w:tblLook w:val="04A0" w:firstRow="1" w:lastRow="0" w:firstColumn="1" w:lastColumn="0" w:noHBand="0" w:noVBand="1"/>
      </w:tblPr>
      <w:tblGrid>
        <w:gridCol w:w="3140"/>
        <w:gridCol w:w="2340"/>
        <w:gridCol w:w="1120"/>
      </w:tblGrid>
      <w:tr w:rsidR="000325B1" w:rsidRPr="00C921B6" w14:paraId="6747D9E5" w14:textId="77777777" w:rsidTr="008B4826">
        <w:trPr>
          <w:trHeight w:val="300"/>
          <w:tblHeader/>
          <w:jc w:val="center"/>
        </w:trPr>
        <w:tc>
          <w:tcPr>
            <w:tcW w:w="3140" w:type="dxa"/>
            <w:tcBorders>
              <w:top w:val="single" w:sz="4" w:space="0" w:color="auto"/>
              <w:left w:val="single" w:sz="4" w:space="0" w:color="auto"/>
              <w:bottom w:val="single" w:sz="4" w:space="0" w:color="auto"/>
              <w:right w:val="single" w:sz="4" w:space="0" w:color="auto"/>
            </w:tcBorders>
            <w:noWrap/>
            <w:vAlign w:val="bottom"/>
            <w:hideMark/>
          </w:tcPr>
          <w:p w14:paraId="4FD91DB4" w14:textId="77777777" w:rsidR="000325B1" w:rsidRPr="00C921B6" w:rsidRDefault="000325B1" w:rsidP="00D035C2">
            <w:pPr>
              <w:spacing w:before="0" w:after="0" w:line="240" w:lineRule="auto"/>
              <w:jc w:val="center"/>
              <w:rPr>
                <w:rFonts w:cs="Calibri"/>
                <w:b/>
                <w:bCs/>
                <w:kern w:val="0"/>
                <w:sz w:val="19"/>
                <w:szCs w:val="19"/>
                <w:lang w:eastAsia="en-AU"/>
              </w:rPr>
            </w:pPr>
            <w:r w:rsidRPr="00C921B6">
              <w:rPr>
                <w:rFonts w:cs="Calibri"/>
                <w:b/>
                <w:bCs/>
                <w:kern w:val="0"/>
                <w:sz w:val="19"/>
                <w:szCs w:val="19"/>
                <w:lang w:eastAsia="en-AU"/>
              </w:rPr>
              <w:t>Species</w:t>
            </w:r>
          </w:p>
        </w:tc>
        <w:tc>
          <w:tcPr>
            <w:tcW w:w="2340" w:type="dxa"/>
            <w:tcBorders>
              <w:top w:val="single" w:sz="4" w:space="0" w:color="auto"/>
              <w:left w:val="nil"/>
              <w:bottom w:val="single" w:sz="4" w:space="0" w:color="auto"/>
              <w:right w:val="single" w:sz="4" w:space="0" w:color="auto"/>
            </w:tcBorders>
            <w:noWrap/>
            <w:vAlign w:val="bottom"/>
            <w:hideMark/>
          </w:tcPr>
          <w:p w14:paraId="5755751B" w14:textId="77777777" w:rsidR="000325B1" w:rsidRPr="00C921B6" w:rsidRDefault="000325B1" w:rsidP="00D035C2">
            <w:pPr>
              <w:spacing w:before="0" w:after="0" w:line="240" w:lineRule="auto"/>
              <w:jc w:val="center"/>
              <w:rPr>
                <w:rFonts w:cs="Calibri"/>
                <w:b/>
                <w:bCs/>
                <w:kern w:val="0"/>
                <w:sz w:val="19"/>
                <w:szCs w:val="19"/>
                <w:lang w:eastAsia="en-AU"/>
              </w:rPr>
            </w:pPr>
            <w:r w:rsidRPr="00C921B6">
              <w:rPr>
                <w:rFonts w:cs="Calibri"/>
                <w:b/>
                <w:bCs/>
                <w:kern w:val="0"/>
                <w:sz w:val="19"/>
                <w:szCs w:val="19"/>
                <w:lang w:eastAsia="en-AU"/>
              </w:rPr>
              <w:t>Zone</w:t>
            </w:r>
          </w:p>
        </w:tc>
        <w:tc>
          <w:tcPr>
            <w:tcW w:w="1120" w:type="dxa"/>
            <w:tcBorders>
              <w:top w:val="single" w:sz="4" w:space="0" w:color="auto"/>
              <w:left w:val="nil"/>
              <w:bottom w:val="single" w:sz="4" w:space="0" w:color="auto"/>
              <w:right w:val="single" w:sz="4" w:space="0" w:color="auto"/>
            </w:tcBorders>
            <w:noWrap/>
            <w:vAlign w:val="bottom"/>
            <w:hideMark/>
          </w:tcPr>
          <w:p w14:paraId="047A6A2C" w14:textId="77777777" w:rsidR="000325B1" w:rsidRPr="00C921B6" w:rsidRDefault="000325B1" w:rsidP="00D035C2">
            <w:pPr>
              <w:spacing w:before="0" w:after="0" w:line="240" w:lineRule="auto"/>
              <w:jc w:val="center"/>
              <w:rPr>
                <w:rFonts w:cs="Calibri"/>
                <w:b/>
                <w:bCs/>
                <w:kern w:val="0"/>
                <w:sz w:val="19"/>
                <w:szCs w:val="19"/>
                <w:lang w:eastAsia="en-AU"/>
              </w:rPr>
            </w:pPr>
            <w:r w:rsidRPr="00C921B6">
              <w:rPr>
                <w:rFonts w:cs="Calibri"/>
                <w:b/>
                <w:bCs/>
                <w:kern w:val="0"/>
                <w:sz w:val="19"/>
                <w:szCs w:val="19"/>
                <w:lang w:eastAsia="en-AU"/>
              </w:rPr>
              <w:t>P</w:t>
            </w:r>
          </w:p>
        </w:tc>
      </w:tr>
      <w:tr w:rsidR="000325B1" w:rsidRPr="00C921B6" w14:paraId="1BA92D4A"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4A7F2412"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Alternanthera denticulata</w:t>
            </w:r>
          </w:p>
        </w:tc>
        <w:tc>
          <w:tcPr>
            <w:tcW w:w="2340" w:type="dxa"/>
            <w:tcBorders>
              <w:top w:val="nil"/>
              <w:left w:val="nil"/>
              <w:bottom w:val="single" w:sz="4" w:space="0" w:color="auto"/>
              <w:right w:val="single" w:sz="4" w:space="0" w:color="auto"/>
            </w:tcBorders>
            <w:noWrap/>
            <w:vAlign w:val="bottom"/>
            <w:hideMark/>
          </w:tcPr>
          <w:p w14:paraId="0A97A660"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76D67090"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0.2412</w:t>
            </w:r>
          </w:p>
        </w:tc>
      </w:tr>
      <w:tr w:rsidR="000325B1" w:rsidRPr="00C921B6" w14:paraId="7F1DDE46"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443B35CA"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Ammannia multiflora</w:t>
            </w:r>
          </w:p>
        </w:tc>
        <w:tc>
          <w:tcPr>
            <w:tcW w:w="2340" w:type="dxa"/>
            <w:tcBorders>
              <w:top w:val="nil"/>
              <w:left w:val="nil"/>
              <w:bottom w:val="single" w:sz="4" w:space="0" w:color="auto"/>
              <w:right w:val="single" w:sz="4" w:space="0" w:color="auto"/>
            </w:tcBorders>
            <w:noWrap/>
            <w:vAlign w:val="bottom"/>
            <w:hideMark/>
          </w:tcPr>
          <w:p w14:paraId="2E8B7248"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Inundated</w:t>
            </w:r>
          </w:p>
        </w:tc>
        <w:tc>
          <w:tcPr>
            <w:tcW w:w="1120" w:type="dxa"/>
            <w:tcBorders>
              <w:top w:val="nil"/>
              <w:left w:val="nil"/>
              <w:bottom w:val="single" w:sz="4" w:space="0" w:color="auto"/>
              <w:right w:val="single" w:sz="4" w:space="0" w:color="auto"/>
            </w:tcBorders>
            <w:noWrap/>
            <w:vAlign w:val="bottom"/>
            <w:hideMark/>
          </w:tcPr>
          <w:p w14:paraId="36ABFD36"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0.2795</w:t>
            </w:r>
          </w:p>
        </w:tc>
      </w:tr>
      <w:tr w:rsidR="000325B1" w:rsidRPr="00C921B6" w14:paraId="2C0A0CEE"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37E52595"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Atriplex suberecta</w:t>
            </w:r>
          </w:p>
        </w:tc>
        <w:tc>
          <w:tcPr>
            <w:tcW w:w="2340" w:type="dxa"/>
            <w:tcBorders>
              <w:top w:val="nil"/>
              <w:left w:val="nil"/>
              <w:bottom w:val="single" w:sz="4" w:space="0" w:color="auto"/>
              <w:right w:val="single" w:sz="4" w:space="0" w:color="auto"/>
            </w:tcBorders>
            <w:noWrap/>
            <w:vAlign w:val="bottom"/>
            <w:hideMark/>
          </w:tcPr>
          <w:p w14:paraId="6CDF8C3C"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5713C219"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036767DB" w14:textId="77777777" w:rsidTr="00E11287">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189EC3C1" w14:textId="77777777" w:rsidR="000325B1" w:rsidRPr="00E11287" w:rsidRDefault="000325B1" w:rsidP="00D035C2">
            <w:pPr>
              <w:spacing w:before="0" w:after="0" w:line="240" w:lineRule="auto"/>
              <w:jc w:val="left"/>
              <w:rPr>
                <w:rFonts w:ascii="Calibri" w:hAnsi="Calibri" w:cs="Calibri"/>
                <w:b/>
                <w:bCs/>
                <w:kern w:val="0"/>
                <w:sz w:val="22"/>
                <w:szCs w:val="22"/>
                <w:lang w:eastAsia="en-AU"/>
              </w:rPr>
            </w:pPr>
            <w:r w:rsidRPr="00E11287">
              <w:rPr>
                <w:rFonts w:ascii="Calibri" w:hAnsi="Calibri" w:cs="Calibri"/>
                <w:b/>
                <w:bCs/>
                <w:kern w:val="0"/>
                <w:sz w:val="22"/>
                <w:szCs w:val="22"/>
                <w:lang w:eastAsia="en-AU"/>
              </w:rPr>
              <w:t>Bare soil</w:t>
            </w:r>
          </w:p>
        </w:tc>
        <w:tc>
          <w:tcPr>
            <w:tcW w:w="2340" w:type="dxa"/>
            <w:tcBorders>
              <w:top w:val="nil"/>
              <w:left w:val="nil"/>
              <w:bottom w:val="single" w:sz="4" w:space="0" w:color="auto"/>
              <w:right w:val="single" w:sz="4" w:space="0" w:color="auto"/>
            </w:tcBorders>
            <w:noWrap/>
            <w:vAlign w:val="bottom"/>
            <w:hideMark/>
          </w:tcPr>
          <w:p w14:paraId="1DC88CEC" w14:textId="77777777" w:rsidR="000325B1" w:rsidRPr="00E11287" w:rsidRDefault="000325B1" w:rsidP="00D035C2">
            <w:pPr>
              <w:spacing w:before="0" w:after="0" w:line="240" w:lineRule="auto"/>
              <w:jc w:val="left"/>
              <w:rPr>
                <w:rFonts w:ascii="Calibri" w:hAnsi="Calibri" w:cs="Calibri"/>
                <w:b/>
                <w:bCs/>
                <w:kern w:val="0"/>
                <w:sz w:val="22"/>
                <w:szCs w:val="22"/>
                <w:lang w:eastAsia="en-AU"/>
              </w:rPr>
            </w:pPr>
            <w:r w:rsidRPr="00E11287">
              <w:rPr>
                <w:rFonts w:ascii="Calibri" w:hAnsi="Calibri" w:cs="Calibri"/>
                <w:b/>
                <w:bCs/>
                <w:kern w:val="0"/>
                <w:sz w:val="22"/>
                <w:szCs w:val="22"/>
                <w:lang w:eastAsia="en-AU"/>
              </w:rPr>
              <w:t>Pool level</w:t>
            </w:r>
          </w:p>
        </w:tc>
        <w:tc>
          <w:tcPr>
            <w:tcW w:w="1120" w:type="dxa"/>
            <w:tcBorders>
              <w:top w:val="nil"/>
              <w:left w:val="nil"/>
              <w:bottom w:val="single" w:sz="4" w:space="0" w:color="auto"/>
              <w:right w:val="single" w:sz="4" w:space="0" w:color="auto"/>
            </w:tcBorders>
            <w:noWrap/>
            <w:vAlign w:val="bottom"/>
            <w:hideMark/>
          </w:tcPr>
          <w:p w14:paraId="31D2E9FD" w14:textId="77777777" w:rsidR="000325B1" w:rsidRPr="00E11287" w:rsidRDefault="000325B1" w:rsidP="00D035C2">
            <w:pPr>
              <w:spacing w:before="0" w:after="0" w:line="240" w:lineRule="auto"/>
              <w:jc w:val="right"/>
              <w:rPr>
                <w:rFonts w:ascii="Calibri" w:hAnsi="Calibri" w:cs="Calibri"/>
                <w:b/>
                <w:bCs/>
                <w:kern w:val="0"/>
                <w:sz w:val="22"/>
                <w:szCs w:val="22"/>
                <w:lang w:eastAsia="en-AU"/>
              </w:rPr>
            </w:pPr>
            <w:r w:rsidRPr="00E11287">
              <w:rPr>
                <w:rFonts w:ascii="Calibri" w:hAnsi="Calibri" w:cs="Calibri"/>
                <w:b/>
                <w:bCs/>
                <w:kern w:val="0"/>
                <w:sz w:val="22"/>
                <w:szCs w:val="22"/>
                <w:lang w:eastAsia="en-AU"/>
              </w:rPr>
              <w:t>0.0002</w:t>
            </w:r>
          </w:p>
        </w:tc>
      </w:tr>
      <w:tr w:rsidR="000325B1" w:rsidRPr="00C921B6" w14:paraId="2B5BFB05"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3107E0FA"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Bolboschoenus caldwellii</w:t>
            </w:r>
          </w:p>
        </w:tc>
        <w:tc>
          <w:tcPr>
            <w:tcW w:w="2340" w:type="dxa"/>
            <w:tcBorders>
              <w:top w:val="nil"/>
              <w:left w:val="nil"/>
              <w:bottom w:val="single" w:sz="4" w:space="0" w:color="auto"/>
              <w:right w:val="single" w:sz="4" w:space="0" w:color="auto"/>
            </w:tcBorders>
            <w:noWrap/>
            <w:vAlign w:val="bottom"/>
            <w:hideMark/>
          </w:tcPr>
          <w:p w14:paraId="164E94F0"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5FB484EA"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0.2496</w:t>
            </w:r>
          </w:p>
        </w:tc>
      </w:tr>
      <w:tr w:rsidR="000325B1" w:rsidRPr="00C921B6" w14:paraId="58DAF69A"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02B9CBE2"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Calotis cuneifolia</w:t>
            </w:r>
          </w:p>
        </w:tc>
        <w:tc>
          <w:tcPr>
            <w:tcW w:w="2340" w:type="dxa"/>
            <w:tcBorders>
              <w:top w:val="nil"/>
              <w:left w:val="nil"/>
              <w:bottom w:val="single" w:sz="4" w:space="0" w:color="auto"/>
              <w:right w:val="single" w:sz="4" w:space="0" w:color="auto"/>
            </w:tcBorders>
            <w:noWrap/>
            <w:vAlign w:val="bottom"/>
            <w:hideMark/>
          </w:tcPr>
          <w:p w14:paraId="2CCF4125"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2602EA15"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329DCD2A" w14:textId="77777777" w:rsidTr="00E11287">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63335D04" w14:textId="77777777" w:rsidR="000325B1" w:rsidRPr="00E11287" w:rsidRDefault="000325B1" w:rsidP="00D035C2">
            <w:pPr>
              <w:spacing w:before="0" w:after="0" w:line="240" w:lineRule="auto"/>
              <w:jc w:val="left"/>
              <w:rPr>
                <w:rFonts w:ascii="Calibri" w:hAnsi="Calibri" w:cs="Calibri"/>
                <w:b/>
                <w:bCs/>
                <w:i/>
                <w:iCs/>
                <w:kern w:val="0"/>
                <w:sz w:val="22"/>
                <w:szCs w:val="22"/>
                <w:lang w:eastAsia="en-AU"/>
              </w:rPr>
            </w:pPr>
            <w:r w:rsidRPr="00E11287">
              <w:rPr>
                <w:rFonts w:ascii="Calibri" w:hAnsi="Calibri" w:cs="Calibri"/>
                <w:b/>
                <w:bCs/>
                <w:i/>
                <w:iCs/>
                <w:kern w:val="0"/>
                <w:sz w:val="22"/>
                <w:szCs w:val="22"/>
                <w:lang w:eastAsia="en-AU"/>
              </w:rPr>
              <w:t>Centipeda cunninghamii</w:t>
            </w:r>
          </w:p>
        </w:tc>
        <w:tc>
          <w:tcPr>
            <w:tcW w:w="2340" w:type="dxa"/>
            <w:tcBorders>
              <w:top w:val="nil"/>
              <w:left w:val="nil"/>
              <w:bottom w:val="single" w:sz="4" w:space="0" w:color="auto"/>
              <w:right w:val="single" w:sz="4" w:space="0" w:color="auto"/>
            </w:tcBorders>
            <w:noWrap/>
            <w:vAlign w:val="bottom"/>
            <w:hideMark/>
          </w:tcPr>
          <w:p w14:paraId="448451F2" w14:textId="77777777" w:rsidR="000325B1" w:rsidRPr="00E11287" w:rsidRDefault="000325B1" w:rsidP="00D035C2">
            <w:pPr>
              <w:spacing w:before="0" w:after="0" w:line="240" w:lineRule="auto"/>
              <w:jc w:val="left"/>
              <w:rPr>
                <w:rFonts w:ascii="Calibri" w:hAnsi="Calibri" w:cs="Calibri"/>
                <w:b/>
                <w:bCs/>
                <w:kern w:val="0"/>
                <w:sz w:val="22"/>
                <w:szCs w:val="22"/>
                <w:lang w:eastAsia="en-AU"/>
              </w:rPr>
            </w:pPr>
            <w:r w:rsidRPr="00E11287">
              <w:rPr>
                <w:rFonts w:ascii="Calibri" w:hAnsi="Calibri" w:cs="Calibri"/>
                <w:b/>
                <w:bCs/>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2348958B" w14:textId="77777777" w:rsidR="000325B1" w:rsidRPr="00E11287" w:rsidRDefault="000325B1" w:rsidP="00D035C2">
            <w:pPr>
              <w:spacing w:before="0" w:after="0" w:line="240" w:lineRule="auto"/>
              <w:jc w:val="right"/>
              <w:rPr>
                <w:rFonts w:ascii="Calibri" w:hAnsi="Calibri" w:cs="Calibri"/>
                <w:b/>
                <w:bCs/>
                <w:kern w:val="0"/>
                <w:sz w:val="22"/>
                <w:szCs w:val="22"/>
                <w:lang w:eastAsia="en-AU"/>
              </w:rPr>
            </w:pPr>
            <w:r w:rsidRPr="00E11287">
              <w:rPr>
                <w:rFonts w:ascii="Calibri" w:hAnsi="Calibri" w:cs="Calibri"/>
                <w:b/>
                <w:bCs/>
                <w:kern w:val="0"/>
                <w:sz w:val="22"/>
                <w:szCs w:val="22"/>
                <w:lang w:eastAsia="en-AU"/>
              </w:rPr>
              <w:t>0.0038</w:t>
            </w:r>
          </w:p>
        </w:tc>
      </w:tr>
      <w:tr w:rsidR="000325B1" w:rsidRPr="00C921B6" w14:paraId="571DC848"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6AD48BAA"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Cyperus difformis</w:t>
            </w:r>
          </w:p>
        </w:tc>
        <w:tc>
          <w:tcPr>
            <w:tcW w:w="2340" w:type="dxa"/>
            <w:tcBorders>
              <w:top w:val="nil"/>
              <w:left w:val="nil"/>
              <w:bottom w:val="single" w:sz="4" w:space="0" w:color="auto"/>
              <w:right w:val="single" w:sz="4" w:space="0" w:color="auto"/>
            </w:tcBorders>
            <w:noWrap/>
            <w:vAlign w:val="bottom"/>
            <w:hideMark/>
          </w:tcPr>
          <w:p w14:paraId="76FED691"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297A6267"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0.3417</w:t>
            </w:r>
          </w:p>
        </w:tc>
      </w:tr>
      <w:tr w:rsidR="000325B1" w:rsidRPr="00C921B6" w14:paraId="2D3B88BE"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2C995B35"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lastRenderedPageBreak/>
              <w:t>Cyperus gymnocaulos</w:t>
            </w:r>
          </w:p>
        </w:tc>
        <w:tc>
          <w:tcPr>
            <w:tcW w:w="2340" w:type="dxa"/>
            <w:tcBorders>
              <w:top w:val="nil"/>
              <w:left w:val="nil"/>
              <w:bottom w:val="single" w:sz="4" w:space="0" w:color="auto"/>
              <w:right w:val="single" w:sz="4" w:space="0" w:color="auto"/>
            </w:tcBorders>
            <w:noWrap/>
            <w:vAlign w:val="bottom"/>
            <w:hideMark/>
          </w:tcPr>
          <w:p w14:paraId="124CCD0F"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276372E5"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0.0686</w:t>
            </w:r>
          </w:p>
        </w:tc>
      </w:tr>
      <w:tr w:rsidR="000325B1" w:rsidRPr="00C921B6" w14:paraId="2CE539B7"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5FF9BAC9"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Dysphania pumilio</w:t>
            </w:r>
          </w:p>
        </w:tc>
        <w:tc>
          <w:tcPr>
            <w:tcW w:w="2340" w:type="dxa"/>
            <w:tcBorders>
              <w:top w:val="nil"/>
              <w:left w:val="nil"/>
              <w:bottom w:val="single" w:sz="4" w:space="0" w:color="auto"/>
              <w:right w:val="single" w:sz="4" w:space="0" w:color="auto"/>
            </w:tcBorders>
            <w:noWrap/>
            <w:vAlign w:val="bottom"/>
            <w:hideMark/>
          </w:tcPr>
          <w:p w14:paraId="0A7FA217"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5D7A0380"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0.2591</w:t>
            </w:r>
          </w:p>
        </w:tc>
      </w:tr>
      <w:tr w:rsidR="000325B1" w:rsidRPr="00C921B6" w14:paraId="5289E78E"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70E3F0C0"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Eragrostis dielsii</w:t>
            </w:r>
          </w:p>
        </w:tc>
        <w:tc>
          <w:tcPr>
            <w:tcW w:w="2340" w:type="dxa"/>
            <w:tcBorders>
              <w:top w:val="nil"/>
              <w:left w:val="nil"/>
              <w:bottom w:val="single" w:sz="4" w:space="0" w:color="auto"/>
              <w:right w:val="single" w:sz="4" w:space="0" w:color="auto"/>
            </w:tcBorders>
            <w:noWrap/>
            <w:vAlign w:val="bottom"/>
            <w:hideMark/>
          </w:tcPr>
          <w:p w14:paraId="7397FCB1"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28C617C0"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0.3417</w:t>
            </w:r>
          </w:p>
        </w:tc>
      </w:tr>
      <w:tr w:rsidR="000325B1" w:rsidRPr="00C921B6" w14:paraId="3996F541"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0F852561"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Erigeron bonariensis*</w:t>
            </w:r>
          </w:p>
        </w:tc>
        <w:tc>
          <w:tcPr>
            <w:tcW w:w="2340" w:type="dxa"/>
            <w:tcBorders>
              <w:top w:val="nil"/>
              <w:left w:val="nil"/>
              <w:bottom w:val="single" w:sz="4" w:space="0" w:color="auto"/>
              <w:right w:val="single" w:sz="4" w:space="0" w:color="auto"/>
            </w:tcBorders>
            <w:noWrap/>
            <w:vAlign w:val="bottom"/>
            <w:hideMark/>
          </w:tcPr>
          <w:p w14:paraId="01F7B835"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1762850D"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0.4935</w:t>
            </w:r>
          </w:p>
        </w:tc>
      </w:tr>
      <w:tr w:rsidR="000325B1" w:rsidRPr="00C921B6" w14:paraId="721DB2BB" w14:textId="77777777" w:rsidTr="00E11287">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6F4B8B90" w14:textId="77777777" w:rsidR="000325B1" w:rsidRPr="00E11287" w:rsidRDefault="000325B1" w:rsidP="00D035C2">
            <w:pPr>
              <w:spacing w:before="0" w:after="0" w:line="240" w:lineRule="auto"/>
              <w:jc w:val="left"/>
              <w:rPr>
                <w:rFonts w:ascii="Calibri" w:hAnsi="Calibri" w:cs="Calibri"/>
                <w:b/>
                <w:bCs/>
                <w:i/>
                <w:iCs/>
                <w:kern w:val="0"/>
                <w:sz w:val="22"/>
                <w:szCs w:val="22"/>
                <w:lang w:eastAsia="en-AU"/>
              </w:rPr>
            </w:pPr>
            <w:r w:rsidRPr="00E11287">
              <w:rPr>
                <w:rFonts w:ascii="Calibri" w:hAnsi="Calibri" w:cs="Calibri"/>
                <w:b/>
                <w:bCs/>
                <w:i/>
                <w:iCs/>
                <w:kern w:val="0"/>
                <w:sz w:val="22"/>
                <w:szCs w:val="22"/>
                <w:lang w:eastAsia="en-AU"/>
              </w:rPr>
              <w:t>Eucalyptus camaldulensis</w:t>
            </w:r>
          </w:p>
        </w:tc>
        <w:tc>
          <w:tcPr>
            <w:tcW w:w="2340" w:type="dxa"/>
            <w:tcBorders>
              <w:top w:val="nil"/>
              <w:left w:val="nil"/>
              <w:bottom w:val="single" w:sz="4" w:space="0" w:color="auto"/>
              <w:right w:val="single" w:sz="4" w:space="0" w:color="auto"/>
            </w:tcBorders>
            <w:noWrap/>
            <w:vAlign w:val="bottom"/>
            <w:hideMark/>
          </w:tcPr>
          <w:p w14:paraId="4036020F" w14:textId="77777777" w:rsidR="000325B1" w:rsidRPr="00E11287" w:rsidRDefault="000325B1" w:rsidP="00D035C2">
            <w:pPr>
              <w:spacing w:before="0" w:after="0" w:line="240" w:lineRule="auto"/>
              <w:jc w:val="left"/>
              <w:rPr>
                <w:rFonts w:ascii="Calibri" w:hAnsi="Calibri" w:cs="Calibri"/>
                <w:b/>
                <w:bCs/>
                <w:kern w:val="0"/>
                <w:sz w:val="22"/>
                <w:szCs w:val="22"/>
                <w:lang w:eastAsia="en-AU"/>
              </w:rPr>
            </w:pPr>
            <w:r w:rsidRPr="00E11287">
              <w:rPr>
                <w:rFonts w:ascii="Calibri" w:hAnsi="Calibri" w:cs="Calibri"/>
                <w:b/>
                <w:bCs/>
                <w:kern w:val="0"/>
                <w:sz w:val="22"/>
                <w:szCs w:val="22"/>
                <w:lang w:eastAsia="en-AU"/>
              </w:rPr>
              <w:t>Inundated</w:t>
            </w:r>
          </w:p>
        </w:tc>
        <w:tc>
          <w:tcPr>
            <w:tcW w:w="1120" w:type="dxa"/>
            <w:tcBorders>
              <w:top w:val="nil"/>
              <w:left w:val="nil"/>
              <w:bottom w:val="single" w:sz="4" w:space="0" w:color="auto"/>
              <w:right w:val="single" w:sz="4" w:space="0" w:color="auto"/>
            </w:tcBorders>
            <w:noWrap/>
            <w:vAlign w:val="bottom"/>
            <w:hideMark/>
          </w:tcPr>
          <w:p w14:paraId="72F9BEE8" w14:textId="77777777" w:rsidR="000325B1" w:rsidRPr="00E11287" w:rsidRDefault="000325B1" w:rsidP="00D035C2">
            <w:pPr>
              <w:spacing w:before="0" w:after="0" w:line="240" w:lineRule="auto"/>
              <w:jc w:val="right"/>
              <w:rPr>
                <w:rFonts w:ascii="Calibri" w:hAnsi="Calibri" w:cs="Calibri"/>
                <w:b/>
                <w:bCs/>
                <w:kern w:val="0"/>
                <w:sz w:val="22"/>
                <w:szCs w:val="22"/>
                <w:lang w:eastAsia="en-AU"/>
              </w:rPr>
            </w:pPr>
            <w:r w:rsidRPr="00E11287">
              <w:rPr>
                <w:rFonts w:ascii="Calibri" w:hAnsi="Calibri" w:cs="Calibri"/>
                <w:b/>
                <w:bCs/>
                <w:kern w:val="0"/>
                <w:sz w:val="22"/>
                <w:szCs w:val="22"/>
                <w:lang w:eastAsia="en-AU"/>
              </w:rPr>
              <w:t>0.0028</w:t>
            </w:r>
          </w:p>
        </w:tc>
      </w:tr>
      <w:tr w:rsidR="000325B1" w:rsidRPr="00C921B6" w14:paraId="3455BC21" w14:textId="77777777" w:rsidTr="00E11287">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785E91DD" w14:textId="77777777" w:rsidR="000325B1" w:rsidRPr="00E11287" w:rsidRDefault="000325B1" w:rsidP="00D035C2">
            <w:pPr>
              <w:spacing w:before="0" w:after="0" w:line="240" w:lineRule="auto"/>
              <w:jc w:val="left"/>
              <w:rPr>
                <w:rFonts w:ascii="Calibri" w:hAnsi="Calibri" w:cs="Calibri"/>
                <w:b/>
                <w:bCs/>
                <w:i/>
                <w:iCs/>
                <w:kern w:val="0"/>
                <w:sz w:val="22"/>
                <w:szCs w:val="22"/>
                <w:lang w:eastAsia="en-AU"/>
              </w:rPr>
            </w:pPr>
            <w:r w:rsidRPr="00E11287">
              <w:rPr>
                <w:rFonts w:ascii="Calibri" w:hAnsi="Calibri" w:cs="Calibri"/>
                <w:b/>
                <w:bCs/>
                <w:i/>
                <w:iCs/>
                <w:kern w:val="0"/>
                <w:sz w:val="22"/>
                <w:szCs w:val="22"/>
                <w:lang w:eastAsia="en-AU"/>
              </w:rPr>
              <w:t>Euchiton involucratus</w:t>
            </w:r>
          </w:p>
        </w:tc>
        <w:tc>
          <w:tcPr>
            <w:tcW w:w="2340" w:type="dxa"/>
            <w:tcBorders>
              <w:top w:val="nil"/>
              <w:left w:val="nil"/>
              <w:bottom w:val="single" w:sz="4" w:space="0" w:color="auto"/>
              <w:right w:val="single" w:sz="4" w:space="0" w:color="auto"/>
            </w:tcBorders>
            <w:noWrap/>
            <w:vAlign w:val="bottom"/>
            <w:hideMark/>
          </w:tcPr>
          <w:p w14:paraId="5F0EB4B5" w14:textId="77777777" w:rsidR="000325B1" w:rsidRPr="00E11287" w:rsidRDefault="000325B1" w:rsidP="00D035C2">
            <w:pPr>
              <w:spacing w:before="0" w:after="0" w:line="240" w:lineRule="auto"/>
              <w:jc w:val="left"/>
              <w:rPr>
                <w:rFonts w:ascii="Calibri" w:hAnsi="Calibri" w:cs="Calibri"/>
                <w:b/>
                <w:bCs/>
                <w:kern w:val="0"/>
                <w:sz w:val="22"/>
                <w:szCs w:val="22"/>
                <w:lang w:eastAsia="en-AU"/>
              </w:rPr>
            </w:pPr>
            <w:r w:rsidRPr="00E11287">
              <w:rPr>
                <w:rFonts w:ascii="Calibri" w:hAnsi="Calibri" w:cs="Calibri"/>
                <w:b/>
                <w:bCs/>
                <w:kern w:val="0"/>
                <w:sz w:val="22"/>
                <w:szCs w:val="22"/>
                <w:lang w:eastAsia="en-AU"/>
              </w:rPr>
              <w:t>Inundated</w:t>
            </w:r>
          </w:p>
        </w:tc>
        <w:tc>
          <w:tcPr>
            <w:tcW w:w="1120" w:type="dxa"/>
            <w:tcBorders>
              <w:top w:val="nil"/>
              <w:left w:val="nil"/>
              <w:bottom w:val="single" w:sz="4" w:space="0" w:color="auto"/>
              <w:right w:val="single" w:sz="4" w:space="0" w:color="auto"/>
            </w:tcBorders>
            <w:noWrap/>
            <w:vAlign w:val="bottom"/>
            <w:hideMark/>
          </w:tcPr>
          <w:p w14:paraId="52377379" w14:textId="77777777" w:rsidR="000325B1" w:rsidRPr="00E11287" w:rsidRDefault="000325B1" w:rsidP="00D035C2">
            <w:pPr>
              <w:spacing w:before="0" w:after="0" w:line="240" w:lineRule="auto"/>
              <w:jc w:val="right"/>
              <w:rPr>
                <w:rFonts w:ascii="Calibri" w:hAnsi="Calibri" w:cs="Calibri"/>
                <w:b/>
                <w:bCs/>
                <w:kern w:val="0"/>
                <w:sz w:val="22"/>
                <w:szCs w:val="22"/>
                <w:lang w:eastAsia="en-AU"/>
              </w:rPr>
            </w:pPr>
            <w:r w:rsidRPr="00E11287">
              <w:rPr>
                <w:rFonts w:ascii="Calibri" w:hAnsi="Calibri" w:cs="Calibri"/>
                <w:b/>
                <w:bCs/>
                <w:kern w:val="0"/>
                <w:sz w:val="22"/>
                <w:szCs w:val="22"/>
                <w:lang w:eastAsia="en-AU"/>
              </w:rPr>
              <w:t>0.0156</w:t>
            </w:r>
          </w:p>
        </w:tc>
      </w:tr>
      <w:tr w:rsidR="000325B1" w:rsidRPr="00C921B6" w14:paraId="6D4D8B67"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581F094A"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Euphorbia drummondii</w:t>
            </w:r>
          </w:p>
        </w:tc>
        <w:tc>
          <w:tcPr>
            <w:tcW w:w="2340" w:type="dxa"/>
            <w:tcBorders>
              <w:top w:val="nil"/>
              <w:left w:val="nil"/>
              <w:bottom w:val="single" w:sz="4" w:space="0" w:color="auto"/>
              <w:right w:val="single" w:sz="4" w:space="0" w:color="auto"/>
            </w:tcBorders>
            <w:noWrap/>
            <w:vAlign w:val="bottom"/>
            <w:hideMark/>
          </w:tcPr>
          <w:p w14:paraId="39B44AC7"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54A5878A"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0.2547</w:t>
            </w:r>
          </w:p>
        </w:tc>
      </w:tr>
      <w:tr w:rsidR="000325B1" w:rsidRPr="00C921B6" w14:paraId="173CEC9C"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52E9D931"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Glinus lotoides</w:t>
            </w:r>
          </w:p>
        </w:tc>
        <w:tc>
          <w:tcPr>
            <w:tcW w:w="2340" w:type="dxa"/>
            <w:tcBorders>
              <w:top w:val="nil"/>
              <w:left w:val="nil"/>
              <w:bottom w:val="single" w:sz="4" w:space="0" w:color="auto"/>
              <w:right w:val="single" w:sz="4" w:space="0" w:color="auto"/>
            </w:tcBorders>
            <w:noWrap/>
            <w:vAlign w:val="bottom"/>
            <w:hideMark/>
          </w:tcPr>
          <w:p w14:paraId="703E007E"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15A5DDDC"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0.2531</w:t>
            </w:r>
          </w:p>
        </w:tc>
      </w:tr>
      <w:tr w:rsidR="000325B1" w:rsidRPr="00C921B6" w14:paraId="3DD56199"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174DCC2E"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Glycyrrhiza acanthocarpa</w:t>
            </w:r>
          </w:p>
        </w:tc>
        <w:tc>
          <w:tcPr>
            <w:tcW w:w="2340" w:type="dxa"/>
            <w:tcBorders>
              <w:top w:val="nil"/>
              <w:left w:val="nil"/>
              <w:bottom w:val="single" w:sz="4" w:space="0" w:color="auto"/>
              <w:right w:val="single" w:sz="4" w:space="0" w:color="auto"/>
            </w:tcBorders>
            <w:noWrap/>
            <w:vAlign w:val="bottom"/>
            <w:hideMark/>
          </w:tcPr>
          <w:p w14:paraId="1E9EBA55"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4A5F1C81"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654F2D99"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3E0DF12A"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Heliotropium curassavicum*</w:t>
            </w:r>
          </w:p>
        </w:tc>
        <w:tc>
          <w:tcPr>
            <w:tcW w:w="2340" w:type="dxa"/>
            <w:tcBorders>
              <w:top w:val="nil"/>
              <w:left w:val="nil"/>
              <w:bottom w:val="single" w:sz="4" w:space="0" w:color="auto"/>
              <w:right w:val="single" w:sz="4" w:space="0" w:color="auto"/>
            </w:tcBorders>
            <w:noWrap/>
            <w:vAlign w:val="bottom"/>
            <w:hideMark/>
          </w:tcPr>
          <w:p w14:paraId="37E9B625"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1BFD73C6"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0.1232</w:t>
            </w:r>
          </w:p>
        </w:tc>
      </w:tr>
      <w:tr w:rsidR="000325B1" w:rsidRPr="00C921B6" w14:paraId="6BB74506"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2995290A" w14:textId="77777777" w:rsidR="000325B1" w:rsidRPr="00C921B6" w:rsidRDefault="000325B1" w:rsidP="00D035C2">
            <w:pPr>
              <w:spacing w:before="0" w:after="0" w:line="240" w:lineRule="auto"/>
              <w:jc w:val="left"/>
              <w:rPr>
                <w:rFonts w:ascii="Calibri" w:hAnsi="Calibri" w:cs="Calibri"/>
                <w:i/>
                <w:iCs/>
                <w:color w:val="auto"/>
                <w:kern w:val="0"/>
                <w:sz w:val="22"/>
                <w:szCs w:val="22"/>
                <w:lang w:eastAsia="en-AU"/>
              </w:rPr>
            </w:pPr>
            <w:r w:rsidRPr="00C921B6">
              <w:rPr>
                <w:rFonts w:ascii="Calibri" w:hAnsi="Calibri" w:cs="Calibri"/>
                <w:i/>
                <w:iCs/>
                <w:color w:val="auto"/>
                <w:kern w:val="0"/>
                <w:sz w:val="22"/>
                <w:szCs w:val="22"/>
                <w:lang w:eastAsia="en-AU"/>
              </w:rPr>
              <w:t>Hypochaeris glabra</w:t>
            </w:r>
          </w:p>
        </w:tc>
        <w:tc>
          <w:tcPr>
            <w:tcW w:w="2340" w:type="dxa"/>
            <w:tcBorders>
              <w:top w:val="nil"/>
              <w:left w:val="nil"/>
              <w:bottom w:val="single" w:sz="4" w:space="0" w:color="auto"/>
              <w:right w:val="single" w:sz="4" w:space="0" w:color="auto"/>
            </w:tcBorders>
            <w:noWrap/>
            <w:vAlign w:val="bottom"/>
            <w:hideMark/>
          </w:tcPr>
          <w:p w14:paraId="5A543208"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6B104F18"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73CD7262"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70DFFA60"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Isolepis australiensis</w:t>
            </w:r>
          </w:p>
        </w:tc>
        <w:tc>
          <w:tcPr>
            <w:tcW w:w="2340" w:type="dxa"/>
            <w:tcBorders>
              <w:top w:val="nil"/>
              <w:left w:val="nil"/>
              <w:bottom w:val="single" w:sz="4" w:space="0" w:color="auto"/>
              <w:right w:val="single" w:sz="4" w:space="0" w:color="auto"/>
            </w:tcBorders>
            <w:noWrap/>
            <w:vAlign w:val="bottom"/>
            <w:hideMark/>
          </w:tcPr>
          <w:p w14:paraId="5B95372D"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06728E65"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08DB2853"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2BAA148F"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Juncus usitatus</w:t>
            </w:r>
          </w:p>
        </w:tc>
        <w:tc>
          <w:tcPr>
            <w:tcW w:w="2340" w:type="dxa"/>
            <w:tcBorders>
              <w:top w:val="nil"/>
              <w:left w:val="nil"/>
              <w:bottom w:val="single" w:sz="4" w:space="0" w:color="auto"/>
              <w:right w:val="single" w:sz="4" w:space="0" w:color="auto"/>
            </w:tcBorders>
            <w:noWrap/>
            <w:vAlign w:val="bottom"/>
            <w:hideMark/>
          </w:tcPr>
          <w:p w14:paraId="36E38EA3"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52E3D124"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0.5931</w:t>
            </w:r>
          </w:p>
        </w:tc>
      </w:tr>
      <w:tr w:rsidR="000325B1" w:rsidRPr="00C921B6" w14:paraId="46A654D7"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5AA6AE40"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Lachnagrostis filiformis</w:t>
            </w:r>
          </w:p>
        </w:tc>
        <w:tc>
          <w:tcPr>
            <w:tcW w:w="2340" w:type="dxa"/>
            <w:tcBorders>
              <w:top w:val="nil"/>
              <w:left w:val="nil"/>
              <w:bottom w:val="single" w:sz="4" w:space="0" w:color="auto"/>
              <w:right w:val="single" w:sz="4" w:space="0" w:color="auto"/>
            </w:tcBorders>
            <w:noWrap/>
            <w:vAlign w:val="bottom"/>
            <w:hideMark/>
          </w:tcPr>
          <w:p w14:paraId="4777ACA2"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5526A575"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0.3253</w:t>
            </w:r>
          </w:p>
        </w:tc>
      </w:tr>
      <w:tr w:rsidR="000325B1" w:rsidRPr="00C921B6" w14:paraId="153A74CC"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7611A60D" w14:textId="77777777" w:rsidR="000325B1" w:rsidRPr="00C921B6" w:rsidRDefault="000325B1" w:rsidP="00D035C2">
            <w:pPr>
              <w:spacing w:before="0" w:after="0" w:line="240" w:lineRule="auto"/>
              <w:jc w:val="left"/>
              <w:rPr>
                <w:rFonts w:ascii="Calibri" w:hAnsi="Calibri" w:cs="Calibri"/>
                <w:i/>
                <w:iCs/>
                <w:color w:val="auto"/>
                <w:kern w:val="0"/>
                <w:sz w:val="22"/>
                <w:szCs w:val="22"/>
                <w:lang w:eastAsia="en-AU"/>
              </w:rPr>
            </w:pPr>
            <w:r w:rsidRPr="00C921B6">
              <w:rPr>
                <w:rFonts w:ascii="Calibri" w:hAnsi="Calibri" w:cs="Calibri"/>
                <w:i/>
                <w:iCs/>
                <w:color w:val="auto"/>
                <w:kern w:val="0"/>
                <w:sz w:val="22"/>
                <w:szCs w:val="22"/>
                <w:lang w:eastAsia="en-AU"/>
              </w:rPr>
              <w:t>Lactuca saligna</w:t>
            </w:r>
          </w:p>
        </w:tc>
        <w:tc>
          <w:tcPr>
            <w:tcW w:w="2340" w:type="dxa"/>
            <w:tcBorders>
              <w:top w:val="nil"/>
              <w:left w:val="nil"/>
              <w:bottom w:val="single" w:sz="4" w:space="0" w:color="auto"/>
              <w:right w:val="single" w:sz="4" w:space="0" w:color="auto"/>
            </w:tcBorders>
            <w:noWrap/>
            <w:vAlign w:val="bottom"/>
            <w:hideMark/>
          </w:tcPr>
          <w:p w14:paraId="1E1C3AC9"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3C07E073"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043D6560"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7E9F617D"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Ludwigia peploides</w:t>
            </w:r>
          </w:p>
        </w:tc>
        <w:tc>
          <w:tcPr>
            <w:tcW w:w="2340" w:type="dxa"/>
            <w:tcBorders>
              <w:top w:val="nil"/>
              <w:left w:val="nil"/>
              <w:bottom w:val="single" w:sz="4" w:space="0" w:color="auto"/>
              <w:right w:val="single" w:sz="4" w:space="0" w:color="auto"/>
            </w:tcBorders>
            <w:noWrap/>
            <w:vAlign w:val="bottom"/>
            <w:hideMark/>
          </w:tcPr>
          <w:p w14:paraId="436BFF22"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2127859C"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0.3891</w:t>
            </w:r>
          </w:p>
        </w:tc>
      </w:tr>
      <w:tr w:rsidR="000325B1" w:rsidRPr="00C921B6" w14:paraId="25C8B2E8"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4266D417"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Lysimachia arvensis*</w:t>
            </w:r>
          </w:p>
        </w:tc>
        <w:tc>
          <w:tcPr>
            <w:tcW w:w="2340" w:type="dxa"/>
            <w:tcBorders>
              <w:top w:val="nil"/>
              <w:left w:val="nil"/>
              <w:bottom w:val="single" w:sz="4" w:space="0" w:color="auto"/>
              <w:right w:val="single" w:sz="4" w:space="0" w:color="auto"/>
            </w:tcBorders>
            <w:noWrap/>
            <w:vAlign w:val="bottom"/>
            <w:hideMark/>
          </w:tcPr>
          <w:p w14:paraId="7DE34361"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129CD5F4"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79ECFA15"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1F8429C7"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Lythrum hyssopifolia</w:t>
            </w:r>
          </w:p>
        </w:tc>
        <w:tc>
          <w:tcPr>
            <w:tcW w:w="2340" w:type="dxa"/>
            <w:tcBorders>
              <w:top w:val="nil"/>
              <w:left w:val="nil"/>
              <w:bottom w:val="single" w:sz="4" w:space="0" w:color="auto"/>
              <w:right w:val="single" w:sz="4" w:space="0" w:color="auto"/>
            </w:tcBorders>
            <w:noWrap/>
            <w:vAlign w:val="bottom"/>
            <w:hideMark/>
          </w:tcPr>
          <w:p w14:paraId="2C437350"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Inundated</w:t>
            </w:r>
          </w:p>
        </w:tc>
        <w:tc>
          <w:tcPr>
            <w:tcW w:w="1120" w:type="dxa"/>
            <w:tcBorders>
              <w:top w:val="nil"/>
              <w:left w:val="nil"/>
              <w:bottom w:val="single" w:sz="4" w:space="0" w:color="auto"/>
              <w:right w:val="single" w:sz="4" w:space="0" w:color="auto"/>
            </w:tcBorders>
            <w:noWrap/>
            <w:vAlign w:val="bottom"/>
            <w:hideMark/>
          </w:tcPr>
          <w:p w14:paraId="32AB8A7F"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0.1468</w:t>
            </w:r>
          </w:p>
        </w:tc>
      </w:tr>
      <w:tr w:rsidR="000325B1" w:rsidRPr="00C921B6" w14:paraId="654BEADF"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1342F091"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Nicotiana velutina</w:t>
            </w:r>
          </w:p>
        </w:tc>
        <w:tc>
          <w:tcPr>
            <w:tcW w:w="2340" w:type="dxa"/>
            <w:tcBorders>
              <w:top w:val="nil"/>
              <w:left w:val="nil"/>
              <w:bottom w:val="single" w:sz="4" w:space="0" w:color="auto"/>
              <w:right w:val="single" w:sz="4" w:space="0" w:color="auto"/>
            </w:tcBorders>
            <w:noWrap/>
            <w:vAlign w:val="bottom"/>
            <w:hideMark/>
          </w:tcPr>
          <w:p w14:paraId="0A13A4C0"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2EA40476"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25A237A6"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2C7E5C35"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Paspalum distichum</w:t>
            </w:r>
          </w:p>
        </w:tc>
        <w:tc>
          <w:tcPr>
            <w:tcW w:w="2340" w:type="dxa"/>
            <w:tcBorders>
              <w:top w:val="nil"/>
              <w:left w:val="nil"/>
              <w:bottom w:val="single" w:sz="4" w:space="0" w:color="auto"/>
              <w:right w:val="single" w:sz="4" w:space="0" w:color="auto"/>
            </w:tcBorders>
            <w:noWrap/>
            <w:vAlign w:val="bottom"/>
            <w:hideMark/>
          </w:tcPr>
          <w:p w14:paraId="06A42603"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625302E0"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0.2569</w:t>
            </w:r>
          </w:p>
        </w:tc>
      </w:tr>
      <w:tr w:rsidR="000325B1" w:rsidRPr="00C921B6" w14:paraId="5F9CC65F"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5B3DA0D6"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Persicaria lapathifolia</w:t>
            </w:r>
          </w:p>
        </w:tc>
        <w:tc>
          <w:tcPr>
            <w:tcW w:w="2340" w:type="dxa"/>
            <w:tcBorders>
              <w:top w:val="nil"/>
              <w:left w:val="nil"/>
              <w:bottom w:val="single" w:sz="4" w:space="0" w:color="auto"/>
              <w:right w:val="single" w:sz="4" w:space="0" w:color="auto"/>
            </w:tcBorders>
            <w:noWrap/>
            <w:vAlign w:val="bottom"/>
            <w:hideMark/>
          </w:tcPr>
          <w:p w14:paraId="66502129"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2B14FF8E"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6ACE6647"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1C7317E9"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Polygonum plebeium</w:t>
            </w:r>
          </w:p>
        </w:tc>
        <w:tc>
          <w:tcPr>
            <w:tcW w:w="2340" w:type="dxa"/>
            <w:tcBorders>
              <w:top w:val="nil"/>
              <w:left w:val="nil"/>
              <w:bottom w:val="single" w:sz="4" w:space="0" w:color="auto"/>
              <w:right w:val="single" w:sz="4" w:space="0" w:color="auto"/>
            </w:tcBorders>
            <w:noWrap/>
            <w:vAlign w:val="bottom"/>
            <w:hideMark/>
          </w:tcPr>
          <w:p w14:paraId="0669009E"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05495F01"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0.3417</w:t>
            </w:r>
          </w:p>
        </w:tc>
      </w:tr>
      <w:tr w:rsidR="000325B1" w:rsidRPr="00C921B6" w14:paraId="4BB29BB8"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0B36A57C"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Pseudognaphalium luteoalbum</w:t>
            </w:r>
          </w:p>
        </w:tc>
        <w:tc>
          <w:tcPr>
            <w:tcW w:w="2340" w:type="dxa"/>
            <w:tcBorders>
              <w:top w:val="nil"/>
              <w:left w:val="nil"/>
              <w:bottom w:val="single" w:sz="4" w:space="0" w:color="auto"/>
              <w:right w:val="single" w:sz="4" w:space="0" w:color="auto"/>
            </w:tcBorders>
            <w:noWrap/>
            <w:vAlign w:val="bottom"/>
            <w:hideMark/>
          </w:tcPr>
          <w:p w14:paraId="4A774AE8"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5D817D59"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0.4211</w:t>
            </w:r>
          </w:p>
        </w:tc>
      </w:tr>
      <w:tr w:rsidR="000325B1" w:rsidRPr="00C921B6" w14:paraId="05A0AA2B"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1E0CBA43"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Reichardia tingitana*</w:t>
            </w:r>
          </w:p>
        </w:tc>
        <w:tc>
          <w:tcPr>
            <w:tcW w:w="2340" w:type="dxa"/>
            <w:tcBorders>
              <w:top w:val="nil"/>
              <w:left w:val="nil"/>
              <w:bottom w:val="single" w:sz="4" w:space="0" w:color="auto"/>
              <w:right w:val="single" w:sz="4" w:space="0" w:color="auto"/>
            </w:tcBorders>
            <w:noWrap/>
            <w:vAlign w:val="bottom"/>
            <w:hideMark/>
          </w:tcPr>
          <w:p w14:paraId="69525CB3"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17BB405B"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0B3F9E19"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7FACF58E"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Ricciocarpus natans</w:t>
            </w:r>
          </w:p>
        </w:tc>
        <w:tc>
          <w:tcPr>
            <w:tcW w:w="2340" w:type="dxa"/>
            <w:tcBorders>
              <w:top w:val="nil"/>
              <w:left w:val="nil"/>
              <w:bottom w:val="single" w:sz="4" w:space="0" w:color="auto"/>
              <w:right w:val="single" w:sz="4" w:space="0" w:color="auto"/>
            </w:tcBorders>
            <w:noWrap/>
            <w:vAlign w:val="bottom"/>
            <w:hideMark/>
          </w:tcPr>
          <w:p w14:paraId="295542CC"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Inundated</w:t>
            </w:r>
          </w:p>
        </w:tc>
        <w:tc>
          <w:tcPr>
            <w:tcW w:w="1120" w:type="dxa"/>
            <w:tcBorders>
              <w:top w:val="nil"/>
              <w:left w:val="nil"/>
              <w:bottom w:val="single" w:sz="4" w:space="0" w:color="auto"/>
              <w:right w:val="single" w:sz="4" w:space="0" w:color="auto"/>
            </w:tcBorders>
            <w:noWrap/>
            <w:vAlign w:val="bottom"/>
            <w:hideMark/>
          </w:tcPr>
          <w:p w14:paraId="46F0497A"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0.1376</w:t>
            </w:r>
          </w:p>
        </w:tc>
      </w:tr>
      <w:tr w:rsidR="000325B1" w:rsidRPr="00C921B6" w14:paraId="1B277A86"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22A0D138"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Rorippa palustris*</w:t>
            </w:r>
          </w:p>
        </w:tc>
        <w:tc>
          <w:tcPr>
            <w:tcW w:w="2340" w:type="dxa"/>
            <w:tcBorders>
              <w:top w:val="nil"/>
              <w:left w:val="nil"/>
              <w:bottom w:val="single" w:sz="4" w:space="0" w:color="auto"/>
              <w:right w:val="single" w:sz="4" w:space="0" w:color="auto"/>
            </w:tcBorders>
            <w:noWrap/>
            <w:vAlign w:val="bottom"/>
            <w:hideMark/>
          </w:tcPr>
          <w:p w14:paraId="0E87044C"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6CBC9EDD"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4D0E8014"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5494326E"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Senecio cunninghamii</w:t>
            </w:r>
          </w:p>
        </w:tc>
        <w:tc>
          <w:tcPr>
            <w:tcW w:w="2340" w:type="dxa"/>
            <w:tcBorders>
              <w:top w:val="nil"/>
              <w:left w:val="nil"/>
              <w:bottom w:val="single" w:sz="4" w:space="0" w:color="auto"/>
              <w:right w:val="single" w:sz="4" w:space="0" w:color="auto"/>
            </w:tcBorders>
            <w:noWrap/>
            <w:vAlign w:val="bottom"/>
            <w:hideMark/>
          </w:tcPr>
          <w:p w14:paraId="545F984D"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7262A2DA"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79FF85D8"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405454E9"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Senecio runcinifolius</w:t>
            </w:r>
          </w:p>
        </w:tc>
        <w:tc>
          <w:tcPr>
            <w:tcW w:w="2340" w:type="dxa"/>
            <w:tcBorders>
              <w:top w:val="nil"/>
              <w:left w:val="nil"/>
              <w:bottom w:val="single" w:sz="4" w:space="0" w:color="auto"/>
              <w:right w:val="single" w:sz="4" w:space="0" w:color="auto"/>
            </w:tcBorders>
            <w:noWrap/>
            <w:vAlign w:val="bottom"/>
            <w:hideMark/>
          </w:tcPr>
          <w:p w14:paraId="7E4A39B8"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00954833"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7A698874"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5ABEADF3"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Solanum nigrum*</w:t>
            </w:r>
          </w:p>
        </w:tc>
        <w:tc>
          <w:tcPr>
            <w:tcW w:w="2340" w:type="dxa"/>
            <w:tcBorders>
              <w:top w:val="nil"/>
              <w:left w:val="nil"/>
              <w:bottom w:val="single" w:sz="4" w:space="0" w:color="auto"/>
              <w:right w:val="single" w:sz="4" w:space="0" w:color="auto"/>
            </w:tcBorders>
            <w:noWrap/>
            <w:vAlign w:val="bottom"/>
            <w:hideMark/>
          </w:tcPr>
          <w:p w14:paraId="602419AB"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63F99F84"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2E6A8D01"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3DA4D3DC"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Sphaeromorphaea australis</w:t>
            </w:r>
          </w:p>
        </w:tc>
        <w:tc>
          <w:tcPr>
            <w:tcW w:w="2340" w:type="dxa"/>
            <w:tcBorders>
              <w:top w:val="nil"/>
              <w:left w:val="nil"/>
              <w:bottom w:val="single" w:sz="4" w:space="0" w:color="auto"/>
              <w:right w:val="single" w:sz="4" w:space="0" w:color="auto"/>
            </w:tcBorders>
            <w:noWrap/>
            <w:vAlign w:val="bottom"/>
            <w:hideMark/>
          </w:tcPr>
          <w:p w14:paraId="7760735D"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Inundated</w:t>
            </w:r>
          </w:p>
        </w:tc>
        <w:tc>
          <w:tcPr>
            <w:tcW w:w="1120" w:type="dxa"/>
            <w:tcBorders>
              <w:top w:val="nil"/>
              <w:left w:val="nil"/>
              <w:bottom w:val="single" w:sz="4" w:space="0" w:color="auto"/>
              <w:right w:val="single" w:sz="4" w:space="0" w:color="auto"/>
            </w:tcBorders>
            <w:noWrap/>
            <w:vAlign w:val="bottom"/>
            <w:hideMark/>
          </w:tcPr>
          <w:p w14:paraId="4A36ABD3"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0.16</w:t>
            </w:r>
          </w:p>
        </w:tc>
      </w:tr>
      <w:tr w:rsidR="000325B1" w:rsidRPr="00C921B6" w14:paraId="4717E6E8"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48B0208D"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Sporobolus mitchellii</w:t>
            </w:r>
          </w:p>
        </w:tc>
        <w:tc>
          <w:tcPr>
            <w:tcW w:w="2340" w:type="dxa"/>
            <w:tcBorders>
              <w:top w:val="nil"/>
              <w:left w:val="nil"/>
              <w:bottom w:val="single" w:sz="4" w:space="0" w:color="auto"/>
              <w:right w:val="single" w:sz="4" w:space="0" w:color="auto"/>
            </w:tcBorders>
            <w:noWrap/>
            <w:vAlign w:val="bottom"/>
            <w:hideMark/>
          </w:tcPr>
          <w:p w14:paraId="27DD9C1D"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Inundated</w:t>
            </w:r>
          </w:p>
        </w:tc>
        <w:tc>
          <w:tcPr>
            <w:tcW w:w="1120" w:type="dxa"/>
            <w:tcBorders>
              <w:top w:val="nil"/>
              <w:left w:val="nil"/>
              <w:bottom w:val="single" w:sz="4" w:space="0" w:color="auto"/>
              <w:right w:val="single" w:sz="4" w:space="0" w:color="auto"/>
            </w:tcBorders>
            <w:noWrap/>
            <w:vAlign w:val="bottom"/>
            <w:hideMark/>
          </w:tcPr>
          <w:p w14:paraId="7BBAC4AC"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2C38BEEB"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7B0225D3"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Stemodia florulenta</w:t>
            </w:r>
          </w:p>
        </w:tc>
        <w:tc>
          <w:tcPr>
            <w:tcW w:w="2340" w:type="dxa"/>
            <w:tcBorders>
              <w:top w:val="nil"/>
              <w:left w:val="nil"/>
              <w:bottom w:val="single" w:sz="4" w:space="0" w:color="auto"/>
              <w:right w:val="single" w:sz="4" w:space="0" w:color="auto"/>
            </w:tcBorders>
            <w:noWrap/>
            <w:vAlign w:val="bottom"/>
            <w:hideMark/>
          </w:tcPr>
          <w:p w14:paraId="1C71FDCD"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5C22558C"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0.0572</w:t>
            </w:r>
          </w:p>
        </w:tc>
      </w:tr>
      <w:tr w:rsidR="000325B1" w:rsidRPr="00C921B6" w14:paraId="12E3254D"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1800F5CB"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Symphyotrichum subulatum*</w:t>
            </w:r>
          </w:p>
        </w:tc>
        <w:tc>
          <w:tcPr>
            <w:tcW w:w="2340" w:type="dxa"/>
            <w:tcBorders>
              <w:top w:val="nil"/>
              <w:left w:val="nil"/>
              <w:bottom w:val="single" w:sz="4" w:space="0" w:color="auto"/>
              <w:right w:val="single" w:sz="4" w:space="0" w:color="auto"/>
            </w:tcBorders>
            <w:noWrap/>
            <w:vAlign w:val="bottom"/>
            <w:hideMark/>
          </w:tcPr>
          <w:p w14:paraId="77E23DF7"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Inundation extent</w:t>
            </w:r>
          </w:p>
        </w:tc>
        <w:tc>
          <w:tcPr>
            <w:tcW w:w="1120" w:type="dxa"/>
            <w:tcBorders>
              <w:top w:val="nil"/>
              <w:left w:val="nil"/>
              <w:bottom w:val="single" w:sz="4" w:space="0" w:color="auto"/>
              <w:right w:val="single" w:sz="4" w:space="0" w:color="auto"/>
            </w:tcBorders>
            <w:noWrap/>
            <w:vAlign w:val="bottom"/>
            <w:hideMark/>
          </w:tcPr>
          <w:p w14:paraId="3D702909"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0.774</w:t>
            </w:r>
          </w:p>
        </w:tc>
      </w:tr>
      <w:tr w:rsidR="000325B1" w:rsidRPr="00C921B6" w14:paraId="2A825281"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2F1AA515"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Teucrium racemosum</w:t>
            </w:r>
          </w:p>
        </w:tc>
        <w:tc>
          <w:tcPr>
            <w:tcW w:w="2340" w:type="dxa"/>
            <w:tcBorders>
              <w:top w:val="nil"/>
              <w:left w:val="nil"/>
              <w:bottom w:val="single" w:sz="4" w:space="0" w:color="auto"/>
              <w:right w:val="single" w:sz="4" w:space="0" w:color="auto"/>
            </w:tcBorders>
            <w:noWrap/>
            <w:vAlign w:val="bottom"/>
            <w:hideMark/>
          </w:tcPr>
          <w:p w14:paraId="2C3BF39E"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12FDB7D6"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1</w:t>
            </w:r>
          </w:p>
        </w:tc>
      </w:tr>
      <w:tr w:rsidR="000325B1" w:rsidRPr="00C921B6" w14:paraId="70CE8A73"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64A3D675"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Wahlenbergia fluminalis</w:t>
            </w:r>
          </w:p>
        </w:tc>
        <w:tc>
          <w:tcPr>
            <w:tcW w:w="2340" w:type="dxa"/>
            <w:tcBorders>
              <w:top w:val="nil"/>
              <w:left w:val="nil"/>
              <w:bottom w:val="single" w:sz="4" w:space="0" w:color="auto"/>
              <w:right w:val="single" w:sz="4" w:space="0" w:color="auto"/>
            </w:tcBorders>
            <w:noWrap/>
            <w:vAlign w:val="bottom"/>
            <w:hideMark/>
          </w:tcPr>
          <w:p w14:paraId="7C673E29"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1FC8AE2C"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0.2549</w:t>
            </w:r>
          </w:p>
        </w:tc>
      </w:tr>
      <w:tr w:rsidR="000325B1" w:rsidRPr="00C921B6" w14:paraId="40B4423F" w14:textId="77777777" w:rsidTr="008B4826">
        <w:trPr>
          <w:trHeight w:val="300"/>
          <w:jc w:val="center"/>
        </w:trPr>
        <w:tc>
          <w:tcPr>
            <w:tcW w:w="3140" w:type="dxa"/>
            <w:tcBorders>
              <w:top w:val="nil"/>
              <w:left w:val="single" w:sz="4" w:space="0" w:color="auto"/>
              <w:bottom w:val="single" w:sz="4" w:space="0" w:color="auto"/>
              <w:right w:val="single" w:sz="4" w:space="0" w:color="auto"/>
            </w:tcBorders>
            <w:noWrap/>
            <w:vAlign w:val="bottom"/>
            <w:hideMark/>
          </w:tcPr>
          <w:p w14:paraId="3EA24E05" w14:textId="77777777" w:rsidR="000325B1" w:rsidRPr="00C921B6" w:rsidRDefault="000325B1" w:rsidP="00D035C2">
            <w:pPr>
              <w:spacing w:before="0" w:after="0" w:line="240" w:lineRule="auto"/>
              <w:jc w:val="left"/>
              <w:rPr>
                <w:rFonts w:ascii="Calibri" w:hAnsi="Calibri" w:cs="Calibri"/>
                <w:i/>
                <w:iCs/>
                <w:kern w:val="0"/>
                <w:sz w:val="22"/>
                <w:szCs w:val="22"/>
                <w:lang w:eastAsia="en-AU"/>
              </w:rPr>
            </w:pPr>
            <w:r w:rsidRPr="00C921B6">
              <w:rPr>
                <w:rFonts w:ascii="Calibri" w:hAnsi="Calibri" w:cs="Calibri"/>
                <w:i/>
                <w:iCs/>
                <w:kern w:val="0"/>
                <w:sz w:val="22"/>
                <w:szCs w:val="22"/>
                <w:lang w:eastAsia="en-AU"/>
              </w:rPr>
              <w:t>Xanthium occidentale**</w:t>
            </w:r>
          </w:p>
        </w:tc>
        <w:tc>
          <w:tcPr>
            <w:tcW w:w="2340" w:type="dxa"/>
            <w:tcBorders>
              <w:top w:val="nil"/>
              <w:left w:val="nil"/>
              <w:bottom w:val="single" w:sz="4" w:space="0" w:color="auto"/>
              <w:right w:val="single" w:sz="4" w:space="0" w:color="auto"/>
            </w:tcBorders>
            <w:noWrap/>
            <w:vAlign w:val="bottom"/>
            <w:hideMark/>
          </w:tcPr>
          <w:p w14:paraId="7397F38D" w14:textId="77777777" w:rsidR="000325B1" w:rsidRPr="00C921B6" w:rsidRDefault="000325B1" w:rsidP="00D035C2">
            <w:pPr>
              <w:spacing w:before="0" w:after="0" w:line="240" w:lineRule="auto"/>
              <w:jc w:val="left"/>
              <w:rPr>
                <w:rFonts w:ascii="Calibri" w:hAnsi="Calibri" w:cs="Calibri"/>
                <w:kern w:val="0"/>
                <w:sz w:val="22"/>
                <w:szCs w:val="22"/>
                <w:lang w:eastAsia="en-AU"/>
              </w:rPr>
            </w:pPr>
            <w:r w:rsidRPr="00C921B6">
              <w:rPr>
                <w:rFonts w:ascii="Calibri" w:hAnsi="Calibri" w:cs="Calibri"/>
                <w:kern w:val="0"/>
                <w:sz w:val="22"/>
                <w:szCs w:val="22"/>
                <w:lang w:eastAsia="en-AU"/>
              </w:rPr>
              <w:t>Not inundated</w:t>
            </w:r>
          </w:p>
        </w:tc>
        <w:tc>
          <w:tcPr>
            <w:tcW w:w="1120" w:type="dxa"/>
            <w:tcBorders>
              <w:top w:val="nil"/>
              <w:left w:val="nil"/>
              <w:bottom w:val="single" w:sz="4" w:space="0" w:color="auto"/>
              <w:right w:val="single" w:sz="4" w:space="0" w:color="auto"/>
            </w:tcBorders>
            <w:noWrap/>
            <w:vAlign w:val="bottom"/>
            <w:hideMark/>
          </w:tcPr>
          <w:p w14:paraId="27674AFB" w14:textId="77777777" w:rsidR="000325B1" w:rsidRPr="00C921B6" w:rsidRDefault="000325B1" w:rsidP="00D035C2">
            <w:pPr>
              <w:spacing w:before="0" w:after="0" w:line="240" w:lineRule="auto"/>
              <w:jc w:val="right"/>
              <w:rPr>
                <w:rFonts w:ascii="Calibri" w:hAnsi="Calibri" w:cs="Calibri"/>
                <w:kern w:val="0"/>
                <w:sz w:val="22"/>
                <w:szCs w:val="22"/>
                <w:lang w:eastAsia="en-AU"/>
              </w:rPr>
            </w:pPr>
            <w:r w:rsidRPr="00C921B6">
              <w:rPr>
                <w:rFonts w:ascii="Calibri" w:hAnsi="Calibri" w:cs="Calibri"/>
                <w:kern w:val="0"/>
                <w:sz w:val="22"/>
                <w:szCs w:val="22"/>
                <w:lang w:eastAsia="en-AU"/>
              </w:rPr>
              <w:t>0.2503</w:t>
            </w:r>
          </w:p>
        </w:tc>
      </w:tr>
    </w:tbl>
    <w:p w14:paraId="3DB915D6" w14:textId="77777777" w:rsidR="000325B1" w:rsidRDefault="000325B1" w:rsidP="00A307BC">
      <w:pPr>
        <w:pStyle w:val="Caption"/>
        <w:rPr>
          <w:color w:val="44546A" w:themeColor="text2"/>
          <w:sz w:val="26"/>
          <w:szCs w:val="26"/>
          <w:highlight w:val="yellow"/>
        </w:rPr>
      </w:pPr>
    </w:p>
    <w:p w14:paraId="21E7C61F" w14:textId="77777777" w:rsidR="008E3671" w:rsidRDefault="008E3671">
      <w:pPr>
        <w:spacing w:before="0" w:after="160" w:line="259" w:lineRule="auto"/>
        <w:jc w:val="left"/>
        <w:rPr>
          <w:color w:val="44546A" w:themeColor="text2"/>
          <w:sz w:val="26"/>
          <w:szCs w:val="26"/>
          <w:highlight w:val="yellow"/>
        </w:rPr>
      </w:pPr>
    </w:p>
    <w:p w14:paraId="7C04776E" w14:textId="77777777" w:rsidR="008E3671" w:rsidRDefault="008E3671">
      <w:pPr>
        <w:spacing w:before="0" w:after="160" w:line="259" w:lineRule="auto"/>
        <w:jc w:val="left"/>
        <w:rPr>
          <w:color w:val="44546A" w:themeColor="text2"/>
          <w:sz w:val="26"/>
          <w:szCs w:val="26"/>
          <w:highlight w:val="yellow"/>
        </w:rPr>
      </w:pPr>
      <w:r>
        <w:rPr>
          <w:color w:val="44546A" w:themeColor="text2"/>
          <w:sz w:val="26"/>
          <w:szCs w:val="26"/>
          <w:highlight w:val="yellow"/>
        </w:rPr>
        <w:br w:type="page"/>
      </w:r>
    </w:p>
    <w:p w14:paraId="16685A7A" w14:textId="367BA4ED" w:rsidR="008E3671" w:rsidRDefault="008E3671" w:rsidP="008E3671">
      <w:pPr>
        <w:pStyle w:val="Caption"/>
        <w:keepNext/>
      </w:pPr>
      <w:r>
        <w:lastRenderedPageBreak/>
        <w:t>Table C</w:t>
      </w:r>
      <w:r w:rsidR="00FB33C3">
        <w:t>10</w:t>
      </w:r>
      <w:r>
        <w:t>.</w:t>
      </w:r>
      <w:r w:rsidRPr="00865189">
        <w:t xml:space="preserve"> </w:t>
      </w:r>
      <w:r>
        <w:t>PERMANOVA results comparing plant community in each inundation zone in each reach in June 2024.</w:t>
      </w:r>
    </w:p>
    <w:tbl>
      <w:tblPr>
        <w:tblW w:w="6516" w:type="dxa"/>
        <w:jc w:val="center"/>
        <w:tblLook w:val="04A0" w:firstRow="1" w:lastRow="0" w:firstColumn="1" w:lastColumn="0" w:noHBand="0" w:noVBand="1"/>
        <w:tblDescription w:val="Table of PERMANOVA results comparing plant community in each inundation zone in each reach in June 2024."/>
      </w:tblPr>
      <w:tblGrid>
        <w:gridCol w:w="2689"/>
        <w:gridCol w:w="1276"/>
        <w:gridCol w:w="1417"/>
        <w:gridCol w:w="1134"/>
      </w:tblGrid>
      <w:tr w:rsidR="008E3671" w:rsidRPr="006E3690" w14:paraId="7E0A97FF" w14:textId="77777777" w:rsidTr="00610151">
        <w:trPr>
          <w:trHeight w:val="288"/>
          <w:jc w:val="center"/>
        </w:trPr>
        <w:tc>
          <w:tcPr>
            <w:tcW w:w="2689" w:type="dxa"/>
            <w:tcBorders>
              <w:top w:val="single" w:sz="4" w:space="0" w:color="auto"/>
              <w:left w:val="single" w:sz="4" w:space="0" w:color="auto"/>
              <w:bottom w:val="single" w:sz="4" w:space="0" w:color="auto"/>
              <w:right w:val="single" w:sz="4" w:space="0" w:color="auto"/>
            </w:tcBorders>
            <w:noWrap/>
            <w:vAlign w:val="bottom"/>
            <w:hideMark/>
          </w:tcPr>
          <w:p w14:paraId="3C63B716" w14:textId="77777777" w:rsidR="008E3671" w:rsidRPr="006E3690" w:rsidRDefault="008E3671" w:rsidP="00EE49FE">
            <w:pPr>
              <w:spacing w:before="0" w:after="0" w:line="240" w:lineRule="auto"/>
              <w:jc w:val="center"/>
              <w:rPr>
                <w:rFonts w:cs="Calibri"/>
                <w:b/>
                <w:bCs/>
                <w:kern w:val="0"/>
                <w:sz w:val="19"/>
                <w:szCs w:val="19"/>
                <w:lang w:eastAsia="en-AU"/>
              </w:rPr>
            </w:pPr>
            <w:r w:rsidRPr="006E3690">
              <w:rPr>
                <w:rFonts w:cs="Calibri"/>
                <w:b/>
                <w:bCs/>
                <w:kern w:val="0"/>
                <w:sz w:val="19"/>
                <w:szCs w:val="19"/>
                <w:lang w:eastAsia="en-AU"/>
              </w:rPr>
              <w:t>Factor</w:t>
            </w:r>
          </w:p>
        </w:tc>
        <w:tc>
          <w:tcPr>
            <w:tcW w:w="1276" w:type="dxa"/>
            <w:tcBorders>
              <w:top w:val="single" w:sz="4" w:space="0" w:color="auto"/>
              <w:left w:val="nil"/>
              <w:bottom w:val="single" w:sz="4" w:space="0" w:color="auto"/>
              <w:right w:val="single" w:sz="4" w:space="0" w:color="auto"/>
            </w:tcBorders>
            <w:noWrap/>
            <w:vAlign w:val="bottom"/>
            <w:hideMark/>
          </w:tcPr>
          <w:p w14:paraId="5873ACBE" w14:textId="77777777" w:rsidR="008E3671" w:rsidRPr="006E3690" w:rsidRDefault="008E3671" w:rsidP="00EE49FE">
            <w:pPr>
              <w:spacing w:before="0" w:after="0" w:line="240" w:lineRule="auto"/>
              <w:jc w:val="center"/>
              <w:rPr>
                <w:rFonts w:cs="Calibri"/>
                <w:b/>
                <w:bCs/>
                <w:kern w:val="0"/>
                <w:sz w:val="19"/>
                <w:szCs w:val="19"/>
                <w:lang w:eastAsia="en-AU"/>
              </w:rPr>
            </w:pPr>
            <w:r w:rsidRPr="006E3690">
              <w:rPr>
                <w:rFonts w:cs="Calibri"/>
                <w:b/>
                <w:bCs/>
                <w:kern w:val="0"/>
                <w:sz w:val="19"/>
                <w:szCs w:val="19"/>
                <w:lang w:eastAsia="en-AU"/>
              </w:rPr>
              <w:t>DF</w:t>
            </w:r>
          </w:p>
        </w:tc>
        <w:tc>
          <w:tcPr>
            <w:tcW w:w="1417" w:type="dxa"/>
            <w:tcBorders>
              <w:top w:val="single" w:sz="4" w:space="0" w:color="auto"/>
              <w:left w:val="nil"/>
              <w:bottom w:val="single" w:sz="4" w:space="0" w:color="auto"/>
              <w:right w:val="single" w:sz="4" w:space="0" w:color="auto"/>
            </w:tcBorders>
            <w:noWrap/>
            <w:vAlign w:val="bottom"/>
            <w:hideMark/>
          </w:tcPr>
          <w:p w14:paraId="68B6E87C" w14:textId="77777777" w:rsidR="008E3671" w:rsidRPr="006E3690" w:rsidRDefault="008E3671" w:rsidP="00EE49FE">
            <w:pPr>
              <w:spacing w:before="0" w:after="0" w:line="240" w:lineRule="auto"/>
              <w:jc w:val="center"/>
              <w:rPr>
                <w:rFonts w:cs="Calibri"/>
                <w:b/>
                <w:bCs/>
                <w:i/>
                <w:iCs/>
                <w:kern w:val="0"/>
                <w:sz w:val="19"/>
                <w:szCs w:val="19"/>
                <w:lang w:eastAsia="en-AU"/>
              </w:rPr>
            </w:pPr>
            <w:r w:rsidRPr="006E3690">
              <w:rPr>
                <w:rFonts w:cs="Calibri"/>
                <w:b/>
                <w:bCs/>
                <w:i/>
                <w:iCs/>
                <w:kern w:val="0"/>
                <w:sz w:val="19"/>
                <w:szCs w:val="19"/>
                <w:lang w:eastAsia="en-AU"/>
              </w:rPr>
              <w:t>Pseudo</w:t>
            </w:r>
            <w:r>
              <w:rPr>
                <w:rFonts w:cs="Calibri"/>
                <w:b/>
                <w:bCs/>
                <w:i/>
                <w:iCs/>
                <w:kern w:val="0"/>
                <w:sz w:val="19"/>
                <w:szCs w:val="19"/>
                <w:lang w:eastAsia="en-AU"/>
              </w:rPr>
              <w:t>-</w:t>
            </w:r>
            <w:r w:rsidRPr="006E3690">
              <w:rPr>
                <w:rFonts w:cs="Calibri"/>
                <w:b/>
                <w:bCs/>
                <w:i/>
                <w:iCs/>
                <w:kern w:val="0"/>
                <w:sz w:val="19"/>
                <w:szCs w:val="19"/>
                <w:lang w:eastAsia="en-AU"/>
              </w:rPr>
              <w:t>F</w:t>
            </w:r>
          </w:p>
        </w:tc>
        <w:tc>
          <w:tcPr>
            <w:tcW w:w="1134" w:type="dxa"/>
            <w:tcBorders>
              <w:top w:val="single" w:sz="4" w:space="0" w:color="auto"/>
              <w:left w:val="nil"/>
              <w:bottom w:val="single" w:sz="4" w:space="0" w:color="auto"/>
              <w:right w:val="single" w:sz="4" w:space="0" w:color="auto"/>
            </w:tcBorders>
            <w:noWrap/>
            <w:vAlign w:val="bottom"/>
            <w:hideMark/>
          </w:tcPr>
          <w:p w14:paraId="4C01D9BA" w14:textId="77777777" w:rsidR="008E3671" w:rsidRPr="006E3690" w:rsidRDefault="008E3671" w:rsidP="00EE49FE">
            <w:pPr>
              <w:spacing w:before="0" w:after="0" w:line="240" w:lineRule="auto"/>
              <w:jc w:val="center"/>
              <w:rPr>
                <w:rFonts w:cs="Calibri"/>
                <w:b/>
                <w:bCs/>
                <w:i/>
                <w:iCs/>
                <w:kern w:val="0"/>
                <w:sz w:val="19"/>
                <w:szCs w:val="19"/>
                <w:lang w:eastAsia="en-AU"/>
              </w:rPr>
            </w:pPr>
            <w:r w:rsidRPr="006E3690">
              <w:rPr>
                <w:rFonts w:cs="Calibri"/>
                <w:b/>
                <w:bCs/>
                <w:i/>
                <w:iCs/>
                <w:kern w:val="0"/>
                <w:sz w:val="19"/>
                <w:szCs w:val="19"/>
                <w:lang w:eastAsia="en-AU"/>
              </w:rPr>
              <w:t>P</w:t>
            </w:r>
          </w:p>
        </w:tc>
      </w:tr>
      <w:tr w:rsidR="008E3671" w:rsidRPr="006E3690" w14:paraId="6A1566AE" w14:textId="77777777" w:rsidTr="00610151">
        <w:trPr>
          <w:trHeight w:val="288"/>
          <w:jc w:val="center"/>
        </w:trPr>
        <w:tc>
          <w:tcPr>
            <w:tcW w:w="2689" w:type="dxa"/>
            <w:tcBorders>
              <w:top w:val="nil"/>
              <w:left w:val="single" w:sz="4" w:space="0" w:color="auto"/>
              <w:bottom w:val="single" w:sz="4" w:space="0" w:color="auto"/>
              <w:right w:val="single" w:sz="4" w:space="0" w:color="auto"/>
            </w:tcBorders>
            <w:noWrap/>
            <w:vAlign w:val="bottom"/>
            <w:hideMark/>
          </w:tcPr>
          <w:p w14:paraId="77761342" w14:textId="77777777" w:rsidR="008E3671" w:rsidRPr="006E3690" w:rsidRDefault="008E3671" w:rsidP="00EE49FE">
            <w:pPr>
              <w:spacing w:before="0" w:after="0" w:line="240" w:lineRule="auto"/>
              <w:jc w:val="left"/>
              <w:rPr>
                <w:rFonts w:cs="Calibri"/>
                <w:kern w:val="0"/>
                <w:sz w:val="19"/>
                <w:szCs w:val="19"/>
                <w:lang w:eastAsia="en-AU"/>
              </w:rPr>
            </w:pPr>
            <w:r>
              <w:rPr>
                <w:rFonts w:cs="Calibri"/>
                <w:kern w:val="0"/>
                <w:sz w:val="19"/>
                <w:szCs w:val="19"/>
                <w:lang w:eastAsia="en-AU"/>
              </w:rPr>
              <w:t>Reach</w:t>
            </w:r>
          </w:p>
        </w:tc>
        <w:tc>
          <w:tcPr>
            <w:tcW w:w="1276" w:type="dxa"/>
            <w:tcBorders>
              <w:top w:val="nil"/>
              <w:left w:val="nil"/>
              <w:bottom w:val="single" w:sz="4" w:space="0" w:color="auto"/>
              <w:right w:val="single" w:sz="4" w:space="0" w:color="auto"/>
            </w:tcBorders>
            <w:noWrap/>
            <w:vAlign w:val="bottom"/>
            <w:hideMark/>
          </w:tcPr>
          <w:p w14:paraId="07CDD479" w14:textId="77777777" w:rsidR="008E3671" w:rsidRPr="006E3690" w:rsidRDefault="008E3671" w:rsidP="00EE49FE">
            <w:pPr>
              <w:spacing w:before="0" w:after="0" w:line="240" w:lineRule="auto"/>
              <w:jc w:val="center"/>
              <w:rPr>
                <w:rFonts w:cs="Calibri"/>
                <w:kern w:val="0"/>
                <w:sz w:val="19"/>
                <w:szCs w:val="19"/>
                <w:lang w:eastAsia="en-AU"/>
              </w:rPr>
            </w:pPr>
            <w:r w:rsidRPr="006E3690">
              <w:rPr>
                <w:rFonts w:cs="Calibri"/>
                <w:kern w:val="0"/>
                <w:sz w:val="19"/>
                <w:szCs w:val="19"/>
                <w:lang w:eastAsia="en-AU"/>
              </w:rPr>
              <w:t>2, 1</w:t>
            </w:r>
            <w:r>
              <w:rPr>
                <w:rFonts w:cs="Calibri"/>
                <w:kern w:val="0"/>
                <w:sz w:val="19"/>
                <w:szCs w:val="19"/>
                <w:lang w:eastAsia="en-AU"/>
              </w:rPr>
              <w:t>07</w:t>
            </w:r>
          </w:p>
        </w:tc>
        <w:tc>
          <w:tcPr>
            <w:tcW w:w="1417" w:type="dxa"/>
            <w:tcBorders>
              <w:top w:val="nil"/>
              <w:left w:val="nil"/>
              <w:bottom w:val="single" w:sz="4" w:space="0" w:color="auto"/>
              <w:right w:val="single" w:sz="4" w:space="0" w:color="auto"/>
            </w:tcBorders>
            <w:noWrap/>
            <w:vAlign w:val="bottom"/>
            <w:hideMark/>
          </w:tcPr>
          <w:p w14:paraId="7E5CE56B" w14:textId="77777777" w:rsidR="008E3671" w:rsidRPr="006E3690" w:rsidRDefault="008E3671" w:rsidP="00EE49FE">
            <w:pPr>
              <w:spacing w:before="0" w:after="0" w:line="240" w:lineRule="auto"/>
              <w:jc w:val="center"/>
              <w:rPr>
                <w:rFonts w:cs="Calibri"/>
                <w:kern w:val="0"/>
                <w:sz w:val="19"/>
                <w:szCs w:val="19"/>
                <w:lang w:eastAsia="en-AU"/>
              </w:rPr>
            </w:pPr>
            <w:r>
              <w:rPr>
                <w:rFonts w:cs="Calibri"/>
                <w:kern w:val="0"/>
                <w:sz w:val="19"/>
                <w:szCs w:val="19"/>
                <w:lang w:eastAsia="en-AU"/>
              </w:rPr>
              <w:t>10.26</w:t>
            </w:r>
          </w:p>
        </w:tc>
        <w:tc>
          <w:tcPr>
            <w:tcW w:w="1134" w:type="dxa"/>
            <w:tcBorders>
              <w:top w:val="nil"/>
              <w:left w:val="nil"/>
              <w:bottom w:val="single" w:sz="4" w:space="0" w:color="auto"/>
              <w:right w:val="single" w:sz="4" w:space="0" w:color="auto"/>
            </w:tcBorders>
            <w:noWrap/>
            <w:vAlign w:val="bottom"/>
            <w:hideMark/>
          </w:tcPr>
          <w:p w14:paraId="4CDA344E" w14:textId="77777777" w:rsidR="008E3671" w:rsidRPr="006E3690" w:rsidRDefault="008E3671" w:rsidP="00EE49FE">
            <w:pPr>
              <w:spacing w:before="0" w:after="0" w:line="240" w:lineRule="auto"/>
              <w:jc w:val="center"/>
              <w:rPr>
                <w:rFonts w:cs="Calibri"/>
                <w:kern w:val="0"/>
                <w:sz w:val="19"/>
                <w:szCs w:val="19"/>
                <w:lang w:eastAsia="en-AU"/>
              </w:rPr>
            </w:pPr>
            <w:r w:rsidRPr="006E3690">
              <w:rPr>
                <w:rFonts w:cs="Calibri"/>
                <w:kern w:val="0"/>
                <w:sz w:val="19"/>
                <w:szCs w:val="19"/>
                <w:lang w:eastAsia="en-AU"/>
              </w:rPr>
              <w:t>0.001</w:t>
            </w:r>
          </w:p>
        </w:tc>
      </w:tr>
      <w:tr w:rsidR="008E3671" w:rsidRPr="006E3690" w14:paraId="57BFDE05" w14:textId="77777777" w:rsidTr="00610151">
        <w:trPr>
          <w:trHeight w:val="288"/>
          <w:jc w:val="center"/>
        </w:trPr>
        <w:tc>
          <w:tcPr>
            <w:tcW w:w="2689" w:type="dxa"/>
            <w:tcBorders>
              <w:top w:val="nil"/>
              <w:left w:val="single" w:sz="4" w:space="0" w:color="auto"/>
              <w:bottom w:val="single" w:sz="4" w:space="0" w:color="auto"/>
              <w:right w:val="single" w:sz="4" w:space="0" w:color="auto"/>
            </w:tcBorders>
            <w:noWrap/>
            <w:vAlign w:val="bottom"/>
            <w:hideMark/>
          </w:tcPr>
          <w:p w14:paraId="521112F4" w14:textId="77777777" w:rsidR="008E3671" w:rsidRPr="006E3690" w:rsidRDefault="008E3671" w:rsidP="00EE49FE">
            <w:pPr>
              <w:spacing w:before="0" w:after="0" w:line="240" w:lineRule="auto"/>
              <w:jc w:val="left"/>
              <w:rPr>
                <w:rFonts w:cs="Calibri"/>
                <w:kern w:val="0"/>
                <w:sz w:val="19"/>
                <w:szCs w:val="19"/>
                <w:lang w:eastAsia="en-AU"/>
              </w:rPr>
            </w:pPr>
            <w:r w:rsidRPr="006E3690">
              <w:rPr>
                <w:rFonts w:cs="Calibri"/>
                <w:kern w:val="0"/>
                <w:sz w:val="19"/>
                <w:szCs w:val="19"/>
                <w:lang w:eastAsia="en-AU"/>
              </w:rPr>
              <w:t>Inundation</w:t>
            </w:r>
            <w:r>
              <w:rPr>
                <w:rFonts w:cs="Calibri"/>
                <w:kern w:val="0"/>
                <w:sz w:val="19"/>
                <w:szCs w:val="19"/>
                <w:lang w:eastAsia="en-AU"/>
              </w:rPr>
              <w:t xml:space="preserve"> zone</w:t>
            </w:r>
          </w:p>
        </w:tc>
        <w:tc>
          <w:tcPr>
            <w:tcW w:w="1276" w:type="dxa"/>
            <w:tcBorders>
              <w:top w:val="nil"/>
              <w:left w:val="nil"/>
              <w:bottom w:val="single" w:sz="4" w:space="0" w:color="auto"/>
              <w:right w:val="single" w:sz="4" w:space="0" w:color="auto"/>
            </w:tcBorders>
            <w:noWrap/>
            <w:vAlign w:val="bottom"/>
            <w:hideMark/>
          </w:tcPr>
          <w:p w14:paraId="7410EA23" w14:textId="77777777" w:rsidR="008E3671" w:rsidRPr="006E3690" w:rsidRDefault="008E3671" w:rsidP="00EE49FE">
            <w:pPr>
              <w:spacing w:before="0" w:after="0" w:line="240" w:lineRule="auto"/>
              <w:jc w:val="center"/>
              <w:rPr>
                <w:rFonts w:cs="Calibri"/>
                <w:kern w:val="0"/>
                <w:sz w:val="19"/>
                <w:szCs w:val="19"/>
                <w:lang w:eastAsia="en-AU"/>
              </w:rPr>
            </w:pPr>
            <w:r w:rsidRPr="006E3690">
              <w:rPr>
                <w:rFonts w:cs="Calibri"/>
                <w:kern w:val="0"/>
                <w:sz w:val="19"/>
                <w:szCs w:val="19"/>
                <w:lang w:eastAsia="en-AU"/>
              </w:rPr>
              <w:t xml:space="preserve">3, </w:t>
            </w:r>
            <w:r>
              <w:rPr>
                <w:rFonts w:cs="Calibri"/>
                <w:kern w:val="0"/>
                <w:sz w:val="19"/>
                <w:szCs w:val="19"/>
                <w:lang w:eastAsia="en-AU"/>
              </w:rPr>
              <w:t>107</w:t>
            </w:r>
          </w:p>
        </w:tc>
        <w:tc>
          <w:tcPr>
            <w:tcW w:w="1417" w:type="dxa"/>
            <w:tcBorders>
              <w:top w:val="nil"/>
              <w:left w:val="nil"/>
              <w:bottom w:val="single" w:sz="4" w:space="0" w:color="auto"/>
              <w:right w:val="single" w:sz="4" w:space="0" w:color="auto"/>
            </w:tcBorders>
            <w:noWrap/>
            <w:vAlign w:val="bottom"/>
            <w:hideMark/>
          </w:tcPr>
          <w:p w14:paraId="47F33634" w14:textId="77777777" w:rsidR="008E3671" w:rsidRPr="006E3690" w:rsidRDefault="008E3671" w:rsidP="00EE49FE">
            <w:pPr>
              <w:spacing w:before="0" w:after="0" w:line="240" w:lineRule="auto"/>
              <w:jc w:val="center"/>
              <w:rPr>
                <w:rFonts w:cs="Calibri"/>
                <w:kern w:val="0"/>
                <w:sz w:val="19"/>
                <w:szCs w:val="19"/>
                <w:lang w:eastAsia="en-AU"/>
              </w:rPr>
            </w:pPr>
            <w:r>
              <w:rPr>
                <w:rFonts w:cs="Calibri"/>
                <w:kern w:val="0"/>
                <w:sz w:val="19"/>
                <w:szCs w:val="19"/>
                <w:lang w:eastAsia="en-AU"/>
              </w:rPr>
              <w:t>8.20</w:t>
            </w:r>
          </w:p>
        </w:tc>
        <w:tc>
          <w:tcPr>
            <w:tcW w:w="1134" w:type="dxa"/>
            <w:tcBorders>
              <w:top w:val="nil"/>
              <w:left w:val="nil"/>
              <w:bottom w:val="single" w:sz="4" w:space="0" w:color="auto"/>
              <w:right w:val="single" w:sz="4" w:space="0" w:color="auto"/>
            </w:tcBorders>
            <w:noWrap/>
            <w:vAlign w:val="bottom"/>
            <w:hideMark/>
          </w:tcPr>
          <w:p w14:paraId="58733B89" w14:textId="77777777" w:rsidR="008E3671" w:rsidRPr="006E3690" w:rsidRDefault="008E3671" w:rsidP="00EE49FE">
            <w:pPr>
              <w:spacing w:before="0" w:after="0" w:line="240" w:lineRule="auto"/>
              <w:jc w:val="center"/>
              <w:rPr>
                <w:rFonts w:cs="Calibri"/>
                <w:kern w:val="0"/>
                <w:sz w:val="19"/>
                <w:szCs w:val="19"/>
                <w:lang w:eastAsia="en-AU"/>
              </w:rPr>
            </w:pPr>
            <w:r w:rsidRPr="006E3690">
              <w:rPr>
                <w:rFonts w:cs="Calibri"/>
                <w:kern w:val="0"/>
                <w:sz w:val="19"/>
                <w:szCs w:val="19"/>
                <w:lang w:eastAsia="en-AU"/>
              </w:rPr>
              <w:t>0.001</w:t>
            </w:r>
          </w:p>
        </w:tc>
      </w:tr>
      <w:tr w:rsidR="008E3671" w:rsidRPr="006E3690" w14:paraId="7CAB6DD3" w14:textId="77777777" w:rsidTr="00610151">
        <w:trPr>
          <w:trHeight w:val="288"/>
          <w:jc w:val="center"/>
        </w:trPr>
        <w:tc>
          <w:tcPr>
            <w:tcW w:w="2689" w:type="dxa"/>
            <w:tcBorders>
              <w:top w:val="nil"/>
              <w:left w:val="single" w:sz="4" w:space="0" w:color="auto"/>
              <w:bottom w:val="single" w:sz="4" w:space="0" w:color="auto"/>
              <w:right w:val="single" w:sz="4" w:space="0" w:color="auto"/>
            </w:tcBorders>
            <w:noWrap/>
            <w:vAlign w:val="bottom"/>
            <w:hideMark/>
          </w:tcPr>
          <w:p w14:paraId="76B54B31" w14:textId="77777777" w:rsidR="008E3671" w:rsidRPr="006E3690" w:rsidRDefault="008E3671" w:rsidP="00EE49FE">
            <w:pPr>
              <w:spacing w:before="0" w:after="0" w:line="240" w:lineRule="auto"/>
              <w:jc w:val="left"/>
              <w:rPr>
                <w:rFonts w:cs="Calibri"/>
                <w:kern w:val="0"/>
                <w:sz w:val="19"/>
                <w:szCs w:val="19"/>
                <w:lang w:eastAsia="en-AU"/>
              </w:rPr>
            </w:pPr>
            <w:r>
              <w:rPr>
                <w:rFonts w:cs="Calibri"/>
                <w:kern w:val="0"/>
                <w:sz w:val="19"/>
                <w:szCs w:val="19"/>
                <w:lang w:eastAsia="en-AU"/>
              </w:rPr>
              <w:t>Reach</w:t>
            </w:r>
            <w:r w:rsidRPr="006E3690">
              <w:rPr>
                <w:rFonts w:cs="Calibri"/>
                <w:kern w:val="0"/>
                <w:sz w:val="19"/>
                <w:szCs w:val="19"/>
                <w:lang w:eastAsia="en-AU"/>
              </w:rPr>
              <w:t xml:space="preserve"> x Inundation</w:t>
            </w:r>
            <w:r>
              <w:rPr>
                <w:rFonts w:cs="Calibri"/>
                <w:kern w:val="0"/>
                <w:sz w:val="19"/>
                <w:szCs w:val="19"/>
                <w:lang w:eastAsia="en-AU"/>
              </w:rPr>
              <w:t xml:space="preserve"> zone</w:t>
            </w:r>
          </w:p>
        </w:tc>
        <w:tc>
          <w:tcPr>
            <w:tcW w:w="1276" w:type="dxa"/>
            <w:tcBorders>
              <w:top w:val="nil"/>
              <w:left w:val="nil"/>
              <w:bottom w:val="single" w:sz="4" w:space="0" w:color="auto"/>
              <w:right w:val="single" w:sz="4" w:space="0" w:color="auto"/>
            </w:tcBorders>
            <w:noWrap/>
            <w:vAlign w:val="bottom"/>
            <w:hideMark/>
          </w:tcPr>
          <w:p w14:paraId="24128DCA" w14:textId="77777777" w:rsidR="008E3671" w:rsidRPr="006E3690" w:rsidRDefault="008E3671" w:rsidP="00EE49FE">
            <w:pPr>
              <w:spacing w:before="0" w:after="0" w:line="240" w:lineRule="auto"/>
              <w:jc w:val="center"/>
              <w:rPr>
                <w:rFonts w:cs="Calibri"/>
                <w:kern w:val="0"/>
                <w:sz w:val="19"/>
                <w:szCs w:val="19"/>
                <w:lang w:eastAsia="en-AU"/>
              </w:rPr>
            </w:pPr>
            <w:r w:rsidRPr="006E3690">
              <w:rPr>
                <w:rFonts w:cs="Calibri"/>
                <w:kern w:val="0"/>
                <w:sz w:val="19"/>
                <w:szCs w:val="19"/>
                <w:lang w:eastAsia="en-AU"/>
              </w:rPr>
              <w:t>6, 1</w:t>
            </w:r>
            <w:r>
              <w:rPr>
                <w:rFonts w:cs="Calibri"/>
                <w:kern w:val="0"/>
                <w:sz w:val="19"/>
                <w:szCs w:val="19"/>
                <w:lang w:eastAsia="en-AU"/>
              </w:rPr>
              <w:t>07</w:t>
            </w:r>
          </w:p>
        </w:tc>
        <w:tc>
          <w:tcPr>
            <w:tcW w:w="1417" w:type="dxa"/>
            <w:tcBorders>
              <w:top w:val="nil"/>
              <w:left w:val="nil"/>
              <w:bottom w:val="single" w:sz="4" w:space="0" w:color="auto"/>
              <w:right w:val="single" w:sz="4" w:space="0" w:color="auto"/>
            </w:tcBorders>
            <w:noWrap/>
            <w:vAlign w:val="bottom"/>
            <w:hideMark/>
          </w:tcPr>
          <w:p w14:paraId="76D642F0" w14:textId="77777777" w:rsidR="008E3671" w:rsidRPr="006E3690" w:rsidRDefault="008E3671" w:rsidP="00EE49FE">
            <w:pPr>
              <w:spacing w:before="0" w:after="0" w:line="240" w:lineRule="auto"/>
              <w:jc w:val="center"/>
              <w:rPr>
                <w:rFonts w:cs="Calibri"/>
                <w:kern w:val="0"/>
                <w:sz w:val="19"/>
                <w:szCs w:val="19"/>
                <w:lang w:eastAsia="en-AU"/>
              </w:rPr>
            </w:pPr>
            <w:r w:rsidRPr="006E3690">
              <w:rPr>
                <w:rFonts w:cs="Calibri"/>
                <w:kern w:val="0"/>
                <w:sz w:val="19"/>
                <w:szCs w:val="19"/>
                <w:lang w:eastAsia="en-AU"/>
              </w:rPr>
              <w:t>2.</w:t>
            </w:r>
            <w:r>
              <w:rPr>
                <w:rFonts w:cs="Calibri"/>
                <w:kern w:val="0"/>
                <w:sz w:val="19"/>
                <w:szCs w:val="19"/>
                <w:lang w:eastAsia="en-AU"/>
              </w:rPr>
              <w:t>11</w:t>
            </w:r>
          </w:p>
        </w:tc>
        <w:tc>
          <w:tcPr>
            <w:tcW w:w="1134" w:type="dxa"/>
            <w:tcBorders>
              <w:top w:val="nil"/>
              <w:left w:val="nil"/>
              <w:bottom w:val="single" w:sz="4" w:space="0" w:color="auto"/>
              <w:right w:val="single" w:sz="4" w:space="0" w:color="auto"/>
            </w:tcBorders>
            <w:noWrap/>
            <w:vAlign w:val="bottom"/>
            <w:hideMark/>
          </w:tcPr>
          <w:p w14:paraId="14D2F91C" w14:textId="77777777" w:rsidR="008E3671" w:rsidRPr="006E3690" w:rsidRDefault="008E3671" w:rsidP="00EE49FE">
            <w:pPr>
              <w:spacing w:before="0" w:after="0" w:line="240" w:lineRule="auto"/>
              <w:jc w:val="center"/>
              <w:rPr>
                <w:rFonts w:cs="Calibri"/>
                <w:kern w:val="0"/>
                <w:sz w:val="19"/>
                <w:szCs w:val="19"/>
                <w:lang w:eastAsia="en-AU"/>
              </w:rPr>
            </w:pPr>
            <w:r w:rsidRPr="006E3690">
              <w:rPr>
                <w:rFonts w:cs="Calibri"/>
                <w:kern w:val="0"/>
                <w:sz w:val="19"/>
                <w:szCs w:val="19"/>
                <w:lang w:eastAsia="en-AU"/>
              </w:rPr>
              <w:t>0.00</w:t>
            </w:r>
            <w:r>
              <w:rPr>
                <w:rFonts w:cs="Calibri"/>
                <w:kern w:val="0"/>
                <w:sz w:val="19"/>
                <w:szCs w:val="19"/>
                <w:lang w:eastAsia="en-AU"/>
              </w:rPr>
              <w:t>4</w:t>
            </w:r>
          </w:p>
        </w:tc>
      </w:tr>
    </w:tbl>
    <w:p w14:paraId="608F2B5E" w14:textId="4BC3D194" w:rsidR="008E3671" w:rsidRDefault="008E3671" w:rsidP="008E3671">
      <w:pPr>
        <w:spacing w:before="0" w:after="160" w:line="259" w:lineRule="auto"/>
        <w:jc w:val="left"/>
        <w:rPr>
          <w:b/>
          <w:bCs/>
          <w:color w:val="auto"/>
          <w:sz w:val="20"/>
          <w:szCs w:val="18"/>
        </w:rPr>
      </w:pPr>
      <w:bookmarkStart w:id="605" w:name="_Ref191463407"/>
      <w:bookmarkStart w:id="606" w:name="_Ref194071682"/>
    </w:p>
    <w:p w14:paraId="6F7FA47D" w14:textId="4072F95B" w:rsidR="008E3671" w:rsidRDefault="008E3671" w:rsidP="008E3671">
      <w:pPr>
        <w:pStyle w:val="Caption"/>
        <w:keepNext/>
      </w:pPr>
      <w:bookmarkStart w:id="607" w:name="_Hlk207969059"/>
      <w:r>
        <w:t>Table</w:t>
      </w:r>
      <w:bookmarkEnd w:id="605"/>
      <w:bookmarkEnd w:id="606"/>
      <w:r>
        <w:t xml:space="preserve"> C</w:t>
      </w:r>
      <w:r w:rsidR="008865D1">
        <w:t>1</w:t>
      </w:r>
      <w:r w:rsidR="00FB33C3">
        <w:t>1</w:t>
      </w:r>
      <w:r>
        <w:t>.</w:t>
      </w:r>
      <w:r w:rsidRPr="00865189">
        <w:t xml:space="preserve"> </w:t>
      </w:r>
      <w:bookmarkStart w:id="608" w:name="_Ref194071667"/>
      <w:r>
        <w:t>PERMANOVA multiple comparisons comparing the plant community in each inundation zone for a) the reach downstream of Lock 1,</w:t>
      </w:r>
      <w:r w:rsidR="004A232A">
        <w:t xml:space="preserve"> </w:t>
      </w:r>
      <w:r>
        <w:t>b) downstream of Lock 4 and c) downstream of Lock 6 in June 2024</w:t>
      </w:r>
      <w:bookmarkEnd w:id="608"/>
      <w:r w:rsidR="004A232A">
        <w:t>.</w:t>
      </w:r>
    </w:p>
    <w:bookmarkEnd w:id="607"/>
    <w:p w14:paraId="0ED64C78" w14:textId="77777777" w:rsidR="008E3671" w:rsidRDefault="008E3671" w:rsidP="008E3671">
      <w:pPr>
        <w:spacing w:after="0"/>
      </w:pPr>
      <w:r>
        <w:t>a.</w:t>
      </w:r>
    </w:p>
    <w:tbl>
      <w:tblPr>
        <w:tblW w:w="7650" w:type="dxa"/>
        <w:jc w:val="center"/>
        <w:tblLook w:val="04A0" w:firstRow="1" w:lastRow="0" w:firstColumn="1" w:lastColumn="0" w:noHBand="0" w:noVBand="1"/>
        <w:tblDescription w:val="Table of PERMANOVA multiple comparisons comparing the plant community in each inundation zone for the reach downstream of Lock 1, downstream of Lock 4 and downstream of Lock 6 in June 2024."/>
      </w:tblPr>
      <w:tblGrid>
        <w:gridCol w:w="1900"/>
        <w:gridCol w:w="1920"/>
        <w:gridCol w:w="1987"/>
        <w:gridCol w:w="676"/>
        <w:gridCol w:w="1167"/>
      </w:tblGrid>
      <w:tr w:rsidR="008E3671" w:rsidRPr="00FE6BA1" w14:paraId="4F05DABD" w14:textId="77777777" w:rsidTr="007F1434">
        <w:trPr>
          <w:trHeight w:val="248"/>
          <w:jc w:val="center"/>
        </w:trPr>
        <w:tc>
          <w:tcPr>
            <w:tcW w:w="1900" w:type="dxa"/>
            <w:tcBorders>
              <w:top w:val="single" w:sz="4" w:space="0" w:color="auto"/>
              <w:left w:val="single" w:sz="4" w:space="0" w:color="auto"/>
              <w:bottom w:val="single" w:sz="4" w:space="0" w:color="auto"/>
              <w:right w:val="nil"/>
            </w:tcBorders>
            <w:noWrap/>
            <w:vAlign w:val="bottom"/>
            <w:hideMark/>
          </w:tcPr>
          <w:p w14:paraId="4E405137" w14:textId="77777777" w:rsidR="008E3671" w:rsidRPr="00FE6BA1" w:rsidRDefault="008E3671" w:rsidP="00EE49FE">
            <w:pPr>
              <w:spacing w:before="0" w:after="0" w:line="240" w:lineRule="auto"/>
              <w:jc w:val="left"/>
              <w:rPr>
                <w:rFonts w:cs="Calibri"/>
                <w:b/>
                <w:bCs/>
                <w:kern w:val="0"/>
                <w:sz w:val="19"/>
                <w:szCs w:val="19"/>
                <w:lang w:eastAsia="en-AU"/>
              </w:rPr>
            </w:pPr>
            <w:r w:rsidRPr="00FE6BA1">
              <w:rPr>
                <w:rFonts w:cs="Calibri"/>
                <w:b/>
                <w:bCs/>
                <w:kern w:val="0"/>
                <w:sz w:val="19"/>
                <w:szCs w:val="19"/>
                <w:lang w:eastAsia="en-AU"/>
              </w:rPr>
              <w:t>Inundation extent</w:t>
            </w:r>
          </w:p>
        </w:tc>
        <w:tc>
          <w:tcPr>
            <w:tcW w:w="1920" w:type="dxa"/>
            <w:tcBorders>
              <w:top w:val="single" w:sz="4" w:space="0" w:color="auto"/>
              <w:left w:val="single" w:sz="4" w:space="0" w:color="auto"/>
              <w:bottom w:val="single" w:sz="4" w:space="0" w:color="auto"/>
              <w:right w:val="single" w:sz="4" w:space="0" w:color="auto"/>
            </w:tcBorders>
            <w:noWrap/>
            <w:vAlign w:val="bottom"/>
            <w:hideMark/>
          </w:tcPr>
          <w:p w14:paraId="1478789C" w14:textId="4B68EAF1"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0.041</w:t>
            </w:r>
          </w:p>
        </w:tc>
        <w:tc>
          <w:tcPr>
            <w:tcW w:w="1987" w:type="dxa"/>
            <w:tcBorders>
              <w:top w:val="nil"/>
              <w:left w:val="nil"/>
              <w:bottom w:val="nil"/>
              <w:right w:val="nil"/>
            </w:tcBorders>
            <w:noWrap/>
            <w:vAlign w:val="bottom"/>
            <w:hideMark/>
          </w:tcPr>
          <w:p w14:paraId="6CB7B30A" w14:textId="77777777" w:rsidR="008E3671" w:rsidRPr="00FE6BA1" w:rsidRDefault="008E3671" w:rsidP="00EE49FE">
            <w:pPr>
              <w:spacing w:before="0" w:after="0" w:line="240" w:lineRule="auto"/>
              <w:jc w:val="center"/>
              <w:rPr>
                <w:rFonts w:cs="Calibri"/>
                <w:kern w:val="0"/>
                <w:sz w:val="19"/>
                <w:szCs w:val="19"/>
                <w:lang w:eastAsia="en-AU"/>
              </w:rPr>
            </w:pPr>
          </w:p>
        </w:tc>
        <w:tc>
          <w:tcPr>
            <w:tcW w:w="1294" w:type="dxa"/>
            <w:tcBorders>
              <w:top w:val="nil"/>
              <w:left w:val="nil"/>
              <w:bottom w:val="nil"/>
              <w:right w:val="nil"/>
            </w:tcBorders>
          </w:tcPr>
          <w:p w14:paraId="5E5C7394" w14:textId="77777777" w:rsidR="008E3671" w:rsidRPr="00FE6BA1" w:rsidRDefault="008E3671" w:rsidP="00EE49FE">
            <w:pPr>
              <w:spacing w:before="0" w:after="0" w:line="240" w:lineRule="auto"/>
              <w:jc w:val="center"/>
              <w:rPr>
                <w:rFonts w:ascii="Times New Roman" w:hAnsi="Times New Roman"/>
                <w:color w:val="auto"/>
                <w:kern w:val="0"/>
                <w:sz w:val="20"/>
                <w:lang w:eastAsia="en-AU"/>
              </w:rPr>
            </w:pPr>
          </w:p>
        </w:tc>
        <w:tc>
          <w:tcPr>
            <w:tcW w:w="549" w:type="dxa"/>
            <w:tcBorders>
              <w:top w:val="nil"/>
              <w:left w:val="nil"/>
              <w:bottom w:val="nil"/>
              <w:right w:val="nil"/>
            </w:tcBorders>
            <w:noWrap/>
            <w:vAlign w:val="bottom"/>
            <w:hideMark/>
          </w:tcPr>
          <w:p w14:paraId="1BCAD2CE" w14:textId="77777777" w:rsidR="008E3671" w:rsidRPr="00FE6BA1" w:rsidRDefault="008E3671" w:rsidP="00EE49FE">
            <w:pPr>
              <w:spacing w:before="0" w:after="0" w:line="240" w:lineRule="auto"/>
              <w:jc w:val="center"/>
              <w:rPr>
                <w:rFonts w:ascii="Times New Roman" w:hAnsi="Times New Roman"/>
                <w:color w:val="auto"/>
                <w:kern w:val="0"/>
                <w:sz w:val="20"/>
                <w:lang w:eastAsia="en-AU"/>
              </w:rPr>
            </w:pPr>
          </w:p>
        </w:tc>
      </w:tr>
      <w:tr w:rsidR="008E3671" w:rsidRPr="00FE6BA1" w14:paraId="4342C8D1" w14:textId="77777777" w:rsidTr="007F1434">
        <w:trPr>
          <w:trHeight w:val="248"/>
          <w:jc w:val="center"/>
        </w:trPr>
        <w:tc>
          <w:tcPr>
            <w:tcW w:w="1900" w:type="dxa"/>
            <w:tcBorders>
              <w:top w:val="nil"/>
              <w:left w:val="single" w:sz="4" w:space="0" w:color="auto"/>
              <w:bottom w:val="single" w:sz="4" w:space="0" w:color="auto"/>
              <w:right w:val="nil"/>
            </w:tcBorders>
            <w:noWrap/>
            <w:vAlign w:val="bottom"/>
            <w:hideMark/>
          </w:tcPr>
          <w:p w14:paraId="2EA55D74" w14:textId="77777777" w:rsidR="008E3671" w:rsidRPr="00FE6BA1" w:rsidRDefault="008E3671" w:rsidP="00EE49FE">
            <w:pPr>
              <w:spacing w:before="0" w:after="0" w:line="240" w:lineRule="auto"/>
              <w:jc w:val="left"/>
              <w:rPr>
                <w:rFonts w:cs="Calibri"/>
                <w:b/>
                <w:bCs/>
                <w:kern w:val="0"/>
                <w:sz w:val="19"/>
                <w:szCs w:val="19"/>
                <w:lang w:eastAsia="en-AU"/>
              </w:rPr>
            </w:pPr>
            <w:r w:rsidRPr="00FE6BA1">
              <w:rPr>
                <w:rFonts w:cs="Calibri"/>
                <w:b/>
                <w:bCs/>
                <w:kern w:val="0"/>
                <w:sz w:val="19"/>
                <w:szCs w:val="19"/>
                <w:lang w:eastAsia="en-AU"/>
              </w:rPr>
              <w:t>Inundated</w:t>
            </w:r>
          </w:p>
        </w:tc>
        <w:tc>
          <w:tcPr>
            <w:tcW w:w="1920" w:type="dxa"/>
            <w:tcBorders>
              <w:top w:val="nil"/>
              <w:left w:val="single" w:sz="4" w:space="0" w:color="auto"/>
              <w:bottom w:val="single" w:sz="4" w:space="0" w:color="auto"/>
              <w:right w:val="single" w:sz="4" w:space="0" w:color="auto"/>
            </w:tcBorders>
            <w:noWrap/>
            <w:vAlign w:val="bottom"/>
            <w:hideMark/>
          </w:tcPr>
          <w:p w14:paraId="18FEE7FC" w14:textId="5C261D13"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0.013</w:t>
            </w:r>
          </w:p>
        </w:tc>
        <w:tc>
          <w:tcPr>
            <w:tcW w:w="1987" w:type="dxa"/>
            <w:tcBorders>
              <w:top w:val="single" w:sz="4" w:space="0" w:color="auto"/>
              <w:left w:val="nil"/>
              <w:bottom w:val="single" w:sz="4" w:space="0" w:color="auto"/>
              <w:right w:val="single" w:sz="4" w:space="0" w:color="auto"/>
            </w:tcBorders>
            <w:noWrap/>
            <w:vAlign w:val="bottom"/>
            <w:hideMark/>
          </w:tcPr>
          <w:p w14:paraId="061674E9" w14:textId="58015B60"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0.479</w:t>
            </w:r>
          </w:p>
        </w:tc>
        <w:tc>
          <w:tcPr>
            <w:tcW w:w="1294" w:type="dxa"/>
            <w:tcBorders>
              <w:top w:val="nil"/>
              <w:left w:val="nil"/>
              <w:bottom w:val="nil"/>
              <w:right w:val="nil"/>
            </w:tcBorders>
          </w:tcPr>
          <w:p w14:paraId="268FB143" w14:textId="77777777" w:rsidR="008E3671" w:rsidRPr="00FE6BA1" w:rsidRDefault="008E3671" w:rsidP="00EE49FE">
            <w:pPr>
              <w:spacing w:before="0" w:after="0" w:line="240" w:lineRule="auto"/>
              <w:jc w:val="center"/>
              <w:rPr>
                <w:rFonts w:cs="Calibri"/>
                <w:kern w:val="0"/>
                <w:sz w:val="19"/>
                <w:szCs w:val="19"/>
                <w:lang w:eastAsia="en-AU"/>
              </w:rPr>
            </w:pPr>
          </w:p>
        </w:tc>
        <w:tc>
          <w:tcPr>
            <w:tcW w:w="549" w:type="dxa"/>
            <w:tcBorders>
              <w:top w:val="nil"/>
              <w:left w:val="nil"/>
              <w:bottom w:val="nil"/>
              <w:right w:val="nil"/>
            </w:tcBorders>
            <w:noWrap/>
            <w:vAlign w:val="bottom"/>
            <w:hideMark/>
          </w:tcPr>
          <w:p w14:paraId="71902E07" w14:textId="77777777" w:rsidR="008E3671" w:rsidRPr="00FE6BA1" w:rsidRDefault="008E3671" w:rsidP="00EE49FE">
            <w:pPr>
              <w:spacing w:before="0" w:after="0" w:line="240" w:lineRule="auto"/>
              <w:jc w:val="center"/>
              <w:rPr>
                <w:rFonts w:cs="Calibri"/>
                <w:kern w:val="0"/>
                <w:sz w:val="19"/>
                <w:szCs w:val="19"/>
                <w:lang w:eastAsia="en-AU"/>
              </w:rPr>
            </w:pPr>
          </w:p>
        </w:tc>
      </w:tr>
      <w:tr w:rsidR="008E3671" w:rsidRPr="00FE6BA1" w14:paraId="54F7A9D0" w14:textId="77777777" w:rsidTr="007F1434">
        <w:trPr>
          <w:trHeight w:val="248"/>
          <w:jc w:val="center"/>
        </w:trPr>
        <w:tc>
          <w:tcPr>
            <w:tcW w:w="1900" w:type="dxa"/>
            <w:tcBorders>
              <w:top w:val="nil"/>
              <w:left w:val="single" w:sz="4" w:space="0" w:color="auto"/>
              <w:bottom w:val="single" w:sz="4" w:space="0" w:color="auto"/>
              <w:right w:val="nil"/>
            </w:tcBorders>
            <w:noWrap/>
            <w:vAlign w:val="bottom"/>
            <w:hideMark/>
          </w:tcPr>
          <w:p w14:paraId="741EC095" w14:textId="77777777" w:rsidR="008E3671" w:rsidRPr="00FE6BA1" w:rsidRDefault="008E3671" w:rsidP="00EE49FE">
            <w:pPr>
              <w:spacing w:before="0" w:after="0" w:line="240" w:lineRule="auto"/>
              <w:jc w:val="left"/>
              <w:rPr>
                <w:rFonts w:cs="Calibri"/>
                <w:b/>
                <w:bCs/>
                <w:kern w:val="0"/>
                <w:sz w:val="19"/>
                <w:szCs w:val="19"/>
                <w:lang w:eastAsia="en-AU"/>
              </w:rPr>
            </w:pPr>
            <w:r w:rsidRPr="00FE6BA1">
              <w:rPr>
                <w:rFonts w:cs="Calibri"/>
                <w:b/>
                <w:bCs/>
                <w:kern w:val="0"/>
                <w:sz w:val="19"/>
                <w:szCs w:val="19"/>
                <w:lang w:eastAsia="en-AU"/>
              </w:rPr>
              <w:t>Pool level</w:t>
            </w:r>
          </w:p>
        </w:tc>
        <w:tc>
          <w:tcPr>
            <w:tcW w:w="1920" w:type="dxa"/>
            <w:tcBorders>
              <w:top w:val="nil"/>
              <w:left w:val="single" w:sz="4" w:space="0" w:color="auto"/>
              <w:bottom w:val="single" w:sz="4" w:space="0" w:color="auto"/>
              <w:right w:val="single" w:sz="4" w:space="0" w:color="auto"/>
            </w:tcBorders>
            <w:noWrap/>
            <w:vAlign w:val="bottom"/>
            <w:hideMark/>
          </w:tcPr>
          <w:p w14:paraId="5ACEF8FB" w14:textId="43D4EE15"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0.003</w:t>
            </w:r>
          </w:p>
        </w:tc>
        <w:tc>
          <w:tcPr>
            <w:tcW w:w="1987" w:type="dxa"/>
            <w:tcBorders>
              <w:top w:val="nil"/>
              <w:left w:val="nil"/>
              <w:bottom w:val="single" w:sz="4" w:space="0" w:color="auto"/>
              <w:right w:val="single" w:sz="4" w:space="0" w:color="auto"/>
            </w:tcBorders>
            <w:noWrap/>
            <w:vAlign w:val="bottom"/>
            <w:hideMark/>
          </w:tcPr>
          <w:p w14:paraId="5132A1E7" w14:textId="2F133621"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0.026</w:t>
            </w:r>
          </w:p>
        </w:tc>
        <w:tc>
          <w:tcPr>
            <w:tcW w:w="1294" w:type="dxa"/>
            <w:tcBorders>
              <w:top w:val="single" w:sz="4" w:space="0" w:color="auto"/>
              <w:left w:val="nil"/>
              <w:bottom w:val="single" w:sz="4" w:space="0" w:color="auto"/>
              <w:right w:val="nil"/>
            </w:tcBorders>
          </w:tcPr>
          <w:p w14:paraId="1E7A0A44" w14:textId="77777777" w:rsidR="008E3671" w:rsidRDefault="008E3671" w:rsidP="00EE49FE">
            <w:pPr>
              <w:spacing w:before="0" w:after="0" w:line="240" w:lineRule="auto"/>
              <w:jc w:val="center"/>
              <w:rPr>
                <w:rFonts w:cs="Calibri"/>
                <w:kern w:val="0"/>
                <w:sz w:val="19"/>
                <w:szCs w:val="19"/>
                <w:lang w:eastAsia="en-AU"/>
              </w:rPr>
            </w:pPr>
          </w:p>
        </w:tc>
        <w:tc>
          <w:tcPr>
            <w:tcW w:w="549" w:type="dxa"/>
            <w:tcBorders>
              <w:top w:val="single" w:sz="4" w:space="0" w:color="auto"/>
              <w:left w:val="nil"/>
              <w:bottom w:val="single" w:sz="4" w:space="0" w:color="auto"/>
              <w:right w:val="single" w:sz="4" w:space="0" w:color="auto"/>
            </w:tcBorders>
            <w:noWrap/>
            <w:vAlign w:val="bottom"/>
            <w:hideMark/>
          </w:tcPr>
          <w:p w14:paraId="4AE88308" w14:textId="1E3CA860"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0.033</w:t>
            </w:r>
          </w:p>
        </w:tc>
      </w:tr>
      <w:tr w:rsidR="008E3671" w:rsidRPr="00FE6BA1" w14:paraId="64D9027B" w14:textId="77777777" w:rsidTr="007F1434">
        <w:trPr>
          <w:trHeight w:val="248"/>
          <w:jc w:val="center"/>
        </w:trPr>
        <w:tc>
          <w:tcPr>
            <w:tcW w:w="1900" w:type="dxa"/>
            <w:tcBorders>
              <w:top w:val="nil"/>
              <w:left w:val="nil"/>
              <w:bottom w:val="nil"/>
              <w:right w:val="nil"/>
            </w:tcBorders>
            <w:noWrap/>
            <w:vAlign w:val="bottom"/>
            <w:hideMark/>
          </w:tcPr>
          <w:p w14:paraId="3C3A7D95" w14:textId="77777777" w:rsidR="008E3671" w:rsidRPr="00FE6BA1" w:rsidRDefault="008E3671" w:rsidP="00EE49FE">
            <w:pPr>
              <w:spacing w:before="0" w:after="0" w:line="240" w:lineRule="auto"/>
              <w:jc w:val="center"/>
              <w:rPr>
                <w:rFonts w:cs="Calibri"/>
                <w:kern w:val="0"/>
                <w:sz w:val="19"/>
                <w:szCs w:val="19"/>
                <w:lang w:eastAsia="en-AU"/>
              </w:rPr>
            </w:pPr>
          </w:p>
        </w:tc>
        <w:tc>
          <w:tcPr>
            <w:tcW w:w="1920" w:type="dxa"/>
            <w:tcBorders>
              <w:top w:val="nil"/>
              <w:left w:val="single" w:sz="4" w:space="0" w:color="auto"/>
              <w:bottom w:val="single" w:sz="4" w:space="0" w:color="auto"/>
              <w:right w:val="single" w:sz="4" w:space="0" w:color="auto"/>
            </w:tcBorders>
            <w:noWrap/>
            <w:vAlign w:val="bottom"/>
            <w:hideMark/>
          </w:tcPr>
          <w:p w14:paraId="2AF0A1FC" w14:textId="77777777" w:rsidR="008E3671" w:rsidRPr="00FE6BA1" w:rsidRDefault="008E3671" w:rsidP="00EE49FE">
            <w:pPr>
              <w:spacing w:before="0" w:after="0" w:line="240" w:lineRule="auto"/>
              <w:jc w:val="center"/>
              <w:rPr>
                <w:rFonts w:cs="Calibri"/>
                <w:b/>
                <w:bCs/>
                <w:kern w:val="0"/>
                <w:sz w:val="19"/>
                <w:szCs w:val="19"/>
                <w:lang w:eastAsia="en-AU"/>
              </w:rPr>
            </w:pPr>
            <w:r w:rsidRPr="00FE6BA1">
              <w:rPr>
                <w:rFonts w:cs="Calibri"/>
                <w:b/>
                <w:bCs/>
                <w:kern w:val="0"/>
                <w:sz w:val="19"/>
                <w:szCs w:val="19"/>
                <w:lang w:eastAsia="en-AU"/>
              </w:rPr>
              <w:t>Not inundated</w:t>
            </w:r>
          </w:p>
        </w:tc>
        <w:tc>
          <w:tcPr>
            <w:tcW w:w="1987" w:type="dxa"/>
            <w:tcBorders>
              <w:top w:val="nil"/>
              <w:left w:val="nil"/>
              <w:bottom w:val="single" w:sz="4" w:space="0" w:color="auto"/>
              <w:right w:val="single" w:sz="4" w:space="0" w:color="auto"/>
            </w:tcBorders>
            <w:noWrap/>
            <w:vAlign w:val="bottom"/>
            <w:hideMark/>
          </w:tcPr>
          <w:p w14:paraId="6C8306C1" w14:textId="77777777" w:rsidR="008E3671" w:rsidRPr="00FE6BA1" w:rsidRDefault="008E3671" w:rsidP="00EE49FE">
            <w:pPr>
              <w:spacing w:before="0" w:after="0" w:line="240" w:lineRule="auto"/>
              <w:jc w:val="center"/>
              <w:rPr>
                <w:rFonts w:cs="Calibri"/>
                <w:b/>
                <w:bCs/>
                <w:kern w:val="0"/>
                <w:sz w:val="19"/>
                <w:szCs w:val="19"/>
                <w:lang w:eastAsia="en-AU"/>
              </w:rPr>
            </w:pPr>
            <w:r w:rsidRPr="00FE6BA1">
              <w:rPr>
                <w:rFonts w:cs="Calibri"/>
                <w:b/>
                <w:bCs/>
                <w:kern w:val="0"/>
                <w:sz w:val="19"/>
                <w:szCs w:val="19"/>
                <w:lang w:eastAsia="en-AU"/>
              </w:rPr>
              <w:t>Inundation extent</w:t>
            </w:r>
          </w:p>
        </w:tc>
        <w:tc>
          <w:tcPr>
            <w:tcW w:w="1294" w:type="dxa"/>
            <w:tcBorders>
              <w:top w:val="nil"/>
              <w:left w:val="nil"/>
              <w:bottom w:val="single" w:sz="4" w:space="0" w:color="auto"/>
              <w:right w:val="nil"/>
            </w:tcBorders>
          </w:tcPr>
          <w:p w14:paraId="79A6FB84" w14:textId="77777777" w:rsidR="008E3671" w:rsidRPr="00FE6BA1" w:rsidRDefault="008E3671" w:rsidP="00EE49FE">
            <w:pPr>
              <w:spacing w:before="0" w:after="0" w:line="240" w:lineRule="auto"/>
              <w:jc w:val="center"/>
              <w:rPr>
                <w:rFonts w:cs="Calibri"/>
                <w:b/>
                <w:bCs/>
                <w:kern w:val="0"/>
                <w:sz w:val="19"/>
                <w:szCs w:val="19"/>
                <w:lang w:eastAsia="en-AU"/>
              </w:rPr>
            </w:pPr>
          </w:p>
        </w:tc>
        <w:tc>
          <w:tcPr>
            <w:tcW w:w="549" w:type="dxa"/>
            <w:tcBorders>
              <w:top w:val="nil"/>
              <w:left w:val="nil"/>
              <w:bottom w:val="single" w:sz="4" w:space="0" w:color="auto"/>
              <w:right w:val="single" w:sz="4" w:space="0" w:color="auto"/>
            </w:tcBorders>
            <w:noWrap/>
            <w:vAlign w:val="bottom"/>
            <w:hideMark/>
          </w:tcPr>
          <w:p w14:paraId="160BFC41" w14:textId="77777777" w:rsidR="008E3671" w:rsidRPr="00FE6BA1" w:rsidRDefault="008E3671" w:rsidP="004A232A">
            <w:pPr>
              <w:spacing w:before="0" w:after="0" w:line="240" w:lineRule="auto"/>
              <w:rPr>
                <w:rFonts w:cs="Calibri"/>
                <w:b/>
                <w:bCs/>
                <w:kern w:val="0"/>
                <w:sz w:val="19"/>
                <w:szCs w:val="19"/>
                <w:lang w:eastAsia="en-AU"/>
              </w:rPr>
            </w:pPr>
            <w:r w:rsidRPr="00FE6BA1">
              <w:rPr>
                <w:rFonts w:cs="Calibri"/>
                <w:b/>
                <w:bCs/>
                <w:kern w:val="0"/>
                <w:sz w:val="19"/>
                <w:szCs w:val="19"/>
                <w:lang w:eastAsia="en-AU"/>
              </w:rPr>
              <w:t>Inundated</w:t>
            </w:r>
          </w:p>
        </w:tc>
      </w:tr>
    </w:tbl>
    <w:p w14:paraId="02040710" w14:textId="77777777" w:rsidR="008E3671" w:rsidRDefault="008E3671" w:rsidP="008E3671">
      <w:pPr>
        <w:spacing w:after="0"/>
      </w:pPr>
      <w:r>
        <w:t>b.</w:t>
      </w:r>
    </w:p>
    <w:tbl>
      <w:tblPr>
        <w:tblW w:w="7727" w:type="dxa"/>
        <w:jc w:val="center"/>
        <w:tblLook w:val="04A0" w:firstRow="1" w:lastRow="0" w:firstColumn="1" w:lastColumn="0" w:noHBand="0" w:noVBand="1"/>
      </w:tblPr>
      <w:tblGrid>
        <w:gridCol w:w="1900"/>
        <w:gridCol w:w="1920"/>
        <w:gridCol w:w="1987"/>
        <w:gridCol w:w="1920"/>
      </w:tblGrid>
      <w:tr w:rsidR="008E3671" w:rsidRPr="00FE6BA1" w14:paraId="201AC952" w14:textId="77777777" w:rsidTr="007F1434">
        <w:trPr>
          <w:trHeight w:val="248"/>
          <w:jc w:val="center"/>
        </w:trPr>
        <w:tc>
          <w:tcPr>
            <w:tcW w:w="1900" w:type="dxa"/>
            <w:tcBorders>
              <w:top w:val="single" w:sz="4" w:space="0" w:color="auto"/>
              <w:left w:val="single" w:sz="4" w:space="0" w:color="auto"/>
              <w:bottom w:val="single" w:sz="4" w:space="0" w:color="auto"/>
              <w:right w:val="nil"/>
            </w:tcBorders>
            <w:noWrap/>
            <w:vAlign w:val="bottom"/>
            <w:hideMark/>
          </w:tcPr>
          <w:p w14:paraId="6F8FB3B9" w14:textId="77777777" w:rsidR="008E3671" w:rsidRPr="00FE6BA1" w:rsidRDefault="008E3671" w:rsidP="00EE49FE">
            <w:pPr>
              <w:spacing w:before="0" w:after="0" w:line="240" w:lineRule="auto"/>
              <w:jc w:val="left"/>
              <w:rPr>
                <w:rFonts w:cs="Calibri"/>
                <w:b/>
                <w:bCs/>
                <w:kern w:val="0"/>
                <w:sz w:val="19"/>
                <w:szCs w:val="19"/>
                <w:lang w:eastAsia="en-AU"/>
              </w:rPr>
            </w:pPr>
            <w:r w:rsidRPr="00FE6BA1">
              <w:rPr>
                <w:rFonts w:cs="Calibri"/>
                <w:b/>
                <w:bCs/>
                <w:kern w:val="0"/>
                <w:sz w:val="19"/>
                <w:szCs w:val="19"/>
                <w:lang w:eastAsia="en-AU"/>
              </w:rPr>
              <w:t>Inundation extent</w:t>
            </w:r>
          </w:p>
        </w:tc>
        <w:tc>
          <w:tcPr>
            <w:tcW w:w="1920" w:type="dxa"/>
            <w:tcBorders>
              <w:top w:val="single" w:sz="4" w:space="0" w:color="auto"/>
              <w:left w:val="single" w:sz="4" w:space="0" w:color="auto"/>
              <w:bottom w:val="single" w:sz="4" w:space="0" w:color="auto"/>
              <w:right w:val="single" w:sz="4" w:space="0" w:color="auto"/>
            </w:tcBorders>
            <w:noWrap/>
            <w:vAlign w:val="bottom"/>
            <w:hideMark/>
          </w:tcPr>
          <w:p w14:paraId="76EEA1EA" w14:textId="6C464C48"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0.862</w:t>
            </w:r>
          </w:p>
        </w:tc>
        <w:tc>
          <w:tcPr>
            <w:tcW w:w="1987" w:type="dxa"/>
            <w:tcBorders>
              <w:top w:val="nil"/>
              <w:left w:val="nil"/>
              <w:bottom w:val="nil"/>
              <w:right w:val="nil"/>
            </w:tcBorders>
            <w:noWrap/>
            <w:vAlign w:val="bottom"/>
            <w:hideMark/>
          </w:tcPr>
          <w:p w14:paraId="3BC67988" w14:textId="77777777" w:rsidR="008E3671" w:rsidRPr="00FE6BA1" w:rsidRDefault="008E3671" w:rsidP="00EE49FE">
            <w:pPr>
              <w:spacing w:before="0" w:after="0" w:line="240" w:lineRule="auto"/>
              <w:jc w:val="center"/>
              <w:rPr>
                <w:rFonts w:cs="Calibri"/>
                <w:kern w:val="0"/>
                <w:sz w:val="19"/>
                <w:szCs w:val="19"/>
                <w:lang w:eastAsia="en-AU"/>
              </w:rPr>
            </w:pPr>
          </w:p>
        </w:tc>
        <w:tc>
          <w:tcPr>
            <w:tcW w:w="1920" w:type="dxa"/>
            <w:tcBorders>
              <w:top w:val="nil"/>
              <w:left w:val="nil"/>
              <w:bottom w:val="nil"/>
              <w:right w:val="nil"/>
            </w:tcBorders>
            <w:noWrap/>
            <w:vAlign w:val="bottom"/>
            <w:hideMark/>
          </w:tcPr>
          <w:p w14:paraId="4831230F" w14:textId="77777777" w:rsidR="008E3671" w:rsidRPr="00FE6BA1" w:rsidRDefault="008E3671" w:rsidP="00EE49FE">
            <w:pPr>
              <w:spacing w:before="0" w:after="0" w:line="240" w:lineRule="auto"/>
              <w:jc w:val="center"/>
              <w:rPr>
                <w:rFonts w:ascii="Times New Roman" w:hAnsi="Times New Roman"/>
                <w:color w:val="auto"/>
                <w:kern w:val="0"/>
                <w:sz w:val="20"/>
                <w:lang w:eastAsia="en-AU"/>
              </w:rPr>
            </w:pPr>
          </w:p>
        </w:tc>
      </w:tr>
      <w:tr w:rsidR="008E3671" w:rsidRPr="00FE6BA1" w14:paraId="564AD336" w14:textId="77777777" w:rsidTr="007F1434">
        <w:trPr>
          <w:trHeight w:val="248"/>
          <w:jc w:val="center"/>
        </w:trPr>
        <w:tc>
          <w:tcPr>
            <w:tcW w:w="1900" w:type="dxa"/>
            <w:tcBorders>
              <w:top w:val="nil"/>
              <w:left w:val="single" w:sz="4" w:space="0" w:color="auto"/>
              <w:bottom w:val="single" w:sz="4" w:space="0" w:color="auto"/>
              <w:right w:val="nil"/>
            </w:tcBorders>
            <w:noWrap/>
            <w:vAlign w:val="bottom"/>
            <w:hideMark/>
          </w:tcPr>
          <w:p w14:paraId="3EAA2495" w14:textId="77777777" w:rsidR="008E3671" w:rsidRPr="00FE6BA1" w:rsidRDefault="008E3671" w:rsidP="00EE49FE">
            <w:pPr>
              <w:spacing w:before="0" w:after="0" w:line="240" w:lineRule="auto"/>
              <w:jc w:val="left"/>
              <w:rPr>
                <w:rFonts w:cs="Calibri"/>
                <w:b/>
                <w:bCs/>
                <w:kern w:val="0"/>
                <w:sz w:val="19"/>
                <w:szCs w:val="19"/>
                <w:lang w:eastAsia="en-AU"/>
              </w:rPr>
            </w:pPr>
            <w:r w:rsidRPr="00FE6BA1">
              <w:rPr>
                <w:rFonts w:cs="Calibri"/>
                <w:b/>
                <w:bCs/>
                <w:kern w:val="0"/>
                <w:sz w:val="19"/>
                <w:szCs w:val="19"/>
                <w:lang w:eastAsia="en-AU"/>
              </w:rPr>
              <w:t>Inundated</w:t>
            </w:r>
          </w:p>
        </w:tc>
        <w:tc>
          <w:tcPr>
            <w:tcW w:w="1920" w:type="dxa"/>
            <w:tcBorders>
              <w:top w:val="nil"/>
              <w:left w:val="single" w:sz="4" w:space="0" w:color="auto"/>
              <w:bottom w:val="single" w:sz="4" w:space="0" w:color="auto"/>
              <w:right w:val="single" w:sz="4" w:space="0" w:color="auto"/>
            </w:tcBorders>
            <w:noWrap/>
            <w:vAlign w:val="bottom"/>
            <w:hideMark/>
          </w:tcPr>
          <w:p w14:paraId="204A4125" w14:textId="73760E69"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0.219</w:t>
            </w:r>
          </w:p>
        </w:tc>
        <w:tc>
          <w:tcPr>
            <w:tcW w:w="1987" w:type="dxa"/>
            <w:tcBorders>
              <w:top w:val="single" w:sz="4" w:space="0" w:color="auto"/>
              <w:left w:val="nil"/>
              <w:bottom w:val="single" w:sz="4" w:space="0" w:color="auto"/>
              <w:right w:val="single" w:sz="4" w:space="0" w:color="auto"/>
            </w:tcBorders>
            <w:noWrap/>
            <w:vAlign w:val="bottom"/>
            <w:hideMark/>
          </w:tcPr>
          <w:p w14:paraId="5BB1FA30" w14:textId="383B2541"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0.401</w:t>
            </w:r>
          </w:p>
        </w:tc>
        <w:tc>
          <w:tcPr>
            <w:tcW w:w="1920" w:type="dxa"/>
            <w:tcBorders>
              <w:top w:val="nil"/>
              <w:left w:val="nil"/>
              <w:bottom w:val="nil"/>
              <w:right w:val="nil"/>
            </w:tcBorders>
            <w:noWrap/>
            <w:vAlign w:val="bottom"/>
            <w:hideMark/>
          </w:tcPr>
          <w:p w14:paraId="55D7E3CB" w14:textId="77777777" w:rsidR="008E3671" w:rsidRPr="00FE6BA1" w:rsidRDefault="008E3671" w:rsidP="00EE49FE">
            <w:pPr>
              <w:spacing w:before="0" w:after="0" w:line="240" w:lineRule="auto"/>
              <w:jc w:val="center"/>
              <w:rPr>
                <w:rFonts w:cs="Calibri"/>
                <w:kern w:val="0"/>
                <w:sz w:val="19"/>
                <w:szCs w:val="19"/>
                <w:lang w:eastAsia="en-AU"/>
              </w:rPr>
            </w:pPr>
          </w:p>
        </w:tc>
      </w:tr>
      <w:tr w:rsidR="008E3671" w:rsidRPr="00FE6BA1" w14:paraId="4FA7615C" w14:textId="77777777" w:rsidTr="007F1434">
        <w:trPr>
          <w:trHeight w:val="248"/>
          <w:jc w:val="center"/>
        </w:trPr>
        <w:tc>
          <w:tcPr>
            <w:tcW w:w="1900" w:type="dxa"/>
            <w:tcBorders>
              <w:top w:val="nil"/>
              <w:left w:val="single" w:sz="4" w:space="0" w:color="auto"/>
              <w:bottom w:val="single" w:sz="4" w:space="0" w:color="auto"/>
              <w:right w:val="nil"/>
            </w:tcBorders>
            <w:noWrap/>
            <w:vAlign w:val="bottom"/>
            <w:hideMark/>
          </w:tcPr>
          <w:p w14:paraId="0F95B11C" w14:textId="77777777" w:rsidR="008E3671" w:rsidRPr="00FE6BA1" w:rsidRDefault="008E3671" w:rsidP="00EE49FE">
            <w:pPr>
              <w:spacing w:before="0" w:after="0" w:line="240" w:lineRule="auto"/>
              <w:jc w:val="left"/>
              <w:rPr>
                <w:rFonts w:cs="Calibri"/>
                <w:b/>
                <w:bCs/>
                <w:kern w:val="0"/>
                <w:sz w:val="19"/>
                <w:szCs w:val="19"/>
                <w:lang w:eastAsia="en-AU"/>
              </w:rPr>
            </w:pPr>
            <w:r w:rsidRPr="00FE6BA1">
              <w:rPr>
                <w:rFonts w:cs="Calibri"/>
                <w:b/>
                <w:bCs/>
                <w:kern w:val="0"/>
                <w:sz w:val="19"/>
                <w:szCs w:val="19"/>
                <w:lang w:eastAsia="en-AU"/>
              </w:rPr>
              <w:t>Pool level</w:t>
            </w:r>
          </w:p>
        </w:tc>
        <w:tc>
          <w:tcPr>
            <w:tcW w:w="1920" w:type="dxa"/>
            <w:tcBorders>
              <w:top w:val="nil"/>
              <w:left w:val="single" w:sz="4" w:space="0" w:color="auto"/>
              <w:bottom w:val="single" w:sz="4" w:space="0" w:color="auto"/>
              <w:right w:val="single" w:sz="4" w:space="0" w:color="auto"/>
            </w:tcBorders>
            <w:noWrap/>
            <w:vAlign w:val="bottom"/>
            <w:hideMark/>
          </w:tcPr>
          <w:p w14:paraId="7CB847A0" w14:textId="03768A33"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0.003</w:t>
            </w:r>
          </w:p>
        </w:tc>
        <w:tc>
          <w:tcPr>
            <w:tcW w:w="1987" w:type="dxa"/>
            <w:tcBorders>
              <w:top w:val="nil"/>
              <w:left w:val="nil"/>
              <w:bottom w:val="single" w:sz="4" w:space="0" w:color="auto"/>
              <w:right w:val="single" w:sz="4" w:space="0" w:color="auto"/>
            </w:tcBorders>
            <w:noWrap/>
            <w:vAlign w:val="bottom"/>
            <w:hideMark/>
          </w:tcPr>
          <w:p w14:paraId="44A0B7C4" w14:textId="51935C57"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0.037</w:t>
            </w:r>
          </w:p>
        </w:tc>
        <w:tc>
          <w:tcPr>
            <w:tcW w:w="1920" w:type="dxa"/>
            <w:tcBorders>
              <w:top w:val="single" w:sz="4" w:space="0" w:color="auto"/>
              <w:left w:val="nil"/>
              <w:bottom w:val="single" w:sz="4" w:space="0" w:color="auto"/>
              <w:right w:val="single" w:sz="4" w:space="0" w:color="auto"/>
            </w:tcBorders>
            <w:noWrap/>
            <w:vAlign w:val="bottom"/>
            <w:hideMark/>
          </w:tcPr>
          <w:p w14:paraId="64B6B0BE" w14:textId="0777AB6C"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0.007</w:t>
            </w:r>
          </w:p>
        </w:tc>
      </w:tr>
      <w:tr w:rsidR="008E3671" w:rsidRPr="00FE6BA1" w14:paraId="1A198687" w14:textId="77777777" w:rsidTr="007F1434">
        <w:trPr>
          <w:trHeight w:val="248"/>
          <w:jc w:val="center"/>
        </w:trPr>
        <w:tc>
          <w:tcPr>
            <w:tcW w:w="1900" w:type="dxa"/>
            <w:tcBorders>
              <w:top w:val="nil"/>
              <w:left w:val="nil"/>
              <w:bottom w:val="nil"/>
              <w:right w:val="nil"/>
            </w:tcBorders>
            <w:noWrap/>
            <w:vAlign w:val="bottom"/>
            <w:hideMark/>
          </w:tcPr>
          <w:p w14:paraId="634ED552" w14:textId="77777777" w:rsidR="008E3671" w:rsidRPr="00FE6BA1" w:rsidRDefault="008E3671" w:rsidP="00EE49FE">
            <w:pPr>
              <w:spacing w:before="0" w:after="0" w:line="240" w:lineRule="auto"/>
              <w:jc w:val="center"/>
              <w:rPr>
                <w:rFonts w:cs="Calibri"/>
                <w:kern w:val="0"/>
                <w:sz w:val="19"/>
                <w:szCs w:val="19"/>
                <w:lang w:eastAsia="en-AU"/>
              </w:rPr>
            </w:pPr>
          </w:p>
        </w:tc>
        <w:tc>
          <w:tcPr>
            <w:tcW w:w="1920" w:type="dxa"/>
            <w:tcBorders>
              <w:top w:val="nil"/>
              <w:left w:val="single" w:sz="4" w:space="0" w:color="auto"/>
              <w:bottom w:val="single" w:sz="4" w:space="0" w:color="auto"/>
              <w:right w:val="single" w:sz="4" w:space="0" w:color="auto"/>
            </w:tcBorders>
            <w:noWrap/>
            <w:vAlign w:val="bottom"/>
            <w:hideMark/>
          </w:tcPr>
          <w:p w14:paraId="625A8EE4" w14:textId="77777777" w:rsidR="008E3671" w:rsidRPr="00FE6BA1" w:rsidRDefault="008E3671" w:rsidP="00EE49FE">
            <w:pPr>
              <w:spacing w:before="0" w:after="0" w:line="240" w:lineRule="auto"/>
              <w:jc w:val="center"/>
              <w:rPr>
                <w:rFonts w:cs="Calibri"/>
                <w:b/>
                <w:bCs/>
                <w:kern w:val="0"/>
                <w:sz w:val="19"/>
                <w:szCs w:val="19"/>
                <w:lang w:eastAsia="en-AU"/>
              </w:rPr>
            </w:pPr>
            <w:r w:rsidRPr="00FE6BA1">
              <w:rPr>
                <w:rFonts w:cs="Calibri"/>
                <w:b/>
                <w:bCs/>
                <w:kern w:val="0"/>
                <w:sz w:val="19"/>
                <w:szCs w:val="19"/>
                <w:lang w:eastAsia="en-AU"/>
              </w:rPr>
              <w:t>Not inundated</w:t>
            </w:r>
          </w:p>
        </w:tc>
        <w:tc>
          <w:tcPr>
            <w:tcW w:w="1987" w:type="dxa"/>
            <w:tcBorders>
              <w:top w:val="nil"/>
              <w:left w:val="nil"/>
              <w:bottom w:val="single" w:sz="4" w:space="0" w:color="auto"/>
              <w:right w:val="single" w:sz="4" w:space="0" w:color="auto"/>
            </w:tcBorders>
            <w:noWrap/>
            <w:vAlign w:val="bottom"/>
            <w:hideMark/>
          </w:tcPr>
          <w:p w14:paraId="4728B471" w14:textId="77777777" w:rsidR="008E3671" w:rsidRPr="00FE6BA1" w:rsidRDefault="008E3671" w:rsidP="00EE49FE">
            <w:pPr>
              <w:spacing w:before="0" w:after="0" w:line="240" w:lineRule="auto"/>
              <w:jc w:val="center"/>
              <w:rPr>
                <w:rFonts w:cs="Calibri"/>
                <w:b/>
                <w:bCs/>
                <w:kern w:val="0"/>
                <w:sz w:val="19"/>
                <w:szCs w:val="19"/>
                <w:lang w:eastAsia="en-AU"/>
              </w:rPr>
            </w:pPr>
            <w:r w:rsidRPr="00FE6BA1">
              <w:rPr>
                <w:rFonts w:cs="Calibri"/>
                <w:b/>
                <w:bCs/>
                <w:kern w:val="0"/>
                <w:sz w:val="19"/>
                <w:szCs w:val="19"/>
                <w:lang w:eastAsia="en-AU"/>
              </w:rPr>
              <w:t>Inundation extent</w:t>
            </w:r>
          </w:p>
        </w:tc>
        <w:tc>
          <w:tcPr>
            <w:tcW w:w="1920" w:type="dxa"/>
            <w:tcBorders>
              <w:top w:val="nil"/>
              <w:left w:val="nil"/>
              <w:bottom w:val="single" w:sz="4" w:space="0" w:color="auto"/>
              <w:right w:val="single" w:sz="4" w:space="0" w:color="auto"/>
            </w:tcBorders>
            <w:noWrap/>
            <w:vAlign w:val="bottom"/>
            <w:hideMark/>
          </w:tcPr>
          <w:p w14:paraId="7F9F374D" w14:textId="77777777" w:rsidR="008E3671" w:rsidRPr="00FE6BA1" w:rsidRDefault="008E3671" w:rsidP="00EE49FE">
            <w:pPr>
              <w:spacing w:before="0" w:after="0" w:line="240" w:lineRule="auto"/>
              <w:jc w:val="center"/>
              <w:rPr>
                <w:rFonts w:cs="Calibri"/>
                <w:b/>
                <w:bCs/>
                <w:kern w:val="0"/>
                <w:sz w:val="19"/>
                <w:szCs w:val="19"/>
                <w:lang w:eastAsia="en-AU"/>
              </w:rPr>
            </w:pPr>
            <w:r w:rsidRPr="00FE6BA1">
              <w:rPr>
                <w:rFonts w:cs="Calibri"/>
                <w:b/>
                <w:bCs/>
                <w:kern w:val="0"/>
                <w:sz w:val="19"/>
                <w:szCs w:val="19"/>
                <w:lang w:eastAsia="en-AU"/>
              </w:rPr>
              <w:t>Inundated</w:t>
            </w:r>
          </w:p>
        </w:tc>
      </w:tr>
    </w:tbl>
    <w:p w14:paraId="29B9A81C" w14:textId="77777777" w:rsidR="008E3671" w:rsidRDefault="008E3671" w:rsidP="008E3671">
      <w:pPr>
        <w:spacing w:after="0"/>
      </w:pPr>
      <w:r>
        <w:t>c.</w:t>
      </w:r>
    </w:p>
    <w:tbl>
      <w:tblPr>
        <w:tblW w:w="7727" w:type="dxa"/>
        <w:jc w:val="center"/>
        <w:tblLook w:val="04A0" w:firstRow="1" w:lastRow="0" w:firstColumn="1" w:lastColumn="0" w:noHBand="0" w:noVBand="1"/>
      </w:tblPr>
      <w:tblGrid>
        <w:gridCol w:w="1900"/>
        <w:gridCol w:w="1920"/>
        <w:gridCol w:w="1987"/>
        <w:gridCol w:w="1920"/>
      </w:tblGrid>
      <w:tr w:rsidR="008E3671" w:rsidRPr="00FE6BA1" w14:paraId="6BCFE5DD" w14:textId="77777777" w:rsidTr="007F1434">
        <w:trPr>
          <w:trHeight w:val="248"/>
          <w:jc w:val="center"/>
        </w:trPr>
        <w:tc>
          <w:tcPr>
            <w:tcW w:w="1900" w:type="dxa"/>
            <w:tcBorders>
              <w:top w:val="single" w:sz="4" w:space="0" w:color="auto"/>
              <w:left w:val="single" w:sz="4" w:space="0" w:color="auto"/>
              <w:bottom w:val="single" w:sz="4" w:space="0" w:color="auto"/>
              <w:right w:val="nil"/>
            </w:tcBorders>
            <w:noWrap/>
            <w:vAlign w:val="bottom"/>
            <w:hideMark/>
          </w:tcPr>
          <w:p w14:paraId="52730B05" w14:textId="77777777" w:rsidR="008E3671" w:rsidRPr="00FE6BA1" w:rsidRDefault="008E3671" w:rsidP="00EE49FE">
            <w:pPr>
              <w:spacing w:before="0" w:after="0" w:line="240" w:lineRule="auto"/>
              <w:jc w:val="left"/>
              <w:rPr>
                <w:rFonts w:cs="Calibri"/>
                <w:b/>
                <w:bCs/>
                <w:kern w:val="0"/>
                <w:sz w:val="19"/>
                <w:szCs w:val="19"/>
                <w:lang w:eastAsia="en-AU"/>
              </w:rPr>
            </w:pPr>
            <w:r w:rsidRPr="00FE6BA1">
              <w:rPr>
                <w:rFonts w:cs="Calibri"/>
                <w:b/>
                <w:bCs/>
                <w:kern w:val="0"/>
                <w:sz w:val="19"/>
                <w:szCs w:val="19"/>
                <w:lang w:eastAsia="en-AU"/>
              </w:rPr>
              <w:t>Inundation extent</w:t>
            </w:r>
          </w:p>
        </w:tc>
        <w:tc>
          <w:tcPr>
            <w:tcW w:w="1920" w:type="dxa"/>
            <w:tcBorders>
              <w:top w:val="single" w:sz="4" w:space="0" w:color="auto"/>
              <w:left w:val="single" w:sz="4" w:space="0" w:color="auto"/>
              <w:bottom w:val="single" w:sz="4" w:space="0" w:color="auto"/>
              <w:right w:val="single" w:sz="4" w:space="0" w:color="auto"/>
            </w:tcBorders>
            <w:noWrap/>
            <w:vAlign w:val="bottom"/>
            <w:hideMark/>
          </w:tcPr>
          <w:p w14:paraId="227A9848" w14:textId="15CD6362"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0.860</w:t>
            </w:r>
          </w:p>
        </w:tc>
        <w:tc>
          <w:tcPr>
            <w:tcW w:w="1987" w:type="dxa"/>
            <w:tcBorders>
              <w:top w:val="nil"/>
              <w:left w:val="nil"/>
              <w:bottom w:val="nil"/>
              <w:right w:val="nil"/>
            </w:tcBorders>
            <w:noWrap/>
            <w:vAlign w:val="bottom"/>
            <w:hideMark/>
          </w:tcPr>
          <w:p w14:paraId="5430D759" w14:textId="77777777" w:rsidR="008E3671" w:rsidRPr="00FE6BA1" w:rsidRDefault="008E3671" w:rsidP="00EE49FE">
            <w:pPr>
              <w:spacing w:before="0" w:after="0" w:line="240" w:lineRule="auto"/>
              <w:jc w:val="center"/>
              <w:rPr>
                <w:rFonts w:cs="Calibri"/>
                <w:kern w:val="0"/>
                <w:sz w:val="19"/>
                <w:szCs w:val="19"/>
                <w:lang w:eastAsia="en-AU"/>
              </w:rPr>
            </w:pPr>
          </w:p>
        </w:tc>
        <w:tc>
          <w:tcPr>
            <w:tcW w:w="1920" w:type="dxa"/>
            <w:tcBorders>
              <w:top w:val="nil"/>
              <w:left w:val="nil"/>
              <w:bottom w:val="nil"/>
              <w:right w:val="nil"/>
            </w:tcBorders>
            <w:noWrap/>
            <w:vAlign w:val="bottom"/>
            <w:hideMark/>
          </w:tcPr>
          <w:p w14:paraId="70C25F53" w14:textId="77777777" w:rsidR="008E3671" w:rsidRPr="00FE6BA1" w:rsidRDefault="008E3671" w:rsidP="00EE49FE">
            <w:pPr>
              <w:spacing w:before="0" w:after="0" w:line="240" w:lineRule="auto"/>
              <w:jc w:val="center"/>
              <w:rPr>
                <w:rFonts w:ascii="Times New Roman" w:hAnsi="Times New Roman"/>
                <w:color w:val="auto"/>
                <w:kern w:val="0"/>
                <w:sz w:val="20"/>
                <w:lang w:eastAsia="en-AU"/>
              </w:rPr>
            </w:pPr>
          </w:p>
        </w:tc>
      </w:tr>
      <w:tr w:rsidR="008E3671" w:rsidRPr="00FE6BA1" w14:paraId="087730AB" w14:textId="77777777" w:rsidTr="007F1434">
        <w:trPr>
          <w:trHeight w:val="248"/>
          <w:jc w:val="center"/>
        </w:trPr>
        <w:tc>
          <w:tcPr>
            <w:tcW w:w="1900" w:type="dxa"/>
            <w:tcBorders>
              <w:top w:val="nil"/>
              <w:left w:val="single" w:sz="4" w:space="0" w:color="auto"/>
              <w:bottom w:val="single" w:sz="4" w:space="0" w:color="auto"/>
              <w:right w:val="nil"/>
            </w:tcBorders>
            <w:noWrap/>
            <w:vAlign w:val="bottom"/>
            <w:hideMark/>
          </w:tcPr>
          <w:p w14:paraId="21B25316" w14:textId="77777777" w:rsidR="008E3671" w:rsidRPr="00FE6BA1" w:rsidRDefault="008E3671" w:rsidP="00EE49FE">
            <w:pPr>
              <w:spacing w:before="0" w:after="0" w:line="240" w:lineRule="auto"/>
              <w:jc w:val="left"/>
              <w:rPr>
                <w:rFonts w:cs="Calibri"/>
                <w:b/>
                <w:bCs/>
                <w:kern w:val="0"/>
                <w:sz w:val="19"/>
                <w:szCs w:val="19"/>
                <w:lang w:eastAsia="en-AU"/>
              </w:rPr>
            </w:pPr>
            <w:r w:rsidRPr="00FE6BA1">
              <w:rPr>
                <w:rFonts w:cs="Calibri"/>
                <w:b/>
                <w:bCs/>
                <w:kern w:val="0"/>
                <w:sz w:val="19"/>
                <w:szCs w:val="19"/>
                <w:lang w:eastAsia="en-AU"/>
              </w:rPr>
              <w:t>Inundated</w:t>
            </w:r>
          </w:p>
        </w:tc>
        <w:tc>
          <w:tcPr>
            <w:tcW w:w="1920" w:type="dxa"/>
            <w:tcBorders>
              <w:top w:val="nil"/>
              <w:left w:val="single" w:sz="4" w:space="0" w:color="auto"/>
              <w:bottom w:val="single" w:sz="4" w:space="0" w:color="auto"/>
              <w:right w:val="single" w:sz="4" w:space="0" w:color="auto"/>
            </w:tcBorders>
            <w:noWrap/>
            <w:vAlign w:val="bottom"/>
            <w:hideMark/>
          </w:tcPr>
          <w:p w14:paraId="512A39F3" w14:textId="21FC1FBE"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0.008</w:t>
            </w:r>
          </w:p>
        </w:tc>
        <w:tc>
          <w:tcPr>
            <w:tcW w:w="1987" w:type="dxa"/>
            <w:tcBorders>
              <w:top w:val="single" w:sz="4" w:space="0" w:color="auto"/>
              <w:left w:val="nil"/>
              <w:bottom w:val="single" w:sz="4" w:space="0" w:color="auto"/>
              <w:right w:val="single" w:sz="4" w:space="0" w:color="auto"/>
            </w:tcBorders>
            <w:noWrap/>
            <w:vAlign w:val="bottom"/>
            <w:hideMark/>
          </w:tcPr>
          <w:p w14:paraId="5BFDF9A4" w14:textId="17834300"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0.030</w:t>
            </w:r>
          </w:p>
        </w:tc>
        <w:tc>
          <w:tcPr>
            <w:tcW w:w="1920" w:type="dxa"/>
            <w:tcBorders>
              <w:top w:val="nil"/>
              <w:left w:val="nil"/>
              <w:bottom w:val="nil"/>
              <w:right w:val="nil"/>
            </w:tcBorders>
            <w:noWrap/>
            <w:vAlign w:val="bottom"/>
            <w:hideMark/>
          </w:tcPr>
          <w:p w14:paraId="395EE4AA" w14:textId="77777777" w:rsidR="008E3671" w:rsidRPr="00FE6BA1" w:rsidRDefault="008E3671" w:rsidP="00EE49FE">
            <w:pPr>
              <w:spacing w:before="0" w:after="0" w:line="240" w:lineRule="auto"/>
              <w:jc w:val="center"/>
              <w:rPr>
                <w:rFonts w:cs="Calibri"/>
                <w:kern w:val="0"/>
                <w:sz w:val="19"/>
                <w:szCs w:val="19"/>
                <w:lang w:eastAsia="en-AU"/>
              </w:rPr>
            </w:pPr>
          </w:p>
        </w:tc>
      </w:tr>
      <w:tr w:rsidR="008E3671" w:rsidRPr="00FE6BA1" w14:paraId="30139954" w14:textId="77777777" w:rsidTr="007F1434">
        <w:trPr>
          <w:trHeight w:val="248"/>
          <w:jc w:val="center"/>
        </w:trPr>
        <w:tc>
          <w:tcPr>
            <w:tcW w:w="1900" w:type="dxa"/>
            <w:tcBorders>
              <w:top w:val="nil"/>
              <w:left w:val="single" w:sz="4" w:space="0" w:color="auto"/>
              <w:bottom w:val="single" w:sz="4" w:space="0" w:color="auto"/>
              <w:right w:val="nil"/>
            </w:tcBorders>
            <w:noWrap/>
            <w:vAlign w:val="bottom"/>
            <w:hideMark/>
          </w:tcPr>
          <w:p w14:paraId="5F92BA9B" w14:textId="77777777" w:rsidR="008E3671" w:rsidRPr="00FE6BA1" w:rsidRDefault="008E3671" w:rsidP="00EE49FE">
            <w:pPr>
              <w:spacing w:before="0" w:after="0" w:line="240" w:lineRule="auto"/>
              <w:jc w:val="left"/>
              <w:rPr>
                <w:rFonts w:cs="Calibri"/>
                <w:b/>
                <w:bCs/>
                <w:kern w:val="0"/>
                <w:sz w:val="19"/>
                <w:szCs w:val="19"/>
                <w:lang w:eastAsia="en-AU"/>
              </w:rPr>
            </w:pPr>
            <w:r w:rsidRPr="00FE6BA1">
              <w:rPr>
                <w:rFonts w:cs="Calibri"/>
                <w:b/>
                <w:bCs/>
                <w:kern w:val="0"/>
                <w:sz w:val="19"/>
                <w:szCs w:val="19"/>
                <w:lang w:eastAsia="en-AU"/>
              </w:rPr>
              <w:t>Pool level</w:t>
            </w:r>
          </w:p>
        </w:tc>
        <w:tc>
          <w:tcPr>
            <w:tcW w:w="1920" w:type="dxa"/>
            <w:tcBorders>
              <w:top w:val="nil"/>
              <w:left w:val="single" w:sz="4" w:space="0" w:color="auto"/>
              <w:bottom w:val="single" w:sz="4" w:space="0" w:color="auto"/>
              <w:right w:val="single" w:sz="4" w:space="0" w:color="auto"/>
            </w:tcBorders>
            <w:noWrap/>
            <w:vAlign w:val="bottom"/>
            <w:hideMark/>
          </w:tcPr>
          <w:p w14:paraId="1B0DA5C7" w14:textId="559CF503"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&lt;0.001</w:t>
            </w:r>
          </w:p>
        </w:tc>
        <w:tc>
          <w:tcPr>
            <w:tcW w:w="1987" w:type="dxa"/>
            <w:tcBorders>
              <w:top w:val="nil"/>
              <w:left w:val="nil"/>
              <w:bottom w:val="single" w:sz="4" w:space="0" w:color="auto"/>
              <w:right w:val="single" w:sz="4" w:space="0" w:color="auto"/>
            </w:tcBorders>
            <w:noWrap/>
            <w:vAlign w:val="bottom"/>
            <w:hideMark/>
          </w:tcPr>
          <w:p w14:paraId="759D721F" w14:textId="48814C1A"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&lt;0.001</w:t>
            </w:r>
          </w:p>
        </w:tc>
        <w:tc>
          <w:tcPr>
            <w:tcW w:w="1920" w:type="dxa"/>
            <w:tcBorders>
              <w:top w:val="single" w:sz="4" w:space="0" w:color="auto"/>
              <w:left w:val="nil"/>
              <w:bottom w:val="single" w:sz="4" w:space="0" w:color="auto"/>
              <w:right w:val="single" w:sz="4" w:space="0" w:color="auto"/>
            </w:tcBorders>
            <w:noWrap/>
            <w:vAlign w:val="bottom"/>
            <w:hideMark/>
          </w:tcPr>
          <w:p w14:paraId="342FFD42" w14:textId="00BDCD00" w:rsidR="008E3671" w:rsidRPr="00FE6BA1" w:rsidRDefault="004A232A" w:rsidP="00EE49FE">
            <w:pPr>
              <w:spacing w:before="0" w:after="0" w:line="240" w:lineRule="auto"/>
              <w:jc w:val="center"/>
              <w:rPr>
                <w:rFonts w:cs="Calibri"/>
                <w:kern w:val="0"/>
                <w:sz w:val="19"/>
                <w:szCs w:val="19"/>
                <w:lang w:eastAsia="en-AU"/>
              </w:rPr>
            </w:pPr>
            <w:r>
              <w:rPr>
                <w:rFonts w:cs="Calibri"/>
                <w:kern w:val="0"/>
                <w:sz w:val="19"/>
                <w:szCs w:val="19"/>
                <w:lang w:eastAsia="en-AU"/>
              </w:rPr>
              <w:t>&lt;0.001</w:t>
            </w:r>
          </w:p>
        </w:tc>
      </w:tr>
      <w:tr w:rsidR="008E3671" w:rsidRPr="00FE6BA1" w14:paraId="477C3F39" w14:textId="77777777" w:rsidTr="007F1434">
        <w:trPr>
          <w:trHeight w:val="248"/>
          <w:jc w:val="center"/>
        </w:trPr>
        <w:tc>
          <w:tcPr>
            <w:tcW w:w="1900" w:type="dxa"/>
            <w:tcBorders>
              <w:top w:val="nil"/>
              <w:left w:val="nil"/>
              <w:bottom w:val="nil"/>
              <w:right w:val="nil"/>
            </w:tcBorders>
            <w:noWrap/>
            <w:vAlign w:val="bottom"/>
            <w:hideMark/>
          </w:tcPr>
          <w:p w14:paraId="7AEE08DF" w14:textId="77777777" w:rsidR="008E3671" w:rsidRPr="00FE6BA1" w:rsidRDefault="008E3671" w:rsidP="00EE49FE">
            <w:pPr>
              <w:spacing w:before="0" w:after="0" w:line="240" w:lineRule="auto"/>
              <w:jc w:val="center"/>
              <w:rPr>
                <w:rFonts w:cs="Calibri"/>
                <w:kern w:val="0"/>
                <w:sz w:val="19"/>
                <w:szCs w:val="19"/>
                <w:lang w:eastAsia="en-AU"/>
              </w:rPr>
            </w:pPr>
          </w:p>
        </w:tc>
        <w:tc>
          <w:tcPr>
            <w:tcW w:w="1920" w:type="dxa"/>
            <w:tcBorders>
              <w:top w:val="nil"/>
              <w:left w:val="single" w:sz="4" w:space="0" w:color="auto"/>
              <w:bottom w:val="single" w:sz="4" w:space="0" w:color="auto"/>
              <w:right w:val="single" w:sz="4" w:space="0" w:color="auto"/>
            </w:tcBorders>
            <w:noWrap/>
            <w:vAlign w:val="bottom"/>
            <w:hideMark/>
          </w:tcPr>
          <w:p w14:paraId="18D75FA8" w14:textId="77777777" w:rsidR="008E3671" w:rsidRPr="00FE6BA1" w:rsidRDefault="008E3671" w:rsidP="00EE49FE">
            <w:pPr>
              <w:spacing w:before="0" w:after="0" w:line="240" w:lineRule="auto"/>
              <w:jc w:val="center"/>
              <w:rPr>
                <w:rFonts w:cs="Calibri"/>
                <w:b/>
                <w:bCs/>
                <w:kern w:val="0"/>
                <w:sz w:val="19"/>
                <w:szCs w:val="19"/>
                <w:lang w:eastAsia="en-AU"/>
              </w:rPr>
            </w:pPr>
            <w:r w:rsidRPr="00FE6BA1">
              <w:rPr>
                <w:rFonts w:cs="Calibri"/>
                <w:b/>
                <w:bCs/>
                <w:kern w:val="0"/>
                <w:sz w:val="19"/>
                <w:szCs w:val="19"/>
                <w:lang w:eastAsia="en-AU"/>
              </w:rPr>
              <w:t>Not inundated</w:t>
            </w:r>
          </w:p>
        </w:tc>
        <w:tc>
          <w:tcPr>
            <w:tcW w:w="1987" w:type="dxa"/>
            <w:tcBorders>
              <w:top w:val="nil"/>
              <w:left w:val="nil"/>
              <w:bottom w:val="single" w:sz="4" w:space="0" w:color="auto"/>
              <w:right w:val="single" w:sz="4" w:space="0" w:color="auto"/>
            </w:tcBorders>
            <w:noWrap/>
            <w:vAlign w:val="bottom"/>
            <w:hideMark/>
          </w:tcPr>
          <w:p w14:paraId="197D6143" w14:textId="77777777" w:rsidR="008E3671" w:rsidRPr="00FE6BA1" w:rsidRDefault="008E3671" w:rsidP="00EE49FE">
            <w:pPr>
              <w:spacing w:before="0" w:after="0" w:line="240" w:lineRule="auto"/>
              <w:jc w:val="center"/>
              <w:rPr>
                <w:rFonts w:cs="Calibri"/>
                <w:b/>
                <w:bCs/>
                <w:kern w:val="0"/>
                <w:sz w:val="19"/>
                <w:szCs w:val="19"/>
                <w:lang w:eastAsia="en-AU"/>
              </w:rPr>
            </w:pPr>
            <w:r w:rsidRPr="00FE6BA1">
              <w:rPr>
                <w:rFonts w:cs="Calibri"/>
                <w:b/>
                <w:bCs/>
                <w:kern w:val="0"/>
                <w:sz w:val="19"/>
                <w:szCs w:val="19"/>
                <w:lang w:eastAsia="en-AU"/>
              </w:rPr>
              <w:t>Inundation extent</w:t>
            </w:r>
          </w:p>
        </w:tc>
        <w:tc>
          <w:tcPr>
            <w:tcW w:w="1920" w:type="dxa"/>
            <w:tcBorders>
              <w:top w:val="nil"/>
              <w:left w:val="nil"/>
              <w:bottom w:val="single" w:sz="4" w:space="0" w:color="auto"/>
              <w:right w:val="single" w:sz="4" w:space="0" w:color="auto"/>
            </w:tcBorders>
            <w:noWrap/>
            <w:vAlign w:val="bottom"/>
            <w:hideMark/>
          </w:tcPr>
          <w:p w14:paraId="7A0907C6" w14:textId="77777777" w:rsidR="008E3671" w:rsidRPr="00FE6BA1" w:rsidRDefault="008E3671" w:rsidP="00EE49FE">
            <w:pPr>
              <w:spacing w:before="0" w:after="0" w:line="240" w:lineRule="auto"/>
              <w:jc w:val="center"/>
              <w:rPr>
                <w:rFonts w:cs="Calibri"/>
                <w:b/>
                <w:bCs/>
                <w:kern w:val="0"/>
                <w:sz w:val="19"/>
                <w:szCs w:val="19"/>
                <w:lang w:eastAsia="en-AU"/>
              </w:rPr>
            </w:pPr>
            <w:r w:rsidRPr="00FE6BA1">
              <w:rPr>
                <w:rFonts w:cs="Calibri"/>
                <w:b/>
                <w:bCs/>
                <w:kern w:val="0"/>
                <w:sz w:val="19"/>
                <w:szCs w:val="19"/>
                <w:lang w:eastAsia="en-AU"/>
              </w:rPr>
              <w:t>Inundated</w:t>
            </w:r>
          </w:p>
        </w:tc>
      </w:tr>
    </w:tbl>
    <w:p w14:paraId="04925723" w14:textId="77777777" w:rsidR="008E3671" w:rsidRDefault="008E3671" w:rsidP="008E3671">
      <w:pPr>
        <w:spacing w:after="0"/>
      </w:pPr>
    </w:p>
    <w:p w14:paraId="17D891C3" w14:textId="29E96BDF" w:rsidR="008E3671" w:rsidRDefault="008E3671" w:rsidP="008E3671">
      <w:pPr>
        <w:pStyle w:val="Caption"/>
        <w:keepNext/>
      </w:pPr>
      <w:bookmarkStart w:id="609" w:name="_Ref190779475"/>
      <w:bookmarkStart w:id="610" w:name="_Ref190779470"/>
      <w:r>
        <w:t>Table</w:t>
      </w:r>
      <w:bookmarkEnd w:id="609"/>
      <w:r>
        <w:t xml:space="preserve"> C</w:t>
      </w:r>
      <w:r w:rsidR="008865D1">
        <w:t>1</w:t>
      </w:r>
      <w:r w:rsidR="00FB33C3">
        <w:t>2</w:t>
      </w:r>
      <w:r>
        <w:t>. PERMANOVA results comparing above ground biomass in each inundation zone in each reach in June 2024.</w:t>
      </w:r>
      <w:bookmarkEnd w:id="610"/>
    </w:p>
    <w:tbl>
      <w:tblPr>
        <w:tblW w:w="5807" w:type="dxa"/>
        <w:jc w:val="center"/>
        <w:tblLook w:val="04A0" w:firstRow="1" w:lastRow="0" w:firstColumn="1" w:lastColumn="0" w:noHBand="0" w:noVBand="1"/>
        <w:tblDescription w:val="Table of PERMANOVA results comparing above ground biomass in each inundation zone in each reach in June 2024."/>
      </w:tblPr>
      <w:tblGrid>
        <w:gridCol w:w="2830"/>
        <w:gridCol w:w="1134"/>
        <w:gridCol w:w="1134"/>
        <w:gridCol w:w="709"/>
      </w:tblGrid>
      <w:tr w:rsidR="008E3671" w:rsidRPr="00975EF6" w14:paraId="57B7770D" w14:textId="77777777" w:rsidTr="007F1434">
        <w:trPr>
          <w:trHeight w:val="300"/>
          <w:jc w:val="center"/>
        </w:trPr>
        <w:tc>
          <w:tcPr>
            <w:tcW w:w="2830" w:type="dxa"/>
            <w:tcBorders>
              <w:top w:val="single" w:sz="4" w:space="0" w:color="auto"/>
              <w:left w:val="single" w:sz="4" w:space="0" w:color="auto"/>
              <w:bottom w:val="single" w:sz="4" w:space="0" w:color="auto"/>
              <w:right w:val="single" w:sz="4" w:space="0" w:color="auto"/>
            </w:tcBorders>
            <w:noWrap/>
            <w:vAlign w:val="bottom"/>
            <w:hideMark/>
          </w:tcPr>
          <w:p w14:paraId="6A5C9E42" w14:textId="77777777" w:rsidR="008E3671" w:rsidRPr="00975EF6" w:rsidRDefault="008E3671" w:rsidP="00EE49FE">
            <w:pPr>
              <w:spacing w:before="0" w:after="0" w:line="240" w:lineRule="auto"/>
              <w:jc w:val="center"/>
              <w:rPr>
                <w:rFonts w:cs="Calibri"/>
                <w:b/>
                <w:bCs/>
                <w:kern w:val="0"/>
                <w:sz w:val="19"/>
                <w:szCs w:val="19"/>
                <w:lang w:eastAsia="en-AU"/>
              </w:rPr>
            </w:pPr>
            <w:r w:rsidRPr="00975EF6">
              <w:rPr>
                <w:rFonts w:cs="Calibri"/>
                <w:b/>
                <w:bCs/>
                <w:kern w:val="0"/>
                <w:sz w:val="19"/>
                <w:szCs w:val="19"/>
                <w:lang w:eastAsia="en-AU"/>
              </w:rPr>
              <w:t>Factor</w:t>
            </w:r>
          </w:p>
        </w:tc>
        <w:tc>
          <w:tcPr>
            <w:tcW w:w="1134" w:type="dxa"/>
            <w:tcBorders>
              <w:top w:val="single" w:sz="4" w:space="0" w:color="auto"/>
              <w:left w:val="nil"/>
              <w:bottom w:val="single" w:sz="4" w:space="0" w:color="auto"/>
              <w:right w:val="single" w:sz="4" w:space="0" w:color="auto"/>
            </w:tcBorders>
            <w:noWrap/>
            <w:vAlign w:val="bottom"/>
            <w:hideMark/>
          </w:tcPr>
          <w:p w14:paraId="7E30418F" w14:textId="77777777" w:rsidR="008E3671" w:rsidRPr="00975EF6" w:rsidRDefault="008E3671" w:rsidP="00EE49FE">
            <w:pPr>
              <w:spacing w:before="0" w:after="0" w:line="240" w:lineRule="auto"/>
              <w:jc w:val="center"/>
              <w:rPr>
                <w:rFonts w:cs="Calibri"/>
                <w:b/>
                <w:bCs/>
                <w:kern w:val="0"/>
                <w:sz w:val="19"/>
                <w:szCs w:val="19"/>
                <w:lang w:eastAsia="en-AU"/>
              </w:rPr>
            </w:pPr>
            <w:r w:rsidRPr="00975EF6">
              <w:rPr>
                <w:rFonts w:cs="Calibri"/>
                <w:b/>
                <w:bCs/>
                <w:kern w:val="0"/>
                <w:sz w:val="19"/>
                <w:szCs w:val="19"/>
                <w:lang w:eastAsia="en-AU"/>
              </w:rPr>
              <w:t>DF</w:t>
            </w:r>
          </w:p>
        </w:tc>
        <w:tc>
          <w:tcPr>
            <w:tcW w:w="1134" w:type="dxa"/>
            <w:tcBorders>
              <w:top w:val="single" w:sz="4" w:space="0" w:color="auto"/>
              <w:left w:val="nil"/>
              <w:bottom w:val="single" w:sz="4" w:space="0" w:color="auto"/>
              <w:right w:val="single" w:sz="4" w:space="0" w:color="auto"/>
            </w:tcBorders>
            <w:noWrap/>
            <w:vAlign w:val="bottom"/>
            <w:hideMark/>
          </w:tcPr>
          <w:p w14:paraId="1C500742" w14:textId="77777777" w:rsidR="008E3671" w:rsidRPr="00975EF6" w:rsidRDefault="008E3671" w:rsidP="00EE49FE">
            <w:pPr>
              <w:spacing w:before="0" w:after="0" w:line="240" w:lineRule="auto"/>
              <w:jc w:val="center"/>
              <w:rPr>
                <w:rFonts w:cs="Calibri"/>
                <w:b/>
                <w:bCs/>
                <w:i/>
                <w:iCs/>
                <w:kern w:val="0"/>
                <w:sz w:val="19"/>
                <w:szCs w:val="19"/>
                <w:lang w:eastAsia="en-AU"/>
              </w:rPr>
            </w:pPr>
            <w:r w:rsidRPr="00975EF6">
              <w:rPr>
                <w:rFonts w:cs="Calibri"/>
                <w:b/>
                <w:bCs/>
                <w:i/>
                <w:iCs/>
                <w:kern w:val="0"/>
                <w:sz w:val="19"/>
                <w:szCs w:val="19"/>
                <w:lang w:eastAsia="en-AU"/>
              </w:rPr>
              <w:t>Pseudo F</w:t>
            </w:r>
          </w:p>
        </w:tc>
        <w:tc>
          <w:tcPr>
            <w:tcW w:w="709" w:type="dxa"/>
            <w:tcBorders>
              <w:top w:val="single" w:sz="4" w:space="0" w:color="auto"/>
              <w:left w:val="nil"/>
              <w:bottom w:val="single" w:sz="4" w:space="0" w:color="auto"/>
              <w:right w:val="single" w:sz="4" w:space="0" w:color="auto"/>
            </w:tcBorders>
            <w:noWrap/>
            <w:vAlign w:val="bottom"/>
            <w:hideMark/>
          </w:tcPr>
          <w:p w14:paraId="45332FA4" w14:textId="77777777" w:rsidR="008E3671" w:rsidRPr="00975EF6" w:rsidRDefault="008E3671" w:rsidP="00EE49FE">
            <w:pPr>
              <w:spacing w:before="0" w:after="0" w:line="240" w:lineRule="auto"/>
              <w:jc w:val="center"/>
              <w:rPr>
                <w:rFonts w:cs="Calibri"/>
                <w:b/>
                <w:bCs/>
                <w:i/>
                <w:iCs/>
                <w:kern w:val="0"/>
                <w:sz w:val="19"/>
                <w:szCs w:val="19"/>
                <w:lang w:eastAsia="en-AU"/>
              </w:rPr>
            </w:pPr>
            <w:r w:rsidRPr="00975EF6">
              <w:rPr>
                <w:rFonts w:cs="Calibri"/>
                <w:b/>
                <w:bCs/>
                <w:i/>
                <w:iCs/>
                <w:kern w:val="0"/>
                <w:sz w:val="19"/>
                <w:szCs w:val="19"/>
                <w:lang w:eastAsia="en-AU"/>
              </w:rPr>
              <w:t>P</w:t>
            </w:r>
          </w:p>
        </w:tc>
      </w:tr>
      <w:tr w:rsidR="008E3671" w:rsidRPr="00975EF6" w14:paraId="6E57C0C1" w14:textId="77777777" w:rsidTr="007F1434">
        <w:trPr>
          <w:trHeight w:val="300"/>
          <w:jc w:val="center"/>
        </w:trPr>
        <w:tc>
          <w:tcPr>
            <w:tcW w:w="2830" w:type="dxa"/>
            <w:tcBorders>
              <w:top w:val="nil"/>
              <w:left w:val="single" w:sz="4" w:space="0" w:color="auto"/>
              <w:bottom w:val="single" w:sz="4" w:space="0" w:color="auto"/>
              <w:right w:val="single" w:sz="4" w:space="0" w:color="auto"/>
            </w:tcBorders>
            <w:noWrap/>
            <w:vAlign w:val="bottom"/>
            <w:hideMark/>
          </w:tcPr>
          <w:p w14:paraId="345F0AB6" w14:textId="77777777" w:rsidR="008E3671" w:rsidRPr="00975EF6" w:rsidRDefault="008E3671" w:rsidP="00EE49FE">
            <w:pPr>
              <w:spacing w:before="0" w:after="0" w:line="240" w:lineRule="auto"/>
              <w:jc w:val="left"/>
              <w:rPr>
                <w:rFonts w:cs="Calibri"/>
                <w:kern w:val="0"/>
                <w:sz w:val="19"/>
                <w:szCs w:val="19"/>
                <w:lang w:eastAsia="en-AU"/>
              </w:rPr>
            </w:pPr>
            <w:r>
              <w:rPr>
                <w:rFonts w:cs="Calibri"/>
                <w:kern w:val="0"/>
                <w:sz w:val="19"/>
                <w:szCs w:val="19"/>
                <w:lang w:eastAsia="en-AU"/>
              </w:rPr>
              <w:t>Reach</w:t>
            </w:r>
          </w:p>
        </w:tc>
        <w:tc>
          <w:tcPr>
            <w:tcW w:w="1134" w:type="dxa"/>
            <w:tcBorders>
              <w:top w:val="nil"/>
              <w:left w:val="nil"/>
              <w:bottom w:val="single" w:sz="4" w:space="0" w:color="auto"/>
              <w:right w:val="single" w:sz="4" w:space="0" w:color="auto"/>
            </w:tcBorders>
            <w:noWrap/>
            <w:vAlign w:val="bottom"/>
            <w:hideMark/>
          </w:tcPr>
          <w:p w14:paraId="3D2AAB8E" w14:textId="77777777" w:rsidR="008E3671" w:rsidRPr="00975EF6" w:rsidRDefault="008E3671" w:rsidP="00EE49FE">
            <w:pPr>
              <w:spacing w:before="0" w:after="0" w:line="240" w:lineRule="auto"/>
              <w:jc w:val="center"/>
              <w:rPr>
                <w:rFonts w:cs="Calibri"/>
                <w:kern w:val="0"/>
                <w:sz w:val="19"/>
                <w:szCs w:val="19"/>
                <w:lang w:eastAsia="en-AU"/>
              </w:rPr>
            </w:pPr>
            <w:r w:rsidRPr="006E3690">
              <w:rPr>
                <w:rFonts w:cs="Calibri"/>
                <w:kern w:val="0"/>
                <w:sz w:val="19"/>
                <w:szCs w:val="19"/>
                <w:lang w:eastAsia="en-AU"/>
              </w:rPr>
              <w:t>2, 1</w:t>
            </w:r>
            <w:r>
              <w:rPr>
                <w:rFonts w:cs="Calibri"/>
                <w:kern w:val="0"/>
                <w:sz w:val="19"/>
                <w:szCs w:val="19"/>
                <w:lang w:eastAsia="en-AU"/>
              </w:rPr>
              <w:t>07</w:t>
            </w:r>
          </w:p>
        </w:tc>
        <w:tc>
          <w:tcPr>
            <w:tcW w:w="1134" w:type="dxa"/>
            <w:tcBorders>
              <w:top w:val="nil"/>
              <w:left w:val="nil"/>
              <w:bottom w:val="single" w:sz="4" w:space="0" w:color="auto"/>
              <w:right w:val="single" w:sz="4" w:space="0" w:color="auto"/>
            </w:tcBorders>
            <w:noWrap/>
            <w:vAlign w:val="bottom"/>
            <w:hideMark/>
          </w:tcPr>
          <w:p w14:paraId="29042C59" w14:textId="77777777" w:rsidR="008E3671" w:rsidRPr="00975EF6" w:rsidRDefault="008E3671" w:rsidP="00EE49FE">
            <w:pPr>
              <w:spacing w:before="0" w:after="0" w:line="240" w:lineRule="auto"/>
              <w:jc w:val="center"/>
              <w:rPr>
                <w:rFonts w:cs="Calibri"/>
                <w:kern w:val="0"/>
                <w:sz w:val="19"/>
                <w:szCs w:val="19"/>
                <w:lang w:eastAsia="en-AU"/>
              </w:rPr>
            </w:pPr>
            <w:r>
              <w:rPr>
                <w:rFonts w:cs="Calibri"/>
                <w:kern w:val="0"/>
                <w:sz w:val="19"/>
                <w:szCs w:val="19"/>
                <w:lang w:eastAsia="en-AU"/>
              </w:rPr>
              <w:t>0.44</w:t>
            </w:r>
          </w:p>
        </w:tc>
        <w:tc>
          <w:tcPr>
            <w:tcW w:w="709" w:type="dxa"/>
            <w:tcBorders>
              <w:top w:val="nil"/>
              <w:left w:val="nil"/>
              <w:bottom w:val="single" w:sz="4" w:space="0" w:color="auto"/>
              <w:right w:val="single" w:sz="4" w:space="0" w:color="auto"/>
            </w:tcBorders>
            <w:noWrap/>
            <w:vAlign w:val="bottom"/>
            <w:hideMark/>
          </w:tcPr>
          <w:p w14:paraId="202609EE" w14:textId="77777777" w:rsidR="008E3671" w:rsidRPr="00975EF6" w:rsidRDefault="008E3671" w:rsidP="00EE49FE">
            <w:pPr>
              <w:spacing w:before="0" w:after="0" w:line="240" w:lineRule="auto"/>
              <w:jc w:val="center"/>
              <w:rPr>
                <w:rFonts w:cs="Calibri"/>
                <w:kern w:val="0"/>
                <w:sz w:val="19"/>
                <w:szCs w:val="19"/>
                <w:lang w:eastAsia="en-AU"/>
              </w:rPr>
            </w:pPr>
            <w:r w:rsidRPr="00975EF6">
              <w:rPr>
                <w:rFonts w:cs="Calibri"/>
                <w:kern w:val="0"/>
                <w:sz w:val="19"/>
                <w:szCs w:val="19"/>
                <w:lang w:eastAsia="en-AU"/>
              </w:rPr>
              <w:t>0.</w:t>
            </w:r>
            <w:r>
              <w:rPr>
                <w:rFonts w:cs="Calibri"/>
                <w:kern w:val="0"/>
                <w:sz w:val="19"/>
                <w:szCs w:val="19"/>
                <w:lang w:eastAsia="en-AU"/>
              </w:rPr>
              <w:t>622</w:t>
            </w:r>
          </w:p>
        </w:tc>
      </w:tr>
      <w:tr w:rsidR="008E3671" w:rsidRPr="00975EF6" w14:paraId="1E4211F5" w14:textId="77777777" w:rsidTr="007F1434">
        <w:trPr>
          <w:trHeight w:val="300"/>
          <w:jc w:val="center"/>
        </w:trPr>
        <w:tc>
          <w:tcPr>
            <w:tcW w:w="2830" w:type="dxa"/>
            <w:tcBorders>
              <w:top w:val="nil"/>
              <w:left w:val="single" w:sz="4" w:space="0" w:color="auto"/>
              <w:bottom w:val="single" w:sz="4" w:space="0" w:color="auto"/>
              <w:right w:val="single" w:sz="4" w:space="0" w:color="auto"/>
            </w:tcBorders>
            <w:noWrap/>
            <w:vAlign w:val="bottom"/>
            <w:hideMark/>
          </w:tcPr>
          <w:p w14:paraId="378AAF63" w14:textId="77777777" w:rsidR="008E3671" w:rsidRPr="00975EF6" w:rsidRDefault="008E3671" w:rsidP="00EE49FE">
            <w:pPr>
              <w:spacing w:before="0" w:after="0" w:line="240" w:lineRule="auto"/>
              <w:jc w:val="left"/>
              <w:rPr>
                <w:rFonts w:cs="Calibri"/>
                <w:kern w:val="0"/>
                <w:sz w:val="19"/>
                <w:szCs w:val="19"/>
                <w:lang w:eastAsia="en-AU"/>
              </w:rPr>
            </w:pPr>
            <w:r w:rsidRPr="00975EF6">
              <w:rPr>
                <w:rFonts w:cs="Calibri"/>
                <w:kern w:val="0"/>
                <w:sz w:val="19"/>
                <w:szCs w:val="19"/>
                <w:lang w:eastAsia="en-AU"/>
              </w:rPr>
              <w:t>Inundation</w:t>
            </w:r>
            <w:r>
              <w:rPr>
                <w:rFonts w:cs="Calibri"/>
                <w:kern w:val="0"/>
                <w:sz w:val="19"/>
                <w:szCs w:val="19"/>
                <w:lang w:eastAsia="en-AU"/>
              </w:rPr>
              <w:t xml:space="preserve"> zone</w:t>
            </w:r>
          </w:p>
        </w:tc>
        <w:tc>
          <w:tcPr>
            <w:tcW w:w="1134" w:type="dxa"/>
            <w:tcBorders>
              <w:top w:val="nil"/>
              <w:left w:val="nil"/>
              <w:bottom w:val="single" w:sz="4" w:space="0" w:color="auto"/>
              <w:right w:val="single" w:sz="4" w:space="0" w:color="auto"/>
            </w:tcBorders>
            <w:noWrap/>
            <w:vAlign w:val="bottom"/>
            <w:hideMark/>
          </w:tcPr>
          <w:p w14:paraId="5E774BCB" w14:textId="77777777" w:rsidR="008E3671" w:rsidRPr="00975EF6" w:rsidRDefault="008E3671" w:rsidP="00EE49FE">
            <w:pPr>
              <w:spacing w:before="0" w:after="0" w:line="240" w:lineRule="auto"/>
              <w:jc w:val="center"/>
              <w:rPr>
                <w:rFonts w:cs="Calibri"/>
                <w:kern w:val="0"/>
                <w:sz w:val="19"/>
                <w:szCs w:val="19"/>
                <w:lang w:eastAsia="en-AU"/>
              </w:rPr>
            </w:pPr>
            <w:r w:rsidRPr="006E3690">
              <w:rPr>
                <w:rFonts w:cs="Calibri"/>
                <w:kern w:val="0"/>
                <w:sz w:val="19"/>
                <w:szCs w:val="19"/>
                <w:lang w:eastAsia="en-AU"/>
              </w:rPr>
              <w:t xml:space="preserve">3, </w:t>
            </w:r>
            <w:r>
              <w:rPr>
                <w:rFonts w:cs="Calibri"/>
                <w:kern w:val="0"/>
                <w:sz w:val="19"/>
                <w:szCs w:val="19"/>
                <w:lang w:eastAsia="en-AU"/>
              </w:rPr>
              <w:t>107</w:t>
            </w:r>
          </w:p>
        </w:tc>
        <w:tc>
          <w:tcPr>
            <w:tcW w:w="1134" w:type="dxa"/>
            <w:tcBorders>
              <w:top w:val="nil"/>
              <w:left w:val="nil"/>
              <w:bottom w:val="single" w:sz="4" w:space="0" w:color="auto"/>
              <w:right w:val="single" w:sz="4" w:space="0" w:color="auto"/>
            </w:tcBorders>
            <w:noWrap/>
            <w:vAlign w:val="bottom"/>
            <w:hideMark/>
          </w:tcPr>
          <w:p w14:paraId="21A39AFE" w14:textId="77777777" w:rsidR="008E3671" w:rsidRPr="00975EF6" w:rsidRDefault="008E3671" w:rsidP="00EE49FE">
            <w:pPr>
              <w:spacing w:before="0" w:after="0" w:line="240" w:lineRule="auto"/>
              <w:jc w:val="center"/>
              <w:rPr>
                <w:rFonts w:cs="Calibri"/>
                <w:kern w:val="0"/>
                <w:sz w:val="19"/>
                <w:szCs w:val="19"/>
                <w:lang w:eastAsia="en-AU"/>
              </w:rPr>
            </w:pPr>
            <w:r>
              <w:rPr>
                <w:rFonts w:cs="Calibri"/>
                <w:kern w:val="0"/>
                <w:sz w:val="19"/>
                <w:szCs w:val="19"/>
                <w:lang w:eastAsia="en-AU"/>
              </w:rPr>
              <w:t>8.70</w:t>
            </w:r>
          </w:p>
        </w:tc>
        <w:tc>
          <w:tcPr>
            <w:tcW w:w="709" w:type="dxa"/>
            <w:tcBorders>
              <w:top w:val="nil"/>
              <w:left w:val="nil"/>
              <w:bottom w:val="single" w:sz="4" w:space="0" w:color="auto"/>
              <w:right w:val="single" w:sz="4" w:space="0" w:color="auto"/>
            </w:tcBorders>
            <w:noWrap/>
            <w:vAlign w:val="bottom"/>
            <w:hideMark/>
          </w:tcPr>
          <w:p w14:paraId="1C7DB980" w14:textId="77777777" w:rsidR="008E3671" w:rsidRPr="00975EF6" w:rsidRDefault="008E3671" w:rsidP="00EE49FE">
            <w:pPr>
              <w:spacing w:before="0" w:after="0" w:line="240" w:lineRule="auto"/>
              <w:jc w:val="center"/>
              <w:rPr>
                <w:rFonts w:cs="Calibri"/>
                <w:kern w:val="0"/>
                <w:sz w:val="19"/>
                <w:szCs w:val="19"/>
                <w:lang w:eastAsia="en-AU"/>
              </w:rPr>
            </w:pPr>
            <w:r w:rsidRPr="00975EF6">
              <w:rPr>
                <w:rFonts w:cs="Calibri"/>
                <w:kern w:val="0"/>
                <w:sz w:val="19"/>
                <w:szCs w:val="19"/>
                <w:lang w:eastAsia="en-AU"/>
              </w:rPr>
              <w:t>0.0</w:t>
            </w:r>
            <w:r>
              <w:rPr>
                <w:rFonts w:cs="Calibri"/>
                <w:kern w:val="0"/>
                <w:sz w:val="19"/>
                <w:szCs w:val="19"/>
                <w:lang w:eastAsia="en-AU"/>
              </w:rPr>
              <w:t>01</w:t>
            </w:r>
          </w:p>
        </w:tc>
      </w:tr>
      <w:tr w:rsidR="008E3671" w:rsidRPr="00975EF6" w14:paraId="0E934FB9" w14:textId="77777777" w:rsidTr="007F1434">
        <w:trPr>
          <w:trHeight w:val="300"/>
          <w:jc w:val="center"/>
        </w:trPr>
        <w:tc>
          <w:tcPr>
            <w:tcW w:w="2830" w:type="dxa"/>
            <w:tcBorders>
              <w:top w:val="nil"/>
              <w:left w:val="single" w:sz="4" w:space="0" w:color="auto"/>
              <w:bottom w:val="single" w:sz="4" w:space="0" w:color="auto"/>
              <w:right w:val="single" w:sz="4" w:space="0" w:color="auto"/>
            </w:tcBorders>
            <w:noWrap/>
            <w:vAlign w:val="bottom"/>
            <w:hideMark/>
          </w:tcPr>
          <w:p w14:paraId="67B7AF28" w14:textId="77777777" w:rsidR="008E3671" w:rsidRPr="00975EF6" w:rsidRDefault="008E3671" w:rsidP="00EE49FE">
            <w:pPr>
              <w:spacing w:before="0" w:after="0" w:line="240" w:lineRule="auto"/>
              <w:jc w:val="left"/>
              <w:rPr>
                <w:rFonts w:cs="Calibri"/>
                <w:kern w:val="0"/>
                <w:sz w:val="19"/>
                <w:szCs w:val="19"/>
                <w:lang w:eastAsia="en-AU"/>
              </w:rPr>
            </w:pPr>
            <w:r>
              <w:rPr>
                <w:rFonts w:cs="Calibri"/>
                <w:kern w:val="0"/>
                <w:sz w:val="19"/>
                <w:szCs w:val="19"/>
                <w:lang w:eastAsia="en-AU"/>
              </w:rPr>
              <w:t>Reach</w:t>
            </w:r>
            <w:r w:rsidRPr="00975EF6">
              <w:rPr>
                <w:rFonts w:cs="Calibri"/>
                <w:kern w:val="0"/>
                <w:sz w:val="19"/>
                <w:szCs w:val="19"/>
                <w:lang w:eastAsia="en-AU"/>
              </w:rPr>
              <w:t xml:space="preserve"> x Inundation</w:t>
            </w:r>
            <w:r>
              <w:rPr>
                <w:rFonts w:cs="Calibri"/>
                <w:kern w:val="0"/>
                <w:sz w:val="19"/>
                <w:szCs w:val="19"/>
                <w:lang w:eastAsia="en-AU"/>
              </w:rPr>
              <w:t xml:space="preserve"> zone</w:t>
            </w:r>
          </w:p>
        </w:tc>
        <w:tc>
          <w:tcPr>
            <w:tcW w:w="1134" w:type="dxa"/>
            <w:tcBorders>
              <w:top w:val="nil"/>
              <w:left w:val="nil"/>
              <w:bottom w:val="single" w:sz="4" w:space="0" w:color="auto"/>
              <w:right w:val="single" w:sz="4" w:space="0" w:color="auto"/>
            </w:tcBorders>
            <w:noWrap/>
            <w:vAlign w:val="bottom"/>
            <w:hideMark/>
          </w:tcPr>
          <w:p w14:paraId="0CC7727E" w14:textId="77777777" w:rsidR="008E3671" w:rsidRPr="00975EF6" w:rsidRDefault="008E3671" w:rsidP="00EE49FE">
            <w:pPr>
              <w:spacing w:before="0" w:after="0" w:line="240" w:lineRule="auto"/>
              <w:jc w:val="center"/>
              <w:rPr>
                <w:rFonts w:cs="Calibri"/>
                <w:kern w:val="0"/>
                <w:sz w:val="19"/>
                <w:szCs w:val="19"/>
                <w:lang w:eastAsia="en-AU"/>
              </w:rPr>
            </w:pPr>
            <w:r w:rsidRPr="006E3690">
              <w:rPr>
                <w:rFonts w:cs="Calibri"/>
                <w:kern w:val="0"/>
                <w:sz w:val="19"/>
                <w:szCs w:val="19"/>
                <w:lang w:eastAsia="en-AU"/>
              </w:rPr>
              <w:t>6, 1</w:t>
            </w:r>
            <w:r>
              <w:rPr>
                <w:rFonts w:cs="Calibri"/>
                <w:kern w:val="0"/>
                <w:sz w:val="19"/>
                <w:szCs w:val="19"/>
                <w:lang w:eastAsia="en-AU"/>
              </w:rPr>
              <w:t>07</w:t>
            </w:r>
          </w:p>
        </w:tc>
        <w:tc>
          <w:tcPr>
            <w:tcW w:w="1134" w:type="dxa"/>
            <w:tcBorders>
              <w:top w:val="nil"/>
              <w:left w:val="nil"/>
              <w:bottom w:val="single" w:sz="4" w:space="0" w:color="auto"/>
              <w:right w:val="single" w:sz="4" w:space="0" w:color="auto"/>
            </w:tcBorders>
            <w:noWrap/>
            <w:vAlign w:val="bottom"/>
            <w:hideMark/>
          </w:tcPr>
          <w:p w14:paraId="5A8000E5" w14:textId="77777777" w:rsidR="008E3671" w:rsidRPr="00975EF6" w:rsidRDefault="008E3671" w:rsidP="00EE49FE">
            <w:pPr>
              <w:spacing w:before="0" w:after="0" w:line="240" w:lineRule="auto"/>
              <w:jc w:val="center"/>
              <w:rPr>
                <w:rFonts w:cs="Calibri"/>
                <w:kern w:val="0"/>
                <w:sz w:val="19"/>
                <w:szCs w:val="19"/>
                <w:lang w:eastAsia="en-AU"/>
              </w:rPr>
            </w:pPr>
            <w:r w:rsidRPr="00975EF6">
              <w:rPr>
                <w:rFonts w:cs="Calibri"/>
                <w:kern w:val="0"/>
                <w:sz w:val="19"/>
                <w:szCs w:val="19"/>
                <w:lang w:eastAsia="en-AU"/>
              </w:rPr>
              <w:t>0.</w:t>
            </w:r>
            <w:r>
              <w:rPr>
                <w:rFonts w:cs="Calibri"/>
                <w:kern w:val="0"/>
                <w:sz w:val="19"/>
                <w:szCs w:val="19"/>
                <w:lang w:eastAsia="en-AU"/>
              </w:rPr>
              <w:t>64</w:t>
            </w:r>
          </w:p>
        </w:tc>
        <w:tc>
          <w:tcPr>
            <w:tcW w:w="709" w:type="dxa"/>
            <w:tcBorders>
              <w:top w:val="nil"/>
              <w:left w:val="nil"/>
              <w:bottom w:val="single" w:sz="4" w:space="0" w:color="auto"/>
              <w:right w:val="single" w:sz="4" w:space="0" w:color="auto"/>
            </w:tcBorders>
            <w:noWrap/>
            <w:vAlign w:val="bottom"/>
            <w:hideMark/>
          </w:tcPr>
          <w:p w14:paraId="7BAF4913" w14:textId="77777777" w:rsidR="008E3671" w:rsidRPr="00975EF6" w:rsidRDefault="008E3671" w:rsidP="00EE49FE">
            <w:pPr>
              <w:spacing w:before="0" w:after="0" w:line="240" w:lineRule="auto"/>
              <w:jc w:val="center"/>
              <w:rPr>
                <w:rFonts w:cs="Calibri"/>
                <w:kern w:val="0"/>
                <w:sz w:val="19"/>
                <w:szCs w:val="19"/>
                <w:lang w:eastAsia="en-AU"/>
              </w:rPr>
            </w:pPr>
            <w:r w:rsidRPr="00975EF6">
              <w:rPr>
                <w:rFonts w:cs="Calibri"/>
                <w:kern w:val="0"/>
                <w:sz w:val="19"/>
                <w:szCs w:val="19"/>
                <w:lang w:eastAsia="en-AU"/>
              </w:rPr>
              <w:t>0.</w:t>
            </w:r>
            <w:r>
              <w:rPr>
                <w:rFonts w:cs="Calibri"/>
                <w:kern w:val="0"/>
                <w:sz w:val="19"/>
                <w:szCs w:val="19"/>
                <w:lang w:eastAsia="en-AU"/>
              </w:rPr>
              <w:t>709</w:t>
            </w:r>
          </w:p>
        </w:tc>
      </w:tr>
    </w:tbl>
    <w:p w14:paraId="44661C63" w14:textId="77777777" w:rsidR="008E3671" w:rsidRPr="00763FA7" w:rsidRDefault="008E3671" w:rsidP="008E3671"/>
    <w:p w14:paraId="21203275" w14:textId="77777777" w:rsidR="009948B1" w:rsidRDefault="009948B1">
      <w:pPr>
        <w:spacing w:before="0" w:after="160" w:line="259" w:lineRule="auto"/>
        <w:jc w:val="left"/>
        <w:rPr>
          <w:color w:val="44546A" w:themeColor="text2"/>
          <w:sz w:val="26"/>
          <w:szCs w:val="26"/>
          <w:highlight w:val="yellow"/>
        </w:rPr>
      </w:pPr>
    </w:p>
    <w:p w14:paraId="0837F351" w14:textId="77777777" w:rsidR="009948B1" w:rsidRDefault="009948B1">
      <w:pPr>
        <w:spacing w:before="0" w:after="160" w:line="259" w:lineRule="auto"/>
        <w:jc w:val="left"/>
        <w:rPr>
          <w:color w:val="44546A" w:themeColor="text2"/>
          <w:sz w:val="26"/>
          <w:szCs w:val="26"/>
          <w:highlight w:val="yellow"/>
        </w:rPr>
      </w:pPr>
      <w:r>
        <w:rPr>
          <w:color w:val="44546A" w:themeColor="text2"/>
          <w:sz w:val="26"/>
          <w:szCs w:val="26"/>
          <w:highlight w:val="yellow"/>
        </w:rPr>
        <w:br w:type="page"/>
      </w:r>
    </w:p>
    <w:p w14:paraId="657E0D6A" w14:textId="77777777" w:rsidR="009948B1" w:rsidRDefault="009948B1" w:rsidP="009948B1">
      <w:pPr>
        <w:jc w:val="left"/>
      </w:pPr>
      <w:r>
        <w:lastRenderedPageBreak/>
        <w:t>a.</w:t>
      </w:r>
    </w:p>
    <w:p w14:paraId="2FD5950B" w14:textId="77777777" w:rsidR="009948B1" w:rsidRDefault="009948B1" w:rsidP="009948B1">
      <w:pPr>
        <w:jc w:val="center"/>
      </w:pPr>
      <w:r w:rsidRPr="00606CD2">
        <w:rPr>
          <w:noProof/>
        </w:rPr>
        <w:drawing>
          <wp:inline distT="0" distB="0" distL="0" distR="0" wp14:anchorId="1FBDAEDF" wp14:editId="1F4BEE15">
            <wp:extent cx="4139232" cy="2000250"/>
            <wp:effectExtent l="0" t="0" r="0" b="0"/>
            <wp:docPr id="1648854843" name="Picture 1" descr="Graphs for each Lock showing native species richness in each inundation zone over the study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54843" name="Picture 1" descr="Graphs for each Lock showing native species richness in each inundation zone over the study period."/>
                    <pic:cNvPicPr>
                      <a:picLocks noChangeAspect="1" noChangeArrowheads="1"/>
                    </pic:cNvPicPr>
                  </pic:nvPicPr>
                  <pic:blipFill rotWithShape="1">
                    <a:blip r:embed="rId157">
                      <a:extLst>
                        <a:ext uri="{28A0092B-C50C-407E-A947-70E740481C1C}">
                          <a14:useLocalDpi xmlns:a14="http://schemas.microsoft.com/office/drawing/2010/main" val="0"/>
                        </a:ext>
                      </a:extLst>
                    </a:blip>
                    <a:srcRect b="24076"/>
                    <a:stretch/>
                  </pic:blipFill>
                  <pic:spPr bwMode="auto">
                    <a:xfrm>
                      <a:off x="0" y="0"/>
                      <a:ext cx="4140000" cy="2000621"/>
                    </a:xfrm>
                    <a:prstGeom prst="rect">
                      <a:avLst/>
                    </a:prstGeom>
                    <a:noFill/>
                    <a:ln>
                      <a:noFill/>
                    </a:ln>
                    <a:extLst>
                      <a:ext uri="{53640926-AAD7-44D8-BBD7-CCE9431645EC}">
                        <a14:shadowObscured xmlns:a14="http://schemas.microsoft.com/office/drawing/2010/main"/>
                      </a:ext>
                    </a:extLst>
                  </pic:spPr>
                </pic:pic>
              </a:graphicData>
            </a:graphic>
          </wp:inline>
        </w:drawing>
      </w:r>
    </w:p>
    <w:p w14:paraId="2FC3924D" w14:textId="77777777" w:rsidR="009948B1" w:rsidRDefault="009948B1" w:rsidP="009948B1">
      <w:pPr>
        <w:jc w:val="left"/>
      </w:pPr>
      <w:r>
        <w:t>b.</w:t>
      </w:r>
    </w:p>
    <w:p w14:paraId="7CD05C80" w14:textId="77777777" w:rsidR="009948B1" w:rsidRDefault="009948B1" w:rsidP="009948B1">
      <w:pPr>
        <w:jc w:val="center"/>
      </w:pPr>
      <w:r w:rsidRPr="00606CD2">
        <w:rPr>
          <w:noProof/>
        </w:rPr>
        <w:drawing>
          <wp:inline distT="0" distB="0" distL="0" distR="0" wp14:anchorId="1F585BCD" wp14:editId="2D706833">
            <wp:extent cx="4139565" cy="2028825"/>
            <wp:effectExtent l="0" t="0" r="0" b="9525"/>
            <wp:docPr id="124535846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358466"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158">
                      <a:extLst>
                        <a:ext uri="{28A0092B-C50C-407E-A947-70E740481C1C}">
                          <a14:useLocalDpi xmlns:a14="http://schemas.microsoft.com/office/drawing/2010/main" val="0"/>
                        </a:ext>
                      </a:extLst>
                    </a:blip>
                    <a:srcRect b="23608"/>
                    <a:stretch/>
                  </pic:blipFill>
                  <pic:spPr bwMode="auto">
                    <a:xfrm>
                      <a:off x="0" y="0"/>
                      <a:ext cx="4140000" cy="2029038"/>
                    </a:xfrm>
                    <a:prstGeom prst="rect">
                      <a:avLst/>
                    </a:prstGeom>
                    <a:noFill/>
                    <a:ln>
                      <a:noFill/>
                    </a:ln>
                    <a:extLst>
                      <a:ext uri="{53640926-AAD7-44D8-BBD7-CCE9431645EC}">
                        <a14:shadowObscured xmlns:a14="http://schemas.microsoft.com/office/drawing/2010/main"/>
                      </a:ext>
                    </a:extLst>
                  </pic:spPr>
                </pic:pic>
              </a:graphicData>
            </a:graphic>
          </wp:inline>
        </w:drawing>
      </w:r>
    </w:p>
    <w:p w14:paraId="6079941B" w14:textId="77777777" w:rsidR="009948B1" w:rsidRDefault="009948B1" w:rsidP="009948B1">
      <w:pPr>
        <w:jc w:val="left"/>
      </w:pPr>
      <w:r>
        <w:t>c.</w:t>
      </w:r>
    </w:p>
    <w:p w14:paraId="3333C885" w14:textId="77777777" w:rsidR="009948B1" w:rsidRDefault="009948B1" w:rsidP="009948B1">
      <w:pPr>
        <w:jc w:val="center"/>
      </w:pPr>
      <w:r w:rsidRPr="00606CD2">
        <w:rPr>
          <w:noProof/>
        </w:rPr>
        <w:drawing>
          <wp:inline distT="0" distB="0" distL="0" distR="0" wp14:anchorId="2C9A9D95" wp14:editId="742BD310">
            <wp:extent cx="4140000" cy="2341648"/>
            <wp:effectExtent l="0" t="0" r="0" b="1905"/>
            <wp:docPr id="119136163" name="Picture 4" descr="Native species richness in each inundation zone over the study period for a. Lock 1, b. Lock 4 and c. Loc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6163" name="Picture 4" descr="Native species richness in each inundation zone over the study period for a. Lock 1, b. Lock 4 and c. Lock 6."/>
                    <pic:cNvPicPr>
                      <a:picLocks noChangeAspect="1" noChangeArrowheads="1"/>
                    </pic:cNvPicPr>
                  </pic:nvPicPr>
                  <pic:blipFill rotWithShape="1">
                    <a:blip r:embed="rId159">
                      <a:extLst>
                        <a:ext uri="{28A0092B-C50C-407E-A947-70E740481C1C}">
                          <a14:useLocalDpi xmlns:a14="http://schemas.microsoft.com/office/drawing/2010/main" val="0"/>
                        </a:ext>
                      </a:extLst>
                    </a:blip>
                    <a:srcRect b="11838"/>
                    <a:stretch/>
                  </pic:blipFill>
                  <pic:spPr bwMode="auto">
                    <a:xfrm>
                      <a:off x="0" y="0"/>
                      <a:ext cx="4140000" cy="2341648"/>
                    </a:xfrm>
                    <a:prstGeom prst="rect">
                      <a:avLst/>
                    </a:prstGeom>
                    <a:noFill/>
                    <a:ln>
                      <a:noFill/>
                    </a:ln>
                    <a:extLst>
                      <a:ext uri="{53640926-AAD7-44D8-BBD7-CCE9431645EC}">
                        <a14:shadowObscured xmlns:a14="http://schemas.microsoft.com/office/drawing/2010/main"/>
                      </a:ext>
                    </a:extLst>
                  </pic:spPr>
                </pic:pic>
              </a:graphicData>
            </a:graphic>
          </wp:inline>
        </w:drawing>
      </w:r>
    </w:p>
    <w:p w14:paraId="64A061B1" w14:textId="5EB5C74F" w:rsidR="009948B1" w:rsidRDefault="009948B1" w:rsidP="009948B1">
      <w:pPr>
        <w:pStyle w:val="Caption"/>
      </w:pPr>
      <w:r>
        <w:t>Figure C</w:t>
      </w:r>
      <w:r w:rsidR="00236D91">
        <w:t>4</w:t>
      </w:r>
      <w:r w:rsidRPr="00117AE2">
        <w:t xml:space="preserve">. </w:t>
      </w:r>
      <w:r>
        <w:t>Native species richness in each inundation zone over the study period for a. Lock 1, b. Lock 4 and c. Lock 6</w:t>
      </w:r>
      <w:r w:rsidRPr="00117AE2">
        <w:t>.</w:t>
      </w:r>
    </w:p>
    <w:p w14:paraId="77D0B929" w14:textId="77777777" w:rsidR="009948B1" w:rsidRDefault="009948B1" w:rsidP="009948B1"/>
    <w:p w14:paraId="1D5C4F62" w14:textId="77777777" w:rsidR="009948B1" w:rsidRDefault="009948B1" w:rsidP="009948B1">
      <w:pPr>
        <w:spacing w:before="0" w:after="160" w:line="259" w:lineRule="auto"/>
        <w:jc w:val="left"/>
      </w:pPr>
      <w:r>
        <w:br w:type="page"/>
      </w:r>
    </w:p>
    <w:p w14:paraId="795E353F" w14:textId="77777777" w:rsidR="009948B1" w:rsidRDefault="009948B1" w:rsidP="009948B1">
      <w:r>
        <w:lastRenderedPageBreak/>
        <w:t>a.</w:t>
      </w:r>
    </w:p>
    <w:p w14:paraId="2E2D9924" w14:textId="77777777" w:rsidR="009948B1" w:rsidRDefault="009948B1" w:rsidP="009948B1">
      <w:pPr>
        <w:jc w:val="center"/>
      </w:pPr>
      <w:r w:rsidRPr="00B31D2C">
        <w:rPr>
          <w:noProof/>
        </w:rPr>
        <w:drawing>
          <wp:inline distT="0" distB="0" distL="0" distR="0" wp14:anchorId="7CE1A62D" wp14:editId="5AA5AC8A">
            <wp:extent cx="4139565" cy="2171700"/>
            <wp:effectExtent l="0" t="0" r="0" b="0"/>
            <wp:docPr id="744338711" name="Picture 5" descr="Graphs showing above ground biomass in each inundation zone over the study period for Lock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338711" name="Picture 5" descr="Graphs showing above ground biomass in each inundation zone over the study period for Lock 1. "/>
                    <pic:cNvPicPr>
                      <a:picLocks noChangeAspect="1" noChangeArrowheads="1"/>
                    </pic:cNvPicPr>
                  </pic:nvPicPr>
                  <pic:blipFill rotWithShape="1">
                    <a:blip r:embed="rId160">
                      <a:extLst>
                        <a:ext uri="{28A0092B-C50C-407E-A947-70E740481C1C}">
                          <a14:useLocalDpi xmlns:a14="http://schemas.microsoft.com/office/drawing/2010/main" val="0"/>
                        </a:ext>
                      </a:extLst>
                    </a:blip>
                    <a:srcRect b="21307"/>
                    <a:stretch/>
                  </pic:blipFill>
                  <pic:spPr bwMode="auto">
                    <a:xfrm>
                      <a:off x="0" y="0"/>
                      <a:ext cx="4140000" cy="2171928"/>
                    </a:xfrm>
                    <a:prstGeom prst="rect">
                      <a:avLst/>
                    </a:prstGeom>
                    <a:noFill/>
                    <a:ln>
                      <a:noFill/>
                    </a:ln>
                    <a:extLst>
                      <a:ext uri="{53640926-AAD7-44D8-BBD7-CCE9431645EC}">
                        <a14:shadowObscured xmlns:a14="http://schemas.microsoft.com/office/drawing/2010/main"/>
                      </a:ext>
                    </a:extLst>
                  </pic:spPr>
                </pic:pic>
              </a:graphicData>
            </a:graphic>
          </wp:inline>
        </w:drawing>
      </w:r>
    </w:p>
    <w:p w14:paraId="2658B93F" w14:textId="77777777" w:rsidR="009948B1" w:rsidRDefault="009948B1" w:rsidP="009948B1">
      <w:r>
        <w:t>b.</w:t>
      </w:r>
    </w:p>
    <w:p w14:paraId="34C75E15" w14:textId="77777777" w:rsidR="009948B1" w:rsidRDefault="009948B1" w:rsidP="009948B1">
      <w:pPr>
        <w:jc w:val="center"/>
      </w:pPr>
      <w:r w:rsidRPr="00B31D2C">
        <w:rPr>
          <w:noProof/>
        </w:rPr>
        <w:drawing>
          <wp:inline distT="0" distB="0" distL="0" distR="0" wp14:anchorId="5FF5FB0D" wp14:editId="0A59C9CC">
            <wp:extent cx="4139018" cy="2152650"/>
            <wp:effectExtent l="0" t="0" r="0" b="0"/>
            <wp:docPr id="888174815" name="Picture 6" descr="Graphs showing above ground biomass in each inundation zone over the study period for Lock 4.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74815" name="Picture 6" descr="Graphs showing above ground biomass in each inundation zone over the study period for Lock 4. ">
                      <a:extLst>
                        <a:ext uri="{C183D7F6-B498-43B3-948B-1728B52AA6E4}">
                          <adec:decorative xmlns:adec="http://schemas.microsoft.com/office/drawing/2017/decorative" val="0"/>
                        </a:ext>
                      </a:extLst>
                    </pic:cNvPr>
                    <pic:cNvPicPr>
                      <a:picLocks noChangeAspect="1" noChangeArrowheads="1"/>
                    </pic:cNvPicPr>
                  </pic:nvPicPr>
                  <pic:blipFill rotWithShape="1">
                    <a:blip r:embed="rId161">
                      <a:extLst>
                        <a:ext uri="{28A0092B-C50C-407E-A947-70E740481C1C}">
                          <a14:useLocalDpi xmlns:a14="http://schemas.microsoft.com/office/drawing/2010/main" val="0"/>
                        </a:ext>
                      </a:extLst>
                    </a:blip>
                    <a:srcRect b="21987"/>
                    <a:stretch/>
                  </pic:blipFill>
                  <pic:spPr bwMode="auto">
                    <a:xfrm>
                      <a:off x="0" y="0"/>
                      <a:ext cx="4140000" cy="2153161"/>
                    </a:xfrm>
                    <a:prstGeom prst="rect">
                      <a:avLst/>
                    </a:prstGeom>
                    <a:noFill/>
                    <a:ln>
                      <a:noFill/>
                    </a:ln>
                    <a:extLst>
                      <a:ext uri="{53640926-AAD7-44D8-BBD7-CCE9431645EC}">
                        <a14:shadowObscured xmlns:a14="http://schemas.microsoft.com/office/drawing/2010/main"/>
                      </a:ext>
                    </a:extLst>
                  </pic:spPr>
                </pic:pic>
              </a:graphicData>
            </a:graphic>
          </wp:inline>
        </w:drawing>
      </w:r>
    </w:p>
    <w:p w14:paraId="5F712E4F" w14:textId="77777777" w:rsidR="009948B1" w:rsidRDefault="009948B1" w:rsidP="009948B1">
      <w:r>
        <w:t>c.</w:t>
      </w:r>
    </w:p>
    <w:p w14:paraId="140A6F02" w14:textId="77777777" w:rsidR="009948B1" w:rsidRDefault="009948B1" w:rsidP="009948B1">
      <w:pPr>
        <w:jc w:val="center"/>
      </w:pPr>
      <w:r w:rsidRPr="00B31D2C">
        <w:rPr>
          <w:noProof/>
        </w:rPr>
        <w:drawing>
          <wp:inline distT="0" distB="0" distL="0" distR="0" wp14:anchorId="5CD92B57" wp14:editId="34B30F5A">
            <wp:extent cx="4140000" cy="2488528"/>
            <wp:effectExtent l="0" t="0" r="0" b="7620"/>
            <wp:docPr id="1316367712" name="Picture 7" descr="Graphs showing above ground biomass in each inundation zone over the study period for Loc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367712" name="Picture 7" descr="Graphs showing above ground biomass in each inundation zone over the study period for Lock 6."/>
                    <pic:cNvPicPr>
                      <a:picLocks noChangeAspect="1" noChangeArrowheads="1"/>
                    </pic:cNvPicPr>
                  </pic:nvPicPr>
                  <pic:blipFill rotWithShape="1">
                    <a:blip r:embed="rId162">
                      <a:extLst>
                        <a:ext uri="{28A0092B-C50C-407E-A947-70E740481C1C}">
                          <a14:useLocalDpi xmlns:a14="http://schemas.microsoft.com/office/drawing/2010/main" val="0"/>
                        </a:ext>
                      </a:extLst>
                    </a:blip>
                    <a:srcRect b="9836"/>
                    <a:stretch/>
                  </pic:blipFill>
                  <pic:spPr bwMode="auto">
                    <a:xfrm>
                      <a:off x="0" y="0"/>
                      <a:ext cx="4140000" cy="2488528"/>
                    </a:xfrm>
                    <a:prstGeom prst="rect">
                      <a:avLst/>
                    </a:prstGeom>
                    <a:noFill/>
                    <a:ln>
                      <a:noFill/>
                    </a:ln>
                    <a:extLst>
                      <a:ext uri="{53640926-AAD7-44D8-BBD7-CCE9431645EC}">
                        <a14:shadowObscured xmlns:a14="http://schemas.microsoft.com/office/drawing/2010/main"/>
                      </a:ext>
                    </a:extLst>
                  </pic:spPr>
                </pic:pic>
              </a:graphicData>
            </a:graphic>
          </wp:inline>
        </w:drawing>
      </w:r>
    </w:p>
    <w:p w14:paraId="67DBE7D2" w14:textId="2FC1855A" w:rsidR="000325B1" w:rsidRPr="009948B1" w:rsidRDefault="009948B1" w:rsidP="009948B1">
      <w:pPr>
        <w:pStyle w:val="Caption"/>
      </w:pPr>
      <w:r>
        <w:t>Figure C</w:t>
      </w:r>
      <w:r w:rsidR="00236D91">
        <w:t>5</w:t>
      </w:r>
      <w:r w:rsidRPr="00117AE2">
        <w:t xml:space="preserve">. </w:t>
      </w:r>
      <w:r>
        <w:t>Above ground biomass in each inundation zone over the study period for a. Lock 1, b. Lock 4 and c. Lock 6 (error bars ± 1 S.E.)</w:t>
      </w:r>
      <w:r w:rsidRPr="00117AE2">
        <w:t>.</w:t>
      </w:r>
      <w:r w:rsidR="000325B1">
        <w:rPr>
          <w:color w:val="44546A" w:themeColor="text2"/>
          <w:sz w:val="26"/>
          <w:szCs w:val="26"/>
          <w:highlight w:val="yellow"/>
        </w:rPr>
        <w:br w:type="page"/>
      </w:r>
    </w:p>
    <w:p w14:paraId="65367FB6" w14:textId="52AE7D25" w:rsidR="00A307BC" w:rsidRPr="00686966" w:rsidRDefault="00A307BC" w:rsidP="00A307BC">
      <w:pPr>
        <w:pStyle w:val="Caption"/>
        <w:rPr>
          <w:color w:val="44546A" w:themeColor="text2"/>
          <w:sz w:val="26"/>
          <w:szCs w:val="26"/>
        </w:rPr>
      </w:pPr>
      <w:r w:rsidRPr="00686966">
        <w:rPr>
          <w:color w:val="44546A" w:themeColor="text2"/>
          <w:sz w:val="26"/>
          <w:szCs w:val="26"/>
        </w:rPr>
        <w:lastRenderedPageBreak/>
        <w:t>Microinvertebrate assemblage – statistical outputs</w:t>
      </w:r>
    </w:p>
    <w:p w14:paraId="13B26047" w14:textId="71A3514A" w:rsidR="00C002ED" w:rsidRDefault="00C002ED" w:rsidP="00C002ED">
      <w:pPr>
        <w:pStyle w:val="Caption"/>
      </w:pPr>
      <w:r>
        <w:t>Table C</w:t>
      </w:r>
      <w:r w:rsidR="008865D1">
        <w:t>1</w:t>
      </w:r>
      <w:r w:rsidR="00FB33C3">
        <w:t>3</w:t>
      </w:r>
      <w:r>
        <w:t xml:space="preserve">. </w:t>
      </w:r>
      <w:bookmarkStart w:id="611" w:name="_Ref57820426"/>
      <w:r>
        <w:t>Results of negative binomial generalised linear model for microinvertebrate density (individuals per litre) showing selected predictors, estimated coefficients (Estimate), standard errors in estimation (std.Error) and Type I Error probability (</w:t>
      </w:r>
      <w:r w:rsidRPr="00011752">
        <w:rPr>
          <w:i/>
          <w:iCs/>
        </w:rPr>
        <w:t>p</w:t>
      </w:r>
      <w:r>
        <w:t>-value). Flow data were log transformed prior to modelling. AveQ90 is the average flow over the previous 90 days. FPA60 quantifies the area of floodplain inundated over the last 60 days. (see Methods for full description of predictor calculation). Negative binomial distribution dispersion parameter (theta) = 3.35</w:t>
      </w:r>
      <w:r w:rsidDel="00446A1B">
        <w:t xml:space="preserve"> </w:t>
      </w:r>
      <w:r>
        <w:t>, standard error = 0.27.</w:t>
      </w:r>
    </w:p>
    <w:tbl>
      <w:tblPr>
        <w:tblStyle w:val="GridTable1Light-Accent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of results of negative binomial generalised linear model for microinvertebrate density showing selected predictors, estimated coefficients, standard errors in estimation and Type I Error probability. "/>
      </w:tblPr>
      <w:tblGrid>
        <w:gridCol w:w="3546"/>
        <w:gridCol w:w="1024"/>
        <w:gridCol w:w="1048"/>
        <w:gridCol w:w="973"/>
      </w:tblGrid>
      <w:tr w:rsidR="00C002ED" w:rsidRPr="00686966" w14:paraId="6DBC4577" w14:textId="77777777" w:rsidTr="00610151">
        <w:trPr>
          <w:cnfStyle w:val="100000000000" w:firstRow="1" w:lastRow="0" w:firstColumn="0" w:lastColumn="0" w:oddVBand="0" w:evenVBand="0" w:oddHBand="0"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tcPr>
          <w:p w14:paraId="3D243998" w14:textId="77777777" w:rsidR="00C002ED" w:rsidRPr="00686966" w:rsidRDefault="00C002ED" w:rsidP="00686966">
            <w:pPr>
              <w:pStyle w:val="TableHeading"/>
              <w:spacing w:before="0" w:after="0" w:line="240" w:lineRule="auto"/>
              <w:rPr>
                <w:b/>
                <w:bCs w:val="0"/>
                <w:szCs w:val="20"/>
              </w:rPr>
            </w:pPr>
            <w:r w:rsidRPr="00686966">
              <w:rPr>
                <w:b/>
                <w:bCs w:val="0"/>
                <w:szCs w:val="20"/>
              </w:rPr>
              <w:t>Predictor</w:t>
            </w:r>
          </w:p>
        </w:tc>
        <w:tc>
          <w:tcPr>
            <w:tcW w:w="0" w:type="auto"/>
            <w:tcBorders>
              <w:top w:val="single" w:sz="4" w:space="0" w:color="auto"/>
              <w:bottom w:val="single" w:sz="4" w:space="0" w:color="auto"/>
            </w:tcBorders>
            <w:vAlign w:val="center"/>
          </w:tcPr>
          <w:p w14:paraId="31C23FBB" w14:textId="77777777" w:rsidR="00C002ED" w:rsidRPr="00686966" w:rsidRDefault="00C002ED" w:rsidP="00686966">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686966">
              <w:rPr>
                <w:b/>
                <w:bCs w:val="0"/>
                <w:szCs w:val="20"/>
              </w:rPr>
              <w:t>Estimate</w:t>
            </w:r>
          </w:p>
        </w:tc>
        <w:tc>
          <w:tcPr>
            <w:tcW w:w="0" w:type="auto"/>
            <w:tcBorders>
              <w:top w:val="single" w:sz="4" w:space="0" w:color="auto"/>
              <w:bottom w:val="single" w:sz="4" w:space="0" w:color="auto"/>
            </w:tcBorders>
            <w:vAlign w:val="center"/>
          </w:tcPr>
          <w:p w14:paraId="0413B5AA" w14:textId="77777777" w:rsidR="00C002ED" w:rsidRPr="00686966" w:rsidRDefault="00C002ED" w:rsidP="00686966">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686966">
              <w:rPr>
                <w:b/>
                <w:bCs w:val="0"/>
                <w:szCs w:val="20"/>
              </w:rPr>
              <w:t>Std. Error</w:t>
            </w:r>
          </w:p>
        </w:tc>
        <w:tc>
          <w:tcPr>
            <w:tcW w:w="0" w:type="auto"/>
            <w:tcBorders>
              <w:top w:val="single" w:sz="4" w:space="0" w:color="auto"/>
              <w:bottom w:val="single" w:sz="4" w:space="0" w:color="auto"/>
            </w:tcBorders>
            <w:vAlign w:val="center"/>
          </w:tcPr>
          <w:p w14:paraId="032CEE3D" w14:textId="77777777" w:rsidR="00C002ED" w:rsidRPr="00686966" w:rsidRDefault="00C002ED" w:rsidP="00686966">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686966">
              <w:rPr>
                <w:b/>
                <w:bCs w:val="0"/>
                <w:i/>
                <w:iCs/>
                <w:szCs w:val="20"/>
              </w:rPr>
              <w:t>p</w:t>
            </w:r>
            <w:r w:rsidRPr="00686966">
              <w:rPr>
                <w:b/>
                <w:bCs w:val="0"/>
                <w:szCs w:val="20"/>
              </w:rPr>
              <w:t>-value</w:t>
            </w:r>
          </w:p>
        </w:tc>
      </w:tr>
      <w:tr w:rsidR="00C002ED" w:rsidRPr="00686966" w14:paraId="06773A5C"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vAlign w:val="center"/>
          </w:tcPr>
          <w:p w14:paraId="6AC1E5FC" w14:textId="77777777" w:rsidR="00C002ED" w:rsidRPr="00686966" w:rsidRDefault="00C002ED" w:rsidP="00686966">
            <w:pPr>
              <w:pStyle w:val="TableHeading"/>
              <w:spacing w:before="0" w:after="0" w:line="240" w:lineRule="auto"/>
              <w:rPr>
                <w:szCs w:val="20"/>
              </w:rPr>
            </w:pPr>
            <w:r w:rsidRPr="00686966">
              <w:rPr>
                <w:szCs w:val="20"/>
              </w:rPr>
              <w:t>(Intercept)</w:t>
            </w:r>
          </w:p>
        </w:tc>
        <w:tc>
          <w:tcPr>
            <w:tcW w:w="0" w:type="auto"/>
            <w:tcBorders>
              <w:top w:val="single" w:sz="4" w:space="0" w:color="auto"/>
            </w:tcBorders>
            <w:vAlign w:val="center"/>
          </w:tcPr>
          <w:p w14:paraId="2BA0D9C7"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-3.67</w:t>
            </w:r>
          </w:p>
        </w:tc>
        <w:tc>
          <w:tcPr>
            <w:tcW w:w="0" w:type="auto"/>
            <w:tcBorders>
              <w:top w:val="single" w:sz="4" w:space="0" w:color="auto"/>
            </w:tcBorders>
            <w:vAlign w:val="center"/>
          </w:tcPr>
          <w:p w14:paraId="54CF69FA"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10.73</w:t>
            </w:r>
          </w:p>
        </w:tc>
        <w:tc>
          <w:tcPr>
            <w:tcW w:w="0" w:type="auto"/>
            <w:tcBorders>
              <w:top w:val="single" w:sz="4" w:space="0" w:color="auto"/>
            </w:tcBorders>
            <w:vAlign w:val="center"/>
          </w:tcPr>
          <w:p w14:paraId="34218EFC"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0.732</w:t>
            </w:r>
          </w:p>
        </w:tc>
      </w:tr>
      <w:tr w:rsidR="00C002ED" w:rsidRPr="00686966" w14:paraId="40E389F5"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706829C" w14:textId="77777777" w:rsidR="00C002ED" w:rsidRPr="00686966" w:rsidRDefault="00C002ED" w:rsidP="00686966">
            <w:pPr>
              <w:pStyle w:val="TableHeading"/>
              <w:spacing w:before="0" w:after="0" w:line="240" w:lineRule="auto"/>
              <w:rPr>
                <w:szCs w:val="20"/>
              </w:rPr>
            </w:pPr>
            <w:r w:rsidRPr="00686966">
              <w:rPr>
                <w:szCs w:val="20"/>
              </w:rPr>
              <w:t>Month [Oct]</w:t>
            </w:r>
          </w:p>
        </w:tc>
        <w:tc>
          <w:tcPr>
            <w:tcW w:w="0" w:type="auto"/>
            <w:vAlign w:val="center"/>
          </w:tcPr>
          <w:p w14:paraId="3FCD7470"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0.35</w:t>
            </w:r>
          </w:p>
        </w:tc>
        <w:tc>
          <w:tcPr>
            <w:tcW w:w="0" w:type="auto"/>
            <w:vAlign w:val="center"/>
          </w:tcPr>
          <w:p w14:paraId="47F8B764"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0.30</w:t>
            </w:r>
          </w:p>
        </w:tc>
        <w:tc>
          <w:tcPr>
            <w:tcW w:w="0" w:type="auto"/>
            <w:vAlign w:val="center"/>
          </w:tcPr>
          <w:p w14:paraId="2BA054D7"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0.240</w:t>
            </w:r>
          </w:p>
        </w:tc>
      </w:tr>
      <w:tr w:rsidR="00C002ED" w:rsidRPr="00686966" w14:paraId="1D06F6C7"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4304B46" w14:textId="77777777" w:rsidR="00C002ED" w:rsidRPr="00686966" w:rsidRDefault="00C002ED" w:rsidP="00686966">
            <w:pPr>
              <w:pStyle w:val="TableHeading"/>
              <w:spacing w:before="0" w:after="0" w:line="240" w:lineRule="auto"/>
              <w:rPr>
                <w:szCs w:val="20"/>
              </w:rPr>
            </w:pPr>
            <w:r w:rsidRPr="00686966">
              <w:rPr>
                <w:szCs w:val="20"/>
              </w:rPr>
              <w:t>Month [Nov]</w:t>
            </w:r>
          </w:p>
        </w:tc>
        <w:tc>
          <w:tcPr>
            <w:tcW w:w="0" w:type="auto"/>
            <w:vAlign w:val="center"/>
          </w:tcPr>
          <w:p w14:paraId="7BC4C35F"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0.45</w:t>
            </w:r>
          </w:p>
        </w:tc>
        <w:tc>
          <w:tcPr>
            <w:tcW w:w="0" w:type="auto"/>
            <w:vAlign w:val="center"/>
          </w:tcPr>
          <w:p w14:paraId="468818F5"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0.35</w:t>
            </w:r>
          </w:p>
        </w:tc>
        <w:tc>
          <w:tcPr>
            <w:tcW w:w="0" w:type="auto"/>
            <w:vAlign w:val="center"/>
          </w:tcPr>
          <w:p w14:paraId="6E325C2C"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0.201</w:t>
            </w:r>
          </w:p>
        </w:tc>
      </w:tr>
      <w:tr w:rsidR="00C002ED" w:rsidRPr="00686966" w14:paraId="4D0D4D30"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F35EE43" w14:textId="77777777" w:rsidR="00C002ED" w:rsidRPr="00686966" w:rsidRDefault="00C002ED" w:rsidP="00686966">
            <w:pPr>
              <w:pStyle w:val="TableHeading"/>
              <w:spacing w:before="0" w:after="0" w:line="240" w:lineRule="auto"/>
              <w:rPr>
                <w:szCs w:val="20"/>
              </w:rPr>
            </w:pPr>
            <w:r w:rsidRPr="00686966">
              <w:rPr>
                <w:szCs w:val="20"/>
              </w:rPr>
              <w:t>Month [Dec]</w:t>
            </w:r>
          </w:p>
        </w:tc>
        <w:tc>
          <w:tcPr>
            <w:tcW w:w="0" w:type="auto"/>
            <w:vAlign w:val="center"/>
          </w:tcPr>
          <w:p w14:paraId="43023C22"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0.62</w:t>
            </w:r>
          </w:p>
        </w:tc>
        <w:tc>
          <w:tcPr>
            <w:tcW w:w="0" w:type="auto"/>
            <w:vAlign w:val="center"/>
          </w:tcPr>
          <w:p w14:paraId="47C9BC3E"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0.38</w:t>
            </w:r>
          </w:p>
        </w:tc>
        <w:tc>
          <w:tcPr>
            <w:tcW w:w="0" w:type="auto"/>
            <w:vAlign w:val="center"/>
          </w:tcPr>
          <w:p w14:paraId="214772D6"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0.104</w:t>
            </w:r>
          </w:p>
        </w:tc>
      </w:tr>
      <w:tr w:rsidR="00C002ED" w:rsidRPr="00686966" w14:paraId="5116566D"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257154A" w14:textId="77777777" w:rsidR="00C002ED" w:rsidRPr="00686966" w:rsidRDefault="00C002ED" w:rsidP="00686966">
            <w:pPr>
              <w:pStyle w:val="TableHeading"/>
              <w:spacing w:before="0" w:after="0" w:line="240" w:lineRule="auto"/>
              <w:rPr>
                <w:szCs w:val="20"/>
              </w:rPr>
            </w:pPr>
            <w:r w:rsidRPr="00686966">
              <w:rPr>
                <w:szCs w:val="20"/>
              </w:rPr>
              <w:t>Month [Jan]</w:t>
            </w:r>
          </w:p>
        </w:tc>
        <w:tc>
          <w:tcPr>
            <w:tcW w:w="0" w:type="auto"/>
            <w:vAlign w:val="center"/>
          </w:tcPr>
          <w:p w14:paraId="31D86C1C"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1.01</w:t>
            </w:r>
          </w:p>
        </w:tc>
        <w:tc>
          <w:tcPr>
            <w:tcW w:w="0" w:type="auto"/>
            <w:vAlign w:val="center"/>
          </w:tcPr>
          <w:p w14:paraId="56B838CD"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0.41</w:t>
            </w:r>
          </w:p>
        </w:tc>
        <w:tc>
          <w:tcPr>
            <w:tcW w:w="0" w:type="auto"/>
            <w:vAlign w:val="center"/>
          </w:tcPr>
          <w:p w14:paraId="7467E703"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0.014</w:t>
            </w:r>
          </w:p>
        </w:tc>
      </w:tr>
      <w:tr w:rsidR="00C002ED" w:rsidRPr="00686966" w14:paraId="599A9200"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0FE62A5" w14:textId="77777777" w:rsidR="00C002ED" w:rsidRPr="00686966" w:rsidRDefault="00C002ED" w:rsidP="00686966">
            <w:pPr>
              <w:pStyle w:val="TableHeading"/>
              <w:spacing w:before="0" w:after="0" w:line="240" w:lineRule="auto"/>
              <w:rPr>
                <w:szCs w:val="20"/>
              </w:rPr>
            </w:pPr>
            <w:r w:rsidRPr="00686966">
              <w:rPr>
                <w:szCs w:val="20"/>
              </w:rPr>
              <w:t>Water year [2015]</w:t>
            </w:r>
          </w:p>
        </w:tc>
        <w:tc>
          <w:tcPr>
            <w:tcW w:w="0" w:type="auto"/>
            <w:vAlign w:val="center"/>
          </w:tcPr>
          <w:p w14:paraId="1A1B45FC"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-0.04</w:t>
            </w:r>
          </w:p>
        </w:tc>
        <w:tc>
          <w:tcPr>
            <w:tcW w:w="0" w:type="auto"/>
            <w:vAlign w:val="center"/>
          </w:tcPr>
          <w:p w14:paraId="2358998F"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0.14</w:t>
            </w:r>
          </w:p>
        </w:tc>
        <w:tc>
          <w:tcPr>
            <w:tcW w:w="0" w:type="auto"/>
            <w:vAlign w:val="center"/>
          </w:tcPr>
          <w:p w14:paraId="1907C198"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0.759</w:t>
            </w:r>
          </w:p>
        </w:tc>
      </w:tr>
      <w:tr w:rsidR="00C002ED" w:rsidRPr="00686966" w14:paraId="27813FE8"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9DFE32B" w14:textId="77777777" w:rsidR="00C002ED" w:rsidRPr="00686966" w:rsidRDefault="00C002ED" w:rsidP="00686966">
            <w:pPr>
              <w:pStyle w:val="TableHeading"/>
              <w:spacing w:before="0" w:after="0" w:line="240" w:lineRule="auto"/>
              <w:rPr>
                <w:szCs w:val="20"/>
              </w:rPr>
            </w:pPr>
            <w:r w:rsidRPr="00686966">
              <w:rPr>
                <w:szCs w:val="20"/>
              </w:rPr>
              <w:t>Water year [2016]</w:t>
            </w:r>
          </w:p>
        </w:tc>
        <w:tc>
          <w:tcPr>
            <w:tcW w:w="0" w:type="auto"/>
            <w:vAlign w:val="center"/>
          </w:tcPr>
          <w:p w14:paraId="3D1AA1F1"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-0.30</w:t>
            </w:r>
          </w:p>
        </w:tc>
        <w:tc>
          <w:tcPr>
            <w:tcW w:w="0" w:type="auto"/>
            <w:vAlign w:val="center"/>
          </w:tcPr>
          <w:p w14:paraId="41C372AB"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0.45</w:t>
            </w:r>
          </w:p>
        </w:tc>
        <w:tc>
          <w:tcPr>
            <w:tcW w:w="0" w:type="auto"/>
            <w:vAlign w:val="center"/>
          </w:tcPr>
          <w:p w14:paraId="0212D4FB"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0.496</w:t>
            </w:r>
          </w:p>
        </w:tc>
      </w:tr>
      <w:tr w:rsidR="00C002ED" w:rsidRPr="00686966" w14:paraId="7C04FA5D"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47D6CE5" w14:textId="77777777" w:rsidR="00C002ED" w:rsidRPr="00686966" w:rsidRDefault="00C002ED" w:rsidP="00686966">
            <w:pPr>
              <w:pStyle w:val="TableHeading"/>
              <w:spacing w:before="0" w:after="0" w:line="240" w:lineRule="auto"/>
              <w:rPr>
                <w:szCs w:val="20"/>
              </w:rPr>
            </w:pPr>
            <w:r w:rsidRPr="00686966">
              <w:rPr>
                <w:szCs w:val="20"/>
              </w:rPr>
              <w:t>Water year [2017]</w:t>
            </w:r>
          </w:p>
        </w:tc>
        <w:tc>
          <w:tcPr>
            <w:tcW w:w="0" w:type="auto"/>
            <w:vAlign w:val="center"/>
          </w:tcPr>
          <w:p w14:paraId="7AC74DDA"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-0.22</w:t>
            </w:r>
          </w:p>
        </w:tc>
        <w:tc>
          <w:tcPr>
            <w:tcW w:w="0" w:type="auto"/>
            <w:vAlign w:val="center"/>
          </w:tcPr>
          <w:p w14:paraId="4B029B08"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0.16</w:t>
            </w:r>
          </w:p>
        </w:tc>
        <w:tc>
          <w:tcPr>
            <w:tcW w:w="0" w:type="auto"/>
            <w:vAlign w:val="center"/>
          </w:tcPr>
          <w:p w14:paraId="3E025F0B"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0.171</w:t>
            </w:r>
          </w:p>
        </w:tc>
      </w:tr>
      <w:tr w:rsidR="00C002ED" w:rsidRPr="00686966" w14:paraId="2DB184E6"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605CC07" w14:textId="77777777" w:rsidR="00C002ED" w:rsidRPr="00686966" w:rsidRDefault="00C002ED" w:rsidP="00686966">
            <w:pPr>
              <w:pStyle w:val="TableHeading"/>
              <w:spacing w:before="0" w:after="0" w:line="240" w:lineRule="auto"/>
              <w:rPr>
                <w:szCs w:val="20"/>
              </w:rPr>
            </w:pPr>
            <w:r w:rsidRPr="00686966">
              <w:rPr>
                <w:szCs w:val="20"/>
              </w:rPr>
              <w:t>Water year [2019]</w:t>
            </w:r>
          </w:p>
        </w:tc>
        <w:tc>
          <w:tcPr>
            <w:tcW w:w="0" w:type="auto"/>
            <w:vAlign w:val="center"/>
          </w:tcPr>
          <w:p w14:paraId="07710755"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0.26</w:t>
            </w:r>
          </w:p>
        </w:tc>
        <w:tc>
          <w:tcPr>
            <w:tcW w:w="0" w:type="auto"/>
            <w:vAlign w:val="center"/>
          </w:tcPr>
          <w:p w14:paraId="1632F2BE"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0.25</w:t>
            </w:r>
          </w:p>
        </w:tc>
        <w:tc>
          <w:tcPr>
            <w:tcW w:w="0" w:type="auto"/>
            <w:vAlign w:val="center"/>
          </w:tcPr>
          <w:p w14:paraId="3B97129A"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0.303</w:t>
            </w:r>
          </w:p>
        </w:tc>
      </w:tr>
      <w:tr w:rsidR="00C002ED" w:rsidRPr="00686966" w14:paraId="702532B6"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E443510" w14:textId="77777777" w:rsidR="00C002ED" w:rsidRPr="00686966" w:rsidRDefault="00C002ED" w:rsidP="00686966">
            <w:pPr>
              <w:pStyle w:val="TableHeading"/>
              <w:spacing w:before="0" w:after="0" w:line="240" w:lineRule="auto"/>
              <w:rPr>
                <w:szCs w:val="20"/>
              </w:rPr>
            </w:pPr>
            <w:r w:rsidRPr="00686966">
              <w:rPr>
                <w:szCs w:val="20"/>
              </w:rPr>
              <w:t>Water year [2020]</w:t>
            </w:r>
          </w:p>
        </w:tc>
        <w:tc>
          <w:tcPr>
            <w:tcW w:w="0" w:type="auto"/>
            <w:vAlign w:val="center"/>
          </w:tcPr>
          <w:p w14:paraId="69B4618E"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0.07</w:t>
            </w:r>
          </w:p>
        </w:tc>
        <w:tc>
          <w:tcPr>
            <w:tcW w:w="0" w:type="auto"/>
            <w:vAlign w:val="center"/>
          </w:tcPr>
          <w:p w14:paraId="480F6E03"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0.20</w:t>
            </w:r>
          </w:p>
        </w:tc>
        <w:tc>
          <w:tcPr>
            <w:tcW w:w="0" w:type="auto"/>
            <w:vAlign w:val="center"/>
          </w:tcPr>
          <w:p w14:paraId="12FC325F"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0.725</w:t>
            </w:r>
          </w:p>
        </w:tc>
      </w:tr>
      <w:tr w:rsidR="00C002ED" w:rsidRPr="00686966" w14:paraId="29930F5B"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E1765E7" w14:textId="77777777" w:rsidR="00C002ED" w:rsidRPr="00686966" w:rsidRDefault="00C002ED" w:rsidP="00686966">
            <w:pPr>
              <w:pStyle w:val="TableHeading"/>
              <w:spacing w:before="0" w:after="0" w:line="240" w:lineRule="auto"/>
              <w:rPr>
                <w:szCs w:val="20"/>
              </w:rPr>
            </w:pPr>
            <w:r w:rsidRPr="00686966">
              <w:rPr>
                <w:szCs w:val="20"/>
              </w:rPr>
              <w:t>Water year [2021]</w:t>
            </w:r>
          </w:p>
        </w:tc>
        <w:tc>
          <w:tcPr>
            <w:tcW w:w="0" w:type="auto"/>
            <w:vAlign w:val="center"/>
          </w:tcPr>
          <w:p w14:paraId="42AD3D70"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0.35</w:t>
            </w:r>
          </w:p>
        </w:tc>
        <w:tc>
          <w:tcPr>
            <w:tcW w:w="0" w:type="auto"/>
            <w:vAlign w:val="center"/>
          </w:tcPr>
          <w:p w14:paraId="0B1AC875"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0.39</w:t>
            </w:r>
          </w:p>
        </w:tc>
        <w:tc>
          <w:tcPr>
            <w:tcW w:w="0" w:type="auto"/>
            <w:vAlign w:val="center"/>
          </w:tcPr>
          <w:p w14:paraId="1D88F105"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0.362</w:t>
            </w:r>
          </w:p>
        </w:tc>
      </w:tr>
      <w:tr w:rsidR="00C002ED" w:rsidRPr="00686966" w14:paraId="64EED6A2"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9C0D4ED" w14:textId="77777777" w:rsidR="00C002ED" w:rsidRPr="00686966" w:rsidRDefault="00C002ED" w:rsidP="00686966">
            <w:pPr>
              <w:pStyle w:val="TableHeading"/>
              <w:spacing w:before="0" w:after="0" w:line="240" w:lineRule="auto"/>
              <w:rPr>
                <w:szCs w:val="20"/>
              </w:rPr>
            </w:pPr>
            <w:r w:rsidRPr="00686966">
              <w:rPr>
                <w:szCs w:val="20"/>
              </w:rPr>
              <w:t>Water year [2022]</w:t>
            </w:r>
          </w:p>
        </w:tc>
        <w:tc>
          <w:tcPr>
            <w:tcW w:w="0" w:type="auto"/>
            <w:vAlign w:val="center"/>
          </w:tcPr>
          <w:p w14:paraId="45B54AC9"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0.58</w:t>
            </w:r>
          </w:p>
        </w:tc>
        <w:tc>
          <w:tcPr>
            <w:tcW w:w="0" w:type="auto"/>
            <w:vAlign w:val="center"/>
          </w:tcPr>
          <w:p w14:paraId="5702CDD2"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0.54</w:t>
            </w:r>
          </w:p>
        </w:tc>
        <w:tc>
          <w:tcPr>
            <w:tcW w:w="0" w:type="auto"/>
            <w:vAlign w:val="center"/>
          </w:tcPr>
          <w:p w14:paraId="219ED219"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0.278</w:t>
            </w:r>
          </w:p>
        </w:tc>
      </w:tr>
      <w:tr w:rsidR="00C002ED" w:rsidRPr="00686966" w14:paraId="040E7CE9"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9ACDE9E" w14:textId="77777777" w:rsidR="00C002ED" w:rsidRPr="00686966" w:rsidRDefault="00C002ED" w:rsidP="00686966">
            <w:pPr>
              <w:pStyle w:val="TableHeading"/>
              <w:spacing w:before="0" w:after="0" w:line="240" w:lineRule="auto"/>
              <w:rPr>
                <w:szCs w:val="20"/>
              </w:rPr>
            </w:pPr>
            <w:r w:rsidRPr="00686966">
              <w:rPr>
                <w:szCs w:val="20"/>
              </w:rPr>
              <w:t>Water year [2023]</w:t>
            </w:r>
          </w:p>
        </w:tc>
        <w:tc>
          <w:tcPr>
            <w:tcW w:w="0" w:type="auto"/>
            <w:vAlign w:val="center"/>
          </w:tcPr>
          <w:p w14:paraId="37E51E1A"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0.83</w:t>
            </w:r>
          </w:p>
        </w:tc>
        <w:tc>
          <w:tcPr>
            <w:tcW w:w="0" w:type="auto"/>
            <w:vAlign w:val="center"/>
          </w:tcPr>
          <w:p w14:paraId="6BC0A8F4"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0.41</w:t>
            </w:r>
          </w:p>
        </w:tc>
        <w:tc>
          <w:tcPr>
            <w:tcW w:w="0" w:type="auto"/>
            <w:vAlign w:val="center"/>
          </w:tcPr>
          <w:p w14:paraId="591E8CDA"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0.042</w:t>
            </w:r>
          </w:p>
        </w:tc>
      </w:tr>
      <w:tr w:rsidR="00C002ED" w:rsidRPr="00686966" w14:paraId="1FA59F89"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ADAB7D5" w14:textId="77777777" w:rsidR="00C002ED" w:rsidRPr="00686966" w:rsidRDefault="00C002ED" w:rsidP="00686966">
            <w:pPr>
              <w:pStyle w:val="TableHeading"/>
              <w:spacing w:before="0" w:after="0" w:line="240" w:lineRule="auto"/>
              <w:rPr>
                <w:szCs w:val="20"/>
              </w:rPr>
            </w:pPr>
            <w:r w:rsidRPr="00686966">
              <w:rPr>
                <w:szCs w:val="20"/>
              </w:rPr>
              <w:t>Mean daily flow  (ML/d)</w:t>
            </w:r>
          </w:p>
        </w:tc>
        <w:tc>
          <w:tcPr>
            <w:tcW w:w="0" w:type="auto"/>
            <w:vAlign w:val="center"/>
          </w:tcPr>
          <w:p w14:paraId="73CB4144"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-0.81</w:t>
            </w:r>
          </w:p>
        </w:tc>
        <w:tc>
          <w:tcPr>
            <w:tcW w:w="0" w:type="auto"/>
            <w:vAlign w:val="center"/>
          </w:tcPr>
          <w:p w14:paraId="5793B434"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0.97</w:t>
            </w:r>
          </w:p>
        </w:tc>
        <w:tc>
          <w:tcPr>
            <w:tcW w:w="0" w:type="auto"/>
            <w:vAlign w:val="center"/>
          </w:tcPr>
          <w:p w14:paraId="58751B50"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0.403</w:t>
            </w:r>
          </w:p>
        </w:tc>
      </w:tr>
      <w:tr w:rsidR="00C002ED" w:rsidRPr="00686966" w14:paraId="2F99F8D0"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FE60B95" w14:textId="77777777" w:rsidR="00C002ED" w:rsidRPr="00686966" w:rsidRDefault="00C002ED" w:rsidP="00686966">
            <w:pPr>
              <w:pStyle w:val="TableHeading"/>
              <w:spacing w:before="0" w:after="0" w:line="240" w:lineRule="auto"/>
              <w:rPr>
                <w:szCs w:val="20"/>
              </w:rPr>
            </w:pPr>
            <w:r w:rsidRPr="00686966">
              <w:rPr>
                <w:szCs w:val="20"/>
              </w:rPr>
              <w:t>Long-term average flow (AveQ90)</w:t>
            </w:r>
          </w:p>
        </w:tc>
        <w:tc>
          <w:tcPr>
            <w:tcW w:w="0" w:type="auto"/>
            <w:vAlign w:val="center"/>
          </w:tcPr>
          <w:p w14:paraId="2757318A"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3.47</w:t>
            </w:r>
          </w:p>
        </w:tc>
        <w:tc>
          <w:tcPr>
            <w:tcW w:w="0" w:type="auto"/>
            <w:vAlign w:val="center"/>
          </w:tcPr>
          <w:p w14:paraId="57144FE0"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1.66</w:t>
            </w:r>
          </w:p>
        </w:tc>
        <w:tc>
          <w:tcPr>
            <w:tcW w:w="0" w:type="auto"/>
            <w:vAlign w:val="center"/>
          </w:tcPr>
          <w:p w14:paraId="41492EEC"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0.036</w:t>
            </w:r>
          </w:p>
        </w:tc>
      </w:tr>
      <w:tr w:rsidR="00C002ED" w:rsidRPr="00686966" w14:paraId="322A0E10"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0EB1EAD" w14:textId="77777777" w:rsidR="00C002ED" w:rsidRPr="00686966" w:rsidRDefault="00C002ED" w:rsidP="00686966">
            <w:pPr>
              <w:pStyle w:val="TableHeading"/>
              <w:spacing w:before="0" w:after="0" w:line="240" w:lineRule="auto"/>
              <w:rPr>
                <w:szCs w:val="20"/>
              </w:rPr>
            </w:pPr>
            <w:r w:rsidRPr="00686966">
              <w:rPr>
                <w:szCs w:val="20"/>
              </w:rPr>
              <w:t>Temperature</w:t>
            </w:r>
          </w:p>
        </w:tc>
        <w:tc>
          <w:tcPr>
            <w:tcW w:w="0" w:type="auto"/>
            <w:vAlign w:val="center"/>
          </w:tcPr>
          <w:p w14:paraId="1704A7E5"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0.11</w:t>
            </w:r>
          </w:p>
        </w:tc>
        <w:tc>
          <w:tcPr>
            <w:tcW w:w="0" w:type="auto"/>
            <w:vAlign w:val="center"/>
          </w:tcPr>
          <w:p w14:paraId="28A9B5E3"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0.19</w:t>
            </w:r>
          </w:p>
        </w:tc>
        <w:tc>
          <w:tcPr>
            <w:tcW w:w="0" w:type="auto"/>
            <w:vAlign w:val="center"/>
          </w:tcPr>
          <w:p w14:paraId="11B39A10"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0.551</w:t>
            </w:r>
          </w:p>
        </w:tc>
      </w:tr>
      <w:tr w:rsidR="00C002ED" w:rsidRPr="00686966" w14:paraId="1BA66C0E"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26A42C6" w14:textId="77777777" w:rsidR="00C002ED" w:rsidRPr="00686966" w:rsidRDefault="00C002ED" w:rsidP="00686966">
            <w:pPr>
              <w:pStyle w:val="TableHeading"/>
              <w:spacing w:before="0" w:after="0" w:line="240" w:lineRule="auto"/>
              <w:rPr>
                <w:szCs w:val="20"/>
              </w:rPr>
            </w:pPr>
            <w:r w:rsidRPr="00686966">
              <w:rPr>
                <w:szCs w:val="20"/>
              </w:rPr>
              <w:t>Electrical conductivity (EC)</w:t>
            </w:r>
          </w:p>
        </w:tc>
        <w:tc>
          <w:tcPr>
            <w:tcW w:w="0" w:type="auto"/>
            <w:vAlign w:val="center"/>
          </w:tcPr>
          <w:p w14:paraId="119059EF"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-0.06</w:t>
            </w:r>
          </w:p>
        </w:tc>
        <w:tc>
          <w:tcPr>
            <w:tcW w:w="0" w:type="auto"/>
            <w:vAlign w:val="center"/>
          </w:tcPr>
          <w:p w14:paraId="69D6DB8C"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0.02</w:t>
            </w:r>
          </w:p>
        </w:tc>
        <w:tc>
          <w:tcPr>
            <w:tcW w:w="0" w:type="auto"/>
            <w:vAlign w:val="center"/>
          </w:tcPr>
          <w:p w14:paraId="72B16CC3"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0.001</w:t>
            </w:r>
          </w:p>
        </w:tc>
      </w:tr>
      <w:tr w:rsidR="00C002ED" w:rsidRPr="00686966" w14:paraId="2395DEC9"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A8C0843" w14:textId="77777777" w:rsidR="00C002ED" w:rsidRPr="00686966" w:rsidRDefault="00C002ED" w:rsidP="00686966">
            <w:pPr>
              <w:pStyle w:val="TableHeading"/>
              <w:spacing w:before="0" w:after="0" w:line="240" w:lineRule="auto"/>
              <w:rPr>
                <w:szCs w:val="20"/>
              </w:rPr>
            </w:pPr>
            <w:r w:rsidRPr="00686966">
              <w:rPr>
                <w:szCs w:val="20"/>
              </w:rPr>
              <w:t>FPA60</w:t>
            </w:r>
          </w:p>
        </w:tc>
        <w:tc>
          <w:tcPr>
            <w:tcW w:w="0" w:type="auto"/>
            <w:vAlign w:val="center"/>
          </w:tcPr>
          <w:p w14:paraId="4925CE80"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-7.9e-04</w:t>
            </w:r>
          </w:p>
        </w:tc>
        <w:tc>
          <w:tcPr>
            <w:tcW w:w="0" w:type="auto"/>
            <w:vAlign w:val="center"/>
          </w:tcPr>
          <w:p w14:paraId="4A6FEE60"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2.7e-04</w:t>
            </w:r>
          </w:p>
        </w:tc>
        <w:tc>
          <w:tcPr>
            <w:tcW w:w="0" w:type="auto"/>
            <w:vAlign w:val="center"/>
          </w:tcPr>
          <w:p w14:paraId="4318A59A"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0.004</w:t>
            </w:r>
          </w:p>
        </w:tc>
      </w:tr>
      <w:tr w:rsidR="00C002ED" w:rsidRPr="00686966" w14:paraId="5454D116"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9096B1" w14:textId="77777777" w:rsidR="00C002ED" w:rsidRPr="00686966" w:rsidRDefault="00C002ED" w:rsidP="00686966">
            <w:pPr>
              <w:pStyle w:val="TableHeading"/>
              <w:spacing w:before="0" w:after="0" w:line="240" w:lineRule="auto"/>
              <w:rPr>
                <w:szCs w:val="20"/>
              </w:rPr>
            </w:pPr>
            <w:r w:rsidRPr="00686966">
              <w:rPr>
                <w:szCs w:val="20"/>
              </w:rPr>
              <w:t>Mean daily flow:AveQ90</w:t>
            </w:r>
          </w:p>
        </w:tc>
        <w:tc>
          <w:tcPr>
            <w:tcW w:w="0" w:type="auto"/>
            <w:vAlign w:val="center"/>
          </w:tcPr>
          <w:p w14:paraId="10F1DDB2"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-0.20</w:t>
            </w:r>
          </w:p>
        </w:tc>
        <w:tc>
          <w:tcPr>
            <w:tcW w:w="0" w:type="auto"/>
            <w:vAlign w:val="center"/>
          </w:tcPr>
          <w:p w14:paraId="29D29D87"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0.11</w:t>
            </w:r>
          </w:p>
        </w:tc>
        <w:tc>
          <w:tcPr>
            <w:tcW w:w="0" w:type="auto"/>
            <w:vAlign w:val="center"/>
          </w:tcPr>
          <w:p w14:paraId="0FF20FCC"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0.058</w:t>
            </w:r>
          </w:p>
        </w:tc>
      </w:tr>
      <w:tr w:rsidR="00C002ED" w:rsidRPr="00686966" w14:paraId="2DEC7648"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4E619E0" w14:textId="77777777" w:rsidR="00C002ED" w:rsidRPr="00686966" w:rsidRDefault="00C002ED" w:rsidP="00686966">
            <w:pPr>
              <w:pStyle w:val="TableHeading"/>
              <w:spacing w:before="0" w:after="0" w:line="240" w:lineRule="auto"/>
              <w:rPr>
                <w:szCs w:val="20"/>
              </w:rPr>
            </w:pPr>
            <w:r w:rsidRPr="00686966">
              <w:rPr>
                <w:szCs w:val="20"/>
              </w:rPr>
              <w:t>Mean daily flow:Temperature</w:t>
            </w:r>
          </w:p>
        </w:tc>
        <w:tc>
          <w:tcPr>
            <w:tcW w:w="0" w:type="auto"/>
            <w:vAlign w:val="center"/>
          </w:tcPr>
          <w:p w14:paraId="1A7B7AE6"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0.15</w:t>
            </w:r>
          </w:p>
        </w:tc>
        <w:tc>
          <w:tcPr>
            <w:tcW w:w="0" w:type="auto"/>
            <w:vAlign w:val="center"/>
          </w:tcPr>
          <w:p w14:paraId="0E2678D6"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0.04</w:t>
            </w:r>
          </w:p>
        </w:tc>
        <w:tc>
          <w:tcPr>
            <w:tcW w:w="0" w:type="auto"/>
            <w:vAlign w:val="center"/>
          </w:tcPr>
          <w:p w14:paraId="74F674D1"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&lt; 0.001</w:t>
            </w:r>
          </w:p>
        </w:tc>
      </w:tr>
      <w:tr w:rsidR="00C002ED" w:rsidRPr="00686966" w14:paraId="4AE0EABD"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3826179" w14:textId="77777777" w:rsidR="00C002ED" w:rsidRPr="00686966" w:rsidRDefault="00C002ED" w:rsidP="00686966">
            <w:pPr>
              <w:pStyle w:val="TableHeading"/>
              <w:spacing w:before="0" w:after="0" w:line="240" w:lineRule="auto"/>
              <w:rPr>
                <w:szCs w:val="20"/>
              </w:rPr>
            </w:pPr>
            <w:r w:rsidRPr="00686966">
              <w:rPr>
                <w:szCs w:val="20"/>
              </w:rPr>
              <w:t>Mean daily flow:Salinity</w:t>
            </w:r>
          </w:p>
        </w:tc>
        <w:tc>
          <w:tcPr>
            <w:tcW w:w="0" w:type="auto"/>
            <w:vAlign w:val="center"/>
          </w:tcPr>
          <w:p w14:paraId="1BE25D70"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-3.3e-03</w:t>
            </w:r>
          </w:p>
        </w:tc>
        <w:tc>
          <w:tcPr>
            <w:tcW w:w="0" w:type="auto"/>
            <w:vAlign w:val="center"/>
          </w:tcPr>
          <w:p w14:paraId="56275C8A"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2.0e-03</w:t>
            </w:r>
          </w:p>
        </w:tc>
        <w:tc>
          <w:tcPr>
            <w:tcW w:w="0" w:type="auto"/>
            <w:vAlign w:val="center"/>
          </w:tcPr>
          <w:p w14:paraId="3F160595"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0.099</w:t>
            </w:r>
          </w:p>
        </w:tc>
      </w:tr>
      <w:tr w:rsidR="00C002ED" w:rsidRPr="00686966" w14:paraId="539B9B53"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19A24AF" w14:textId="77777777" w:rsidR="00C002ED" w:rsidRPr="00686966" w:rsidRDefault="00C002ED" w:rsidP="00686966">
            <w:pPr>
              <w:pStyle w:val="TableHeading"/>
              <w:spacing w:before="0" w:after="0" w:line="240" w:lineRule="auto"/>
              <w:jc w:val="left"/>
              <w:rPr>
                <w:szCs w:val="20"/>
              </w:rPr>
            </w:pPr>
            <w:r w:rsidRPr="00686966">
              <w:rPr>
                <w:szCs w:val="20"/>
              </w:rPr>
              <w:t>Mean daily flow:FPA60</w:t>
            </w:r>
          </w:p>
        </w:tc>
        <w:tc>
          <w:tcPr>
            <w:tcW w:w="0" w:type="auto"/>
            <w:vAlign w:val="center"/>
          </w:tcPr>
          <w:p w14:paraId="017E271E"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1.2e-04</w:t>
            </w:r>
          </w:p>
        </w:tc>
        <w:tc>
          <w:tcPr>
            <w:tcW w:w="0" w:type="auto"/>
            <w:vAlign w:val="center"/>
          </w:tcPr>
          <w:p w14:paraId="5FAF5FB2"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3.1e-05</w:t>
            </w:r>
          </w:p>
        </w:tc>
        <w:tc>
          <w:tcPr>
            <w:tcW w:w="0" w:type="auto"/>
            <w:vAlign w:val="center"/>
          </w:tcPr>
          <w:p w14:paraId="65F71989"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&lt; 0.001</w:t>
            </w:r>
          </w:p>
        </w:tc>
      </w:tr>
      <w:tr w:rsidR="00C002ED" w:rsidRPr="00686966" w14:paraId="3D276395"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3A290FA" w14:textId="77777777" w:rsidR="00C002ED" w:rsidRPr="00686966" w:rsidRDefault="00C002ED" w:rsidP="00686966">
            <w:pPr>
              <w:pStyle w:val="TableHeading"/>
              <w:spacing w:before="0" w:after="0" w:line="240" w:lineRule="auto"/>
              <w:rPr>
                <w:szCs w:val="20"/>
              </w:rPr>
            </w:pPr>
            <w:r w:rsidRPr="00686966">
              <w:rPr>
                <w:szCs w:val="20"/>
              </w:rPr>
              <w:t>AveQ90:Temperature</w:t>
            </w:r>
          </w:p>
        </w:tc>
        <w:tc>
          <w:tcPr>
            <w:tcW w:w="0" w:type="auto"/>
            <w:vAlign w:val="center"/>
          </w:tcPr>
          <w:p w14:paraId="5EA087C8"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-0.15</w:t>
            </w:r>
          </w:p>
        </w:tc>
        <w:tc>
          <w:tcPr>
            <w:tcW w:w="0" w:type="auto"/>
            <w:vAlign w:val="center"/>
          </w:tcPr>
          <w:p w14:paraId="4F85F000"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0.04</w:t>
            </w:r>
          </w:p>
        </w:tc>
        <w:tc>
          <w:tcPr>
            <w:tcW w:w="0" w:type="auto"/>
            <w:vAlign w:val="center"/>
          </w:tcPr>
          <w:p w14:paraId="605522DD"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&lt; 0.001</w:t>
            </w:r>
          </w:p>
        </w:tc>
      </w:tr>
      <w:tr w:rsidR="00C002ED" w:rsidRPr="00686966" w14:paraId="31E561D5"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B24292A" w14:textId="77777777" w:rsidR="00C002ED" w:rsidRPr="00686966" w:rsidRDefault="00C002ED" w:rsidP="00686966">
            <w:pPr>
              <w:pStyle w:val="TableHeading"/>
              <w:spacing w:before="0" w:after="0" w:line="240" w:lineRule="auto"/>
              <w:rPr>
                <w:szCs w:val="20"/>
              </w:rPr>
            </w:pPr>
            <w:r w:rsidRPr="00686966">
              <w:rPr>
                <w:szCs w:val="20"/>
              </w:rPr>
              <w:t>AveQ90:EC</w:t>
            </w:r>
          </w:p>
        </w:tc>
        <w:tc>
          <w:tcPr>
            <w:tcW w:w="0" w:type="auto"/>
            <w:vAlign w:val="center"/>
          </w:tcPr>
          <w:p w14:paraId="254C0886"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9.7e-03</w:t>
            </w:r>
          </w:p>
        </w:tc>
        <w:tc>
          <w:tcPr>
            <w:tcW w:w="0" w:type="auto"/>
            <w:vAlign w:val="center"/>
          </w:tcPr>
          <w:p w14:paraId="70EFD578"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2.6e-03</w:t>
            </w:r>
          </w:p>
        </w:tc>
        <w:tc>
          <w:tcPr>
            <w:tcW w:w="0" w:type="auto"/>
            <w:vAlign w:val="center"/>
          </w:tcPr>
          <w:p w14:paraId="3BDD3FCD"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&lt; 0.001</w:t>
            </w:r>
          </w:p>
        </w:tc>
      </w:tr>
      <w:tr w:rsidR="00C002ED" w:rsidRPr="00686966" w14:paraId="15747366" w14:textId="77777777" w:rsidTr="00610151">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47E6F15C" w14:textId="77777777" w:rsidR="00C002ED" w:rsidRPr="00686966" w:rsidRDefault="00C002ED" w:rsidP="00686966">
            <w:pPr>
              <w:pStyle w:val="TableHeading"/>
              <w:spacing w:before="0" w:after="0" w:line="240" w:lineRule="auto"/>
              <w:rPr>
                <w:szCs w:val="20"/>
              </w:rPr>
            </w:pPr>
            <w:r w:rsidRPr="00686966">
              <w:rPr>
                <w:szCs w:val="20"/>
              </w:rPr>
              <w:t>EC:FPA60</w:t>
            </w:r>
          </w:p>
        </w:tc>
        <w:tc>
          <w:tcPr>
            <w:tcW w:w="0" w:type="auto"/>
            <w:tcBorders>
              <w:bottom w:val="single" w:sz="4" w:space="0" w:color="auto"/>
            </w:tcBorders>
            <w:vAlign w:val="center"/>
          </w:tcPr>
          <w:p w14:paraId="01C62D1E"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-2.5e-06</w:t>
            </w:r>
          </w:p>
        </w:tc>
        <w:tc>
          <w:tcPr>
            <w:tcW w:w="0" w:type="auto"/>
            <w:tcBorders>
              <w:bottom w:val="single" w:sz="4" w:space="0" w:color="auto"/>
            </w:tcBorders>
            <w:vAlign w:val="center"/>
          </w:tcPr>
          <w:p w14:paraId="2ABD9172"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5.4e-07</w:t>
            </w:r>
          </w:p>
        </w:tc>
        <w:tc>
          <w:tcPr>
            <w:tcW w:w="0" w:type="auto"/>
            <w:tcBorders>
              <w:bottom w:val="single" w:sz="4" w:space="0" w:color="auto"/>
            </w:tcBorders>
            <w:vAlign w:val="center"/>
          </w:tcPr>
          <w:p w14:paraId="45818913"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&lt; 0.001</w:t>
            </w:r>
          </w:p>
        </w:tc>
      </w:tr>
    </w:tbl>
    <w:p w14:paraId="2F7BCD33" w14:textId="77777777" w:rsidR="00C002ED" w:rsidRDefault="00C002ED" w:rsidP="00C002ED">
      <w:pPr>
        <w:spacing w:before="0" w:after="160" w:line="259" w:lineRule="auto"/>
        <w:jc w:val="left"/>
        <w:rPr>
          <w:b/>
          <w:sz w:val="20"/>
        </w:rPr>
      </w:pPr>
      <w:r>
        <w:rPr>
          <w:b/>
          <w:sz w:val="20"/>
        </w:rPr>
        <w:br w:type="page"/>
      </w:r>
    </w:p>
    <w:p w14:paraId="3B7BD965" w14:textId="26D9DCB7" w:rsidR="00C002ED" w:rsidRPr="00825D39" w:rsidRDefault="00C002ED" w:rsidP="00C002ED">
      <w:pPr>
        <w:pStyle w:val="TableCaption"/>
      </w:pPr>
      <w:r w:rsidRPr="00825D39">
        <w:lastRenderedPageBreak/>
        <w:t>Table</w:t>
      </w:r>
      <w:bookmarkEnd w:id="611"/>
      <w:r>
        <w:t xml:space="preserve"> C</w:t>
      </w:r>
      <w:r w:rsidR="008865D1">
        <w:t>1</w:t>
      </w:r>
      <w:r w:rsidR="00FB33C3">
        <w:t>4</w:t>
      </w:r>
      <w:r>
        <w:t xml:space="preserve">. </w:t>
      </w:r>
      <w:r w:rsidRPr="00C011F2">
        <w:t>Results of</w:t>
      </w:r>
      <w:r>
        <w:t xml:space="preserve"> Gaussian</w:t>
      </w:r>
      <w:r w:rsidRPr="00C011F2">
        <w:t xml:space="preserve"> </w:t>
      </w:r>
      <w:r>
        <w:t xml:space="preserve">microinvertebrate </w:t>
      </w:r>
      <w:r w:rsidRPr="00C011F2">
        <w:t>taxonomic richness generalised linear model, showing selected predictors, estimated coefficients (Estimate), standard error in the coefficient estimate (std. Error) and Type I error probability (p-value).</w:t>
      </w:r>
      <w:r w:rsidRPr="003D739F">
        <w:t xml:space="preserve"> </w:t>
      </w:r>
      <w:r>
        <w:t>Flow data were log transformed prior to modelling. AveQ90 is the average flow over the previous 90 days. FPA60 quantifies the area of floodplain inundated over the last 60 days. (see Methods for full description of predictor calculation).</w:t>
      </w:r>
      <w:r w:rsidRPr="00C011F2">
        <w:t xml:space="preserve"> </w:t>
      </w:r>
      <w:r>
        <w:t>Gaussian distribution Shapiro-Wilk test W = 0.99, p-value = 0.17</w:t>
      </w:r>
      <w:r w:rsidRPr="00C011F2">
        <w:t>.</w:t>
      </w:r>
    </w:p>
    <w:tbl>
      <w:tblPr>
        <w:tblStyle w:val="GridTable1Light-Accent3"/>
        <w:tblW w:w="82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of results of Gaussian microinvertebrate taxonomic richness generalised linear model, showing selected predictors, estimated coefficients, standard error in the coefficient estimate and Type I error probability."/>
      </w:tblPr>
      <w:tblGrid>
        <w:gridCol w:w="3872"/>
        <w:gridCol w:w="1723"/>
        <w:gridCol w:w="1348"/>
        <w:gridCol w:w="1274"/>
      </w:tblGrid>
      <w:tr w:rsidR="00C002ED" w:rsidRPr="00686966" w14:paraId="58E47487" w14:textId="77777777" w:rsidTr="00686966">
        <w:trPr>
          <w:cnfStyle w:val="100000000000" w:firstRow="1" w:lastRow="0" w:firstColumn="0" w:lastColumn="0" w:oddVBand="0" w:evenVBand="0" w:oddHBand="0"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tcBorders>
            <w:vAlign w:val="center"/>
          </w:tcPr>
          <w:p w14:paraId="194FD68E" w14:textId="77777777" w:rsidR="00C002ED" w:rsidRPr="00686966" w:rsidRDefault="00C002ED" w:rsidP="00686966">
            <w:pPr>
              <w:pStyle w:val="TableHeading"/>
              <w:spacing w:before="0" w:after="0" w:line="240" w:lineRule="auto"/>
              <w:rPr>
                <w:b/>
                <w:bCs w:val="0"/>
                <w:szCs w:val="20"/>
              </w:rPr>
            </w:pPr>
            <w:r w:rsidRPr="00686966">
              <w:rPr>
                <w:b/>
                <w:bCs w:val="0"/>
                <w:szCs w:val="20"/>
              </w:rPr>
              <w:t>Predictor</w:t>
            </w:r>
          </w:p>
        </w:tc>
        <w:tc>
          <w:tcPr>
            <w:tcW w:w="0" w:type="dxa"/>
            <w:tcBorders>
              <w:top w:val="single" w:sz="4" w:space="0" w:color="auto"/>
              <w:bottom w:val="single" w:sz="4" w:space="0" w:color="auto"/>
            </w:tcBorders>
            <w:vAlign w:val="center"/>
          </w:tcPr>
          <w:p w14:paraId="26E6B76A" w14:textId="77777777" w:rsidR="00C002ED" w:rsidRPr="00686966" w:rsidRDefault="00C002ED" w:rsidP="00686966">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686966">
              <w:rPr>
                <w:b/>
                <w:bCs w:val="0"/>
                <w:szCs w:val="20"/>
              </w:rPr>
              <w:t>Estimate</w:t>
            </w:r>
          </w:p>
        </w:tc>
        <w:tc>
          <w:tcPr>
            <w:tcW w:w="0" w:type="dxa"/>
            <w:tcBorders>
              <w:top w:val="single" w:sz="4" w:space="0" w:color="auto"/>
              <w:bottom w:val="single" w:sz="4" w:space="0" w:color="auto"/>
            </w:tcBorders>
            <w:vAlign w:val="center"/>
          </w:tcPr>
          <w:p w14:paraId="7C172F53" w14:textId="77777777" w:rsidR="00C002ED" w:rsidRPr="00686966" w:rsidRDefault="00C002ED" w:rsidP="00686966">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686966">
              <w:rPr>
                <w:b/>
                <w:bCs w:val="0"/>
                <w:szCs w:val="20"/>
              </w:rPr>
              <w:t>Std. Error</w:t>
            </w:r>
          </w:p>
        </w:tc>
        <w:tc>
          <w:tcPr>
            <w:tcW w:w="0" w:type="dxa"/>
            <w:tcBorders>
              <w:top w:val="single" w:sz="4" w:space="0" w:color="auto"/>
              <w:bottom w:val="single" w:sz="4" w:space="0" w:color="auto"/>
            </w:tcBorders>
            <w:vAlign w:val="center"/>
          </w:tcPr>
          <w:p w14:paraId="207F90D8" w14:textId="77777777" w:rsidR="00C002ED" w:rsidRPr="00686966" w:rsidRDefault="00C002ED" w:rsidP="00686966">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i/>
                <w:iCs/>
                <w:szCs w:val="20"/>
              </w:rPr>
            </w:pPr>
            <w:r w:rsidRPr="00686966">
              <w:rPr>
                <w:b/>
                <w:bCs w:val="0"/>
                <w:i/>
                <w:iCs/>
                <w:szCs w:val="20"/>
              </w:rPr>
              <w:t>p-value</w:t>
            </w:r>
          </w:p>
        </w:tc>
      </w:tr>
      <w:tr w:rsidR="00C002ED" w:rsidRPr="00686966" w14:paraId="08452AD8"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tcBorders>
            <w:vAlign w:val="center"/>
          </w:tcPr>
          <w:p w14:paraId="4F573283" w14:textId="77777777" w:rsidR="00C002ED" w:rsidRPr="00686966" w:rsidRDefault="00C002ED" w:rsidP="00686966">
            <w:pPr>
              <w:pStyle w:val="TableHeading"/>
              <w:spacing w:before="0" w:after="0" w:line="240" w:lineRule="auto"/>
              <w:rPr>
                <w:szCs w:val="20"/>
              </w:rPr>
            </w:pPr>
            <w:r w:rsidRPr="00686966">
              <w:rPr>
                <w:szCs w:val="20"/>
              </w:rPr>
              <w:t>(Intercept)</w:t>
            </w:r>
          </w:p>
        </w:tc>
        <w:tc>
          <w:tcPr>
            <w:tcW w:w="0" w:type="dxa"/>
            <w:tcBorders>
              <w:top w:val="single" w:sz="4" w:space="0" w:color="auto"/>
            </w:tcBorders>
            <w:vAlign w:val="center"/>
          </w:tcPr>
          <w:p w14:paraId="5F39B2C4"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-130.7</w:t>
            </w:r>
          </w:p>
        </w:tc>
        <w:tc>
          <w:tcPr>
            <w:tcW w:w="0" w:type="dxa"/>
            <w:tcBorders>
              <w:top w:val="single" w:sz="4" w:space="0" w:color="auto"/>
            </w:tcBorders>
            <w:vAlign w:val="center"/>
          </w:tcPr>
          <w:p w14:paraId="438BE79D"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72.10</w:t>
            </w:r>
          </w:p>
        </w:tc>
        <w:tc>
          <w:tcPr>
            <w:tcW w:w="0" w:type="dxa"/>
            <w:tcBorders>
              <w:top w:val="single" w:sz="4" w:space="0" w:color="auto"/>
            </w:tcBorders>
            <w:vAlign w:val="center"/>
          </w:tcPr>
          <w:p w14:paraId="694146C7"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0.071</w:t>
            </w:r>
          </w:p>
        </w:tc>
      </w:tr>
      <w:tr w:rsidR="00C002ED" w:rsidRPr="00686966" w14:paraId="3AB666C5"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60895F2F" w14:textId="77777777" w:rsidR="00C002ED" w:rsidRPr="00686966" w:rsidRDefault="00C002ED" w:rsidP="00686966">
            <w:pPr>
              <w:pStyle w:val="TableHeading"/>
              <w:spacing w:before="0" w:after="0" w:line="240" w:lineRule="auto"/>
              <w:rPr>
                <w:szCs w:val="20"/>
              </w:rPr>
            </w:pPr>
            <w:r w:rsidRPr="00686966">
              <w:rPr>
                <w:szCs w:val="20"/>
              </w:rPr>
              <w:t>Average abundance</w:t>
            </w:r>
          </w:p>
        </w:tc>
        <w:tc>
          <w:tcPr>
            <w:tcW w:w="0" w:type="dxa"/>
            <w:vAlign w:val="center"/>
          </w:tcPr>
          <w:p w14:paraId="11156931"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3.8e-03</w:t>
            </w:r>
          </w:p>
        </w:tc>
        <w:tc>
          <w:tcPr>
            <w:tcW w:w="0" w:type="dxa"/>
            <w:vAlign w:val="center"/>
          </w:tcPr>
          <w:p w14:paraId="7D712B7A"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3.5e-04</w:t>
            </w:r>
          </w:p>
        </w:tc>
        <w:tc>
          <w:tcPr>
            <w:tcW w:w="0" w:type="dxa"/>
            <w:vAlign w:val="center"/>
          </w:tcPr>
          <w:p w14:paraId="799DEDBD"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&lt; 0.001</w:t>
            </w:r>
          </w:p>
        </w:tc>
      </w:tr>
      <w:tr w:rsidR="00C002ED" w:rsidRPr="00686966" w14:paraId="6B93A6A1"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029157D5" w14:textId="77777777" w:rsidR="00C002ED" w:rsidRPr="00686966" w:rsidRDefault="00C002ED" w:rsidP="00686966">
            <w:pPr>
              <w:pStyle w:val="TableHeading"/>
              <w:spacing w:before="0" w:after="0" w:line="240" w:lineRule="auto"/>
              <w:rPr>
                <w:szCs w:val="20"/>
              </w:rPr>
            </w:pPr>
            <w:r w:rsidRPr="00686966">
              <w:rPr>
                <w:szCs w:val="20"/>
              </w:rPr>
              <w:t>Water year [2015]</w:t>
            </w:r>
          </w:p>
        </w:tc>
        <w:tc>
          <w:tcPr>
            <w:tcW w:w="0" w:type="dxa"/>
            <w:vAlign w:val="center"/>
          </w:tcPr>
          <w:p w14:paraId="1CE325B4"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1.04</w:t>
            </w:r>
          </w:p>
        </w:tc>
        <w:tc>
          <w:tcPr>
            <w:tcW w:w="0" w:type="dxa"/>
            <w:vAlign w:val="center"/>
          </w:tcPr>
          <w:p w14:paraId="512A1B05"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0.91</w:t>
            </w:r>
          </w:p>
        </w:tc>
        <w:tc>
          <w:tcPr>
            <w:tcW w:w="0" w:type="dxa"/>
            <w:vAlign w:val="center"/>
          </w:tcPr>
          <w:p w14:paraId="575B7B3D"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0.254</w:t>
            </w:r>
          </w:p>
        </w:tc>
      </w:tr>
      <w:tr w:rsidR="00C002ED" w:rsidRPr="00686966" w14:paraId="77773728"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A6C55AB" w14:textId="77777777" w:rsidR="00C002ED" w:rsidRPr="00686966" w:rsidRDefault="00C002ED" w:rsidP="00686966">
            <w:pPr>
              <w:pStyle w:val="TableHeading"/>
              <w:spacing w:before="0" w:after="0" w:line="240" w:lineRule="auto"/>
              <w:rPr>
                <w:szCs w:val="20"/>
              </w:rPr>
            </w:pPr>
            <w:r w:rsidRPr="00686966">
              <w:rPr>
                <w:szCs w:val="20"/>
              </w:rPr>
              <w:t>Water year [2016]</w:t>
            </w:r>
          </w:p>
        </w:tc>
        <w:tc>
          <w:tcPr>
            <w:tcW w:w="0" w:type="dxa"/>
            <w:vAlign w:val="center"/>
          </w:tcPr>
          <w:p w14:paraId="491F393E"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3.46</w:t>
            </w:r>
          </w:p>
        </w:tc>
        <w:tc>
          <w:tcPr>
            <w:tcW w:w="0" w:type="dxa"/>
            <w:vAlign w:val="center"/>
          </w:tcPr>
          <w:p w14:paraId="4DE3DB3C"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2.74</w:t>
            </w:r>
          </w:p>
        </w:tc>
        <w:tc>
          <w:tcPr>
            <w:tcW w:w="0" w:type="dxa"/>
            <w:vAlign w:val="center"/>
          </w:tcPr>
          <w:p w14:paraId="395E7339"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0.208</w:t>
            </w:r>
          </w:p>
        </w:tc>
      </w:tr>
      <w:tr w:rsidR="00C002ED" w:rsidRPr="00686966" w14:paraId="7908E850"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338BF77D" w14:textId="77777777" w:rsidR="00C002ED" w:rsidRPr="00686966" w:rsidRDefault="00C002ED" w:rsidP="00686966">
            <w:pPr>
              <w:pStyle w:val="TableHeading"/>
              <w:spacing w:before="0" w:after="0" w:line="240" w:lineRule="auto"/>
              <w:rPr>
                <w:szCs w:val="20"/>
              </w:rPr>
            </w:pPr>
            <w:r w:rsidRPr="00686966">
              <w:rPr>
                <w:szCs w:val="20"/>
              </w:rPr>
              <w:t>Water year [2017]</w:t>
            </w:r>
          </w:p>
        </w:tc>
        <w:tc>
          <w:tcPr>
            <w:tcW w:w="0" w:type="dxa"/>
            <w:vAlign w:val="center"/>
          </w:tcPr>
          <w:p w14:paraId="1BA236ED"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-2.01</w:t>
            </w:r>
          </w:p>
        </w:tc>
        <w:tc>
          <w:tcPr>
            <w:tcW w:w="0" w:type="dxa"/>
            <w:vAlign w:val="center"/>
          </w:tcPr>
          <w:p w14:paraId="3921E4A2"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1.00</w:t>
            </w:r>
          </w:p>
        </w:tc>
        <w:tc>
          <w:tcPr>
            <w:tcW w:w="0" w:type="dxa"/>
            <w:vAlign w:val="center"/>
          </w:tcPr>
          <w:p w14:paraId="644D0014"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0.045</w:t>
            </w:r>
          </w:p>
        </w:tc>
      </w:tr>
      <w:tr w:rsidR="00C002ED" w:rsidRPr="00686966" w14:paraId="41BA2549"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65C5383A" w14:textId="77777777" w:rsidR="00C002ED" w:rsidRPr="00686966" w:rsidRDefault="00C002ED" w:rsidP="00686966">
            <w:pPr>
              <w:pStyle w:val="TableHeading"/>
              <w:spacing w:before="0" w:after="0" w:line="240" w:lineRule="auto"/>
              <w:rPr>
                <w:szCs w:val="20"/>
              </w:rPr>
            </w:pPr>
            <w:r w:rsidRPr="00686966">
              <w:rPr>
                <w:szCs w:val="20"/>
              </w:rPr>
              <w:t>Water year [2019]</w:t>
            </w:r>
          </w:p>
        </w:tc>
        <w:tc>
          <w:tcPr>
            <w:tcW w:w="0" w:type="dxa"/>
            <w:vAlign w:val="center"/>
          </w:tcPr>
          <w:p w14:paraId="5A0AE9F4"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-1.40</w:t>
            </w:r>
          </w:p>
        </w:tc>
        <w:tc>
          <w:tcPr>
            <w:tcW w:w="0" w:type="dxa"/>
            <w:vAlign w:val="center"/>
          </w:tcPr>
          <w:p w14:paraId="6FBE0A28"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1.41</w:t>
            </w:r>
          </w:p>
        </w:tc>
        <w:tc>
          <w:tcPr>
            <w:tcW w:w="0" w:type="dxa"/>
            <w:vAlign w:val="center"/>
          </w:tcPr>
          <w:p w14:paraId="68989C89"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0.322</w:t>
            </w:r>
          </w:p>
        </w:tc>
      </w:tr>
      <w:tr w:rsidR="00C002ED" w:rsidRPr="00686966" w14:paraId="12DBB4DD"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D35427B" w14:textId="77777777" w:rsidR="00C002ED" w:rsidRPr="00686966" w:rsidRDefault="00C002ED" w:rsidP="00686966">
            <w:pPr>
              <w:pStyle w:val="TableHeading"/>
              <w:spacing w:before="0" w:after="0" w:line="240" w:lineRule="auto"/>
              <w:rPr>
                <w:szCs w:val="20"/>
              </w:rPr>
            </w:pPr>
            <w:r w:rsidRPr="00686966">
              <w:rPr>
                <w:szCs w:val="20"/>
              </w:rPr>
              <w:t>Water year [2020]</w:t>
            </w:r>
          </w:p>
        </w:tc>
        <w:tc>
          <w:tcPr>
            <w:tcW w:w="0" w:type="dxa"/>
            <w:vAlign w:val="center"/>
          </w:tcPr>
          <w:p w14:paraId="1F441DCF"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-0.70</w:t>
            </w:r>
          </w:p>
        </w:tc>
        <w:tc>
          <w:tcPr>
            <w:tcW w:w="0" w:type="dxa"/>
            <w:vAlign w:val="center"/>
          </w:tcPr>
          <w:p w14:paraId="13385FB9"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1.30</w:t>
            </w:r>
          </w:p>
        </w:tc>
        <w:tc>
          <w:tcPr>
            <w:tcW w:w="0" w:type="dxa"/>
            <w:vAlign w:val="center"/>
          </w:tcPr>
          <w:p w14:paraId="74BD07A8"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0.594</w:t>
            </w:r>
          </w:p>
        </w:tc>
      </w:tr>
      <w:tr w:rsidR="00C002ED" w:rsidRPr="00686966" w14:paraId="7621807F"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1B64D71" w14:textId="77777777" w:rsidR="00C002ED" w:rsidRPr="00686966" w:rsidRDefault="00C002ED" w:rsidP="00686966">
            <w:pPr>
              <w:pStyle w:val="TableHeading"/>
              <w:spacing w:before="0" w:after="0" w:line="240" w:lineRule="auto"/>
              <w:rPr>
                <w:szCs w:val="20"/>
              </w:rPr>
            </w:pPr>
            <w:r w:rsidRPr="00686966">
              <w:rPr>
                <w:szCs w:val="20"/>
              </w:rPr>
              <w:t>Water year [2021]</w:t>
            </w:r>
          </w:p>
        </w:tc>
        <w:tc>
          <w:tcPr>
            <w:tcW w:w="0" w:type="dxa"/>
            <w:vAlign w:val="center"/>
          </w:tcPr>
          <w:p w14:paraId="19C5A2A6"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-2.81</w:t>
            </w:r>
          </w:p>
        </w:tc>
        <w:tc>
          <w:tcPr>
            <w:tcW w:w="0" w:type="dxa"/>
            <w:vAlign w:val="center"/>
          </w:tcPr>
          <w:p w14:paraId="4DFD6F6E"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2.37</w:t>
            </w:r>
          </w:p>
        </w:tc>
        <w:tc>
          <w:tcPr>
            <w:tcW w:w="0" w:type="dxa"/>
            <w:vAlign w:val="center"/>
          </w:tcPr>
          <w:p w14:paraId="0EA8A07C"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0.236</w:t>
            </w:r>
          </w:p>
        </w:tc>
      </w:tr>
      <w:tr w:rsidR="00C002ED" w:rsidRPr="00686966" w14:paraId="48D2CD6B"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7E4B84F7" w14:textId="77777777" w:rsidR="00C002ED" w:rsidRPr="00686966" w:rsidRDefault="00C002ED" w:rsidP="00686966">
            <w:pPr>
              <w:pStyle w:val="TableHeading"/>
              <w:spacing w:before="0" w:after="0" w:line="240" w:lineRule="auto"/>
              <w:rPr>
                <w:szCs w:val="20"/>
              </w:rPr>
            </w:pPr>
            <w:r w:rsidRPr="00686966">
              <w:rPr>
                <w:szCs w:val="20"/>
              </w:rPr>
              <w:t>Water year [2022]</w:t>
            </w:r>
          </w:p>
        </w:tc>
        <w:tc>
          <w:tcPr>
            <w:tcW w:w="0" w:type="dxa"/>
            <w:vAlign w:val="center"/>
          </w:tcPr>
          <w:p w14:paraId="3238E93F"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9.88</w:t>
            </w:r>
          </w:p>
        </w:tc>
        <w:tc>
          <w:tcPr>
            <w:tcW w:w="0" w:type="dxa"/>
            <w:vAlign w:val="center"/>
          </w:tcPr>
          <w:p w14:paraId="4C58F6EB"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3.47</w:t>
            </w:r>
          </w:p>
        </w:tc>
        <w:tc>
          <w:tcPr>
            <w:tcW w:w="0" w:type="dxa"/>
            <w:vAlign w:val="center"/>
          </w:tcPr>
          <w:p w14:paraId="0C0577D5"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0.005</w:t>
            </w:r>
          </w:p>
        </w:tc>
      </w:tr>
      <w:tr w:rsidR="00C002ED" w:rsidRPr="00686966" w14:paraId="5C1CD606"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5A1F4DB2" w14:textId="77777777" w:rsidR="00C002ED" w:rsidRPr="00686966" w:rsidRDefault="00C002ED" w:rsidP="00686966">
            <w:pPr>
              <w:pStyle w:val="TableHeading"/>
              <w:spacing w:before="0" w:after="0" w:line="240" w:lineRule="auto"/>
              <w:rPr>
                <w:szCs w:val="20"/>
              </w:rPr>
            </w:pPr>
            <w:r w:rsidRPr="00686966">
              <w:rPr>
                <w:szCs w:val="20"/>
              </w:rPr>
              <w:t>Water year [2023]</w:t>
            </w:r>
          </w:p>
        </w:tc>
        <w:tc>
          <w:tcPr>
            <w:tcW w:w="0" w:type="dxa"/>
            <w:vAlign w:val="center"/>
          </w:tcPr>
          <w:p w14:paraId="7DF49EF8"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-0.07</w:t>
            </w:r>
          </w:p>
        </w:tc>
        <w:tc>
          <w:tcPr>
            <w:tcW w:w="0" w:type="dxa"/>
            <w:vAlign w:val="center"/>
          </w:tcPr>
          <w:p w14:paraId="2C839338"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2.58</w:t>
            </w:r>
          </w:p>
        </w:tc>
        <w:tc>
          <w:tcPr>
            <w:tcW w:w="0" w:type="dxa"/>
            <w:vAlign w:val="center"/>
          </w:tcPr>
          <w:p w14:paraId="4EB3A063"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0.979</w:t>
            </w:r>
          </w:p>
        </w:tc>
      </w:tr>
      <w:tr w:rsidR="00C002ED" w:rsidRPr="00686966" w14:paraId="51CF4FF3"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594B78C6" w14:textId="77777777" w:rsidR="00C002ED" w:rsidRPr="00686966" w:rsidRDefault="00C002ED" w:rsidP="00686966">
            <w:pPr>
              <w:pStyle w:val="TableHeading"/>
              <w:spacing w:before="0" w:after="0" w:line="240" w:lineRule="auto"/>
              <w:rPr>
                <w:szCs w:val="20"/>
              </w:rPr>
            </w:pPr>
            <w:r w:rsidRPr="00686966">
              <w:rPr>
                <w:szCs w:val="20"/>
              </w:rPr>
              <w:t>Mean daily flow (ML/d)</w:t>
            </w:r>
          </w:p>
        </w:tc>
        <w:tc>
          <w:tcPr>
            <w:tcW w:w="0" w:type="dxa"/>
            <w:vAlign w:val="center"/>
          </w:tcPr>
          <w:p w14:paraId="3F65208B"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-11.53</w:t>
            </w:r>
          </w:p>
        </w:tc>
        <w:tc>
          <w:tcPr>
            <w:tcW w:w="0" w:type="dxa"/>
            <w:vAlign w:val="center"/>
          </w:tcPr>
          <w:p w14:paraId="259E3B75"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6.26</w:t>
            </w:r>
          </w:p>
        </w:tc>
        <w:tc>
          <w:tcPr>
            <w:tcW w:w="0" w:type="dxa"/>
            <w:vAlign w:val="center"/>
          </w:tcPr>
          <w:p w14:paraId="425BAB81"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0.067</w:t>
            </w:r>
          </w:p>
        </w:tc>
      </w:tr>
      <w:tr w:rsidR="00C002ED" w:rsidRPr="00686966" w14:paraId="57AAEBD6"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93B002F" w14:textId="77777777" w:rsidR="00C002ED" w:rsidRPr="00686966" w:rsidRDefault="00C002ED" w:rsidP="00686966">
            <w:pPr>
              <w:pStyle w:val="TableHeading"/>
              <w:spacing w:before="0" w:after="0" w:line="240" w:lineRule="auto"/>
              <w:rPr>
                <w:szCs w:val="20"/>
              </w:rPr>
            </w:pPr>
            <w:r w:rsidRPr="00686966">
              <w:rPr>
                <w:szCs w:val="20"/>
              </w:rPr>
              <w:t>Long-term average flow (AveQ90)</w:t>
            </w:r>
          </w:p>
        </w:tc>
        <w:tc>
          <w:tcPr>
            <w:tcW w:w="0" w:type="dxa"/>
            <w:vAlign w:val="center"/>
          </w:tcPr>
          <w:p w14:paraId="0782DBED"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45.42</w:t>
            </w:r>
          </w:p>
        </w:tc>
        <w:tc>
          <w:tcPr>
            <w:tcW w:w="0" w:type="dxa"/>
            <w:vAlign w:val="center"/>
          </w:tcPr>
          <w:p w14:paraId="423BC633"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11.09</w:t>
            </w:r>
          </w:p>
        </w:tc>
        <w:tc>
          <w:tcPr>
            <w:tcW w:w="0" w:type="dxa"/>
            <w:vAlign w:val="center"/>
          </w:tcPr>
          <w:p w14:paraId="0A2F67B9"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&lt; 0.001</w:t>
            </w:r>
          </w:p>
        </w:tc>
      </w:tr>
      <w:tr w:rsidR="00C002ED" w:rsidRPr="00686966" w14:paraId="18508AEE"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53266375" w14:textId="77777777" w:rsidR="00C002ED" w:rsidRPr="00686966" w:rsidRDefault="00C002ED" w:rsidP="00686966">
            <w:pPr>
              <w:pStyle w:val="TableHeading"/>
              <w:spacing w:before="0" w:after="0" w:line="240" w:lineRule="auto"/>
              <w:rPr>
                <w:szCs w:val="20"/>
              </w:rPr>
            </w:pPr>
            <w:r w:rsidRPr="00686966">
              <w:rPr>
                <w:szCs w:val="20"/>
              </w:rPr>
              <w:t>Temperature</w:t>
            </w:r>
          </w:p>
        </w:tc>
        <w:tc>
          <w:tcPr>
            <w:tcW w:w="0" w:type="dxa"/>
            <w:vAlign w:val="center"/>
          </w:tcPr>
          <w:p w14:paraId="02C25CDE"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-1.59</w:t>
            </w:r>
          </w:p>
        </w:tc>
        <w:tc>
          <w:tcPr>
            <w:tcW w:w="0" w:type="dxa"/>
            <w:vAlign w:val="center"/>
          </w:tcPr>
          <w:p w14:paraId="7571708F"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1.28</w:t>
            </w:r>
          </w:p>
        </w:tc>
        <w:tc>
          <w:tcPr>
            <w:tcW w:w="0" w:type="dxa"/>
            <w:vAlign w:val="center"/>
          </w:tcPr>
          <w:p w14:paraId="1BF81BD5"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0.218</w:t>
            </w:r>
          </w:p>
        </w:tc>
      </w:tr>
      <w:tr w:rsidR="00C002ED" w:rsidRPr="00686966" w14:paraId="7155E486"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64EE8A0D" w14:textId="77777777" w:rsidR="00C002ED" w:rsidRPr="00686966" w:rsidRDefault="00C002ED" w:rsidP="00686966">
            <w:pPr>
              <w:pStyle w:val="TableHeading"/>
              <w:spacing w:before="0" w:after="0" w:line="240" w:lineRule="auto"/>
              <w:rPr>
                <w:szCs w:val="20"/>
              </w:rPr>
            </w:pPr>
            <w:r w:rsidRPr="00686966">
              <w:rPr>
                <w:szCs w:val="20"/>
              </w:rPr>
              <w:t>Electrical conductivity (EC)</w:t>
            </w:r>
          </w:p>
        </w:tc>
        <w:tc>
          <w:tcPr>
            <w:tcW w:w="0" w:type="dxa"/>
            <w:vAlign w:val="center"/>
          </w:tcPr>
          <w:p w14:paraId="2E32FA67"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-0.04</w:t>
            </w:r>
          </w:p>
        </w:tc>
        <w:tc>
          <w:tcPr>
            <w:tcW w:w="0" w:type="dxa"/>
            <w:vAlign w:val="center"/>
          </w:tcPr>
          <w:p w14:paraId="74BD078C"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9.97e-03</w:t>
            </w:r>
          </w:p>
        </w:tc>
        <w:tc>
          <w:tcPr>
            <w:tcW w:w="0" w:type="dxa"/>
            <w:vAlign w:val="center"/>
          </w:tcPr>
          <w:p w14:paraId="12D786AA"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&lt; 0.001</w:t>
            </w:r>
          </w:p>
        </w:tc>
      </w:tr>
      <w:tr w:rsidR="00C002ED" w:rsidRPr="00686966" w14:paraId="2DC1045B"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072CCE70" w14:textId="77777777" w:rsidR="00C002ED" w:rsidRPr="00686966" w:rsidRDefault="00C002ED" w:rsidP="00686966">
            <w:pPr>
              <w:pStyle w:val="TableHeading"/>
              <w:spacing w:before="0" w:after="0" w:line="240" w:lineRule="auto"/>
              <w:rPr>
                <w:szCs w:val="20"/>
              </w:rPr>
            </w:pPr>
            <w:r w:rsidRPr="00686966">
              <w:rPr>
                <w:szCs w:val="20"/>
              </w:rPr>
              <w:t>10-day flow trend (dQ10)</w:t>
            </w:r>
          </w:p>
        </w:tc>
        <w:tc>
          <w:tcPr>
            <w:tcW w:w="0" w:type="dxa"/>
            <w:vAlign w:val="center"/>
          </w:tcPr>
          <w:p w14:paraId="5CF84593"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58.69</w:t>
            </w:r>
          </w:p>
        </w:tc>
        <w:tc>
          <w:tcPr>
            <w:tcW w:w="0" w:type="dxa"/>
            <w:vAlign w:val="center"/>
          </w:tcPr>
          <w:p w14:paraId="3B91FCA8"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14.56</w:t>
            </w:r>
          </w:p>
        </w:tc>
        <w:tc>
          <w:tcPr>
            <w:tcW w:w="0" w:type="dxa"/>
            <w:vAlign w:val="center"/>
          </w:tcPr>
          <w:p w14:paraId="6A969437"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&lt; 0.001</w:t>
            </w:r>
          </w:p>
        </w:tc>
      </w:tr>
      <w:tr w:rsidR="00C002ED" w:rsidRPr="00686966" w14:paraId="152D12CE"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60D0F2FE" w14:textId="77777777" w:rsidR="00C002ED" w:rsidRPr="00686966" w:rsidRDefault="00C002ED" w:rsidP="00686966">
            <w:pPr>
              <w:pStyle w:val="TableHeading"/>
              <w:spacing w:before="0" w:after="0" w:line="240" w:lineRule="auto"/>
              <w:rPr>
                <w:szCs w:val="20"/>
              </w:rPr>
            </w:pPr>
            <w:r w:rsidRPr="00686966">
              <w:rPr>
                <w:szCs w:val="20"/>
              </w:rPr>
              <w:t>FPA60</w:t>
            </w:r>
          </w:p>
        </w:tc>
        <w:tc>
          <w:tcPr>
            <w:tcW w:w="0" w:type="dxa"/>
            <w:vAlign w:val="center"/>
          </w:tcPr>
          <w:p w14:paraId="4B06F59B"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4.3e-04</w:t>
            </w:r>
          </w:p>
        </w:tc>
        <w:tc>
          <w:tcPr>
            <w:tcW w:w="0" w:type="dxa"/>
            <w:vAlign w:val="center"/>
          </w:tcPr>
          <w:p w14:paraId="65091465"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2.8e-03</w:t>
            </w:r>
          </w:p>
        </w:tc>
        <w:tc>
          <w:tcPr>
            <w:tcW w:w="0" w:type="dxa"/>
            <w:vAlign w:val="center"/>
          </w:tcPr>
          <w:p w14:paraId="286065C6"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0.879</w:t>
            </w:r>
          </w:p>
        </w:tc>
      </w:tr>
      <w:tr w:rsidR="00C002ED" w:rsidRPr="00686966" w14:paraId="19DF4C2F"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7D373350" w14:textId="77777777" w:rsidR="00C002ED" w:rsidRPr="00686966" w:rsidRDefault="00C002ED" w:rsidP="00686966">
            <w:pPr>
              <w:pStyle w:val="TableHeading"/>
              <w:spacing w:before="0" w:after="0" w:line="240" w:lineRule="auto"/>
              <w:rPr>
                <w:szCs w:val="20"/>
              </w:rPr>
            </w:pPr>
            <w:r w:rsidRPr="00686966">
              <w:rPr>
                <w:szCs w:val="20"/>
              </w:rPr>
              <w:t>Mean daily flow:AveQ90</w:t>
            </w:r>
          </w:p>
        </w:tc>
        <w:tc>
          <w:tcPr>
            <w:tcW w:w="0" w:type="dxa"/>
            <w:vAlign w:val="center"/>
          </w:tcPr>
          <w:p w14:paraId="49B87308"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-2.16</w:t>
            </w:r>
          </w:p>
        </w:tc>
        <w:tc>
          <w:tcPr>
            <w:tcW w:w="0" w:type="dxa"/>
            <w:vAlign w:val="center"/>
          </w:tcPr>
          <w:p w14:paraId="4421D432"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0.69</w:t>
            </w:r>
          </w:p>
        </w:tc>
        <w:tc>
          <w:tcPr>
            <w:tcW w:w="0" w:type="dxa"/>
            <w:vAlign w:val="center"/>
          </w:tcPr>
          <w:p w14:paraId="60D65748"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0.002</w:t>
            </w:r>
          </w:p>
        </w:tc>
      </w:tr>
      <w:tr w:rsidR="00C002ED" w:rsidRPr="00686966" w14:paraId="19EC8A9D"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67A778D" w14:textId="77777777" w:rsidR="00C002ED" w:rsidRPr="00686966" w:rsidRDefault="00C002ED" w:rsidP="00686966">
            <w:pPr>
              <w:pStyle w:val="TableHeading"/>
              <w:spacing w:before="0" w:after="0" w:line="240" w:lineRule="auto"/>
              <w:rPr>
                <w:szCs w:val="20"/>
              </w:rPr>
            </w:pPr>
            <w:r w:rsidRPr="00686966">
              <w:rPr>
                <w:szCs w:val="20"/>
              </w:rPr>
              <w:t>Mean daily flow:Temperature</w:t>
            </w:r>
          </w:p>
        </w:tc>
        <w:tc>
          <w:tcPr>
            <w:tcW w:w="0" w:type="dxa"/>
            <w:vAlign w:val="center"/>
          </w:tcPr>
          <w:p w14:paraId="434912D8"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1.24</w:t>
            </w:r>
          </w:p>
        </w:tc>
        <w:tc>
          <w:tcPr>
            <w:tcW w:w="0" w:type="dxa"/>
            <w:vAlign w:val="center"/>
          </w:tcPr>
          <w:p w14:paraId="6564D244"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0.24</w:t>
            </w:r>
          </w:p>
        </w:tc>
        <w:tc>
          <w:tcPr>
            <w:tcW w:w="0" w:type="dxa"/>
            <w:vAlign w:val="center"/>
          </w:tcPr>
          <w:p w14:paraId="67E366D3"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&lt; 0.001</w:t>
            </w:r>
          </w:p>
        </w:tc>
      </w:tr>
      <w:tr w:rsidR="00C002ED" w:rsidRPr="00686966" w14:paraId="05B55F83"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28E7A56" w14:textId="77777777" w:rsidR="00C002ED" w:rsidRPr="00686966" w:rsidDel="007A3B35" w:rsidRDefault="00C002ED" w:rsidP="00686966">
            <w:pPr>
              <w:pStyle w:val="TableHeading"/>
              <w:spacing w:before="0" w:after="0" w:line="240" w:lineRule="auto"/>
              <w:rPr>
                <w:szCs w:val="20"/>
              </w:rPr>
            </w:pPr>
            <w:r w:rsidRPr="00686966">
              <w:rPr>
                <w:szCs w:val="20"/>
              </w:rPr>
              <w:t>Mean daily flow:dQ10</w:t>
            </w:r>
          </w:p>
        </w:tc>
        <w:tc>
          <w:tcPr>
            <w:tcW w:w="0" w:type="dxa"/>
            <w:vAlign w:val="center"/>
          </w:tcPr>
          <w:p w14:paraId="4EF7EBCA"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2.86</w:t>
            </w:r>
          </w:p>
        </w:tc>
        <w:tc>
          <w:tcPr>
            <w:tcW w:w="0" w:type="dxa"/>
            <w:vAlign w:val="center"/>
          </w:tcPr>
          <w:p w14:paraId="181D8737"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1.64</w:t>
            </w:r>
          </w:p>
        </w:tc>
        <w:tc>
          <w:tcPr>
            <w:tcW w:w="0" w:type="dxa"/>
            <w:vAlign w:val="center"/>
          </w:tcPr>
          <w:p w14:paraId="3FD912DC"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0.082</w:t>
            </w:r>
          </w:p>
        </w:tc>
      </w:tr>
      <w:tr w:rsidR="00C002ED" w:rsidRPr="00686966" w14:paraId="5B282DDA"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A1DD30C" w14:textId="77777777" w:rsidR="00C002ED" w:rsidRPr="00686966" w:rsidRDefault="00C002ED" w:rsidP="00686966">
            <w:pPr>
              <w:pStyle w:val="TableHeading"/>
              <w:spacing w:before="0" w:after="0" w:line="240" w:lineRule="auto"/>
              <w:rPr>
                <w:szCs w:val="20"/>
              </w:rPr>
            </w:pPr>
            <w:r w:rsidRPr="00686966">
              <w:rPr>
                <w:szCs w:val="20"/>
              </w:rPr>
              <w:t>Mean daily flow:FPA60</w:t>
            </w:r>
          </w:p>
        </w:tc>
        <w:tc>
          <w:tcPr>
            <w:tcW w:w="0" w:type="dxa"/>
            <w:vAlign w:val="center"/>
          </w:tcPr>
          <w:p w14:paraId="05363E84"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1.2e-03</w:t>
            </w:r>
          </w:p>
        </w:tc>
        <w:tc>
          <w:tcPr>
            <w:tcW w:w="0" w:type="dxa"/>
            <w:vAlign w:val="center"/>
          </w:tcPr>
          <w:p w14:paraId="0D09088D"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3.9e-04</w:t>
            </w:r>
          </w:p>
        </w:tc>
        <w:tc>
          <w:tcPr>
            <w:tcW w:w="0" w:type="dxa"/>
            <w:vAlign w:val="center"/>
          </w:tcPr>
          <w:p w14:paraId="2E99BE59"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0.002</w:t>
            </w:r>
          </w:p>
        </w:tc>
      </w:tr>
      <w:tr w:rsidR="00C002ED" w:rsidRPr="00686966" w14:paraId="62EF691F"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F73F603" w14:textId="77777777" w:rsidR="00C002ED" w:rsidRPr="00686966" w:rsidRDefault="00C002ED" w:rsidP="00686966">
            <w:pPr>
              <w:pStyle w:val="TableHeading"/>
              <w:spacing w:before="0" w:after="0" w:line="240" w:lineRule="auto"/>
              <w:rPr>
                <w:szCs w:val="20"/>
              </w:rPr>
            </w:pPr>
            <w:r w:rsidRPr="00686966">
              <w:rPr>
                <w:szCs w:val="20"/>
              </w:rPr>
              <w:t>AveQ90:Temperature</w:t>
            </w:r>
          </w:p>
        </w:tc>
        <w:tc>
          <w:tcPr>
            <w:tcW w:w="0" w:type="dxa"/>
            <w:vAlign w:val="center"/>
          </w:tcPr>
          <w:p w14:paraId="0EB1A78F"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-0.94</w:t>
            </w:r>
          </w:p>
        </w:tc>
        <w:tc>
          <w:tcPr>
            <w:tcW w:w="0" w:type="dxa"/>
            <w:vAlign w:val="center"/>
          </w:tcPr>
          <w:p w14:paraId="5075E3F4"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0.27</w:t>
            </w:r>
          </w:p>
        </w:tc>
        <w:tc>
          <w:tcPr>
            <w:tcW w:w="0" w:type="dxa"/>
            <w:vAlign w:val="center"/>
          </w:tcPr>
          <w:p w14:paraId="55B6DAA9"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&lt; 0.001</w:t>
            </w:r>
          </w:p>
        </w:tc>
      </w:tr>
      <w:tr w:rsidR="00C002ED" w:rsidRPr="00686966" w14:paraId="0A69AF35"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5A0C167" w14:textId="77777777" w:rsidR="00C002ED" w:rsidRPr="00686966" w:rsidRDefault="00C002ED" w:rsidP="00686966">
            <w:pPr>
              <w:pStyle w:val="TableHeading"/>
              <w:spacing w:before="0" w:after="0" w:line="240" w:lineRule="auto"/>
              <w:rPr>
                <w:szCs w:val="20"/>
              </w:rPr>
            </w:pPr>
            <w:r w:rsidRPr="00686966">
              <w:rPr>
                <w:szCs w:val="20"/>
              </w:rPr>
              <w:t>AveQ90:dQ10</w:t>
            </w:r>
          </w:p>
        </w:tc>
        <w:tc>
          <w:tcPr>
            <w:tcW w:w="0" w:type="dxa"/>
            <w:vAlign w:val="center"/>
          </w:tcPr>
          <w:p w14:paraId="5328388D"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-9.46</w:t>
            </w:r>
          </w:p>
        </w:tc>
        <w:tc>
          <w:tcPr>
            <w:tcW w:w="0" w:type="dxa"/>
            <w:vAlign w:val="center"/>
          </w:tcPr>
          <w:p w14:paraId="490E5289"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2.08</w:t>
            </w:r>
          </w:p>
        </w:tc>
        <w:tc>
          <w:tcPr>
            <w:tcW w:w="0" w:type="dxa"/>
            <w:vAlign w:val="center"/>
          </w:tcPr>
          <w:p w14:paraId="45813F64"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&lt; 0.001</w:t>
            </w:r>
          </w:p>
        </w:tc>
      </w:tr>
      <w:tr w:rsidR="00C002ED" w:rsidRPr="00686966" w14:paraId="4E513342"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373297F" w14:textId="77777777" w:rsidR="00C002ED" w:rsidRPr="00686966" w:rsidRDefault="00C002ED" w:rsidP="00686966">
            <w:pPr>
              <w:pStyle w:val="TableHeading"/>
              <w:spacing w:before="0" w:after="0" w:line="240" w:lineRule="auto"/>
              <w:rPr>
                <w:szCs w:val="20"/>
              </w:rPr>
            </w:pPr>
            <w:r w:rsidRPr="00686966">
              <w:rPr>
                <w:szCs w:val="20"/>
              </w:rPr>
              <w:t>AveQ90:FPA60</w:t>
            </w:r>
          </w:p>
        </w:tc>
        <w:tc>
          <w:tcPr>
            <w:tcW w:w="0" w:type="dxa"/>
            <w:vAlign w:val="center"/>
          </w:tcPr>
          <w:p w14:paraId="440BAB2D"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-9.9e-04</w:t>
            </w:r>
          </w:p>
        </w:tc>
        <w:tc>
          <w:tcPr>
            <w:tcW w:w="0" w:type="dxa"/>
            <w:vAlign w:val="center"/>
          </w:tcPr>
          <w:p w14:paraId="0EB2C67A"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4.2e-04</w:t>
            </w:r>
          </w:p>
        </w:tc>
        <w:tc>
          <w:tcPr>
            <w:tcW w:w="0" w:type="dxa"/>
            <w:vAlign w:val="center"/>
          </w:tcPr>
          <w:p w14:paraId="7B74E3B9"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0.018</w:t>
            </w:r>
          </w:p>
        </w:tc>
      </w:tr>
      <w:tr w:rsidR="00C002ED" w:rsidRPr="00686966" w14:paraId="543FA806"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C2838FB" w14:textId="77777777" w:rsidR="00C002ED" w:rsidRPr="00686966" w:rsidRDefault="00C002ED" w:rsidP="00686966">
            <w:pPr>
              <w:pStyle w:val="TableHeading"/>
              <w:spacing w:before="0" w:after="0" w:line="240" w:lineRule="auto"/>
              <w:rPr>
                <w:szCs w:val="20"/>
              </w:rPr>
            </w:pPr>
            <w:r w:rsidRPr="00686966">
              <w:rPr>
                <w:szCs w:val="20"/>
              </w:rPr>
              <w:t>Temperature:FPA60</w:t>
            </w:r>
          </w:p>
        </w:tc>
        <w:tc>
          <w:tcPr>
            <w:tcW w:w="0" w:type="dxa"/>
            <w:vAlign w:val="center"/>
          </w:tcPr>
          <w:p w14:paraId="4E1EAC08"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-1.2e-04</w:t>
            </w:r>
          </w:p>
        </w:tc>
        <w:tc>
          <w:tcPr>
            <w:tcW w:w="0" w:type="dxa"/>
            <w:vAlign w:val="center"/>
          </w:tcPr>
          <w:p w14:paraId="09BA8740"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7.4e-05</w:t>
            </w:r>
          </w:p>
        </w:tc>
        <w:tc>
          <w:tcPr>
            <w:tcW w:w="0" w:type="dxa"/>
            <w:vAlign w:val="center"/>
          </w:tcPr>
          <w:p w14:paraId="53E35BA5"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0.102</w:t>
            </w:r>
          </w:p>
        </w:tc>
      </w:tr>
      <w:tr w:rsidR="00C002ED" w:rsidRPr="00686966" w14:paraId="4FBC935A" w14:textId="77777777" w:rsidTr="00686966">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vAlign w:val="center"/>
          </w:tcPr>
          <w:p w14:paraId="291DDB47" w14:textId="77777777" w:rsidR="00C002ED" w:rsidRPr="00686966" w:rsidRDefault="00C002ED" w:rsidP="00686966">
            <w:pPr>
              <w:pStyle w:val="TableHeading"/>
              <w:spacing w:before="0" w:after="0" w:line="240" w:lineRule="auto"/>
              <w:rPr>
                <w:szCs w:val="20"/>
              </w:rPr>
            </w:pPr>
            <w:r w:rsidRPr="00686966">
              <w:rPr>
                <w:szCs w:val="20"/>
              </w:rPr>
              <w:t>dQ10:FPA60</w:t>
            </w:r>
          </w:p>
        </w:tc>
        <w:tc>
          <w:tcPr>
            <w:tcW w:w="0" w:type="dxa"/>
            <w:tcBorders>
              <w:bottom w:val="single" w:sz="4" w:space="0" w:color="auto"/>
            </w:tcBorders>
            <w:vAlign w:val="center"/>
          </w:tcPr>
          <w:p w14:paraId="7971F840"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1.7e-03</w:t>
            </w:r>
          </w:p>
        </w:tc>
        <w:tc>
          <w:tcPr>
            <w:tcW w:w="0" w:type="dxa"/>
            <w:tcBorders>
              <w:bottom w:val="single" w:sz="4" w:space="0" w:color="auto"/>
            </w:tcBorders>
            <w:vAlign w:val="center"/>
          </w:tcPr>
          <w:p w14:paraId="244D97B4"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8.6e-04</w:t>
            </w:r>
          </w:p>
        </w:tc>
        <w:tc>
          <w:tcPr>
            <w:tcW w:w="0" w:type="dxa"/>
            <w:tcBorders>
              <w:bottom w:val="single" w:sz="4" w:space="0" w:color="auto"/>
            </w:tcBorders>
            <w:vAlign w:val="center"/>
          </w:tcPr>
          <w:p w14:paraId="4FC18FF5" w14:textId="77777777" w:rsidR="00C002ED" w:rsidRPr="00686966" w:rsidRDefault="00C002ED" w:rsidP="00686966">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686966">
              <w:rPr>
                <w:szCs w:val="20"/>
              </w:rPr>
              <w:t>0.045</w:t>
            </w:r>
          </w:p>
        </w:tc>
      </w:tr>
    </w:tbl>
    <w:p w14:paraId="106DCC60" w14:textId="77777777" w:rsidR="00C002ED" w:rsidRDefault="00C002ED" w:rsidP="00C002ED">
      <w:pPr>
        <w:pStyle w:val="TableCaption"/>
        <w:rPr>
          <w:noProof/>
          <w:highlight w:val="yellow"/>
          <w:lang w:eastAsia="en-AU"/>
        </w:rPr>
      </w:pPr>
    </w:p>
    <w:p w14:paraId="5F4628D5" w14:textId="77777777" w:rsidR="00C002ED" w:rsidRDefault="00C002ED" w:rsidP="00C002ED">
      <w:pPr>
        <w:spacing w:before="0" w:after="160" w:line="259" w:lineRule="auto"/>
        <w:jc w:val="left"/>
        <w:rPr>
          <w:noProof/>
          <w:highlight w:val="yellow"/>
          <w:lang w:eastAsia="en-AU"/>
        </w:rPr>
      </w:pPr>
      <w:r>
        <w:rPr>
          <w:noProof/>
          <w:highlight w:val="yellow"/>
          <w:lang w:eastAsia="en-AU"/>
        </w:rPr>
        <w:br w:type="page"/>
      </w:r>
    </w:p>
    <w:p w14:paraId="219968CB" w14:textId="6A8FF78D" w:rsidR="00C002ED" w:rsidRDefault="00C002ED" w:rsidP="00C002ED">
      <w:pPr>
        <w:pStyle w:val="TableHeading"/>
      </w:pPr>
      <w:r>
        <w:lastRenderedPageBreak/>
        <w:t>Table C</w:t>
      </w:r>
      <w:r w:rsidR="008865D1">
        <w:t>1</w:t>
      </w:r>
      <w:r w:rsidR="00FB33C3">
        <w:t>5</w:t>
      </w:r>
      <w:r>
        <w:t xml:space="preserve">. </w:t>
      </w:r>
      <w:r w:rsidRPr="00830EF3">
        <w:t xml:space="preserve">Results of negative binomial generalised linear model for </w:t>
      </w:r>
      <w:r>
        <w:t>microinvertebrate density</w:t>
      </w:r>
      <w:r w:rsidRPr="00830EF3">
        <w:t xml:space="preserve"> (individuals per litre) </w:t>
      </w:r>
      <w:r>
        <w:t xml:space="preserve">of taxa dependent upon lateral connectivity </w:t>
      </w:r>
      <w:r w:rsidRPr="00830EF3">
        <w:t>showing selected predictors, estimated coefficients (Estimate), standard errors in estimation (std.Error) and Type I Error probability (p-value</w:t>
      </w:r>
      <w:r w:rsidRPr="003D739F">
        <w:t xml:space="preserve"> </w:t>
      </w:r>
      <w:r>
        <w:t xml:space="preserve">Flow data were log transformed prior to modelling. AveQ90 is the average flow over the previous 90 days. FPA28 quantifies the area of floodplain inundated over the last 28 days. (see Methods for full description of predictor calculation). </w:t>
      </w:r>
      <w:r w:rsidRPr="00830EF3">
        <w:t xml:space="preserve">Negative binomial distribution dispersion parameter (theta) = </w:t>
      </w:r>
      <w:r>
        <w:t>1.59</w:t>
      </w:r>
      <w:r w:rsidRPr="00830EF3">
        <w:t>, standard error = 0.</w:t>
      </w:r>
      <w:r>
        <w:t>15</w:t>
      </w:r>
      <w:r w:rsidRPr="00830EF3">
        <w:t>.</w:t>
      </w:r>
    </w:p>
    <w:tbl>
      <w:tblPr>
        <w:tblStyle w:val="GridTable1Light-Accent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showing results of negative binomial generalised linear model for microinvertebrate density of taxa dependent upon lateral connectivity. "/>
      </w:tblPr>
      <w:tblGrid>
        <w:gridCol w:w="3546"/>
        <w:gridCol w:w="1024"/>
        <w:gridCol w:w="1048"/>
        <w:gridCol w:w="973"/>
      </w:tblGrid>
      <w:tr w:rsidR="00C002ED" w:rsidRPr="00C002ED" w14:paraId="540DBF6B" w14:textId="77777777" w:rsidTr="00415A3E">
        <w:trPr>
          <w:cnfStyle w:val="100000000000" w:firstRow="1" w:lastRow="0" w:firstColumn="0" w:lastColumn="0" w:oddVBand="0" w:evenVBand="0" w:oddHBand="0"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tcPr>
          <w:p w14:paraId="1555FF6D" w14:textId="77777777" w:rsidR="00C002ED" w:rsidRPr="00415A3E" w:rsidRDefault="00C002ED" w:rsidP="00415A3E">
            <w:pPr>
              <w:pStyle w:val="TableHeading"/>
              <w:spacing w:before="0" w:after="0" w:line="240" w:lineRule="auto"/>
              <w:rPr>
                <w:b/>
                <w:bCs w:val="0"/>
                <w:szCs w:val="20"/>
              </w:rPr>
            </w:pPr>
            <w:r w:rsidRPr="00415A3E">
              <w:rPr>
                <w:b/>
                <w:bCs w:val="0"/>
                <w:szCs w:val="20"/>
              </w:rPr>
              <w:t>Predictor</w:t>
            </w:r>
          </w:p>
        </w:tc>
        <w:tc>
          <w:tcPr>
            <w:tcW w:w="0" w:type="auto"/>
            <w:tcBorders>
              <w:top w:val="single" w:sz="4" w:space="0" w:color="auto"/>
              <w:bottom w:val="single" w:sz="4" w:space="0" w:color="auto"/>
            </w:tcBorders>
            <w:vAlign w:val="center"/>
          </w:tcPr>
          <w:p w14:paraId="1F34BD9C" w14:textId="77777777" w:rsidR="00C002ED" w:rsidRPr="00415A3E" w:rsidRDefault="00C002ED" w:rsidP="00415A3E">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415A3E">
              <w:rPr>
                <w:b/>
                <w:bCs w:val="0"/>
                <w:szCs w:val="20"/>
              </w:rPr>
              <w:t>Estimate</w:t>
            </w:r>
          </w:p>
        </w:tc>
        <w:tc>
          <w:tcPr>
            <w:tcW w:w="0" w:type="auto"/>
            <w:tcBorders>
              <w:top w:val="single" w:sz="4" w:space="0" w:color="auto"/>
              <w:bottom w:val="single" w:sz="4" w:space="0" w:color="auto"/>
            </w:tcBorders>
            <w:vAlign w:val="center"/>
          </w:tcPr>
          <w:p w14:paraId="455AC850" w14:textId="77777777" w:rsidR="00C002ED" w:rsidRPr="00415A3E" w:rsidRDefault="00C002ED" w:rsidP="00415A3E">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415A3E">
              <w:rPr>
                <w:b/>
                <w:bCs w:val="0"/>
                <w:szCs w:val="20"/>
              </w:rPr>
              <w:t>Std. Error</w:t>
            </w:r>
          </w:p>
        </w:tc>
        <w:tc>
          <w:tcPr>
            <w:tcW w:w="0" w:type="auto"/>
            <w:tcBorders>
              <w:top w:val="single" w:sz="4" w:space="0" w:color="auto"/>
              <w:bottom w:val="single" w:sz="4" w:space="0" w:color="auto"/>
            </w:tcBorders>
            <w:vAlign w:val="center"/>
          </w:tcPr>
          <w:p w14:paraId="46C37935" w14:textId="77777777" w:rsidR="00C002ED" w:rsidRPr="00415A3E" w:rsidRDefault="00C002ED" w:rsidP="00415A3E">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415A3E">
              <w:rPr>
                <w:b/>
                <w:bCs w:val="0"/>
                <w:i/>
                <w:iCs/>
                <w:szCs w:val="20"/>
              </w:rPr>
              <w:t>p</w:t>
            </w:r>
            <w:r w:rsidRPr="00415A3E">
              <w:rPr>
                <w:b/>
                <w:bCs w:val="0"/>
                <w:szCs w:val="20"/>
              </w:rPr>
              <w:t>-value</w:t>
            </w:r>
          </w:p>
        </w:tc>
      </w:tr>
      <w:tr w:rsidR="00C002ED" w:rsidRPr="00C002ED" w14:paraId="63E01110"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vAlign w:val="center"/>
          </w:tcPr>
          <w:p w14:paraId="2E754B8E" w14:textId="77777777" w:rsidR="00C002ED" w:rsidRPr="00C002ED" w:rsidRDefault="00C002ED" w:rsidP="00415A3E">
            <w:pPr>
              <w:pStyle w:val="TableHeading"/>
              <w:spacing w:before="0" w:after="0" w:line="240" w:lineRule="auto"/>
              <w:rPr>
                <w:szCs w:val="20"/>
              </w:rPr>
            </w:pPr>
            <w:r w:rsidRPr="00C002ED">
              <w:rPr>
                <w:szCs w:val="20"/>
              </w:rPr>
              <w:t>(Intercept)</w:t>
            </w:r>
          </w:p>
        </w:tc>
        <w:tc>
          <w:tcPr>
            <w:tcW w:w="0" w:type="auto"/>
            <w:tcBorders>
              <w:top w:val="single" w:sz="4" w:space="0" w:color="auto"/>
            </w:tcBorders>
            <w:vAlign w:val="center"/>
          </w:tcPr>
          <w:p w14:paraId="64E05EB3"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-23.82</w:t>
            </w:r>
          </w:p>
        </w:tc>
        <w:tc>
          <w:tcPr>
            <w:tcW w:w="0" w:type="auto"/>
            <w:tcBorders>
              <w:top w:val="single" w:sz="4" w:space="0" w:color="auto"/>
            </w:tcBorders>
            <w:vAlign w:val="center"/>
          </w:tcPr>
          <w:p w14:paraId="0E9DEA3F"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15.95</w:t>
            </w:r>
          </w:p>
        </w:tc>
        <w:tc>
          <w:tcPr>
            <w:tcW w:w="0" w:type="auto"/>
            <w:tcBorders>
              <w:top w:val="single" w:sz="4" w:space="0" w:color="auto"/>
            </w:tcBorders>
            <w:vAlign w:val="center"/>
          </w:tcPr>
          <w:p w14:paraId="5B3037F8"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0.135</w:t>
            </w:r>
          </w:p>
        </w:tc>
      </w:tr>
      <w:tr w:rsidR="00C002ED" w:rsidRPr="00C002ED" w14:paraId="390FBBA0"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5FB8933" w14:textId="77777777" w:rsidR="00C002ED" w:rsidRPr="00C002ED" w:rsidRDefault="00C002ED" w:rsidP="00415A3E">
            <w:pPr>
              <w:pStyle w:val="TableHeading"/>
              <w:spacing w:before="0" w:after="0" w:line="240" w:lineRule="auto"/>
              <w:jc w:val="left"/>
              <w:rPr>
                <w:szCs w:val="20"/>
              </w:rPr>
            </w:pPr>
            <w:r w:rsidRPr="00C002ED">
              <w:rPr>
                <w:szCs w:val="20"/>
              </w:rPr>
              <w:t>Water year [2015]</w:t>
            </w:r>
          </w:p>
        </w:tc>
        <w:tc>
          <w:tcPr>
            <w:tcW w:w="0" w:type="auto"/>
            <w:vAlign w:val="center"/>
          </w:tcPr>
          <w:p w14:paraId="3DCB4311"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-0.54</w:t>
            </w:r>
          </w:p>
        </w:tc>
        <w:tc>
          <w:tcPr>
            <w:tcW w:w="0" w:type="auto"/>
            <w:vAlign w:val="center"/>
          </w:tcPr>
          <w:p w14:paraId="39D8BF57"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0.23</w:t>
            </w:r>
          </w:p>
        </w:tc>
        <w:tc>
          <w:tcPr>
            <w:tcW w:w="0" w:type="auto"/>
            <w:vAlign w:val="center"/>
          </w:tcPr>
          <w:p w14:paraId="4B31301E"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0.017</w:t>
            </w:r>
          </w:p>
        </w:tc>
      </w:tr>
      <w:tr w:rsidR="00C002ED" w:rsidRPr="00C002ED" w14:paraId="37F1DB5A"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B9DC2F7" w14:textId="77777777" w:rsidR="00C002ED" w:rsidRPr="00C002ED" w:rsidRDefault="00C002ED" w:rsidP="00415A3E">
            <w:pPr>
              <w:pStyle w:val="TableHeading"/>
              <w:spacing w:before="0" w:after="0" w:line="240" w:lineRule="auto"/>
              <w:jc w:val="left"/>
              <w:rPr>
                <w:szCs w:val="20"/>
              </w:rPr>
            </w:pPr>
            <w:r w:rsidRPr="00C002ED">
              <w:rPr>
                <w:szCs w:val="20"/>
              </w:rPr>
              <w:t>Water year [2016]</w:t>
            </w:r>
          </w:p>
        </w:tc>
        <w:tc>
          <w:tcPr>
            <w:tcW w:w="0" w:type="auto"/>
            <w:vAlign w:val="center"/>
          </w:tcPr>
          <w:p w14:paraId="5E4D4F67"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2.62</w:t>
            </w:r>
          </w:p>
        </w:tc>
        <w:tc>
          <w:tcPr>
            <w:tcW w:w="0" w:type="auto"/>
            <w:vAlign w:val="center"/>
          </w:tcPr>
          <w:p w14:paraId="56EBFBCE"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0.71</w:t>
            </w:r>
          </w:p>
        </w:tc>
        <w:tc>
          <w:tcPr>
            <w:tcW w:w="0" w:type="auto"/>
            <w:vAlign w:val="center"/>
          </w:tcPr>
          <w:p w14:paraId="3628026D"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3EC62F48"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478D7AC" w14:textId="77777777" w:rsidR="00C002ED" w:rsidRPr="00C002ED" w:rsidRDefault="00C002ED" w:rsidP="00415A3E">
            <w:pPr>
              <w:pStyle w:val="TableHeading"/>
              <w:spacing w:before="0" w:after="0" w:line="240" w:lineRule="auto"/>
              <w:jc w:val="left"/>
              <w:rPr>
                <w:szCs w:val="20"/>
              </w:rPr>
            </w:pPr>
            <w:r w:rsidRPr="00C002ED">
              <w:rPr>
                <w:szCs w:val="20"/>
              </w:rPr>
              <w:t>Water year [2017]</w:t>
            </w:r>
          </w:p>
        </w:tc>
        <w:tc>
          <w:tcPr>
            <w:tcW w:w="0" w:type="auto"/>
            <w:vAlign w:val="center"/>
          </w:tcPr>
          <w:p w14:paraId="3AF6C25E"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-0.35</w:t>
            </w:r>
          </w:p>
        </w:tc>
        <w:tc>
          <w:tcPr>
            <w:tcW w:w="0" w:type="auto"/>
            <w:vAlign w:val="center"/>
          </w:tcPr>
          <w:p w14:paraId="278B64AB"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0.24</w:t>
            </w:r>
          </w:p>
        </w:tc>
        <w:tc>
          <w:tcPr>
            <w:tcW w:w="0" w:type="auto"/>
            <w:vAlign w:val="center"/>
          </w:tcPr>
          <w:p w14:paraId="29A1C9C4"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0.142</w:t>
            </w:r>
          </w:p>
        </w:tc>
      </w:tr>
      <w:tr w:rsidR="00C002ED" w:rsidRPr="00C002ED" w14:paraId="503BFC9E"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410B725" w14:textId="77777777" w:rsidR="00C002ED" w:rsidRPr="00C002ED" w:rsidRDefault="00C002ED" w:rsidP="00415A3E">
            <w:pPr>
              <w:pStyle w:val="TableHeading"/>
              <w:spacing w:before="0" w:after="0" w:line="240" w:lineRule="auto"/>
              <w:jc w:val="left"/>
              <w:rPr>
                <w:szCs w:val="20"/>
              </w:rPr>
            </w:pPr>
            <w:r w:rsidRPr="00C002ED">
              <w:rPr>
                <w:szCs w:val="20"/>
              </w:rPr>
              <w:t>Water year [2019]</w:t>
            </w:r>
          </w:p>
        </w:tc>
        <w:tc>
          <w:tcPr>
            <w:tcW w:w="0" w:type="auto"/>
            <w:vAlign w:val="center"/>
          </w:tcPr>
          <w:p w14:paraId="204EE60D"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-1.26</w:t>
            </w:r>
          </w:p>
        </w:tc>
        <w:tc>
          <w:tcPr>
            <w:tcW w:w="0" w:type="auto"/>
            <w:vAlign w:val="center"/>
          </w:tcPr>
          <w:p w14:paraId="0DDC51E0"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0.42</w:t>
            </w:r>
          </w:p>
        </w:tc>
        <w:tc>
          <w:tcPr>
            <w:tcW w:w="0" w:type="auto"/>
            <w:vAlign w:val="center"/>
          </w:tcPr>
          <w:p w14:paraId="583DA6FC"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0.003</w:t>
            </w:r>
          </w:p>
        </w:tc>
      </w:tr>
      <w:tr w:rsidR="00C002ED" w:rsidRPr="00C002ED" w14:paraId="51DBB023"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85728E5" w14:textId="77777777" w:rsidR="00C002ED" w:rsidRPr="00C002ED" w:rsidRDefault="00C002ED" w:rsidP="00415A3E">
            <w:pPr>
              <w:pStyle w:val="TableHeading"/>
              <w:spacing w:before="0" w:after="0" w:line="240" w:lineRule="auto"/>
              <w:jc w:val="left"/>
              <w:rPr>
                <w:szCs w:val="20"/>
              </w:rPr>
            </w:pPr>
            <w:r w:rsidRPr="00C002ED">
              <w:rPr>
                <w:szCs w:val="20"/>
              </w:rPr>
              <w:t>Water year [2020]</w:t>
            </w:r>
          </w:p>
        </w:tc>
        <w:tc>
          <w:tcPr>
            <w:tcW w:w="0" w:type="auto"/>
            <w:vAlign w:val="center"/>
          </w:tcPr>
          <w:p w14:paraId="32C89775"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-0.35</w:t>
            </w:r>
          </w:p>
        </w:tc>
        <w:tc>
          <w:tcPr>
            <w:tcW w:w="0" w:type="auto"/>
            <w:vAlign w:val="center"/>
          </w:tcPr>
          <w:p w14:paraId="54673B2B"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0.32</w:t>
            </w:r>
          </w:p>
        </w:tc>
        <w:tc>
          <w:tcPr>
            <w:tcW w:w="0" w:type="auto"/>
            <w:vAlign w:val="center"/>
          </w:tcPr>
          <w:p w14:paraId="1755CE65"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0.263</w:t>
            </w:r>
          </w:p>
        </w:tc>
      </w:tr>
      <w:tr w:rsidR="00C002ED" w:rsidRPr="00C002ED" w14:paraId="421C9AA3"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4011870" w14:textId="77777777" w:rsidR="00C002ED" w:rsidRPr="00C002ED" w:rsidRDefault="00C002ED" w:rsidP="00415A3E">
            <w:pPr>
              <w:pStyle w:val="TableHeading"/>
              <w:spacing w:before="0" w:after="0" w:line="240" w:lineRule="auto"/>
              <w:jc w:val="left"/>
              <w:rPr>
                <w:szCs w:val="20"/>
              </w:rPr>
            </w:pPr>
            <w:r w:rsidRPr="00C002ED">
              <w:rPr>
                <w:szCs w:val="20"/>
              </w:rPr>
              <w:t>Water year [2021]</w:t>
            </w:r>
          </w:p>
        </w:tc>
        <w:tc>
          <w:tcPr>
            <w:tcW w:w="0" w:type="auto"/>
            <w:vAlign w:val="center"/>
          </w:tcPr>
          <w:p w14:paraId="691365D7"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1.38</w:t>
            </w:r>
          </w:p>
        </w:tc>
        <w:tc>
          <w:tcPr>
            <w:tcW w:w="0" w:type="auto"/>
            <w:vAlign w:val="center"/>
          </w:tcPr>
          <w:p w14:paraId="2836CB57"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0.62</w:t>
            </w:r>
          </w:p>
        </w:tc>
        <w:tc>
          <w:tcPr>
            <w:tcW w:w="0" w:type="auto"/>
            <w:vAlign w:val="center"/>
          </w:tcPr>
          <w:p w14:paraId="5923811A"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0.025</w:t>
            </w:r>
          </w:p>
        </w:tc>
      </w:tr>
      <w:tr w:rsidR="00C002ED" w:rsidRPr="00C002ED" w14:paraId="1E784077"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E653109" w14:textId="77777777" w:rsidR="00C002ED" w:rsidRPr="00C002ED" w:rsidRDefault="00C002ED" w:rsidP="00415A3E">
            <w:pPr>
              <w:pStyle w:val="TableHeading"/>
              <w:spacing w:before="0" w:after="0" w:line="240" w:lineRule="auto"/>
              <w:jc w:val="left"/>
              <w:rPr>
                <w:szCs w:val="20"/>
              </w:rPr>
            </w:pPr>
            <w:r w:rsidRPr="00C002ED">
              <w:rPr>
                <w:szCs w:val="20"/>
              </w:rPr>
              <w:t>Water year [2022]</w:t>
            </w:r>
          </w:p>
        </w:tc>
        <w:tc>
          <w:tcPr>
            <w:tcW w:w="0" w:type="auto"/>
            <w:vAlign w:val="center"/>
          </w:tcPr>
          <w:p w14:paraId="6B170D98"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3.45</w:t>
            </w:r>
          </w:p>
        </w:tc>
        <w:tc>
          <w:tcPr>
            <w:tcW w:w="0" w:type="auto"/>
            <w:vAlign w:val="center"/>
          </w:tcPr>
          <w:p w14:paraId="6E716C90"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0.86</w:t>
            </w:r>
          </w:p>
        </w:tc>
        <w:tc>
          <w:tcPr>
            <w:tcW w:w="0" w:type="auto"/>
            <w:vAlign w:val="center"/>
          </w:tcPr>
          <w:p w14:paraId="105EC355"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7D36CCDB"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64DCBA2" w14:textId="77777777" w:rsidR="00C002ED" w:rsidRPr="00C002ED" w:rsidRDefault="00C002ED" w:rsidP="00415A3E">
            <w:pPr>
              <w:pStyle w:val="TableHeading"/>
              <w:spacing w:before="0" w:after="0" w:line="240" w:lineRule="auto"/>
              <w:jc w:val="left"/>
              <w:rPr>
                <w:szCs w:val="20"/>
              </w:rPr>
            </w:pPr>
            <w:r w:rsidRPr="00C002ED">
              <w:rPr>
                <w:szCs w:val="20"/>
              </w:rPr>
              <w:t>Water year [2023]</w:t>
            </w:r>
          </w:p>
        </w:tc>
        <w:tc>
          <w:tcPr>
            <w:tcW w:w="0" w:type="auto"/>
            <w:vAlign w:val="center"/>
          </w:tcPr>
          <w:p w14:paraId="7189B461"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1.54</w:t>
            </w:r>
          </w:p>
        </w:tc>
        <w:tc>
          <w:tcPr>
            <w:tcW w:w="0" w:type="auto"/>
            <w:vAlign w:val="center"/>
          </w:tcPr>
          <w:p w14:paraId="4AD9E5B9"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0.64</w:t>
            </w:r>
          </w:p>
        </w:tc>
        <w:tc>
          <w:tcPr>
            <w:tcW w:w="0" w:type="auto"/>
            <w:vAlign w:val="center"/>
          </w:tcPr>
          <w:p w14:paraId="244EC70C"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0.016</w:t>
            </w:r>
          </w:p>
        </w:tc>
      </w:tr>
      <w:tr w:rsidR="00C002ED" w:rsidRPr="00C002ED" w14:paraId="5F9443CC"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A5DE1EC" w14:textId="77777777" w:rsidR="00C002ED" w:rsidRPr="00C002ED" w:rsidRDefault="00C002ED" w:rsidP="00415A3E">
            <w:pPr>
              <w:pStyle w:val="TableHeading"/>
              <w:spacing w:before="0" w:after="0" w:line="240" w:lineRule="auto"/>
              <w:jc w:val="left"/>
              <w:rPr>
                <w:szCs w:val="20"/>
              </w:rPr>
            </w:pPr>
            <w:r w:rsidRPr="00C002ED">
              <w:rPr>
                <w:szCs w:val="20"/>
              </w:rPr>
              <w:t>Lock 4</w:t>
            </w:r>
          </w:p>
        </w:tc>
        <w:tc>
          <w:tcPr>
            <w:tcW w:w="0" w:type="auto"/>
            <w:vAlign w:val="center"/>
          </w:tcPr>
          <w:p w14:paraId="3EB0F805"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0.25</w:t>
            </w:r>
          </w:p>
        </w:tc>
        <w:tc>
          <w:tcPr>
            <w:tcW w:w="0" w:type="auto"/>
            <w:vAlign w:val="center"/>
          </w:tcPr>
          <w:p w14:paraId="2627B721"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0.20</w:t>
            </w:r>
          </w:p>
        </w:tc>
        <w:tc>
          <w:tcPr>
            <w:tcW w:w="0" w:type="auto"/>
            <w:vAlign w:val="center"/>
          </w:tcPr>
          <w:p w14:paraId="5CA92243"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0.209</w:t>
            </w:r>
          </w:p>
        </w:tc>
      </w:tr>
      <w:tr w:rsidR="00C002ED" w:rsidRPr="00C002ED" w14:paraId="5E7FC771"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5F9D2AF" w14:textId="77777777" w:rsidR="00C002ED" w:rsidRPr="00C002ED" w:rsidRDefault="00C002ED" w:rsidP="00415A3E">
            <w:pPr>
              <w:pStyle w:val="TableHeading"/>
              <w:spacing w:before="0" w:after="0" w:line="240" w:lineRule="auto"/>
              <w:jc w:val="left"/>
              <w:rPr>
                <w:szCs w:val="20"/>
              </w:rPr>
            </w:pPr>
            <w:r w:rsidRPr="00C002ED">
              <w:rPr>
                <w:szCs w:val="20"/>
              </w:rPr>
              <w:t>Lock 6</w:t>
            </w:r>
          </w:p>
        </w:tc>
        <w:tc>
          <w:tcPr>
            <w:tcW w:w="0" w:type="auto"/>
            <w:vAlign w:val="center"/>
          </w:tcPr>
          <w:p w14:paraId="6C145ACA"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-1.79</w:t>
            </w:r>
          </w:p>
        </w:tc>
        <w:tc>
          <w:tcPr>
            <w:tcW w:w="0" w:type="auto"/>
            <w:vAlign w:val="center"/>
          </w:tcPr>
          <w:p w14:paraId="63EBE1B4"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0.32</w:t>
            </w:r>
          </w:p>
        </w:tc>
        <w:tc>
          <w:tcPr>
            <w:tcW w:w="0" w:type="auto"/>
            <w:vAlign w:val="center"/>
          </w:tcPr>
          <w:p w14:paraId="6B3EAD00"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1927F80F"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713305C" w14:textId="77777777" w:rsidR="00C002ED" w:rsidRPr="00C002ED" w:rsidRDefault="00C002ED" w:rsidP="00415A3E">
            <w:pPr>
              <w:pStyle w:val="TableHeading"/>
              <w:spacing w:before="0" w:after="0" w:line="240" w:lineRule="auto"/>
              <w:jc w:val="left"/>
              <w:rPr>
                <w:szCs w:val="20"/>
              </w:rPr>
            </w:pPr>
            <w:r w:rsidRPr="00C002ED">
              <w:rPr>
                <w:szCs w:val="20"/>
              </w:rPr>
              <w:t>Month [Oct]</w:t>
            </w:r>
          </w:p>
        </w:tc>
        <w:tc>
          <w:tcPr>
            <w:tcW w:w="0" w:type="auto"/>
            <w:vAlign w:val="center"/>
          </w:tcPr>
          <w:p w14:paraId="6633325B"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1.10</w:t>
            </w:r>
          </w:p>
        </w:tc>
        <w:tc>
          <w:tcPr>
            <w:tcW w:w="0" w:type="auto"/>
            <w:vAlign w:val="center"/>
          </w:tcPr>
          <w:p w14:paraId="551FAD57"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0.44</w:t>
            </w:r>
          </w:p>
        </w:tc>
        <w:tc>
          <w:tcPr>
            <w:tcW w:w="0" w:type="auto"/>
            <w:vAlign w:val="center"/>
          </w:tcPr>
          <w:p w14:paraId="3B49CC1B"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0.013</w:t>
            </w:r>
          </w:p>
        </w:tc>
      </w:tr>
      <w:tr w:rsidR="00C002ED" w:rsidRPr="00C002ED" w14:paraId="1A4DEFAA"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D641F88" w14:textId="77777777" w:rsidR="00C002ED" w:rsidRPr="00C002ED" w:rsidRDefault="00C002ED" w:rsidP="00415A3E">
            <w:pPr>
              <w:pStyle w:val="TableHeading"/>
              <w:spacing w:before="0" w:after="0" w:line="240" w:lineRule="auto"/>
              <w:rPr>
                <w:szCs w:val="20"/>
              </w:rPr>
            </w:pPr>
            <w:r w:rsidRPr="00C002ED">
              <w:rPr>
                <w:szCs w:val="20"/>
              </w:rPr>
              <w:t>Month [Nov]</w:t>
            </w:r>
          </w:p>
        </w:tc>
        <w:tc>
          <w:tcPr>
            <w:tcW w:w="0" w:type="auto"/>
            <w:vAlign w:val="center"/>
          </w:tcPr>
          <w:p w14:paraId="751A7434"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0.15</w:t>
            </w:r>
          </w:p>
        </w:tc>
        <w:tc>
          <w:tcPr>
            <w:tcW w:w="0" w:type="auto"/>
            <w:vAlign w:val="center"/>
          </w:tcPr>
          <w:p w14:paraId="12E8D9E4"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0.53</w:t>
            </w:r>
          </w:p>
        </w:tc>
        <w:tc>
          <w:tcPr>
            <w:tcW w:w="0" w:type="auto"/>
            <w:vAlign w:val="center"/>
          </w:tcPr>
          <w:p w14:paraId="09FBC1FE"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0.783</w:t>
            </w:r>
          </w:p>
        </w:tc>
      </w:tr>
      <w:tr w:rsidR="00C002ED" w:rsidRPr="00C002ED" w14:paraId="3280094A"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AEFFDB0" w14:textId="77777777" w:rsidR="00C002ED" w:rsidRPr="00C002ED" w:rsidRDefault="00C002ED" w:rsidP="00415A3E">
            <w:pPr>
              <w:pStyle w:val="TableHeading"/>
              <w:spacing w:before="0" w:after="0" w:line="240" w:lineRule="auto"/>
              <w:rPr>
                <w:szCs w:val="20"/>
              </w:rPr>
            </w:pPr>
            <w:r w:rsidRPr="00C002ED">
              <w:rPr>
                <w:szCs w:val="20"/>
              </w:rPr>
              <w:t>Month [Dec]</w:t>
            </w:r>
          </w:p>
        </w:tc>
        <w:tc>
          <w:tcPr>
            <w:tcW w:w="0" w:type="auto"/>
            <w:vAlign w:val="center"/>
          </w:tcPr>
          <w:p w14:paraId="23E413DE"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0.52</w:t>
            </w:r>
          </w:p>
        </w:tc>
        <w:tc>
          <w:tcPr>
            <w:tcW w:w="0" w:type="auto"/>
            <w:vAlign w:val="center"/>
          </w:tcPr>
          <w:p w14:paraId="7FDAF7B2"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0.58</w:t>
            </w:r>
          </w:p>
        </w:tc>
        <w:tc>
          <w:tcPr>
            <w:tcW w:w="0" w:type="auto"/>
            <w:vAlign w:val="center"/>
          </w:tcPr>
          <w:p w14:paraId="0E5D75E2"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0.375</w:t>
            </w:r>
          </w:p>
        </w:tc>
      </w:tr>
      <w:tr w:rsidR="00C002ED" w:rsidRPr="00C002ED" w14:paraId="3CE7D983"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4F11979" w14:textId="77777777" w:rsidR="00C002ED" w:rsidRPr="00C002ED" w:rsidRDefault="00C002ED" w:rsidP="00415A3E">
            <w:pPr>
              <w:pStyle w:val="TableHeading"/>
              <w:spacing w:before="0" w:after="0" w:line="240" w:lineRule="auto"/>
              <w:rPr>
                <w:szCs w:val="20"/>
              </w:rPr>
            </w:pPr>
            <w:r w:rsidRPr="00C002ED">
              <w:rPr>
                <w:szCs w:val="20"/>
              </w:rPr>
              <w:t>Month [Jan]</w:t>
            </w:r>
          </w:p>
        </w:tc>
        <w:tc>
          <w:tcPr>
            <w:tcW w:w="0" w:type="auto"/>
            <w:vAlign w:val="center"/>
          </w:tcPr>
          <w:p w14:paraId="606B1CA2"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0.28</w:t>
            </w:r>
          </w:p>
        </w:tc>
        <w:tc>
          <w:tcPr>
            <w:tcW w:w="0" w:type="auto"/>
            <w:vAlign w:val="center"/>
          </w:tcPr>
          <w:p w14:paraId="08365F6D"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0.64</w:t>
            </w:r>
          </w:p>
        </w:tc>
        <w:tc>
          <w:tcPr>
            <w:tcW w:w="0" w:type="auto"/>
            <w:vAlign w:val="center"/>
          </w:tcPr>
          <w:p w14:paraId="28F793A5"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0.663</w:t>
            </w:r>
          </w:p>
        </w:tc>
      </w:tr>
      <w:tr w:rsidR="00C002ED" w:rsidRPr="00C002ED" w14:paraId="46DDF5B3"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59055C0" w14:textId="77777777" w:rsidR="00C002ED" w:rsidRPr="00C002ED" w:rsidRDefault="00C002ED" w:rsidP="00415A3E">
            <w:pPr>
              <w:pStyle w:val="TableHeading"/>
              <w:spacing w:before="0" w:after="0" w:line="240" w:lineRule="auto"/>
              <w:rPr>
                <w:szCs w:val="20"/>
              </w:rPr>
            </w:pPr>
            <w:r w:rsidRPr="00C002ED">
              <w:rPr>
                <w:szCs w:val="20"/>
              </w:rPr>
              <w:t>Mean daily flow (ML/d)</w:t>
            </w:r>
          </w:p>
        </w:tc>
        <w:tc>
          <w:tcPr>
            <w:tcW w:w="0" w:type="auto"/>
            <w:vAlign w:val="center"/>
          </w:tcPr>
          <w:p w14:paraId="2D367474"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6.00</w:t>
            </w:r>
          </w:p>
        </w:tc>
        <w:tc>
          <w:tcPr>
            <w:tcW w:w="0" w:type="auto"/>
            <w:vAlign w:val="center"/>
          </w:tcPr>
          <w:p w14:paraId="1D1E477B"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1.40</w:t>
            </w:r>
          </w:p>
        </w:tc>
        <w:tc>
          <w:tcPr>
            <w:tcW w:w="0" w:type="auto"/>
            <w:vAlign w:val="center"/>
          </w:tcPr>
          <w:p w14:paraId="2DA8FC25"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6C86A023"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C27C133" w14:textId="77777777" w:rsidR="00C002ED" w:rsidRPr="00C002ED" w:rsidRDefault="00C002ED" w:rsidP="00415A3E">
            <w:pPr>
              <w:pStyle w:val="TableHeading"/>
              <w:spacing w:before="0" w:after="0" w:line="240" w:lineRule="auto"/>
              <w:rPr>
                <w:szCs w:val="20"/>
              </w:rPr>
            </w:pPr>
            <w:r w:rsidRPr="00C002ED">
              <w:rPr>
                <w:szCs w:val="20"/>
              </w:rPr>
              <w:t>Long-term average flow (AveQ90)</w:t>
            </w:r>
          </w:p>
        </w:tc>
        <w:tc>
          <w:tcPr>
            <w:tcW w:w="0" w:type="auto"/>
            <w:vAlign w:val="center"/>
          </w:tcPr>
          <w:p w14:paraId="2C2B8DF5"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6.54</w:t>
            </w:r>
          </w:p>
        </w:tc>
        <w:tc>
          <w:tcPr>
            <w:tcW w:w="0" w:type="auto"/>
            <w:vAlign w:val="center"/>
          </w:tcPr>
          <w:p w14:paraId="1DF1ADF9"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1.86</w:t>
            </w:r>
          </w:p>
        </w:tc>
        <w:tc>
          <w:tcPr>
            <w:tcW w:w="0" w:type="auto"/>
            <w:vAlign w:val="center"/>
          </w:tcPr>
          <w:p w14:paraId="5BABE540"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5D481CCE"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3BA6165" w14:textId="77777777" w:rsidR="00C002ED" w:rsidRPr="00C002ED" w:rsidRDefault="00C002ED" w:rsidP="00415A3E">
            <w:pPr>
              <w:pStyle w:val="TableHeading"/>
              <w:spacing w:before="0" w:after="0" w:line="240" w:lineRule="auto"/>
              <w:rPr>
                <w:szCs w:val="20"/>
              </w:rPr>
            </w:pPr>
            <w:r w:rsidRPr="00C002ED">
              <w:rPr>
                <w:szCs w:val="20"/>
              </w:rPr>
              <w:t>Temperature</w:t>
            </w:r>
          </w:p>
        </w:tc>
        <w:tc>
          <w:tcPr>
            <w:tcW w:w="0" w:type="auto"/>
            <w:vAlign w:val="center"/>
          </w:tcPr>
          <w:p w14:paraId="20370AC7"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-0.90</w:t>
            </w:r>
          </w:p>
        </w:tc>
        <w:tc>
          <w:tcPr>
            <w:tcW w:w="0" w:type="auto"/>
            <w:vAlign w:val="center"/>
          </w:tcPr>
          <w:p w14:paraId="7AA538C6"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-0.27</w:t>
            </w:r>
          </w:p>
        </w:tc>
        <w:tc>
          <w:tcPr>
            <w:tcW w:w="0" w:type="auto"/>
            <w:vAlign w:val="center"/>
          </w:tcPr>
          <w:p w14:paraId="2F8004E2"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278ED418"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285E859" w14:textId="77777777" w:rsidR="00C002ED" w:rsidRPr="00C002ED" w:rsidRDefault="00C002ED" w:rsidP="00415A3E">
            <w:pPr>
              <w:pStyle w:val="TableHeading"/>
              <w:spacing w:before="0" w:after="0" w:line="240" w:lineRule="auto"/>
              <w:rPr>
                <w:szCs w:val="20"/>
              </w:rPr>
            </w:pPr>
            <w:r w:rsidRPr="00C002ED">
              <w:rPr>
                <w:szCs w:val="20"/>
              </w:rPr>
              <w:t>Electrical conductivity (EC)</w:t>
            </w:r>
          </w:p>
        </w:tc>
        <w:tc>
          <w:tcPr>
            <w:tcW w:w="0" w:type="auto"/>
            <w:vAlign w:val="center"/>
          </w:tcPr>
          <w:p w14:paraId="562F6C2E"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-0.11</w:t>
            </w:r>
          </w:p>
        </w:tc>
        <w:tc>
          <w:tcPr>
            <w:tcW w:w="0" w:type="auto"/>
            <w:vAlign w:val="center"/>
          </w:tcPr>
          <w:p w14:paraId="74561658"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0.02</w:t>
            </w:r>
          </w:p>
        </w:tc>
        <w:tc>
          <w:tcPr>
            <w:tcW w:w="0" w:type="auto"/>
            <w:vAlign w:val="center"/>
          </w:tcPr>
          <w:p w14:paraId="25A434EB"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58ED1B59"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D6B6374" w14:textId="77777777" w:rsidR="00C002ED" w:rsidRPr="00C002ED" w:rsidRDefault="00C002ED" w:rsidP="00415A3E">
            <w:pPr>
              <w:pStyle w:val="TableHeading"/>
              <w:spacing w:before="0" w:after="0" w:line="240" w:lineRule="auto"/>
              <w:rPr>
                <w:szCs w:val="20"/>
              </w:rPr>
            </w:pPr>
            <w:r w:rsidRPr="00C002ED">
              <w:rPr>
                <w:szCs w:val="20"/>
              </w:rPr>
              <w:t>10-day flow trend (dQ10)</w:t>
            </w:r>
          </w:p>
        </w:tc>
        <w:tc>
          <w:tcPr>
            <w:tcW w:w="0" w:type="auto"/>
            <w:vAlign w:val="center"/>
          </w:tcPr>
          <w:p w14:paraId="0BD31E9A"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-9.39</w:t>
            </w:r>
          </w:p>
        </w:tc>
        <w:tc>
          <w:tcPr>
            <w:tcW w:w="0" w:type="auto"/>
            <w:vAlign w:val="center"/>
          </w:tcPr>
          <w:p w14:paraId="3D49BC08"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2.63</w:t>
            </w:r>
          </w:p>
        </w:tc>
        <w:tc>
          <w:tcPr>
            <w:tcW w:w="0" w:type="auto"/>
            <w:vAlign w:val="center"/>
          </w:tcPr>
          <w:p w14:paraId="50BF60B0"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4C707345"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B3F1640" w14:textId="77777777" w:rsidR="00C002ED" w:rsidRPr="00C002ED" w:rsidRDefault="00C002ED" w:rsidP="00415A3E">
            <w:pPr>
              <w:pStyle w:val="TableHeading"/>
              <w:spacing w:before="0" w:after="0" w:line="240" w:lineRule="auto"/>
              <w:rPr>
                <w:szCs w:val="20"/>
              </w:rPr>
            </w:pPr>
            <w:r w:rsidRPr="00C002ED">
              <w:rPr>
                <w:szCs w:val="20"/>
              </w:rPr>
              <w:t>FPA28</w:t>
            </w:r>
          </w:p>
        </w:tc>
        <w:tc>
          <w:tcPr>
            <w:tcW w:w="0" w:type="auto"/>
            <w:vAlign w:val="center"/>
          </w:tcPr>
          <w:p w14:paraId="5E4564D3"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-5.7e-03</w:t>
            </w:r>
          </w:p>
        </w:tc>
        <w:tc>
          <w:tcPr>
            <w:tcW w:w="0" w:type="auto"/>
            <w:vAlign w:val="center"/>
          </w:tcPr>
          <w:p w14:paraId="2739C8BF"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1.2e-03</w:t>
            </w:r>
          </w:p>
        </w:tc>
        <w:tc>
          <w:tcPr>
            <w:tcW w:w="0" w:type="auto"/>
            <w:vAlign w:val="center"/>
          </w:tcPr>
          <w:p w14:paraId="6ED715E9"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3259E6F5"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1030000" w14:textId="77777777" w:rsidR="00C002ED" w:rsidRPr="00C002ED" w:rsidRDefault="00C002ED" w:rsidP="00415A3E">
            <w:pPr>
              <w:pStyle w:val="TableHeading"/>
              <w:spacing w:before="0" w:after="0" w:line="240" w:lineRule="auto"/>
              <w:jc w:val="left"/>
              <w:rPr>
                <w:szCs w:val="20"/>
              </w:rPr>
            </w:pPr>
            <w:r w:rsidRPr="00C002ED">
              <w:rPr>
                <w:szCs w:val="20"/>
              </w:rPr>
              <w:t>Mean daily flow: AveQ90</w:t>
            </w:r>
          </w:p>
        </w:tc>
        <w:tc>
          <w:tcPr>
            <w:tcW w:w="0" w:type="auto"/>
            <w:vAlign w:val="center"/>
          </w:tcPr>
          <w:p w14:paraId="3B23C2FD" w14:textId="77777777" w:rsidR="00C002ED" w:rsidRPr="00C002ED" w:rsidDel="003D739F"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-1.00</w:t>
            </w:r>
          </w:p>
        </w:tc>
        <w:tc>
          <w:tcPr>
            <w:tcW w:w="0" w:type="auto"/>
            <w:vAlign w:val="center"/>
          </w:tcPr>
          <w:p w14:paraId="65FC2638" w14:textId="77777777" w:rsidR="00C002ED" w:rsidRPr="00C002ED" w:rsidDel="003D739F"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0.17</w:t>
            </w:r>
          </w:p>
        </w:tc>
        <w:tc>
          <w:tcPr>
            <w:tcW w:w="0" w:type="auto"/>
            <w:vAlign w:val="center"/>
          </w:tcPr>
          <w:p w14:paraId="15532908" w14:textId="77777777" w:rsidR="00C002ED" w:rsidRPr="00C002ED" w:rsidDel="003D739F"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1D756461"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DFE10AF" w14:textId="77777777" w:rsidR="00C002ED" w:rsidRPr="00C002ED" w:rsidRDefault="00C002ED" w:rsidP="00415A3E">
            <w:pPr>
              <w:pStyle w:val="TableHeading"/>
              <w:spacing w:before="0" w:after="0" w:line="240" w:lineRule="auto"/>
              <w:jc w:val="left"/>
              <w:rPr>
                <w:szCs w:val="20"/>
              </w:rPr>
            </w:pPr>
            <w:r w:rsidRPr="00C002ED">
              <w:rPr>
                <w:szCs w:val="20"/>
              </w:rPr>
              <w:t>Mean daily flow:EC</w:t>
            </w:r>
          </w:p>
        </w:tc>
        <w:tc>
          <w:tcPr>
            <w:tcW w:w="0" w:type="auto"/>
            <w:vAlign w:val="center"/>
          </w:tcPr>
          <w:p w14:paraId="56D2CE95" w14:textId="77777777" w:rsidR="00C002ED" w:rsidRPr="00C002ED" w:rsidDel="003D739F"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w:t>
            </w:r>
          </w:p>
        </w:tc>
        <w:tc>
          <w:tcPr>
            <w:tcW w:w="0" w:type="auto"/>
            <w:vAlign w:val="center"/>
          </w:tcPr>
          <w:p w14:paraId="704C0F21" w14:textId="77777777" w:rsidR="00C002ED" w:rsidRPr="00C002ED" w:rsidDel="003D739F"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2.2e-03</w:t>
            </w:r>
          </w:p>
        </w:tc>
        <w:tc>
          <w:tcPr>
            <w:tcW w:w="0" w:type="auto"/>
            <w:vAlign w:val="center"/>
          </w:tcPr>
          <w:p w14:paraId="30ED5F7F" w14:textId="77777777" w:rsidR="00C002ED" w:rsidRPr="00C002ED" w:rsidDel="003D739F"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31EBF146"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B989D87" w14:textId="77777777" w:rsidR="00C002ED" w:rsidRPr="00C002ED" w:rsidRDefault="00C002ED" w:rsidP="00415A3E">
            <w:pPr>
              <w:pStyle w:val="TableHeading"/>
              <w:spacing w:before="0" w:after="0" w:line="240" w:lineRule="auto"/>
              <w:jc w:val="left"/>
              <w:rPr>
                <w:szCs w:val="20"/>
              </w:rPr>
            </w:pPr>
            <w:r w:rsidRPr="00C002ED">
              <w:rPr>
                <w:szCs w:val="20"/>
              </w:rPr>
              <w:t>Mean daily flow:dQ10</w:t>
            </w:r>
          </w:p>
        </w:tc>
        <w:tc>
          <w:tcPr>
            <w:tcW w:w="0" w:type="auto"/>
            <w:vAlign w:val="center"/>
          </w:tcPr>
          <w:p w14:paraId="68E01809" w14:textId="77777777" w:rsidR="00C002ED" w:rsidRPr="00C002ED" w:rsidDel="003D739F"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0.91</w:t>
            </w:r>
          </w:p>
        </w:tc>
        <w:tc>
          <w:tcPr>
            <w:tcW w:w="0" w:type="auto"/>
            <w:vAlign w:val="center"/>
          </w:tcPr>
          <w:p w14:paraId="780702DC" w14:textId="77777777" w:rsidR="00C002ED" w:rsidRPr="00C002ED" w:rsidDel="003D739F"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0.35</w:t>
            </w:r>
          </w:p>
        </w:tc>
        <w:tc>
          <w:tcPr>
            <w:tcW w:w="0" w:type="auto"/>
            <w:vAlign w:val="center"/>
          </w:tcPr>
          <w:p w14:paraId="400599D9" w14:textId="77777777" w:rsidR="00C002ED" w:rsidRPr="00C002ED" w:rsidDel="003D739F"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0.009</w:t>
            </w:r>
          </w:p>
        </w:tc>
      </w:tr>
      <w:tr w:rsidR="00C002ED" w:rsidRPr="00C002ED" w14:paraId="19DE7E3C"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393E34B" w14:textId="77777777" w:rsidR="00C002ED" w:rsidRPr="00C002ED" w:rsidRDefault="00C002ED" w:rsidP="00415A3E">
            <w:pPr>
              <w:pStyle w:val="TableHeading"/>
              <w:spacing w:before="0" w:after="0" w:line="240" w:lineRule="auto"/>
              <w:jc w:val="left"/>
              <w:rPr>
                <w:szCs w:val="20"/>
              </w:rPr>
            </w:pPr>
            <w:r w:rsidRPr="00C002ED">
              <w:rPr>
                <w:szCs w:val="20"/>
              </w:rPr>
              <w:t>Mean daily flow:FPA28</w:t>
            </w:r>
          </w:p>
        </w:tc>
        <w:tc>
          <w:tcPr>
            <w:tcW w:w="0" w:type="auto"/>
            <w:vAlign w:val="center"/>
          </w:tcPr>
          <w:p w14:paraId="1B839E6C" w14:textId="77777777" w:rsidR="00C002ED" w:rsidRPr="00C002ED" w:rsidDel="003D739F"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4.9e-04</w:t>
            </w:r>
          </w:p>
        </w:tc>
        <w:tc>
          <w:tcPr>
            <w:tcW w:w="0" w:type="auto"/>
            <w:vAlign w:val="center"/>
          </w:tcPr>
          <w:p w14:paraId="23615779" w14:textId="77777777" w:rsidR="00C002ED" w:rsidRPr="00C002ED" w:rsidDel="003D739F"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1.1e-04</w:t>
            </w:r>
          </w:p>
        </w:tc>
        <w:tc>
          <w:tcPr>
            <w:tcW w:w="0" w:type="auto"/>
            <w:vAlign w:val="center"/>
          </w:tcPr>
          <w:p w14:paraId="6865864F" w14:textId="77777777" w:rsidR="00C002ED" w:rsidRPr="00C002ED" w:rsidDel="003D739F"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0A6B6031"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9D8F1B" w14:textId="77777777" w:rsidR="00C002ED" w:rsidRPr="00C002ED" w:rsidRDefault="00C002ED" w:rsidP="00415A3E">
            <w:pPr>
              <w:pStyle w:val="TableHeading"/>
              <w:spacing w:before="0" w:after="0" w:line="240" w:lineRule="auto"/>
              <w:rPr>
                <w:szCs w:val="20"/>
              </w:rPr>
            </w:pPr>
            <w:r w:rsidRPr="00C002ED">
              <w:rPr>
                <w:szCs w:val="20"/>
              </w:rPr>
              <w:t>AveQ90:Temperature</w:t>
            </w:r>
          </w:p>
        </w:tc>
        <w:tc>
          <w:tcPr>
            <w:tcW w:w="0" w:type="auto"/>
            <w:vAlign w:val="center"/>
          </w:tcPr>
          <w:p w14:paraId="4287A0FA"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0.09</w:t>
            </w:r>
          </w:p>
        </w:tc>
        <w:tc>
          <w:tcPr>
            <w:tcW w:w="0" w:type="auto"/>
            <w:vAlign w:val="center"/>
          </w:tcPr>
          <w:p w14:paraId="68376A10"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0.03</w:t>
            </w:r>
          </w:p>
        </w:tc>
        <w:tc>
          <w:tcPr>
            <w:tcW w:w="0" w:type="auto"/>
            <w:vAlign w:val="center"/>
          </w:tcPr>
          <w:p w14:paraId="30ECE073"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0.002</w:t>
            </w:r>
          </w:p>
        </w:tc>
      </w:tr>
      <w:tr w:rsidR="00C002ED" w:rsidRPr="00C002ED" w14:paraId="1A62E0C8"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455E50E" w14:textId="77777777" w:rsidR="00C002ED" w:rsidRPr="00C002ED" w:rsidRDefault="00C002ED" w:rsidP="00415A3E">
            <w:pPr>
              <w:pStyle w:val="TableHeading"/>
              <w:spacing w:before="0" w:after="0" w:line="240" w:lineRule="auto"/>
              <w:rPr>
                <w:szCs w:val="20"/>
              </w:rPr>
            </w:pPr>
            <w:r w:rsidRPr="00C002ED">
              <w:rPr>
                <w:szCs w:val="20"/>
              </w:rPr>
              <w:t>Temperature:dQ10</w:t>
            </w:r>
          </w:p>
        </w:tc>
        <w:tc>
          <w:tcPr>
            <w:tcW w:w="0" w:type="auto"/>
            <w:vAlign w:val="center"/>
          </w:tcPr>
          <w:p w14:paraId="7E413F32"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0.11</w:t>
            </w:r>
          </w:p>
        </w:tc>
        <w:tc>
          <w:tcPr>
            <w:tcW w:w="0" w:type="auto"/>
            <w:vAlign w:val="center"/>
          </w:tcPr>
          <w:p w14:paraId="28225DB2"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0.07</w:t>
            </w:r>
          </w:p>
        </w:tc>
        <w:tc>
          <w:tcPr>
            <w:tcW w:w="0" w:type="auto"/>
            <w:vAlign w:val="center"/>
          </w:tcPr>
          <w:p w14:paraId="49714B4F"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0.104</w:t>
            </w:r>
          </w:p>
        </w:tc>
      </w:tr>
      <w:tr w:rsidR="00C002ED" w:rsidRPr="00C002ED" w14:paraId="15F79333" w14:textId="77777777" w:rsidTr="00415A3E">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5E560C48" w14:textId="77777777" w:rsidR="00C002ED" w:rsidRPr="00C002ED" w:rsidRDefault="00C002ED" w:rsidP="00415A3E">
            <w:pPr>
              <w:pStyle w:val="TableHeading"/>
              <w:spacing w:before="0" w:after="0" w:line="240" w:lineRule="auto"/>
              <w:rPr>
                <w:szCs w:val="20"/>
              </w:rPr>
            </w:pPr>
            <w:r w:rsidRPr="00C002ED">
              <w:rPr>
                <w:szCs w:val="20"/>
              </w:rPr>
              <w:t>dQ10:FPA28</w:t>
            </w:r>
          </w:p>
        </w:tc>
        <w:tc>
          <w:tcPr>
            <w:tcW w:w="0" w:type="auto"/>
            <w:tcBorders>
              <w:bottom w:val="single" w:sz="4" w:space="0" w:color="auto"/>
            </w:tcBorders>
            <w:vAlign w:val="center"/>
          </w:tcPr>
          <w:p w14:paraId="262205C4"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-6.3e-04</w:t>
            </w:r>
          </w:p>
        </w:tc>
        <w:tc>
          <w:tcPr>
            <w:tcW w:w="0" w:type="auto"/>
            <w:tcBorders>
              <w:bottom w:val="single" w:sz="4" w:space="0" w:color="auto"/>
            </w:tcBorders>
            <w:vAlign w:val="center"/>
          </w:tcPr>
          <w:p w14:paraId="0244015B"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3.5e-04</w:t>
            </w:r>
          </w:p>
        </w:tc>
        <w:tc>
          <w:tcPr>
            <w:tcW w:w="0" w:type="auto"/>
            <w:tcBorders>
              <w:bottom w:val="single" w:sz="4" w:space="0" w:color="auto"/>
            </w:tcBorders>
            <w:vAlign w:val="center"/>
          </w:tcPr>
          <w:p w14:paraId="05F4A8AC" w14:textId="77777777" w:rsidR="00C002ED" w:rsidRPr="00C002ED" w:rsidRDefault="00C002ED" w:rsidP="00415A3E">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0.069</w:t>
            </w:r>
          </w:p>
        </w:tc>
      </w:tr>
    </w:tbl>
    <w:p w14:paraId="55D6C549" w14:textId="77777777" w:rsidR="00C002ED" w:rsidRDefault="00C002ED" w:rsidP="00C002ED">
      <w:pPr>
        <w:pStyle w:val="TableHeading"/>
        <w:rPr>
          <w:b w:val="0"/>
          <w:bCs/>
          <w:color w:val="auto"/>
          <w:szCs w:val="18"/>
        </w:rPr>
      </w:pPr>
      <w:r>
        <w:br w:type="page"/>
      </w:r>
    </w:p>
    <w:p w14:paraId="2B5B7433" w14:textId="50A34C04" w:rsidR="00C002ED" w:rsidRDefault="00C002ED" w:rsidP="00C002ED">
      <w:pPr>
        <w:pStyle w:val="Caption"/>
      </w:pPr>
      <w:r>
        <w:lastRenderedPageBreak/>
        <w:t>Table C</w:t>
      </w:r>
      <w:r w:rsidR="008865D1">
        <w:t>1</w:t>
      </w:r>
      <w:r w:rsidR="00FB33C3">
        <w:t>6</w:t>
      </w:r>
      <w:r>
        <w:t>. Results of negative binomial</w:t>
      </w:r>
      <w:r w:rsidRPr="00D37DD2">
        <w:t xml:space="preserve"> generalised linear model for </w:t>
      </w:r>
      <w:r>
        <w:t>microinvertebrate density</w:t>
      </w:r>
      <w:r w:rsidRPr="00D37DD2">
        <w:t xml:space="preserve"> (individuals per litre) of taxa dependent upon </w:t>
      </w:r>
      <w:r>
        <w:t>longitudinal</w:t>
      </w:r>
      <w:r w:rsidRPr="00D37DD2">
        <w:t xml:space="preserve"> connectivity showing selected predictors, estimated coefficients (Estimate), standard errors in estimation (std.Error) and Type I Error probability (p-value). Flow data were log transformed prior to modelling.</w:t>
      </w:r>
      <w:r w:rsidRPr="00E6744C">
        <w:t xml:space="preserve"> </w:t>
      </w:r>
      <w:r>
        <w:t>AveQ90 is the average flow over the previous 90 days</w:t>
      </w:r>
      <w:r w:rsidRPr="00D37DD2">
        <w:t xml:space="preserve"> (see Methods for full description of predictor calculation). Negative binomial distribution dispersion parameter (theta) = 2.</w:t>
      </w:r>
      <w:r>
        <w:t>97</w:t>
      </w:r>
      <w:r w:rsidRPr="00D37DD2">
        <w:t>, standard error = 0.</w:t>
      </w:r>
      <w:r>
        <w:t>24</w:t>
      </w:r>
      <w:r w:rsidRPr="00D37DD2">
        <w:t>.</w:t>
      </w:r>
    </w:p>
    <w:tbl>
      <w:tblPr>
        <w:tblStyle w:val="GridTable1Light-Accent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of results of negative binomial generalised linear model for microinvertebrate density of taxa dependent upon longitudinal connectivity."/>
      </w:tblPr>
      <w:tblGrid>
        <w:gridCol w:w="3546"/>
        <w:gridCol w:w="1024"/>
        <w:gridCol w:w="1048"/>
        <w:gridCol w:w="973"/>
      </w:tblGrid>
      <w:tr w:rsidR="00C002ED" w:rsidRPr="00C002ED" w14:paraId="3E91923D" w14:textId="77777777" w:rsidTr="00C002ED">
        <w:trPr>
          <w:cnfStyle w:val="100000000000" w:firstRow="1" w:lastRow="0" w:firstColumn="0" w:lastColumn="0" w:oddVBand="0" w:evenVBand="0" w:oddHBand="0"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tcPr>
          <w:p w14:paraId="6E858F42" w14:textId="77777777" w:rsidR="00C002ED" w:rsidRPr="00C002ED" w:rsidRDefault="00C002ED" w:rsidP="00C002ED">
            <w:pPr>
              <w:pStyle w:val="TableHeading"/>
              <w:spacing w:before="0" w:after="0" w:line="240" w:lineRule="auto"/>
              <w:rPr>
                <w:b/>
                <w:bCs w:val="0"/>
                <w:szCs w:val="20"/>
              </w:rPr>
            </w:pPr>
            <w:r w:rsidRPr="00C002ED">
              <w:rPr>
                <w:b/>
                <w:bCs w:val="0"/>
                <w:szCs w:val="20"/>
              </w:rPr>
              <w:t>Predictor</w:t>
            </w:r>
          </w:p>
        </w:tc>
        <w:tc>
          <w:tcPr>
            <w:tcW w:w="0" w:type="auto"/>
            <w:tcBorders>
              <w:top w:val="single" w:sz="4" w:space="0" w:color="auto"/>
              <w:bottom w:val="single" w:sz="4" w:space="0" w:color="auto"/>
            </w:tcBorders>
            <w:vAlign w:val="center"/>
          </w:tcPr>
          <w:p w14:paraId="14D5C2CD" w14:textId="77777777" w:rsidR="00C002ED" w:rsidRPr="00C002ED" w:rsidRDefault="00C002ED" w:rsidP="00C002ED">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C002ED">
              <w:rPr>
                <w:b/>
                <w:bCs w:val="0"/>
                <w:szCs w:val="20"/>
              </w:rPr>
              <w:t>Estimate</w:t>
            </w:r>
          </w:p>
        </w:tc>
        <w:tc>
          <w:tcPr>
            <w:tcW w:w="0" w:type="auto"/>
            <w:tcBorders>
              <w:top w:val="single" w:sz="4" w:space="0" w:color="auto"/>
              <w:bottom w:val="single" w:sz="4" w:space="0" w:color="auto"/>
            </w:tcBorders>
            <w:vAlign w:val="center"/>
          </w:tcPr>
          <w:p w14:paraId="679EF4A2" w14:textId="77777777" w:rsidR="00C002ED" w:rsidRPr="00C002ED" w:rsidRDefault="00C002ED" w:rsidP="00C002ED">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C002ED">
              <w:rPr>
                <w:b/>
                <w:bCs w:val="0"/>
                <w:szCs w:val="20"/>
              </w:rPr>
              <w:t>Std. Error</w:t>
            </w:r>
          </w:p>
        </w:tc>
        <w:tc>
          <w:tcPr>
            <w:tcW w:w="0" w:type="auto"/>
            <w:tcBorders>
              <w:top w:val="single" w:sz="4" w:space="0" w:color="auto"/>
              <w:bottom w:val="single" w:sz="4" w:space="0" w:color="auto"/>
            </w:tcBorders>
            <w:vAlign w:val="center"/>
          </w:tcPr>
          <w:p w14:paraId="581BD39A" w14:textId="77777777" w:rsidR="00C002ED" w:rsidRPr="00C002ED" w:rsidRDefault="00C002ED" w:rsidP="00C002ED">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C002ED">
              <w:rPr>
                <w:b/>
                <w:bCs w:val="0"/>
                <w:i/>
                <w:iCs/>
                <w:szCs w:val="20"/>
              </w:rPr>
              <w:t>p</w:t>
            </w:r>
            <w:r w:rsidRPr="00C002ED">
              <w:rPr>
                <w:b/>
                <w:bCs w:val="0"/>
                <w:szCs w:val="20"/>
              </w:rPr>
              <w:t>-value</w:t>
            </w:r>
          </w:p>
        </w:tc>
      </w:tr>
      <w:tr w:rsidR="00C002ED" w:rsidRPr="00C002ED" w14:paraId="2DB5D629"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vAlign w:val="center"/>
          </w:tcPr>
          <w:p w14:paraId="71A3F916" w14:textId="77777777" w:rsidR="00C002ED" w:rsidRPr="00C002ED" w:rsidRDefault="00C002ED" w:rsidP="00C002ED">
            <w:pPr>
              <w:pStyle w:val="TableHeading"/>
              <w:spacing w:before="0" w:after="0" w:line="240" w:lineRule="auto"/>
              <w:rPr>
                <w:szCs w:val="20"/>
              </w:rPr>
            </w:pPr>
            <w:r w:rsidRPr="00C002ED">
              <w:rPr>
                <w:szCs w:val="20"/>
              </w:rPr>
              <w:t>(Intercept)</w:t>
            </w:r>
          </w:p>
        </w:tc>
        <w:tc>
          <w:tcPr>
            <w:tcW w:w="0" w:type="auto"/>
            <w:tcBorders>
              <w:top w:val="single" w:sz="4" w:space="0" w:color="auto"/>
            </w:tcBorders>
            <w:vAlign w:val="center"/>
          </w:tcPr>
          <w:p w14:paraId="3A97B36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-54.38</w:t>
            </w:r>
          </w:p>
        </w:tc>
        <w:tc>
          <w:tcPr>
            <w:tcW w:w="0" w:type="auto"/>
            <w:tcBorders>
              <w:top w:val="single" w:sz="4" w:space="0" w:color="auto"/>
            </w:tcBorders>
            <w:vAlign w:val="center"/>
          </w:tcPr>
          <w:p w14:paraId="68CA84B4"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38.56</w:t>
            </w:r>
          </w:p>
        </w:tc>
        <w:tc>
          <w:tcPr>
            <w:tcW w:w="0" w:type="auto"/>
            <w:tcBorders>
              <w:top w:val="single" w:sz="4" w:space="0" w:color="auto"/>
            </w:tcBorders>
            <w:vAlign w:val="center"/>
          </w:tcPr>
          <w:p w14:paraId="3C51EB1F"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0.158</w:t>
            </w:r>
          </w:p>
        </w:tc>
      </w:tr>
      <w:tr w:rsidR="00C002ED" w:rsidRPr="00C002ED" w14:paraId="5329F6FE"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3E5AAD4" w14:textId="77777777" w:rsidR="00C002ED" w:rsidRPr="00C002ED" w:rsidRDefault="00C002ED" w:rsidP="00C002ED">
            <w:pPr>
              <w:pStyle w:val="TableHeading"/>
              <w:spacing w:before="0" w:after="0" w:line="240" w:lineRule="auto"/>
              <w:jc w:val="left"/>
              <w:rPr>
                <w:szCs w:val="20"/>
              </w:rPr>
            </w:pPr>
            <w:r w:rsidRPr="00C002ED">
              <w:rPr>
                <w:szCs w:val="20"/>
              </w:rPr>
              <w:t>Lock 4</w:t>
            </w:r>
          </w:p>
        </w:tc>
        <w:tc>
          <w:tcPr>
            <w:tcW w:w="0" w:type="auto"/>
            <w:vAlign w:val="center"/>
          </w:tcPr>
          <w:p w14:paraId="0CD748E2"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0.31</w:t>
            </w:r>
          </w:p>
        </w:tc>
        <w:tc>
          <w:tcPr>
            <w:tcW w:w="0" w:type="auto"/>
            <w:vAlign w:val="center"/>
          </w:tcPr>
          <w:p w14:paraId="3A13AC9E"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0.13</w:t>
            </w:r>
          </w:p>
        </w:tc>
        <w:tc>
          <w:tcPr>
            <w:tcW w:w="0" w:type="auto"/>
            <w:vAlign w:val="center"/>
          </w:tcPr>
          <w:p w14:paraId="1FD1EAD0"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0.016</w:t>
            </w:r>
          </w:p>
        </w:tc>
      </w:tr>
      <w:tr w:rsidR="00C002ED" w:rsidRPr="00C002ED" w14:paraId="783B36D9"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BF5486A" w14:textId="77777777" w:rsidR="00C002ED" w:rsidRPr="00C002ED" w:rsidRDefault="00C002ED" w:rsidP="00C002ED">
            <w:pPr>
              <w:pStyle w:val="TableHeading"/>
              <w:spacing w:before="0" w:after="0" w:line="240" w:lineRule="auto"/>
              <w:jc w:val="left"/>
              <w:rPr>
                <w:szCs w:val="20"/>
              </w:rPr>
            </w:pPr>
            <w:r w:rsidRPr="00C002ED">
              <w:rPr>
                <w:szCs w:val="20"/>
              </w:rPr>
              <w:t>Lock 6</w:t>
            </w:r>
          </w:p>
        </w:tc>
        <w:tc>
          <w:tcPr>
            <w:tcW w:w="0" w:type="auto"/>
            <w:vAlign w:val="center"/>
          </w:tcPr>
          <w:p w14:paraId="5BE7D1B0"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0.45</w:t>
            </w:r>
          </w:p>
        </w:tc>
        <w:tc>
          <w:tcPr>
            <w:tcW w:w="0" w:type="auto"/>
            <w:vAlign w:val="center"/>
          </w:tcPr>
          <w:p w14:paraId="67643C34"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0.12</w:t>
            </w:r>
          </w:p>
        </w:tc>
        <w:tc>
          <w:tcPr>
            <w:tcW w:w="0" w:type="auto"/>
            <w:vAlign w:val="center"/>
          </w:tcPr>
          <w:p w14:paraId="0B668CFB"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61BA9524"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2B40F7B" w14:textId="77777777" w:rsidR="00C002ED" w:rsidRPr="00C002ED" w:rsidRDefault="00C002ED" w:rsidP="00C002ED">
            <w:pPr>
              <w:pStyle w:val="TableHeading"/>
              <w:spacing w:before="0" w:after="0" w:line="240" w:lineRule="auto"/>
              <w:rPr>
                <w:szCs w:val="20"/>
              </w:rPr>
            </w:pPr>
            <w:r w:rsidRPr="00C002ED">
              <w:rPr>
                <w:szCs w:val="20"/>
              </w:rPr>
              <w:t>Month [Oct]</w:t>
            </w:r>
          </w:p>
        </w:tc>
        <w:tc>
          <w:tcPr>
            <w:tcW w:w="0" w:type="auto"/>
            <w:vAlign w:val="center"/>
          </w:tcPr>
          <w:p w14:paraId="20C2A3D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90.63</w:t>
            </w:r>
          </w:p>
        </w:tc>
        <w:tc>
          <w:tcPr>
            <w:tcW w:w="0" w:type="auto"/>
            <w:vAlign w:val="center"/>
          </w:tcPr>
          <w:p w14:paraId="66147E37"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37.40</w:t>
            </w:r>
          </w:p>
        </w:tc>
        <w:tc>
          <w:tcPr>
            <w:tcW w:w="0" w:type="auto"/>
            <w:vAlign w:val="center"/>
          </w:tcPr>
          <w:p w14:paraId="3B3B01A3"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0.015</w:t>
            </w:r>
          </w:p>
        </w:tc>
      </w:tr>
      <w:tr w:rsidR="00C002ED" w:rsidRPr="00C002ED" w14:paraId="2FA61B96"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F8787E" w14:textId="77777777" w:rsidR="00C002ED" w:rsidRPr="00C002ED" w:rsidRDefault="00C002ED" w:rsidP="00C002ED">
            <w:pPr>
              <w:pStyle w:val="TableHeading"/>
              <w:spacing w:before="0" w:after="0" w:line="240" w:lineRule="auto"/>
              <w:rPr>
                <w:szCs w:val="20"/>
              </w:rPr>
            </w:pPr>
            <w:r w:rsidRPr="00C002ED">
              <w:rPr>
                <w:szCs w:val="20"/>
              </w:rPr>
              <w:t>Month [Nov]</w:t>
            </w:r>
          </w:p>
        </w:tc>
        <w:tc>
          <w:tcPr>
            <w:tcW w:w="0" w:type="auto"/>
            <w:vAlign w:val="center"/>
          </w:tcPr>
          <w:p w14:paraId="503361A0"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99.67</w:t>
            </w:r>
          </w:p>
        </w:tc>
        <w:tc>
          <w:tcPr>
            <w:tcW w:w="0" w:type="auto"/>
            <w:vAlign w:val="center"/>
          </w:tcPr>
          <w:p w14:paraId="5E350786"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37.48</w:t>
            </w:r>
          </w:p>
        </w:tc>
        <w:tc>
          <w:tcPr>
            <w:tcW w:w="0" w:type="auto"/>
            <w:vAlign w:val="center"/>
          </w:tcPr>
          <w:p w14:paraId="336E75B3"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0.009</w:t>
            </w:r>
          </w:p>
        </w:tc>
      </w:tr>
      <w:tr w:rsidR="00C002ED" w:rsidRPr="00C002ED" w14:paraId="0D4FAE5C"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27D0EE1" w14:textId="77777777" w:rsidR="00C002ED" w:rsidRPr="00C002ED" w:rsidRDefault="00C002ED" w:rsidP="00C002ED">
            <w:pPr>
              <w:pStyle w:val="TableHeading"/>
              <w:spacing w:before="0" w:after="0" w:line="240" w:lineRule="auto"/>
              <w:rPr>
                <w:szCs w:val="20"/>
              </w:rPr>
            </w:pPr>
            <w:r w:rsidRPr="00C002ED">
              <w:rPr>
                <w:szCs w:val="20"/>
              </w:rPr>
              <w:t>Month [Dec]</w:t>
            </w:r>
          </w:p>
        </w:tc>
        <w:tc>
          <w:tcPr>
            <w:tcW w:w="0" w:type="auto"/>
            <w:vAlign w:val="center"/>
          </w:tcPr>
          <w:p w14:paraId="62B088DB"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97.77</w:t>
            </w:r>
          </w:p>
        </w:tc>
        <w:tc>
          <w:tcPr>
            <w:tcW w:w="0" w:type="auto"/>
            <w:vAlign w:val="center"/>
          </w:tcPr>
          <w:p w14:paraId="297F1F76"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37.44</w:t>
            </w:r>
          </w:p>
        </w:tc>
        <w:tc>
          <w:tcPr>
            <w:tcW w:w="0" w:type="auto"/>
            <w:vAlign w:val="center"/>
          </w:tcPr>
          <w:p w14:paraId="0CE6CCE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0.009</w:t>
            </w:r>
          </w:p>
        </w:tc>
      </w:tr>
      <w:tr w:rsidR="00C002ED" w:rsidRPr="00C002ED" w14:paraId="3637DF44"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4E0BD3D" w14:textId="77777777" w:rsidR="00C002ED" w:rsidRPr="00C002ED" w:rsidRDefault="00C002ED" w:rsidP="00C002ED">
            <w:pPr>
              <w:pStyle w:val="TableHeading"/>
              <w:spacing w:before="0" w:after="0" w:line="240" w:lineRule="auto"/>
              <w:rPr>
                <w:szCs w:val="20"/>
              </w:rPr>
            </w:pPr>
            <w:r w:rsidRPr="00C002ED">
              <w:rPr>
                <w:szCs w:val="20"/>
              </w:rPr>
              <w:t>Month [Jan]</w:t>
            </w:r>
          </w:p>
        </w:tc>
        <w:tc>
          <w:tcPr>
            <w:tcW w:w="0" w:type="auto"/>
            <w:vAlign w:val="center"/>
          </w:tcPr>
          <w:p w14:paraId="7CC8A160"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97.27</w:t>
            </w:r>
          </w:p>
        </w:tc>
        <w:tc>
          <w:tcPr>
            <w:tcW w:w="0" w:type="auto"/>
            <w:vAlign w:val="center"/>
          </w:tcPr>
          <w:p w14:paraId="37E3E65F"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37.48</w:t>
            </w:r>
          </w:p>
        </w:tc>
        <w:tc>
          <w:tcPr>
            <w:tcW w:w="0" w:type="auto"/>
            <w:vAlign w:val="center"/>
          </w:tcPr>
          <w:p w14:paraId="3D09A626"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0.009</w:t>
            </w:r>
          </w:p>
        </w:tc>
      </w:tr>
      <w:tr w:rsidR="00C002ED" w:rsidRPr="00C002ED" w14:paraId="1C0138BE"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7CF6EB" w14:textId="77777777" w:rsidR="00C002ED" w:rsidRPr="00C002ED" w:rsidRDefault="00C002ED" w:rsidP="00C002ED">
            <w:pPr>
              <w:pStyle w:val="TableHeading"/>
              <w:spacing w:before="0" w:after="0" w:line="240" w:lineRule="auto"/>
              <w:rPr>
                <w:szCs w:val="20"/>
              </w:rPr>
            </w:pPr>
            <w:r w:rsidRPr="00C002ED">
              <w:rPr>
                <w:szCs w:val="20"/>
              </w:rPr>
              <w:t>Mean daily flow (ML/d)</w:t>
            </w:r>
          </w:p>
        </w:tc>
        <w:tc>
          <w:tcPr>
            <w:tcW w:w="0" w:type="auto"/>
            <w:vAlign w:val="center"/>
          </w:tcPr>
          <w:p w14:paraId="0D19463A"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13.22</w:t>
            </w:r>
          </w:p>
        </w:tc>
        <w:tc>
          <w:tcPr>
            <w:tcW w:w="0" w:type="auto"/>
            <w:vAlign w:val="center"/>
          </w:tcPr>
          <w:p w14:paraId="1DA7E308"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3.69</w:t>
            </w:r>
          </w:p>
        </w:tc>
        <w:tc>
          <w:tcPr>
            <w:tcW w:w="0" w:type="auto"/>
            <w:vAlign w:val="center"/>
          </w:tcPr>
          <w:p w14:paraId="4CBD7A14"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346CAC04"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5EAA4F1" w14:textId="77777777" w:rsidR="00C002ED" w:rsidRPr="00C002ED" w:rsidRDefault="00C002ED" w:rsidP="00C002ED">
            <w:pPr>
              <w:pStyle w:val="TableHeading"/>
              <w:spacing w:before="0" w:after="0" w:line="240" w:lineRule="auto"/>
              <w:rPr>
                <w:szCs w:val="20"/>
              </w:rPr>
            </w:pPr>
            <w:r w:rsidRPr="00C002ED">
              <w:rPr>
                <w:szCs w:val="20"/>
              </w:rPr>
              <w:t>Long-term average flow (AveQ90)</w:t>
            </w:r>
          </w:p>
        </w:tc>
        <w:tc>
          <w:tcPr>
            <w:tcW w:w="0" w:type="auto"/>
            <w:vAlign w:val="center"/>
          </w:tcPr>
          <w:p w14:paraId="45C69C2C"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-8.51</w:t>
            </w:r>
          </w:p>
        </w:tc>
        <w:tc>
          <w:tcPr>
            <w:tcW w:w="0" w:type="auto"/>
            <w:vAlign w:val="center"/>
          </w:tcPr>
          <w:p w14:paraId="6F62301A"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1.43</w:t>
            </w:r>
          </w:p>
        </w:tc>
        <w:tc>
          <w:tcPr>
            <w:tcW w:w="0" w:type="auto"/>
            <w:vAlign w:val="center"/>
          </w:tcPr>
          <w:p w14:paraId="24DC59C5"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146E13C4"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80FD9F0" w14:textId="77777777" w:rsidR="00C002ED" w:rsidRPr="00C002ED" w:rsidRDefault="00C002ED" w:rsidP="00C002ED">
            <w:pPr>
              <w:pStyle w:val="TableHeading"/>
              <w:spacing w:before="0" w:after="0" w:line="240" w:lineRule="auto"/>
              <w:rPr>
                <w:szCs w:val="20"/>
              </w:rPr>
            </w:pPr>
            <w:r w:rsidRPr="00C002ED">
              <w:rPr>
                <w:szCs w:val="20"/>
              </w:rPr>
              <w:t>Temperature</w:t>
            </w:r>
          </w:p>
        </w:tc>
        <w:tc>
          <w:tcPr>
            <w:tcW w:w="0" w:type="auto"/>
            <w:vAlign w:val="center"/>
          </w:tcPr>
          <w:p w14:paraId="2328A6C7"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-1.16</w:t>
            </w:r>
          </w:p>
        </w:tc>
        <w:tc>
          <w:tcPr>
            <w:tcW w:w="0" w:type="auto"/>
            <w:vAlign w:val="center"/>
          </w:tcPr>
          <w:p w14:paraId="6992EAEB"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0.37</w:t>
            </w:r>
          </w:p>
        </w:tc>
        <w:tc>
          <w:tcPr>
            <w:tcW w:w="0" w:type="auto"/>
            <w:vAlign w:val="center"/>
          </w:tcPr>
          <w:p w14:paraId="444B3647"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0.001</w:t>
            </w:r>
          </w:p>
        </w:tc>
      </w:tr>
      <w:tr w:rsidR="00C002ED" w:rsidRPr="00C002ED" w14:paraId="5BC110CE"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DF9151A" w14:textId="77777777" w:rsidR="00C002ED" w:rsidRPr="00C002ED" w:rsidRDefault="00C002ED" w:rsidP="00C002ED">
            <w:pPr>
              <w:pStyle w:val="TableHeading"/>
              <w:spacing w:before="0" w:after="0" w:line="240" w:lineRule="auto"/>
              <w:rPr>
                <w:szCs w:val="20"/>
              </w:rPr>
            </w:pPr>
            <w:r w:rsidRPr="00C002ED">
              <w:rPr>
                <w:szCs w:val="20"/>
              </w:rPr>
              <w:t>Electrical conductivity (EC)</w:t>
            </w:r>
          </w:p>
        </w:tc>
        <w:tc>
          <w:tcPr>
            <w:tcW w:w="0" w:type="auto"/>
            <w:vAlign w:val="center"/>
          </w:tcPr>
          <w:p w14:paraId="37AB6A8D"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-0.05</w:t>
            </w:r>
          </w:p>
        </w:tc>
        <w:tc>
          <w:tcPr>
            <w:tcW w:w="0" w:type="auto"/>
            <w:vAlign w:val="center"/>
          </w:tcPr>
          <w:p w14:paraId="4623707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0.02</w:t>
            </w:r>
          </w:p>
        </w:tc>
        <w:tc>
          <w:tcPr>
            <w:tcW w:w="0" w:type="auto"/>
            <w:vAlign w:val="center"/>
          </w:tcPr>
          <w:p w14:paraId="589EB636"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0.041</w:t>
            </w:r>
          </w:p>
        </w:tc>
      </w:tr>
      <w:tr w:rsidR="00C002ED" w:rsidRPr="00C002ED" w14:paraId="642DA460"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AE8ADA" w14:textId="77777777" w:rsidR="00C002ED" w:rsidRPr="00C002ED" w:rsidRDefault="00C002ED" w:rsidP="00C002ED">
            <w:pPr>
              <w:pStyle w:val="TableHeading"/>
              <w:spacing w:before="0" w:after="0" w:line="240" w:lineRule="auto"/>
              <w:rPr>
                <w:szCs w:val="20"/>
              </w:rPr>
            </w:pPr>
            <w:r w:rsidRPr="00C002ED">
              <w:rPr>
                <w:szCs w:val="20"/>
              </w:rPr>
              <w:t>10-day flow trend (dQ10)</w:t>
            </w:r>
          </w:p>
        </w:tc>
        <w:tc>
          <w:tcPr>
            <w:tcW w:w="0" w:type="auto"/>
            <w:vAlign w:val="center"/>
          </w:tcPr>
          <w:p w14:paraId="7B1182C4"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9.46</w:t>
            </w:r>
          </w:p>
        </w:tc>
        <w:tc>
          <w:tcPr>
            <w:tcW w:w="0" w:type="auto"/>
            <w:vAlign w:val="center"/>
          </w:tcPr>
          <w:p w14:paraId="69D29488"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5.22</w:t>
            </w:r>
          </w:p>
        </w:tc>
        <w:tc>
          <w:tcPr>
            <w:tcW w:w="0" w:type="auto"/>
            <w:vAlign w:val="center"/>
          </w:tcPr>
          <w:p w14:paraId="4E992502"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0.070</w:t>
            </w:r>
          </w:p>
        </w:tc>
      </w:tr>
      <w:tr w:rsidR="00C002ED" w:rsidRPr="00C002ED" w14:paraId="48BC733E"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607F13C" w14:textId="77777777" w:rsidR="00C002ED" w:rsidRPr="00C002ED" w:rsidRDefault="00C002ED" w:rsidP="00C002ED">
            <w:pPr>
              <w:pStyle w:val="TableHeading"/>
              <w:spacing w:before="0" w:after="0" w:line="240" w:lineRule="auto"/>
              <w:rPr>
                <w:szCs w:val="20"/>
              </w:rPr>
            </w:pPr>
            <w:r w:rsidRPr="00C002ED">
              <w:rPr>
                <w:szCs w:val="20"/>
              </w:rPr>
              <w:t>Month [Oct]: Mean daily flow</w:t>
            </w:r>
          </w:p>
        </w:tc>
        <w:tc>
          <w:tcPr>
            <w:tcW w:w="0" w:type="auto"/>
            <w:vAlign w:val="center"/>
          </w:tcPr>
          <w:p w14:paraId="39BE5607"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-13.56</w:t>
            </w:r>
          </w:p>
        </w:tc>
        <w:tc>
          <w:tcPr>
            <w:tcW w:w="0" w:type="auto"/>
            <w:vAlign w:val="center"/>
          </w:tcPr>
          <w:p w14:paraId="55F70C1B"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3.66</w:t>
            </w:r>
          </w:p>
        </w:tc>
        <w:tc>
          <w:tcPr>
            <w:tcW w:w="0" w:type="auto"/>
            <w:vAlign w:val="center"/>
          </w:tcPr>
          <w:p w14:paraId="01983F2E"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08ED47AD"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09DFFD3" w14:textId="77777777" w:rsidR="00C002ED" w:rsidRPr="00C002ED" w:rsidRDefault="00C002ED" w:rsidP="00C002ED">
            <w:pPr>
              <w:pStyle w:val="TableHeading"/>
              <w:spacing w:before="0" w:after="0" w:line="240" w:lineRule="auto"/>
              <w:rPr>
                <w:szCs w:val="20"/>
              </w:rPr>
            </w:pPr>
            <w:r w:rsidRPr="00C002ED">
              <w:rPr>
                <w:szCs w:val="20"/>
              </w:rPr>
              <w:t>Month [Nov]: Mean daily flow</w:t>
            </w:r>
          </w:p>
        </w:tc>
        <w:tc>
          <w:tcPr>
            <w:tcW w:w="0" w:type="auto"/>
            <w:vAlign w:val="center"/>
          </w:tcPr>
          <w:p w14:paraId="486BE89D"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-11.64</w:t>
            </w:r>
          </w:p>
        </w:tc>
        <w:tc>
          <w:tcPr>
            <w:tcW w:w="0" w:type="auto"/>
            <w:vAlign w:val="center"/>
          </w:tcPr>
          <w:p w14:paraId="6EC7BA42"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3.63</w:t>
            </w:r>
          </w:p>
        </w:tc>
        <w:tc>
          <w:tcPr>
            <w:tcW w:w="0" w:type="auto"/>
            <w:vAlign w:val="center"/>
          </w:tcPr>
          <w:p w14:paraId="7F415881"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0.001</w:t>
            </w:r>
          </w:p>
        </w:tc>
      </w:tr>
      <w:tr w:rsidR="00C002ED" w:rsidRPr="00C002ED" w14:paraId="4210CFD9"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1E3603D" w14:textId="77777777" w:rsidR="00C002ED" w:rsidRPr="00C002ED" w:rsidRDefault="00C002ED" w:rsidP="00C002ED">
            <w:pPr>
              <w:pStyle w:val="TableHeading"/>
              <w:spacing w:before="0" w:after="0" w:line="240" w:lineRule="auto"/>
              <w:rPr>
                <w:szCs w:val="20"/>
              </w:rPr>
            </w:pPr>
            <w:r w:rsidRPr="00C002ED">
              <w:rPr>
                <w:szCs w:val="20"/>
              </w:rPr>
              <w:t>Month [Dec]: Mean daily flow</w:t>
            </w:r>
          </w:p>
        </w:tc>
        <w:tc>
          <w:tcPr>
            <w:tcW w:w="0" w:type="auto"/>
            <w:vAlign w:val="center"/>
          </w:tcPr>
          <w:p w14:paraId="5AEFB3F7"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-11.61</w:t>
            </w:r>
          </w:p>
        </w:tc>
        <w:tc>
          <w:tcPr>
            <w:tcW w:w="0" w:type="auto"/>
            <w:vAlign w:val="center"/>
          </w:tcPr>
          <w:p w14:paraId="38D7E03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3.65</w:t>
            </w:r>
          </w:p>
        </w:tc>
        <w:tc>
          <w:tcPr>
            <w:tcW w:w="0" w:type="auto"/>
            <w:vAlign w:val="center"/>
          </w:tcPr>
          <w:p w14:paraId="4CC1CE36"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0.001</w:t>
            </w:r>
          </w:p>
        </w:tc>
      </w:tr>
      <w:tr w:rsidR="00C002ED" w:rsidRPr="00C002ED" w14:paraId="4CA1CDD8"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A0296B2" w14:textId="77777777" w:rsidR="00C002ED" w:rsidRPr="00C002ED" w:rsidRDefault="00C002ED" w:rsidP="00C002ED">
            <w:pPr>
              <w:pStyle w:val="TableHeading"/>
              <w:spacing w:before="0" w:after="0" w:line="240" w:lineRule="auto"/>
              <w:jc w:val="left"/>
              <w:rPr>
                <w:szCs w:val="20"/>
              </w:rPr>
            </w:pPr>
            <w:r w:rsidRPr="00C002ED">
              <w:rPr>
                <w:szCs w:val="20"/>
              </w:rPr>
              <w:t>Month [Jan]: Mean daily flow</w:t>
            </w:r>
          </w:p>
        </w:tc>
        <w:tc>
          <w:tcPr>
            <w:tcW w:w="0" w:type="auto"/>
            <w:vAlign w:val="center"/>
          </w:tcPr>
          <w:p w14:paraId="705BDC7D"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-9.55</w:t>
            </w:r>
          </w:p>
        </w:tc>
        <w:tc>
          <w:tcPr>
            <w:tcW w:w="0" w:type="auto"/>
            <w:vAlign w:val="center"/>
          </w:tcPr>
          <w:p w14:paraId="0F269F9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3.63</w:t>
            </w:r>
          </w:p>
        </w:tc>
        <w:tc>
          <w:tcPr>
            <w:tcW w:w="0" w:type="auto"/>
            <w:vAlign w:val="center"/>
          </w:tcPr>
          <w:p w14:paraId="57C5718B"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0.009</w:t>
            </w:r>
          </w:p>
        </w:tc>
      </w:tr>
      <w:tr w:rsidR="00C002ED" w:rsidRPr="00C002ED" w14:paraId="19C81984"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662A3F8" w14:textId="77777777" w:rsidR="00C002ED" w:rsidRPr="00C002ED" w:rsidRDefault="00C002ED" w:rsidP="00C002ED">
            <w:pPr>
              <w:pStyle w:val="TableHeading"/>
              <w:spacing w:before="0" w:after="0" w:line="240" w:lineRule="auto"/>
              <w:jc w:val="left"/>
              <w:rPr>
                <w:szCs w:val="20"/>
              </w:rPr>
            </w:pPr>
            <w:r w:rsidRPr="00C002ED">
              <w:rPr>
                <w:szCs w:val="20"/>
              </w:rPr>
              <w:t>Month [Oct]: AveQ90</w:t>
            </w:r>
          </w:p>
        </w:tc>
        <w:tc>
          <w:tcPr>
            <w:tcW w:w="0" w:type="auto"/>
            <w:vAlign w:val="center"/>
          </w:tcPr>
          <w:p w14:paraId="41394C64"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5.38</w:t>
            </w:r>
          </w:p>
        </w:tc>
        <w:tc>
          <w:tcPr>
            <w:tcW w:w="0" w:type="auto"/>
            <w:vAlign w:val="center"/>
          </w:tcPr>
          <w:p w14:paraId="4E34765D"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0.67</w:t>
            </w:r>
          </w:p>
        </w:tc>
        <w:tc>
          <w:tcPr>
            <w:tcW w:w="0" w:type="auto"/>
            <w:vAlign w:val="center"/>
          </w:tcPr>
          <w:p w14:paraId="4DADA60D"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5766A3A0"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8799CC" w14:textId="77777777" w:rsidR="00C002ED" w:rsidRPr="00C002ED" w:rsidRDefault="00C002ED" w:rsidP="00C002ED">
            <w:pPr>
              <w:pStyle w:val="TableHeading"/>
              <w:spacing w:before="0" w:after="0" w:line="240" w:lineRule="auto"/>
              <w:jc w:val="left"/>
              <w:rPr>
                <w:szCs w:val="20"/>
              </w:rPr>
            </w:pPr>
            <w:r w:rsidRPr="00C002ED">
              <w:rPr>
                <w:szCs w:val="20"/>
              </w:rPr>
              <w:t>Month [Nov]: AveQ90</w:t>
            </w:r>
          </w:p>
        </w:tc>
        <w:tc>
          <w:tcPr>
            <w:tcW w:w="0" w:type="auto"/>
            <w:vAlign w:val="center"/>
          </w:tcPr>
          <w:p w14:paraId="6923ED77"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2.71</w:t>
            </w:r>
          </w:p>
        </w:tc>
        <w:tc>
          <w:tcPr>
            <w:tcW w:w="0" w:type="auto"/>
            <w:vAlign w:val="center"/>
          </w:tcPr>
          <w:p w14:paraId="2259DD93"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0.45</w:t>
            </w:r>
          </w:p>
        </w:tc>
        <w:tc>
          <w:tcPr>
            <w:tcW w:w="0" w:type="auto"/>
            <w:vAlign w:val="center"/>
          </w:tcPr>
          <w:p w14:paraId="6C962718"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71A0E1AE"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7A01E26" w14:textId="77777777" w:rsidR="00C002ED" w:rsidRPr="00C002ED" w:rsidRDefault="00C002ED" w:rsidP="00C002ED">
            <w:pPr>
              <w:pStyle w:val="TableHeading"/>
              <w:spacing w:before="0" w:after="0" w:line="240" w:lineRule="auto"/>
              <w:jc w:val="left"/>
              <w:rPr>
                <w:szCs w:val="20"/>
              </w:rPr>
            </w:pPr>
            <w:r w:rsidRPr="00C002ED">
              <w:rPr>
                <w:szCs w:val="20"/>
              </w:rPr>
              <w:t>Month [Dec]: AveQ90</w:t>
            </w:r>
          </w:p>
        </w:tc>
        <w:tc>
          <w:tcPr>
            <w:tcW w:w="0" w:type="auto"/>
            <w:vAlign w:val="center"/>
          </w:tcPr>
          <w:p w14:paraId="74B1564B"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2.72</w:t>
            </w:r>
          </w:p>
        </w:tc>
        <w:tc>
          <w:tcPr>
            <w:tcW w:w="0" w:type="auto"/>
            <w:vAlign w:val="center"/>
          </w:tcPr>
          <w:p w14:paraId="524867D1"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0.48</w:t>
            </w:r>
          </w:p>
        </w:tc>
        <w:tc>
          <w:tcPr>
            <w:tcW w:w="0" w:type="auto"/>
            <w:vAlign w:val="center"/>
          </w:tcPr>
          <w:p w14:paraId="3EC39E68"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48D0E158"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3FED19D" w14:textId="77777777" w:rsidR="00C002ED" w:rsidRPr="00C002ED" w:rsidRDefault="00C002ED" w:rsidP="00C002ED">
            <w:pPr>
              <w:pStyle w:val="TableHeading"/>
              <w:spacing w:before="0" w:after="0" w:line="240" w:lineRule="auto"/>
              <w:jc w:val="left"/>
              <w:rPr>
                <w:szCs w:val="20"/>
              </w:rPr>
            </w:pPr>
            <w:r w:rsidRPr="00C002ED">
              <w:rPr>
                <w:szCs w:val="20"/>
              </w:rPr>
              <w:t>Month [Oct]: Temperature</w:t>
            </w:r>
          </w:p>
        </w:tc>
        <w:tc>
          <w:tcPr>
            <w:tcW w:w="0" w:type="auto"/>
            <w:vAlign w:val="center"/>
          </w:tcPr>
          <w:p w14:paraId="21BC4230"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-0.08</w:t>
            </w:r>
          </w:p>
        </w:tc>
        <w:tc>
          <w:tcPr>
            <w:tcW w:w="0" w:type="auto"/>
            <w:vAlign w:val="center"/>
          </w:tcPr>
          <w:p w14:paraId="4E43F039"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0.13</w:t>
            </w:r>
          </w:p>
        </w:tc>
        <w:tc>
          <w:tcPr>
            <w:tcW w:w="0" w:type="auto"/>
            <w:vAlign w:val="center"/>
          </w:tcPr>
          <w:p w14:paraId="1F638ACF"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0.548</w:t>
            </w:r>
          </w:p>
        </w:tc>
      </w:tr>
      <w:tr w:rsidR="00C002ED" w:rsidRPr="00C002ED" w14:paraId="6170B5D6"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61C503" w14:textId="77777777" w:rsidR="00C002ED" w:rsidRPr="00C002ED" w:rsidRDefault="00C002ED" w:rsidP="00C002ED">
            <w:pPr>
              <w:pStyle w:val="TableHeading"/>
              <w:spacing w:before="0" w:after="0" w:line="240" w:lineRule="auto"/>
              <w:jc w:val="left"/>
              <w:rPr>
                <w:szCs w:val="20"/>
              </w:rPr>
            </w:pPr>
            <w:r w:rsidRPr="00C002ED">
              <w:rPr>
                <w:szCs w:val="20"/>
              </w:rPr>
              <w:t>Month [Nov]: Temperature</w:t>
            </w:r>
          </w:p>
        </w:tc>
        <w:tc>
          <w:tcPr>
            <w:tcW w:w="0" w:type="auto"/>
            <w:vAlign w:val="center"/>
          </w:tcPr>
          <w:p w14:paraId="11CFC7FA"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-0.365</w:t>
            </w:r>
          </w:p>
        </w:tc>
        <w:tc>
          <w:tcPr>
            <w:tcW w:w="0" w:type="auto"/>
            <w:vAlign w:val="center"/>
          </w:tcPr>
          <w:p w14:paraId="6B378B06"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0.11</w:t>
            </w:r>
          </w:p>
        </w:tc>
        <w:tc>
          <w:tcPr>
            <w:tcW w:w="0" w:type="auto"/>
            <w:vAlign w:val="center"/>
          </w:tcPr>
          <w:p w14:paraId="4CDD50C7"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0.001</w:t>
            </w:r>
          </w:p>
        </w:tc>
      </w:tr>
      <w:tr w:rsidR="00C002ED" w:rsidRPr="00C002ED" w14:paraId="1C712458"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BFCC0E3" w14:textId="77777777" w:rsidR="00C002ED" w:rsidRPr="00C002ED" w:rsidRDefault="00C002ED" w:rsidP="00C002ED">
            <w:pPr>
              <w:pStyle w:val="TableHeading"/>
              <w:spacing w:before="0" w:after="0" w:line="240" w:lineRule="auto"/>
              <w:jc w:val="left"/>
              <w:rPr>
                <w:szCs w:val="20"/>
              </w:rPr>
            </w:pPr>
            <w:r w:rsidRPr="00C002ED">
              <w:rPr>
                <w:szCs w:val="20"/>
              </w:rPr>
              <w:t>Month [Dec]: Temperature</w:t>
            </w:r>
          </w:p>
        </w:tc>
        <w:tc>
          <w:tcPr>
            <w:tcW w:w="0" w:type="auto"/>
            <w:vAlign w:val="center"/>
          </w:tcPr>
          <w:p w14:paraId="6A809EC0"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-0.26</w:t>
            </w:r>
          </w:p>
        </w:tc>
        <w:tc>
          <w:tcPr>
            <w:tcW w:w="0" w:type="auto"/>
            <w:vAlign w:val="center"/>
          </w:tcPr>
          <w:p w14:paraId="6357273B"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0.11</w:t>
            </w:r>
          </w:p>
        </w:tc>
        <w:tc>
          <w:tcPr>
            <w:tcW w:w="0" w:type="auto"/>
            <w:vAlign w:val="center"/>
          </w:tcPr>
          <w:p w14:paraId="2188E976"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0.024</w:t>
            </w:r>
          </w:p>
        </w:tc>
      </w:tr>
      <w:tr w:rsidR="00C002ED" w:rsidRPr="00C002ED" w14:paraId="7BCB8643"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B8BFA98" w14:textId="77777777" w:rsidR="00C002ED" w:rsidRPr="00C002ED" w:rsidRDefault="00C002ED" w:rsidP="00C002ED">
            <w:pPr>
              <w:pStyle w:val="TableHeading"/>
              <w:spacing w:before="0" w:after="0" w:line="240" w:lineRule="auto"/>
              <w:jc w:val="left"/>
              <w:rPr>
                <w:szCs w:val="20"/>
              </w:rPr>
            </w:pPr>
            <w:r w:rsidRPr="00C002ED">
              <w:rPr>
                <w:szCs w:val="20"/>
              </w:rPr>
              <w:t>Month [Oct]: EC</w:t>
            </w:r>
          </w:p>
        </w:tc>
        <w:tc>
          <w:tcPr>
            <w:tcW w:w="0" w:type="auto"/>
            <w:vAlign w:val="center"/>
          </w:tcPr>
          <w:p w14:paraId="04195CA8"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-0.02</w:t>
            </w:r>
          </w:p>
        </w:tc>
        <w:tc>
          <w:tcPr>
            <w:tcW w:w="0" w:type="auto"/>
            <w:vAlign w:val="center"/>
          </w:tcPr>
          <w:p w14:paraId="5C045ECA"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4.4e-03</w:t>
            </w:r>
          </w:p>
        </w:tc>
        <w:tc>
          <w:tcPr>
            <w:tcW w:w="0" w:type="auto"/>
            <w:vAlign w:val="center"/>
          </w:tcPr>
          <w:p w14:paraId="2EB54958"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57D7634E"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9EABB9D" w14:textId="77777777" w:rsidR="00C002ED" w:rsidRPr="00C002ED" w:rsidRDefault="00C002ED" w:rsidP="00C002ED">
            <w:pPr>
              <w:pStyle w:val="TableHeading"/>
              <w:spacing w:before="0" w:after="0" w:line="240" w:lineRule="auto"/>
              <w:jc w:val="left"/>
              <w:rPr>
                <w:szCs w:val="20"/>
              </w:rPr>
            </w:pPr>
            <w:r w:rsidRPr="00C002ED">
              <w:rPr>
                <w:szCs w:val="20"/>
              </w:rPr>
              <w:t>Month [Nov]: EC</w:t>
            </w:r>
          </w:p>
        </w:tc>
        <w:tc>
          <w:tcPr>
            <w:tcW w:w="0" w:type="auto"/>
            <w:vAlign w:val="center"/>
          </w:tcPr>
          <w:p w14:paraId="4D2C58DD"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1.5e-03</w:t>
            </w:r>
          </w:p>
        </w:tc>
        <w:tc>
          <w:tcPr>
            <w:tcW w:w="0" w:type="auto"/>
            <w:vAlign w:val="center"/>
          </w:tcPr>
          <w:p w14:paraId="395A0687"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3.0e-03</w:t>
            </w:r>
          </w:p>
        </w:tc>
        <w:tc>
          <w:tcPr>
            <w:tcW w:w="0" w:type="auto"/>
            <w:vAlign w:val="center"/>
          </w:tcPr>
          <w:p w14:paraId="4DB946A1"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0.625</w:t>
            </w:r>
          </w:p>
        </w:tc>
      </w:tr>
      <w:tr w:rsidR="00C002ED" w:rsidRPr="00C002ED" w14:paraId="07496BB2"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D0998D9" w14:textId="77777777" w:rsidR="00C002ED" w:rsidRPr="00C002ED" w:rsidRDefault="00C002ED" w:rsidP="00C002ED">
            <w:pPr>
              <w:pStyle w:val="TableHeading"/>
              <w:spacing w:before="0" w:after="0" w:line="240" w:lineRule="auto"/>
              <w:jc w:val="left"/>
              <w:rPr>
                <w:szCs w:val="20"/>
              </w:rPr>
            </w:pPr>
            <w:r w:rsidRPr="00C002ED">
              <w:rPr>
                <w:szCs w:val="20"/>
              </w:rPr>
              <w:t>Month [Dec]: EC</w:t>
            </w:r>
          </w:p>
        </w:tc>
        <w:tc>
          <w:tcPr>
            <w:tcW w:w="0" w:type="auto"/>
            <w:vAlign w:val="center"/>
          </w:tcPr>
          <w:p w14:paraId="7439C426"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-4.3e-03</w:t>
            </w:r>
          </w:p>
        </w:tc>
        <w:tc>
          <w:tcPr>
            <w:tcW w:w="0" w:type="auto"/>
            <w:vAlign w:val="center"/>
          </w:tcPr>
          <w:p w14:paraId="6726E7CE"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2.2e-03</w:t>
            </w:r>
          </w:p>
        </w:tc>
        <w:tc>
          <w:tcPr>
            <w:tcW w:w="0" w:type="auto"/>
            <w:vAlign w:val="center"/>
          </w:tcPr>
          <w:p w14:paraId="5A97A95E"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0.052</w:t>
            </w:r>
          </w:p>
        </w:tc>
      </w:tr>
      <w:tr w:rsidR="00C002ED" w:rsidRPr="00C002ED" w14:paraId="28A89FE1"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6B53866" w14:textId="77777777" w:rsidR="00C002ED" w:rsidRPr="00C002ED" w:rsidRDefault="00C002ED" w:rsidP="00C002ED">
            <w:pPr>
              <w:pStyle w:val="TableHeading"/>
              <w:spacing w:before="0" w:after="0" w:line="240" w:lineRule="auto"/>
              <w:jc w:val="left"/>
              <w:rPr>
                <w:szCs w:val="20"/>
              </w:rPr>
            </w:pPr>
            <w:r w:rsidRPr="00C002ED">
              <w:rPr>
                <w:szCs w:val="20"/>
              </w:rPr>
              <w:t>Month [Oct]: dQ10</w:t>
            </w:r>
          </w:p>
        </w:tc>
        <w:tc>
          <w:tcPr>
            <w:tcW w:w="0" w:type="auto"/>
            <w:vAlign w:val="center"/>
          </w:tcPr>
          <w:p w14:paraId="11416564"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-0.92</w:t>
            </w:r>
          </w:p>
        </w:tc>
        <w:tc>
          <w:tcPr>
            <w:tcW w:w="0" w:type="auto"/>
            <w:vAlign w:val="center"/>
          </w:tcPr>
          <w:p w14:paraId="14DB79FC"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1.23</w:t>
            </w:r>
          </w:p>
        </w:tc>
        <w:tc>
          <w:tcPr>
            <w:tcW w:w="0" w:type="auto"/>
            <w:vAlign w:val="center"/>
          </w:tcPr>
          <w:p w14:paraId="42E3650E"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0.454</w:t>
            </w:r>
          </w:p>
        </w:tc>
      </w:tr>
      <w:tr w:rsidR="00C002ED" w:rsidRPr="00C002ED" w14:paraId="2C676636"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80A53C0" w14:textId="77777777" w:rsidR="00C002ED" w:rsidRPr="00C002ED" w:rsidRDefault="00C002ED" w:rsidP="00C002ED">
            <w:pPr>
              <w:pStyle w:val="TableHeading"/>
              <w:spacing w:before="0" w:after="0" w:line="240" w:lineRule="auto"/>
              <w:jc w:val="left"/>
              <w:rPr>
                <w:szCs w:val="20"/>
              </w:rPr>
            </w:pPr>
            <w:r w:rsidRPr="00C002ED">
              <w:rPr>
                <w:szCs w:val="20"/>
              </w:rPr>
              <w:t>Month [Nov]: dQ10</w:t>
            </w:r>
          </w:p>
        </w:tc>
        <w:tc>
          <w:tcPr>
            <w:tcW w:w="0" w:type="auto"/>
            <w:vAlign w:val="center"/>
          </w:tcPr>
          <w:p w14:paraId="6F3BE4DC"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0.78</w:t>
            </w:r>
          </w:p>
        </w:tc>
        <w:tc>
          <w:tcPr>
            <w:tcW w:w="0" w:type="auto"/>
            <w:vAlign w:val="center"/>
          </w:tcPr>
          <w:p w14:paraId="67C7AC47"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0.75</w:t>
            </w:r>
          </w:p>
        </w:tc>
        <w:tc>
          <w:tcPr>
            <w:tcW w:w="0" w:type="auto"/>
            <w:vAlign w:val="center"/>
          </w:tcPr>
          <w:p w14:paraId="72291068"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0.297</w:t>
            </w:r>
          </w:p>
        </w:tc>
      </w:tr>
      <w:tr w:rsidR="00C002ED" w:rsidRPr="00C002ED" w14:paraId="1BB6E6C3"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5C8E5FC" w14:textId="77777777" w:rsidR="00C002ED" w:rsidRPr="00C002ED" w:rsidRDefault="00C002ED" w:rsidP="00C002ED">
            <w:pPr>
              <w:pStyle w:val="TableHeading"/>
              <w:spacing w:before="0" w:after="0" w:line="240" w:lineRule="auto"/>
              <w:jc w:val="left"/>
              <w:rPr>
                <w:szCs w:val="20"/>
              </w:rPr>
            </w:pPr>
            <w:r w:rsidRPr="00C002ED">
              <w:rPr>
                <w:szCs w:val="20"/>
              </w:rPr>
              <w:t>Month [Dec]: dQ10</w:t>
            </w:r>
          </w:p>
        </w:tc>
        <w:tc>
          <w:tcPr>
            <w:tcW w:w="0" w:type="auto"/>
            <w:vAlign w:val="center"/>
          </w:tcPr>
          <w:p w14:paraId="572BA925"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0.81</w:t>
            </w:r>
          </w:p>
        </w:tc>
        <w:tc>
          <w:tcPr>
            <w:tcW w:w="0" w:type="auto"/>
            <w:vAlign w:val="center"/>
          </w:tcPr>
          <w:p w14:paraId="4104DDE9"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0.64</w:t>
            </w:r>
          </w:p>
        </w:tc>
        <w:tc>
          <w:tcPr>
            <w:tcW w:w="0" w:type="auto"/>
            <w:vAlign w:val="center"/>
          </w:tcPr>
          <w:p w14:paraId="72C21BF1"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0.207</w:t>
            </w:r>
          </w:p>
        </w:tc>
      </w:tr>
      <w:tr w:rsidR="00C002ED" w:rsidRPr="00C002ED" w14:paraId="2E6CCE89"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2BF8435" w14:textId="77777777" w:rsidR="00C002ED" w:rsidRPr="00C002ED" w:rsidRDefault="00C002ED" w:rsidP="00C002ED">
            <w:pPr>
              <w:pStyle w:val="TableHeading"/>
              <w:spacing w:before="0" w:after="0" w:line="240" w:lineRule="auto"/>
              <w:jc w:val="left"/>
              <w:rPr>
                <w:szCs w:val="20"/>
              </w:rPr>
            </w:pPr>
            <w:r w:rsidRPr="00C002ED">
              <w:rPr>
                <w:szCs w:val="20"/>
              </w:rPr>
              <w:t>Mean daily flow:EC</w:t>
            </w:r>
          </w:p>
        </w:tc>
        <w:tc>
          <w:tcPr>
            <w:tcW w:w="0" w:type="auto"/>
            <w:vAlign w:val="center"/>
          </w:tcPr>
          <w:p w14:paraId="183FB608"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-4.4e-03</w:t>
            </w:r>
          </w:p>
        </w:tc>
        <w:tc>
          <w:tcPr>
            <w:tcW w:w="0" w:type="auto"/>
            <w:vAlign w:val="center"/>
          </w:tcPr>
          <w:p w14:paraId="5F36FD0A"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2.8e-03</w:t>
            </w:r>
          </w:p>
        </w:tc>
        <w:tc>
          <w:tcPr>
            <w:tcW w:w="0" w:type="auto"/>
            <w:vAlign w:val="center"/>
          </w:tcPr>
          <w:p w14:paraId="5B9641F2"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0.117</w:t>
            </w:r>
          </w:p>
        </w:tc>
      </w:tr>
      <w:tr w:rsidR="00C002ED" w:rsidRPr="00C002ED" w14:paraId="4ACD94FB"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F3C2DA5" w14:textId="77777777" w:rsidR="00C002ED" w:rsidRPr="00C002ED" w:rsidRDefault="00C002ED" w:rsidP="00C002ED">
            <w:pPr>
              <w:pStyle w:val="TableHeading"/>
              <w:spacing w:before="0" w:after="0" w:line="240" w:lineRule="auto"/>
              <w:jc w:val="left"/>
              <w:rPr>
                <w:szCs w:val="20"/>
              </w:rPr>
            </w:pPr>
            <w:r w:rsidRPr="00C002ED">
              <w:rPr>
                <w:szCs w:val="20"/>
              </w:rPr>
              <w:t>Mean daily flow:dQ10</w:t>
            </w:r>
          </w:p>
        </w:tc>
        <w:tc>
          <w:tcPr>
            <w:tcW w:w="0" w:type="auto"/>
            <w:vAlign w:val="center"/>
          </w:tcPr>
          <w:p w14:paraId="62AFDE8B"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-0.99</w:t>
            </w:r>
          </w:p>
        </w:tc>
        <w:tc>
          <w:tcPr>
            <w:tcW w:w="0" w:type="auto"/>
            <w:vAlign w:val="center"/>
          </w:tcPr>
          <w:p w14:paraId="0FF95EE7"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0.39</w:t>
            </w:r>
          </w:p>
        </w:tc>
        <w:tc>
          <w:tcPr>
            <w:tcW w:w="0" w:type="auto"/>
            <w:vAlign w:val="center"/>
          </w:tcPr>
          <w:p w14:paraId="6CBA86AD"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0.012</w:t>
            </w:r>
          </w:p>
        </w:tc>
      </w:tr>
      <w:tr w:rsidR="00C002ED" w:rsidRPr="00C002ED" w14:paraId="704E8F5A"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BD93E05" w14:textId="77777777" w:rsidR="00C002ED" w:rsidRPr="00C002ED" w:rsidRDefault="00C002ED" w:rsidP="00C002ED">
            <w:pPr>
              <w:pStyle w:val="TableHeading"/>
              <w:spacing w:before="0" w:after="0" w:line="240" w:lineRule="auto"/>
              <w:jc w:val="left"/>
              <w:rPr>
                <w:szCs w:val="20"/>
              </w:rPr>
            </w:pPr>
            <w:r w:rsidRPr="00C002ED">
              <w:rPr>
                <w:szCs w:val="20"/>
              </w:rPr>
              <w:t>AveQ90:Temperature</w:t>
            </w:r>
          </w:p>
        </w:tc>
        <w:tc>
          <w:tcPr>
            <w:tcW w:w="0" w:type="auto"/>
            <w:vAlign w:val="center"/>
          </w:tcPr>
          <w:p w14:paraId="682D21AD"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0.16</w:t>
            </w:r>
          </w:p>
        </w:tc>
        <w:tc>
          <w:tcPr>
            <w:tcW w:w="0" w:type="auto"/>
            <w:vAlign w:val="center"/>
          </w:tcPr>
          <w:p w14:paraId="2671DE37"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0.04</w:t>
            </w:r>
          </w:p>
        </w:tc>
        <w:tc>
          <w:tcPr>
            <w:tcW w:w="0" w:type="auto"/>
            <w:vAlign w:val="center"/>
          </w:tcPr>
          <w:p w14:paraId="79669AD3"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7A42D131"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DE75E5" w14:textId="77777777" w:rsidR="00C002ED" w:rsidRPr="00C002ED" w:rsidRDefault="00C002ED" w:rsidP="00C002ED">
            <w:pPr>
              <w:pStyle w:val="TableHeading"/>
              <w:spacing w:before="0" w:after="0" w:line="240" w:lineRule="auto"/>
              <w:jc w:val="left"/>
              <w:rPr>
                <w:szCs w:val="20"/>
              </w:rPr>
            </w:pPr>
            <w:r w:rsidRPr="00C002ED">
              <w:rPr>
                <w:szCs w:val="20"/>
              </w:rPr>
              <w:t>AveQ90:EC</w:t>
            </w:r>
          </w:p>
        </w:tc>
        <w:tc>
          <w:tcPr>
            <w:tcW w:w="0" w:type="auto"/>
            <w:vAlign w:val="center"/>
          </w:tcPr>
          <w:p w14:paraId="415D91F5"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w:t>
            </w:r>
          </w:p>
        </w:tc>
        <w:tc>
          <w:tcPr>
            <w:tcW w:w="0" w:type="auto"/>
            <w:vAlign w:val="center"/>
          </w:tcPr>
          <w:p w14:paraId="3DB52D95"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3.9e-03</w:t>
            </w:r>
          </w:p>
        </w:tc>
        <w:tc>
          <w:tcPr>
            <w:tcW w:w="0" w:type="auto"/>
            <w:vAlign w:val="center"/>
          </w:tcPr>
          <w:p w14:paraId="6AA29534"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0.016</w:t>
            </w:r>
          </w:p>
        </w:tc>
      </w:tr>
      <w:tr w:rsidR="00C002ED" w:rsidRPr="00C002ED" w14:paraId="2D2D0DE8"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06034D1" w14:textId="77777777" w:rsidR="00C002ED" w:rsidRPr="00C002ED" w:rsidRDefault="00C002ED" w:rsidP="00C002ED">
            <w:pPr>
              <w:pStyle w:val="TableHeading"/>
              <w:spacing w:before="0" w:after="0" w:line="240" w:lineRule="auto"/>
              <w:jc w:val="left"/>
              <w:rPr>
                <w:szCs w:val="20"/>
              </w:rPr>
            </w:pPr>
            <w:r w:rsidRPr="00C002ED">
              <w:rPr>
                <w:szCs w:val="20"/>
              </w:rPr>
              <w:t>AveQ90:dQ10</w:t>
            </w:r>
          </w:p>
        </w:tc>
        <w:tc>
          <w:tcPr>
            <w:tcW w:w="0" w:type="auto"/>
            <w:vAlign w:val="center"/>
          </w:tcPr>
          <w:p w14:paraId="35D7250C"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0.86</w:t>
            </w:r>
          </w:p>
        </w:tc>
        <w:tc>
          <w:tcPr>
            <w:tcW w:w="0" w:type="auto"/>
            <w:vAlign w:val="center"/>
          </w:tcPr>
          <w:p w14:paraId="19B4FF39"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0.48</w:t>
            </w:r>
          </w:p>
        </w:tc>
        <w:tc>
          <w:tcPr>
            <w:tcW w:w="0" w:type="auto"/>
            <w:vAlign w:val="center"/>
          </w:tcPr>
          <w:p w14:paraId="4FAFFA95"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0.074</w:t>
            </w:r>
          </w:p>
        </w:tc>
      </w:tr>
      <w:tr w:rsidR="00C002ED" w:rsidRPr="00C002ED" w14:paraId="48E169F0"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47B46B6" w14:textId="77777777" w:rsidR="00C002ED" w:rsidRPr="00C002ED" w:rsidRDefault="00C002ED" w:rsidP="00C002ED">
            <w:pPr>
              <w:pStyle w:val="TableHeading"/>
              <w:spacing w:before="0" w:after="0" w:line="240" w:lineRule="auto"/>
              <w:jc w:val="left"/>
              <w:rPr>
                <w:szCs w:val="20"/>
              </w:rPr>
            </w:pPr>
            <w:r w:rsidRPr="00C002ED">
              <w:rPr>
                <w:szCs w:val="20"/>
              </w:rPr>
              <w:t>Temperature: dQ10</w:t>
            </w:r>
          </w:p>
        </w:tc>
        <w:tc>
          <w:tcPr>
            <w:tcW w:w="0" w:type="auto"/>
            <w:vAlign w:val="center"/>
          </w:tcPr>
          <w:p w14:paraId="78548E41"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-0.45</w:t>
            </w:r>
          </w:p>
        </w:tc>
        <w:tc>
          <w:tcPr>
            <w:tcW w:w="0" w:type="auto"/>
            <w:vAlign w:val="center"/>
          </w:tcPr>
          <w:p w14:paraId="5EE24128"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0.17</w:t>
            </w:r>
          </w:p>
        </w:tc>
        <w:tc>
          <w:tcPr>
            <w:tcW w:w="0" w:type="auto"/>
            <w:vAlign w:val="center"/>
          </w:tcPr>
          <w:p w14:paraId="28EA8AF4" w14:textId="77777777" w:rsidR="00C002ED" w:rsidRPr="00C002ED" w:rsidDel="00467FF2"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0.011</w:t>
            </w:r>
          </w:p>
        </w:tc>
      </w:tr>
      <w:tr w:rsidR="00C002ED" w:rsidRPr="00C002ED" w14:paraId="4FC8DB02"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0AA9F7FA" w14:textId="77777777" w:rsidR="00C002ED" w:rsidRPr="00C002ED" w:rsidRDefault="00C002ED" w:rsidP="00C002ED">
            <w:pPr>
              <w:pStyle w:val="TableHeading"/>
              <w:spacing w:before="0" w:after="0" w:line="240" w:lineRule="auto"/>
              <w:rPr>
                <w:szCs w:val="20"/>
              </w:rPr>
            </w:pPr>
            <w:r w:rsidRPr="00C002ED">
              <w:rPr>
                <w:szCs w:val="20"/>
              </w:rPr>
              <w:t>EC: dQ10</w:t>
            </w:r>
          </w:p>
        </w:tc>
        <w:tc>
          <w:tcPr>
            <w:tcW w:w="0" w:type="auto"/>
            <w:tcBorders>
              <w:bottom w:val="single" w:sz="4" w:space="0" w:color="auto"/>
            </w:tcBorders>
            <w:vAlign w:val="center"/>
          </w:tcPr>
          <w:p w14:paraId="359AF8DA"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w:t>
            </w:r>
          </w:p>
        </w:tc>
        <w:tc>
          <w:tcPr>
            <w:tcW w:w="0" w:type="auto"/>
            <w:tcBorders>
              <w:bottom w:val="single" w:sz="4" w:space="0" w:color="auto"/>
            </w:tcBorders>
            <w:vAlign w:val="center"/>
          </w:tcPr>
          <w:p w14:paraId="1549A488"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4.3e-03</w:t>
            </w:r>
          </w:p>
        </w:tc>
        <w:tc>
          <w:tcPr>
            <w:tcW w:w="0" w:type="auto"/>
            <w:tcBorders>
              <w:bottom w:val="single" w:sz="4" w:space="0" w:color="auto"/>
            </w:tcBorders>
            <w:vAlign w:val="center"/>
          </w:tcPr>
          <w:p w14:paraId="4539A702"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0.096</w:t>
            </w:r>
          </w:p>
        </w:tc>
      </w:tr>
    </w:tbl>
    <w:p w14:paraId="6EE514FA" w14:textId="77777777" w:rsidR="00C002ED" w:rsidRDefault="00C002ED" w:rsidP="00C002ED">
      <w:pPr>
        <w:spacing w:before="0" w:after="160" w:line="259" w:lineRule="auto"/>
        <w:jc w:val="left"/>
        <w:rPr>
          <w:b/>
          <w:bCs/>
          <w:color w:val="auto"/>
          <w:sz w:val="20"/>
          <w:szCs w:val="18"/>
        </w:rPr>
      </w:pPr>
      <w:r>
        <w:br w:type="page"/>
      </w:r>
    </w:p>
    <w:p w14:paraId="6562BD91" w14:textId="09E2EA79" w:rsidR="00C002ED" w:rsidRPr="00DB1140" w:rsidRDefault="00C002ED" w:rsidP="00C002ED">
      <w:pPr>
        <w:pStyle w:val="Caption"/>
      </w:pPr>
      <w:r>
        <w:lastRenderedPageBreak/>
        <w:t>Table C</w:t>
      </w:r>
      <w:r w:rsidR="008865D1">
        <w:t>1</w:t>
      </w:r>
      <w:r w:rsidR="00FB33C3">
        <w:t>7</w:t>
      </w:r>
      <w:r>
        <w:t>. Results of negative binomial generalised linear model for spring microinvertebrate prey-species density (individuals per litre) showing selected predictors, estimated coefficients (Estimate), standard errors in estimation (std.Error) and Type I Error probability (</w:t>
      </w:r>
      <w:r w:rsidRPr="00011752">
        <w:rPr>
          <w:i/>
          <w:iCs/>
        </w:rPr>
        <w:t>p</w:t>
      </w:r>
      <w:r>
        <w:t>-value). Flow data were log transformed prior to modelling.</w:t>
      </w:r>
      <w:r w:rsidRPr="00E6744C">
        <w:t xml:space="preserve"> </w:t>
      </w:r>
      <w:r>
        <w:t>AveQ90 is the average flow over the previous 90 days.  FPA60 quantifies the area of floodplain inundated over the last 60 days (see Methods for full description of predictor calculation). Negative binomial distribution dispersion parameter (theta) = 1.57, standard error = 0.15.</w:t>
      </w:r>
    </w:p>
    <w:tbl>
      <w:tblPr>
        <w:tblStyle w:val="GridTable1Light-Accent3"/>
        <w:tblW w:w="72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showing results of negative binomial generalised linear model for spring microinvertebrate prey-species density. "/>
      </w:tblPr>
      <w:tblGrid>
        <w:gridCol w:w="3097"/>
        <w:gridCol w:w="1386"/>
        <w:gridCol w:w="1365"/>
        <w:gridCol w:w="1369"/>
      </w:tblGrid>
      <w:tr w:rsidR="00C002ED" w:rsidRPr="00C002ED" w14:paraId="03653BC0" w14:textId="77777777" w:rsidTr="00C002ED">
        <w:trPr>
          <w:cnfStyle w:val="100000000000" w:firstRow="1" w:lastRow="0" w:firstColumn="0" w:lastColumn="0" w:oddVBand="0" w:evenVBand="0" w:oddHBand="0"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3097" w:type="dxa"/>
            <w:tcBorders>
              <w:top w:val="single" w:sz="4" w:space="0" w:color="auto"/>
              <w:bottom w:val="single" w:sz="4" w:space="0" w:color="auto"/>
            </w:tcBorders>
            <w:vAlign w:val="center"/>
          </w:tcPr>
          <w:p w14:paraId="180F6288" w14:textId="77777777" w:rsidR="00C002ED" w:rsidRPr="00C002ED" w:rsidRDefault="00C002ED" w:rsidP="00C002ED">
            <w:pPr>
              <w:pStyle w:val="TableHeading"/>
              <w:spacing w:before="0" w:after="0" w:line="240" w:lineRule="auto"/>
              <w:rPr>
                <w:b/>
                <w:bCs w:val="0"/>
                <w:szCs w:val="20"/>
              </w:rPr>
            </w:pPr>
            <w:r w:rsidRPr="00C002ED">
              <w:rPr>
                <w:b/>
                <w:bCs w:val="0"/>
                <w:szCs w:val="20"/>
              </w:rPr>
              <w:t>Predictor</w:t>
            </w:r>
          </w:p>
        </w:tc>
        <w:tc>
          <w:tcPr>
            <w:tcW w:w="1386" w:type="dxa"/>
            <w:tcBorders>
              <w:top w:val="single" w:sz="4" w:space="0" w:color="auto"/>
              <w:bottom w:val="single" w:sz="4" w:space="0" w:color="auto"/>
            </w:tcBorders>
            <w:vAlign w:val="center"/>
          </w:tcPr>
          <w:p w14:paraId="2143C2BD" w14:textId="77777777" w:rsidR="00C002ED" w:rsidRPr="00C002ED" w:rsidRDefault="00C002ED" w:rsidP="00C002ED">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C002ED">
              <w:rPr>
                <w:b/>
                <w:bCs w:val="0"/>
                <w:szCs w:val="20"/>
              </w:rPr>
              <w:t>Estimate</w:t>
            </w:r>
          </w:p>
        </w:tc>
        <w:tc>
          <w:tcPr>
            <w:tcW w:w="1365" w:type="dxa"/>
            <w:tcBorders>
              <w:top w:val="single" w:sz="4" w:space="0" w:color="auto"/>
              <w:bottom w:val="single" w:sz="4" w:space="0" w:color="auto"/>
            </w:tcBorders>
            <w:vAlign w:val="center"/>
          </w:tcPr>
          <w:p w14:paraId="3F92A381" w14:textId="77777777" w:rsidR="00C002ED" w:rsidRPr="00C002ED" w:rsidRDefault="00C002ED" w:rsidP="00C002ED">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C002ED">
              <w:rPr>
                <w:b/>
                <w:bCs w:val="0"/>
                <w:szCs w:val="20"/>
              </w:rPr>
              <w:t>Std. Error</w:t>
            </w:r>
          </w:p>
        </w:tc>
        <w:tc>
          <w:tcPr>
            <w:tcW w:w="1369" w:type="dxa"/>
            <w:tcBorders>
              <w:top w:val="single" w:sz="4" w:space="0" w:color="auto"/>
              <w:bottom w:val="single" w:sz="4" w:space="0" w:color="auto"/>
            </w:tcBorders>
            <w:vAlign w:val="center"/>
          </w:tcPr>
          <w:p w14:paraId="77975358" w14:textId="77777777" w:rsidR="00C002ED" w:rsidRPr="00C002ED" w:rsidRDefault="00C002ED" w:rsidP="00C002ED">
            <w:pPr>
              <w:pStyle w:val="TableHeading"/>
              <w:spacing w:before="0" w:after="0" w:line="240" w:lineRule="auto"/>
              <w:jc w:val="center"/>
              <w:cnfStyle w:val="100000000000" w:firstRow="1" w:lastRow="0" w:firstColumn="0" w:lastColumn="0" w:oddVBand="0" w:evenVBand="0" w:oddHBand="0" w:evenHBand="0" w:firstRowFirstColumn="0" w:firstRowLastColumn="0" w:lastRowFirstColumn="0" w:lastRowLastColumn="0"/>
              <w:rPr>
                <w:b/>
                <w:bCs w:val="0"/>
                <w:szCs w:val="20"/>
              </w:rPr>
            </w:pPr>
            <w:r w:rsidRPr="00C002ED">
              <w:rPr>
                <w:b/>
                <w:bCs w:val="0"/>
                <w:i/>
                <w:iCs/>
                <w:szCs w:val="20"/>
              </w:rPr>
              <w:t>p</w:t>
            </w:r>
            <w:r w:rsidRPr="00C002ED">
              <w:rPr>
                <w:b/>
                <w:bCs w:val="0"/>
                <w:szCs w:val="20"/>
              </w:rPr>
              <w:t>-value</w:t>
            </w:r>
          </w:p>
        </w:tc>
      </w:tr>
      <w:tr w:rsidR="00C002ED" w:rsidRPr="00C002ED" w14:paraId="5E872859"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tcBorders>
              <w:top w:val="single" w:sz="4" w:space="0" w:color="auto"/>
            </w:tcBorders>
            <w:vAlign w:val="center"/>
          </w:tcPr>
          <w:p w14:paraId="5DB1F410" w14:textId="77777777" w:rsidR="00C002ED" w:rsidRPr="00C002ED" w:rsidRDefault="00C002ED" w:rsidP="00C002ED">
            <w:pPr>
              <w:pStyle w:val="TableHeading"/>
              <w:spacing w:before="0" w:after="0" w:line="240" w:lineRule="auto"/>
              <w:rPr>
                <w:szCs w:val="20"/>
              </w:rPr>
            </w:pPr>
            <w:r w:rsidRPr="00C002ED">
              <w:rPr>
                <w:szCs w:val="20"/>
              </w:rPr>
              <w:t>(Intercept)</w:t>
            </w:r>
          </w:p>
        </w:tc>
        <w:tc>
          <w:tcPr>
            <w:tcW w:w="1386" w:type="dxa"/>
            <w:tcBorders>
              <w:top w:val="single" w:sz="4" w:space="0" w:color="auto"/>
            </w:tcBorders>
            <w:vAlign w:val="center"/>
          </w:tcPr>
          <w:p w14:paraId="0EECF650"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-32.89</w:t>
            </w:r>
          </w:p>
        </w:tc>
        <w:tc>
          <w:tcPr>
            <w:tcW w:w="1365" w:type="dxa"/>
            <w:tcBorders>
              <w:top w:val="single" w:sz="4" w:space="0" w:color="auto"/>
            </w:tcBorders>
            <w:vAlign w:val="center"/>
          </w:tcPr>
          <w:p w14:paraId="33B20F24"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17.05</w:t>
            </w:r>
          </w:p>
        </w:tc>
        <w:tc>
          <w:tcPr>
            <w:tcW w:w="1369" w:type="dxa"/>
            <w:tcBorders>
              <w:top w:val="single" w:sz="4" w:space="0" w:color="auto"/>
            </w:tcBorders>
            <w:vAlign w:val="center"/>
          </w:tcPr>
          <w:p w14:paraId="50FB94C5"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0.054</w:t>
            </w:r>
          </w:p>
        </w:tc>
      </w:tr>
      <w:tr w:rsidR="00C002ED" w:rsidRPr="00C002ED" w14:paraId="44F7D468"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0223D5EC" w14:textId="77777777" w:rsidR="00C002ED" w:rsidRPr="00C002ED" w:rsidRDefault="00C002ED" w:rsidP="00C002ED">
            <w:pPr>
              <w:pStyle w:val="TableHeading"/>
              <w:spacing w:before="0" w:after="0" w:line="240" w:lineRule="auto"/>
              <w:rPr>
                <w:szCs w:val="20"/>
              </w:rPr>
            </w:pPr>
            <w:r w:rsidRPr="00C002ED">
              <w:rPr>
                <w:szCs w:val="20"/>
              </w:rPr>
              <w:t>Lock 4</w:t>
            </w:r>
          </w:p>
        </w:tc>
        <w:tc>
          <w:tcPr>
            <w:tcW w:w="1386" w:type="dxa"/>
            <w:vAlign w:val="center"/>
          </w:tcPr>
          <w:p w14:paraId="33D26E51"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0.29</w:t>
            </w:r>
          </w:p>
        </w:tc>
        <w:tc>
          <w:tcPr>
            <w:tcW w:w="1365" w:type="dxa"/>
            <w:vAlign w:val="center"/>
          </w:tcPr>
          <w:p w14:paraId="2ADEDA05"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0.20</w:t>
            </w:r>
          </w:p>
        </w:tc>
        <w:tc>
          <w:tcPr>
            <w:tcW w:w="1369" w:type="dxa"/>
            <w:vAlign w:val="center"/>
          </w:tcPr>
          <w:p w14:paraId="425EABF6"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0.153</w:t>
            </w:r>
          </w:p>
        </w:tc>
      </w:tr>
      <w:tr w:rsidR="00C002ED" w:rsidRPr="00C002ED" w14:paraId="69D53413"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729C8407" w14:textId="77777777" w:rsidR="00C002ED" w:rsidRPr="00C002ED" w:rsidRDefault="00C002ED" w:rsidP="00C002ED">
            <w:pPr>
              <w:pStyle w:val="TableHeading"/>
              <w:spacing w:before="0" w:after="0" w:line="240" w:lineRule="auto"/>
              <w:rPr>
                <w:szCs w:val="20"/>
              </w:rPr>
            </w:pPr>
            <w:r w:rsidRPr="00C002ED">
              <w:rPr>
                <w:szCs w:val="20"/>
              </w:rPr>
              <w:t>Lock 6</w:t>
            </w:r>
          </w:p>
        </w:tc>
        <w:tc>
          <w:tcPr>
            <w:tcW w:w="1386" w:type="dxa"/>
            <w:vAlign w:val="center"/>
          </w:tcPr>
          <w:p w14:paraId="7981F01C"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-1.96</w:t>
            </w:r>
          </w:p>
        </w:tc>
        <w:tc>
          <w:tcPr>
            <w:tcW w:w="1365" w:type="dxa"/>
            <w:vAlign w:val="center"/>
          </w:tcPr>
          <w:p w14:paraId="08E54DD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0.37</w:t>
            </w:r>
          </w:p>
        </w:tc>
        <w:tc>
          <w:tcPr>
            <w:tcW w:w="1369" w:type="dxa"/>
            <w:vAlign w:val="center"/>
          </w:tcPr>
          <w:p w14:paraId="5FE8320E"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126A8A82"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333BB9CF" w14:textId="77777777" w:rsidR="00C002ED" w:rsidRPr="00C002ED" w:rsidRDefault="00C002ED" w:rsidP="00C002ED">
            <w:pPr>
              <w:pStyle w:val="TableHeading"/>
              <w:spacing w:before="0" w:after="0" w:line="240" w:lineRule="auto"/>
              <w:rPr>
                <w:szCs w:val="20"/>
              </w:rPr>
            </w:pPr>
            <w:r w:rsidRPr="00C002ED">
              <w:rPr>
                <w:szCs w:val="20"/>
              </w:rPr>
              <w:t>Water year [2015]</w:t>
            </w:r>
          </w:p>
        </w:tc>
        <w:tc>
          <w:tcPr>
            <w:tcW w:w="1386" w:type="dxa"/>
            <w:vAlign w:val="center"/>
          </w:tcPr>
          <w:p w14:paraId="15540C2C"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-0.56</w:t>
            </w:r>
          </w:p>
        </w:tc>
        <w:tc>
          <w:tcPr>
            <w:tcW w:w="1365" w:type="dxa"/>
            <w:vAlign w:val="center"/>
          </w:tcPr>
          <w:p w14:paraId="5463C2E2"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0.23</w:t>
            </w:r>
          </w:p>
        </w:tc>
        <w:tc>
          <w:tcPr>
            <w:tcW w:w="1369" w:type="dxa"/>
            <w:vAlign w:val="center"/>
          </w:tcPr>
          <w:p w14:paraId="12383C35"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0.015</w:t>
            </w:r>
          </w:p>
        </w:tc>
      </w:tr>
      <w:tr w:rsidR="00C002ED" w:rsidRPr="00C002ED" w14:paraId="78338E03"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1C505B1F" w14:textId="77777777" w:rsidR="00C002ED" w:rsidRPr="00C002ED" w:rsidRDefault="00C002ED" w:rsidP="00C002ED">
            <w:pPr>
              <w:pStyle w:val="TableHeading"/>
              <w:spacing w:before="0" w:after="0" w:line="240" w:lineRule="auto"/>
              <w:rPr>
                <w:szCs w:val="20"/>
              </w:rPr>
            </w:pPr>
            <w:r w:rsidRPr="00C002ED">
              <w:rPr>
                <w:szCs w:val="20"/>
              </w:rPr>
              <w:t>Water year [2016]</w:t>
            </w:r>
          </w:p>
        </w:tc>
        <w:tc>
          <w:tcPr>
            <w:tcW w:w="1386" w:type="dxa"/>
            <w:vAlign w:val="center"/>
          </w:tcPr>
          <w:p w14:paraId="51C46916"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2.25</w:t>
            </w:r>
          </w:p>
        </w:tc>
        <w:tc>
          <w:tcPr>
            <w:tcW w:w="1365" w:type="dxa"/>
            <w:vAlign w:val="center"/>
          </w:tcPr>
          <w:p w14:paraId="77004D00"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0.71</w:t>
            </w:r>
          </w:p>
        </w:tc>
        <w:tc>
          <w:tcPr>
            <w:tcW w:w="1369" w:type="dxa"/>
            <w:vAlign w:val="center"/>
          </w:tcPr>
          <w:p w14:paraId="6196FB4C"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0.002</w:t>
            </w:r>
          </w:p>
        </w:tc>
      </w:tr>
      <w:tr w:rsidR="00C002ED" w:rsidRPr="00C002ED" w14:paraId="7999EFD9"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6CDC0F82" w14:textId="77777777" w:rsidR="00C002ED" w:rsidRPr="00C002ED" w:rsidRDefault="00C002ED" w:rsidP="00C002ED">
            <w:pPr>
              <w:pStyle w:val="TableHeading"/>
              <w:spacing w:before="0" w:after="0" w:line="240" w:lineRule="auto"/>
              <w:rPr>
                <w:szCs w:val="20"/>
              </w:rPr>
            </w:pPr>
            <w:r w:rsidRPr="00C002ED">
              <w:rPr>
                <w:szCs w:val="20"/>
              </w:rPr>
              <w:t>Water year [2017]</w:t>
            </w:r>
          </w:p>
        </w:tc>
        <w:tc>
          <w:tcPr>
            <w:tcW w:w="1386" w:type="dxa"/>
            <w:vAlign w:val="center"/>
          </w:tcPr>
          <w:p w14:paraId="514BE955"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-0.31</w:t>
            </w:r>
          </w:p>
        </w:tc>
        <w:tc>
          <w:tcPr>
            <w:tcW w:w="1365" w:type="dxa"/>
            <w:vAlign w:val="center"/>
          </w:tcPr>
          <w:p w14:paraId="68434C80"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0.24</w:t>
            </w:r>
          </w:p>
        </w:tc>
        <w:tc>
          <w:tcPr>
            <w:tcW w:w="1369" w:type="dxa"/>
            <w:vAlign w:val="center"/>
          </w:tcPr>
          <w:p w14:paraId="78DAB68B"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0.197</w:t>
            </w:r>
          </w:p>
        </w:tc>
      </w:tr>
      <w:tr w:rsidR="00C002ED" w:rsidRPr="00C002ED" w14:paraId="328651D9"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219353B1" w14:textId="77777777" w:rsidR="00C002ED" w:rsidRPr="00C002ED" w:rsidRDefault="00C002ED" w:rsidP="00C002ED">
            <w:pPr>
              <w:pStyle w:val="TableHeading"/>
              <w:spacing w:before="0" w:after="0" w:line="240" w:lineRule="auto"/>
              <w:rPr>
                <w:szCs w:val="20"/>
              </w:rPr>
            </w:pPr>
            <w:r w:rsidRPr="00C002ED">
              <w:rPr>
                <w:szCs w:val="20"/>
              </w:rPr>
              <w:t>Water year [2019]</w:t>
            </w:r>
          </w:p>
        </w:tc>
        <w:tc>
          <w:tcPr>
            <w:tcW w:w="1386" w:type="dxa"/>
            <w:vAlign w:val="center"/>
          </w:tcPr>
          <w:p w14:paraId="2BFE6A85"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-1.06</w:t>
            </w:r>
          </w:p>
        </w:tc>
        <w:tc>
          <w:tcPr>
            <w:tcW w:w="1365" w:type="dxa"/>
            <w:vAlign w:val="center"/>
          </w:tcPr>
          <w:p w14:paraId="5A493327"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0.42</w:t>
            </w:r>
          </w:p>
        </w:tc>
        <w:tc>
          <w:tcPr>
            <w:tcW w:w="1369" w:type="dxa"/>
            <w:vAlign w:val="center"/>
          </w:tcPr>
          <w:p w14:paraId="453C39E8"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0.012</w:t>
            </w:r>
          </w:p>
        </w:tc>
      </w:tr>
      <w:tr w:rsidR="00C002ED" w:rsidRPr="00C002ED" w14:paraId="580C1B2B"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65FEC021" w14:textId="77777777" w:rsidR="00C002ED" w:rsidRPr="00C002ED" w:rsidRDefault="00C002ED" w:rsidP="00C002ED">
            <w:pPr>
              <w:pStyle w:val="TableHeading"/>
              <w:spacing w:before="0" w:after="0" w:line="240" w:lineRule="auto"/>
              <w:rPr>
                <w:szCs w:val="20"/>
              </w:rPr>
            </w:pPr>
            <w:r w:rsidRPr="00C002ED">
              <w:rPr>
                <w:szCs w:val="20"/>
              </w:rPr>
              <w:t>Water year [2020]</w:t>
            </w:r>
          </w:p>
        </w:tc>
        <w:tc>
          <w:tcPr>
            <w:tcW w:w="1386" w:type="dxa"/>
            <w:vAlign w:val="center"/>
          </w:tcPr>
          <w:p w14:paraId="791DAB12"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-0.30</w:t>
            </w:r>
          </w:p>
        </w:tc>
        <w:tc>
          <w:tcPr>
            <w:tcW w:w="1365" w:type="dxa"/>
            <w:vAlign w:val="center"/>
          </w:tcPr>
          <w:p w14:paraId="0238BFC3"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0.32</w:t>
            </w:r>
          </w:p>
        </w:tc>
        <w:tc>
          <w:tcPr>
            <w:tcW w:w="1369" w:type="dxa"/>
            <w:vAlign w:val="center"/>
          </w:tcPr>
          <w:p w14:paraId="562156CF"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0.346</w:t>
            </w:r>
          </w:p>
        </w:tc>
      </w:tr>
      <w:tr w:rsidR="00C002ED" w:rsidRPr="00C002ED" w14:paraId="6D97ECE1"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637B148A" w14:textId="77777777" w:rsidR="00C002ED" w:rsidRPr="00C002ED" w:rsidRDefault="00C002ED" w:rsidP="00C002ED">
            <w:pPr>
              <w:pStyle w:val="TableHeading"/>
              <w:spacing w:before="0" w:after="0" w:line="240" w:lineRule="auto"/>
              <w:rPr>
                <w:szCs w:val="20"/>
              </w:rPr>
            </w:pPr>
            <w:r w:rsidRPr="00C002ED">
              <w:rPr>
                <w:szCs w:val="20"/>
              </w:rPr>
              <w:t>Water year [2021]</w:t>
            </w:r>
          </w:p>
        </w:tc>
        <w:tc>
          <w:tcPr>
            <w:tcW w:w="1386" w:type="dxa"/>
            <w:vAlign w:val="center"/>
          </w:tcPr>
          <w:p w14:paraId="03CFDCC3"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1.13</w:t>
            </w:r>
          </w:p>
        </w:tc>
        <w:tc>
          <w:tcPr>
            <w:tcW w:w="1365" w:type="dxa"/>
            <w:vAlign w:val="center"/>
          </w:tcPr>
          <w:p w14:paraId="5854C42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0.62</w:t>
            </w:r>
          </w:p>
        </w:tc>
        <w:tc>
          <w:tcPr>
            <w:tcW w:w="1369" w:type="dxa"/>
            <w:vAlign w:val="center"/>
          </w:tcPr>
          <w:p w14:paraId="46F62FE3"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0.067</w:t>
            </w:r>
          </w:p>
        </w:tc>
      </w:tr>
      <w:tr w:rsidR="00C002ED" w:rsidRPr="00C002ED" w14:paraId="7B40F0FA"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786776A3" w14:textId="77777777" w:rsidR="00C002ED" w:rsidRPr="00C002ED" w:rsidRDefault="00C002ED" w:rsidP="00C002ED">
            <w:pPr>
              <w:pStyle w:val="TableHeading"/>
              <w:spacing w:before="0" w:after="0" w:line="240" w:lineRule="auto"/>
              <w:rPr>
                <w:szCs w:val="20"/>
              </w:rPr>
            </w:pPr>
            <w:r w:rsidRPr="00C002ED">
              <w:rPr>
                <w:szCs w:val="20"/>
              </w:rPr>
              <w:t>Water year [2022]</w:t>
            </w:r>
          </w:p>
        </w:tc>
        <w:tc>
          <w:tcPr>
            <w:tcW w:w="1386" w:type="dxa"/>
            <w:vAlign w:val="center"/>
          </w:tcPr>
          <w:p w14:paraId="343F31A5"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2.94</w:t>
            </w:r>
          </w:p>
        </w:tc>
        <w:tc>
          <w:tcPr>
            <w:tcW w:w="1365" w:type="dxa"/>
            <w:vAlign w:val="center"/>
          </w:tcPr>
          <w:p w14:paraId="7760461A"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0.86</w:t>
            </w:r>
          </w:p>
        </w:tc>
        <w:tc>
          <w:tcPr>
            <w:tcW w:w="1369" w:type="dxa"/>
            <w:vAlign w:val="center"/>
          </w:tcPr>
          <w:p w14:paraId="436E585E"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044E8369"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05699711" w14:textId="77777777" w:rsidR="00C002ED" w:rsidRPr="00C002ED" w:rsidRDefault="00C002ED" w:rsidP="00C002ED">
            <w:pPr>
              <w:pStyle w:val="TableHeading"/>
              <w:spacing w:before="0" w:after="0" w:line="240" w:lineRule="auto"/>
              <w:jc w:val="left"/>
              <w:rPr>
                <w:szCs w:val="20"/>
              </w:rPr>
            </w:pPr>
            <w:r w:rsidRPr="00C002ED">
              <w:rPr>
                <w:szCs w:val="20"/>
              </w:rPr>
              <w:t>Water year [2023]</w:t>
            </w:r>
          </w:p>
        </w:tc>
        <w:tc>
          <w:tcPr>
            <w:tcW w:w="1386" w:type="dxa"/>
            <w:vAlign w:val="center"/>
          </w:tcPr>
          <w:p w14:paraId="3ED51E8C"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1.10</w:t>
            </w:r>
          </w:p>
        </w:tc>
        <w:tc>
          <w:tcPr>
            <w:tcW w:w="1365" w:type="dxa"/>
            <w:vAlign w:val="center"/>
          </w:tcPr>
          <w:p w14:paraId="1101C39E"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0.64</w:t>
            </w:r>
          </w:p>
        </w:tc>
        <w:tc>
          <w:tcPr>
            <w:tcW w:w="1369" w:type="dxa"/>
            <w:vAlign w:val="center"/>
          </w:tcPr>
          <w:p w14:paraId="0BBA4750"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0.088</w:t>
            </w:r>
          </w:p>
        </w:tc>
      </w:tr>
      <w:tr w:rsidR="00C002ED" w:rsidRPr="00C002ED" w14:paraId="307B1CF1"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53140139" w14:textId="77777777" w:rsidR="00C002ED" w:rsidRPr="00C002ED" w:rsidRDefault="00C002ED" w:rsidP="00C002ED">
            <w:pPr>
              <w:pStyle w:val="TableHeading"/>
              <w:spacing w:before="0" w:after="0" w:line="240" w:lineRule="auto"/>
              <w:jc w:val="left"/>
              <w:rPr>
                <w:szCs w:val="20"/>
              </w:rPr>
            </w:pPr>
            <w:r w:rsidRPr="00C002ED">
              <w:rPr>
                <w:szCs w:val="20"/>
              </w:rPr>
              <w:t>Month [Oct]</w:t>
            </w:r>
          </w:p>
        </w:tc>
        <w:tc>
          <w:tcPr>
            <w:tcW w:w="1386" w:type="dxa"/>
            <w:vAlign w:val="center"/>
          </w:tcPr>
          <w:p w14:paraId="417FDCBF"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0.98</w:t>
            </w:r>
          </w:p>
        </w:tc>
        <w:tc>
          <w:tcPr>
            <w:tcW w:w="1365" w:type="dxa"/>
            <w:vAlign w:val="center"/>
          </w:tcPr>
          <w:p w14:paraId="61445A96"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0.45</w:t>
            </w:r>
          </w:p>
        </w:tc>
        <w:tc>
          <w:tcPr>
            <w:tcW w:w="1369" w:type="dxa"/>
            <w:vAlign w:val="center"/>
          </w:tcPr>
          <w:p w14:paraId="1654061C"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0.027</w:t>
            </w:r>
          </w:p>
        </w:tc>
      </w:tr>
      <w:tr w:rsidR="00C002ED" w:rsidRPr="00C002ED" w14:paraId="225DDFFA"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7E1208F0" w14:textId="77777777" w:rsidR="00C002ED" w:rsidRPr="00C002ED" w:rsidRDefault="00C002ED" w:rsidP="00C002ED">
            <w:pPr>
              <w:pStyle w:val="TableHeading"/>
              <w:spacing w:before="0" w:after="0" w:line="240" w:lineRule="auto"/>
              <w:jc w:val="left"/>
              <w:rPr>
                <w:szCs w:val="20"/>
              </w:rPr>
            </w:pPr>
            <w:r w:rsidRPr="00C002ED">
              <w:rPr>
                <w:szCs w:val="20"/>
              </w:rPr>
              <w:t>Month [Nov]</w:t>
            </w:r>
          </w:p>
        </w:tc>
        <w:tc>
          <w:tcPr>
            <w:tcW w:w="1386" w:type="dxa"/>
            <w:vAlign w:val="center"/>
          </w:tcPr>
          <w:p w14:paraId="14EDD2A8"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-0.03</w:t>
            </w:r>
          </w:p>
        </w:tc>
        <w:tc>
          <w:tcPr>
            <w:tcW w:w="1365" w:type="dxa"/>
            <w:vAlign w:val="center"/>
          </w:tcPr>
          <w:p w14:paraId="02B72710"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0.53</w:t>
            </w:r>
          </w:p>
        </w:tc>
        <w:tc>
          <w:tcPr>
            <w:tcW w:w="1369" w:type="dxa"/>
            <w:vAlign w:val="center"/>
          </w:tcPr>
          <w:p w14:paraId="476254D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0.948</w:t>
            </w:r>
          </w:p>
        </w:tc>
      </w:tr>
      <w:tr w:rsidR="00C002ED" w:rsidRPr="00C002ED" w14:paraId="2225FBE4"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06664DD2" w14:textId="77777777" w:rsidR="00C002ED" w:rsidRPr="00C002ED" w:rsidRDefault="00C002ED" w:rsidP="00C002ED">
            <w:pPr>
              <w:pStyle w:val="TableHeading"/>
              <w:spacing w:before="0" w:after="0" w:line="240" w:lineRule="auto"/>
              <w:jc w:val="left"/>
              <w:rPr>
                <w:szCs w:val="20"/>
              </w:rPr>
            </w:pPr>
            <w:r w:rsidRPr="00C002ED">
              <w:rPr>
                <w:szCs w:val="20"/>
              </w:rPr>
              <w:t>Month [Dec]</w:t>
            </w:r>
          </w:p>
        </w:tc>
        <w:tc>
          <w:tcPr>
            <w:tcW w:w="1386" w:type="dxa"/>
            <w:vAlign w:val="center"/>
          </w:tcPr>
          <w:p w14:paraId="1DC41628"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0.33</w:t>
            </w:r>
          </w:p>
        </w:tc>
        <w:tc>
          <w:tcPr>
            <w:tcW w:w="1365" w:type="dxa"/>
            <w:vAlign w:val="center"/>
          </w:tcPr>
          <w:p w14:paraId="0692BE1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0.59</w:t>
            </w:r>
          </w:p>
        </w:tc>
        <w:tc>
          <w:tcPr>
            <w:tcW w:w="1369" w:type="dxa"/>
            <w:vAlign w:val="center"/>
          </w:tcPr>
          <w:p w14:paraId="46937616"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0.570</w:t>
            </w:r>
          </w:p>
        </w:tc>
      </w:tr>
      <w:tr w:rsidR="00C002ED" w:rsidRPr="00C002ED" w14:paraId="1ACC3931"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263D21C3" w14:textId="77777777" w:rsidR="00C002ED" w:rsidRPr="00C002ED" w:rsidRDefault="00C002ED" w:rsidP="00C002ED">
            <w:pPr>
              <w:pStyle w:val="TableHeading"/>
              <w:spacing w:before="0" w:after="0" w:line="240" w:lineRule="auto"/>
              <w:jc w:val="left"/>
              <w:rPr>
                <w:szCs w:val="20"/>
              </w:rPr>
            </w:pPr>
            <w:r w:rsidRPr="00C002ED">
              <w:rPr>
                <w:szCs w:val="20"/>
              </w:rPr>
              <w:t>Month [Jan]</w:t>
            </w:r>
          </w:p>
        </w:tc>
        <w:tc>
          <w:tcPr>
            <w:tcW w:w="1386" w:type="dxa"/>
            <w:vAlign w:val="center"/>
          </w:tcPr>
          <w:p w14:paraId="1244F7B4"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0.03</w:t>
            </w:r>
          </w:p>
        </w:tc>
        <w:tc>
          <w:tcPr>
            <w:tcW w:w="1365" w:type="dxa"/>
            <w:vAlign w:val="center"/>
          </w:tcPr>
          <w:p w14:paraId="7ADF8144"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0.65</w:t>
            </w:r>
          </w:p>
        </w:tc>
        <w:tc>
          <w:tcPr>
            <w:tcW w:w="1369" w:type="dxa"/>
            <w:vAlign w:val="center"/>
          </w:tcPr>
          <w:p w14:paraId="6B6EF57A"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0.961</w:t>
            </w:r>
          </w:p>
        </w:tc>
      </w:tr>
      <w:tr w:rsidR="00C002ED" w:rsidRPr="00C002ED" w14:paraId="111A4BFA"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27BAC79F" w14:textId="77777777" w:rsidR="00C002ED" w:rsidRPr="00C002ED" w:rsidRDefault="00C002ED" w:rsidP="00C002ED">
            <w:pPr>
              <w:pStyle w:val="TableHeading"/>
              <w:spacing w:before="0" w:after="0" w:line="240" w:lineRule="auto"/>
              <w:jc w:val="left"/>
              <w:rPr>
                <w:szCs w:val="20"/>
              </w:rPr>
            </w:pPr>
            <w:r w:rsidRPr="00C002ED">
              <w:rPr>
                <w:szCs w:val="20"/>
              </w:rPr>
              <w:t>Mean daily flow (ML/d)</w:t>
            </w:r>
          </w:p>
        </w:tc>
        <w:tc>
          <w:tcPr>
            <w:tcW w:w="1386" w:type="dxa"/>
            <w:vAlign w:val="center"/>
          </w:tcPr>
          <w:p w14:paraId="4388E8CA"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5.92</w:t>
            </w:r>
          </w:p>
        </w:tc>
        <w:tc>
          <w:tcPr>
            <w:tcW w:w="1365" w:type="dxa"/>
            <w:vAlign w:val="center"/>
          </w:tcPr>
          <w:p w14:paraId="765778E7"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1.44</w:t>
            </w:r>
          </w:p>
        </w:tc>
        <w:tc>
          <w:tcPr>
            <w:tcW w:w="1369" w:type="dxa"/>
            <w:vAlign w:val="center"/>
          </w:tcPr>
          <w:p w14:paraId="14C628DC"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08B62BC1"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38E1774F" w14:textId="77777777" w:rsidR="00C002ED" w:rsidRPr="00C002ED" w:rsidRDefault="00C002ED" w:rsidP="00C002ED">
            <w:pPr>
              <w:pStyle w:val="TableHeading"/>
              <w:spacing w:before="0" w:after="0" w:line="240" w:lineRule="auto"/>
              <w:rPr>
                <w:szCs w:val="20"/>
              </w:rPr>
            </w:pPr>
            <w:r w:rsidRPr="00C002ED">
              <w:rPr>
                <w:szCs w:val="20"/>
              </w:rPr>
              <w:t>Long-term average flow (AveQ90)</w:t>
            </w:r>
          </w:p>
        </w:tc>
        <w:tc>
          <w:tcPr>
            <w:tcW w:w="1386" w:type="dxa"/>
            <w:vAlign w:val="center"/>
          </w:tcPr>
          <w:p w14:paraId="3CAAE21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7.64</w:t>
            </w:r>
          </w:p>
        </w:tc>
        <w:tc>
          <w:tcPr>
            <w:tcW w:w="1365" w:type="dxa"/>
            <w:vAlign w:val="center"/>
          </w:tcPr>
          <w:p w14:paraId="02B0AF1B"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2.06</w:t>
            </w:r>
          </w:p>
        </w:tc>
        <w:tc>
          <w:tcPr>
            <w:tcW w:w="1369" w:type="dxa"/>
            <w:vAlign w:val="center"/>
          </w:tcPr>
          <w:p w14:paraId="4F3A4000"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5A68820B"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4FB936DF" w14:textId="77777777" w:rsidR="00C002ED" w:rsidRPr="00C002ED" w:rsidRDefault="00C002ED" w:rsidP="00C002ED">
            <w:pPr>
              <w:pStyle w:val="TableHeading"/>
              <w:spacing w:before="0" w:after="0" w:line="240" w:lineRule="auto"/>
              <w:rPr>
                <w:szCs w:val="20"/>
              </w:rPr>
            </w:pPr>
            <w:r w:rsidRPr="00C002ED">
              <w:rPr>
                <w:szCs w:val="20"/>
              </w:rPr>
              <w:t>Temperature</w:t>
            </w:r>
          </w:p>
        </w:tc>
        <w:tc>
          <w:tcPr>
            <w:tcW w:w="1386" w:type="dxa"/>
            <w:vAlign w:val="center"/>
          </w:tcPr>
          <w:p w14:paraId="0F7AE5DA"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-0.66</w:t>
            </w:r>
          </w:p>
        </w:tc>
        <w:tc>
          <w:tcPr>
            <w:tcW w:w="1365" w:type="dxa"/>
            <w:vAlign w:val="center"/>
          </w:tcPr>
          <w:p w14:paraId="78D091B1"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0.28</w:t>
            </w:r>
          </w:p>
        </w:tc>
        <w:tc>
          <w:tcPr>
            <w:tcW w:w="1369" w:type="dxa"/>
            <w:vAlign w:val="center"/>
          </w:tcPr>
          <w:p w14:paraId="747227A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0.018</w:t>
            </w:r>
          </w:p>
        </w:tc>
      </w:tr>
      <w:tr w:rsidR="00C002ED" w:rsidRPr="00C002ED" w14:paraId="3B1061B7"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7651BF60" w14:textId="77777777" w:rsidR="00C002ED" w:rsidRPr="00C002ED" w:rsidRDefault="00C002ED" w:rsidP="00C002ED">
            <w:pPr>
              <w:pStyle w:val="TableHeading"/>
              <w:spacing w:before="0" w:after="0" w:line="240" w:lineRule="auto"/>
              <w:rPr>
                <w:szCs w:val="20"/>
              </w:rPr>
            </w:pPr>
            <w:r w:rsidRPr="00C002ED">
              <w:rPr>
                <w:szCs w:val="20"/>
              </w:rPr>
              <w:t>Electrical conductivity (EC)</w:t>
            </w:r>
          </w:p>
        </w:tc>
        <w:tc>
          <w:tcPr>
            <w:tcW w:w="1386" w:type="dxa"/>
            <w:vAlign w:val="center"/>
          </w:tcPr>
          <w:p w14:paraId="3927CED8"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-0.11</w:t>
            </w:r>
          </w:p>
        </w:tc>
        <w:tc>
          <w:tcPr>
            <w:tcW w:w="1365" w:type="dxa"/>
            <w:vAlign w:val="center"/>
          </w:tcPr>
          <w:p w14:paraId="47370FCE"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0.02</w:t>
            </w:r>
          </w:p>
        </w:tc>
        <w:tc>
          <w:tcPr>
            <w:tcW w:w="1369" w:type="dxa"/>
            <w:vAlign w:val="center"/>
          </w:tcPr>
          <w:p w14:paraId="26663BC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48DEA73D"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7E817F32" w14:textId="77777777" w:rsidR="00C002ED" w:rsidRPr="00C002ED" w:rsidRDefault="00C002ED" w:rsidP="00C002ED">
            <w:pPr>
              <w:pStyle w:val="TableHeading"/>
              <w:spacing w:before="0" w:after="0" w:line="240" w:lineRule="auto"/>
              <w:rPr>
                <w:szCs w:val="20"/>
              </w:rPr>
            </w:pPr>
            <w:r w:rsidRPr="00C002ED">
              <w:rPr>
                <w:szCs w:val="20"/>
              </w:rPr>
              <w:t>10-day flow trend (dQ10)</w:t>
            </w:r>
          </w:p>
        </w:tc>
        <w:tc>
          <w:tcPr>
            <w:tcW w:w="1386" w:type="dxa"/>
            <w:vAlign w:val="center"/>
          </w:tcPr>
          <w:p w14:paraId="48F99993"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-9.51</w:t>
            </w:r>
          </w:p>
        </w:tc>
        <w:tc>
          <w:tcPr>
            <w:tcW w:w="1365" w:type="dxa"/>
            <w:vAlign w:val="center"/>
          </w:tcPr>
          <w:p w14:paraId="2A85725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2.67</w:t>
            </w:r>
          </w:p>
        </w:tc>
        <w:tc>
          <w:tcPr>
            <w:tcW w:w="1369" w:type="dxa"/>
            <w:vAlign w:val="center"/>
          </w:tcPr>
          <w:p w14:paraId="5C8080EB"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5430E27D"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20C2B045" w14:textId="77777777" w:rsidR="00C002ED" w:rsidRPr="00C002ED" w:rsidRDefault="00C002ED" w:rsidP="00C002ED">
            <w:pPr>
              <w:pStyle w:val="TableHeading"/>
              <w:spacing w:before="0" w:after="0" w:line="240" w:lineRule="auto"/>
              <w:rPr>
                <w:szCs w:val="20"/>
              </w:rPr>
            </w:pPr>
            <w:r w:rsidRPr="00C002ED">
              <w:rPr>
                <w:szCs w:val="20"/>
              </w:rPr>
              <w:t>FPA60</w:t>
            </w:r>
          </w:p>
        </w:tc>
        <w:tc>
          <w:tcPr>
            <w:tcW w:w="1386" w:type="dxa"/>
            <w:vAlign w:val="center"/>
          </w:tcPr>
          <w:p w14:paraId="67F10A20"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-3.1e-03</w:t>
            </w:r>
          </w:p>
        </w:tc>
        <w:tc>
          <w:tcPr>
            <w:tcW w:w="1365" w:type="dxa"/>
            <w:vAlign w:val="center"/>
          </w:tcPr>
          <w:p w14:paraId="251E5D45"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7.2e-04</w:t>
            </w:r>
          </w:p>
        </w:tc>
        <w:tc>
          <w:tcPr>
            <w:tcW w:w="1369" w:type="dxa"/>
            <w:vAlign w:val="center"/>
          </w:tcPr>
          <w:p w14:paraId="18ECEC45"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375B0772"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726DC3ED" w14:textId="77777777" w:rsidR="00C002ED" w:rsidRPr="00C002ED" w:rsidRDefault="00C002ED" w:rsidP="00C002ED">
            <w:pPr>
              <w:pStyle w:val="TableHeading"/>
              <w:spacing w:before="0" w:after="0" w:line="240" w:lineRule="auto"/>
              <w:jc w:val="left"/>
              <w:rPr>
                <w:szCs w:val="20"/>
              </w:rPr>
            </w:pPr>
            <w:r w:rsidRPr="00C002ED">
              <w:rPr>
                <w:szCs w:val="20"/>
              </w:rPr>
              <w:t>Mean daily flow:AveQ90</w:t>
            </w:r>
          </w:p>
        </w:tc>
        <w:tc>
          <w:tcPr>
            <w:tcW w:w="1386" w:type="dxa"/>
            <w:vAlign w:val="center"/>
          </w:tcPr>
          <w:p w14:paraId="7802583A"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-1.01</w:t>
            </w:r>
          </w:p>
        </w:tc>
        <w:tc>
          <w:tcPr>
            <w:tcW w:w="1365" w:type="dxa"/>
            <w:vAlign w:val="center"/>
          </w:tcPr>
          <w:p w14:paraId="0CFF901A"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0.18</w:t>
            </w:r>
          </w:p>
        </w:tc>
        <w:tc>
          <w:tcPr>
            <w:tcW w:w="1369" w:type="dxa"/>
            <w:vAlign w:val="center"/>
          </w:tcPr>
          <w:p w14:paraId="4347DFA1"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1FA7744B"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3A395FBB" w14:textId="77777777" w:rsidR="00C002ED" w:rsidRPr="00C002ED" w:rsidRDefault="00C002ED" w:rsidP="00C002ED">
            <w:pPr>
              <w:pStyle w:val="TableHeading"/>
              <w:spacing w:before="0" w:after="0" w:line="240" w:lineRule="auto"/>
              <w:jc w:val="left"/>
              <w:rPr>
                <w:szCs w:val="20"/>
              </w:rPr>
            </w:pPr>
            <w:r w:rsidRPr="00C002ED">
              <w:rPr>
                <w:szCs w:val="20"/>
              </w:rPr>
              <w:t>Mean daily flow:EC</w:t>
            </w:r>
          </w:p>
        </w:tc>
        <w:tc>
          <w:tcPr>
            <w:tcW w:w="1386" w:type="dxa"/>
            <w:vAlign w:val="center"/>
          </w:tcPr>
          <w:p w14:paraId="461A4F11"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0.01</w:t>
            </w:r>
          </w:p>
        </w:tc>
        <w:tc>
          <w:tcPr>
            <w:tcW w:w="1365" w:type="dxa"/>
            <w:vAlign w:val="center"/>
          </w:tcPr>
          <w:p w14:paraId="7A58199C"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2.2e-03</w:t>
            </w:r>
          </w:p>
        </w:tc>
        <w:tc>
          <w:tcPr>
            <w:tcW w:w="1369" w:type="dxa"/>
            <w:vAlign w:val="center"/>
          </w:tcPr>
          <w:p w14:paraId="20DB7F18"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1072CDD3"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76251A0A" w14:textId="77777777" w:rsidR="00C002ED" w:rsidRPr="00C002ED" w:rsidRDefault="00C002ED" w:rsidP="00C002ED">
            <w:pPr>
              <w:pStyle w:val="TableHeading"/>
              <w:spacing w:before="0" w:after="0" w:line="240" w:lineRule="auto"/>
              <w:jc w:val="left"/>
              <w:rPr>
                <w:szCs w:val="20"/>
              </w:rPr>
            </w:pPr>
            <w:r w:rsidRPr="00C002ED">
              <w:rPr>
                <w:szCs w:val="20"/>
              </w:rPr>
              <w:t>Mean daily flow:dQ10</w:t>
            </w:r>
          </w:p>
        </w:tc>
        <w:tc>
          <w:tcPr>
            <w:tcW w:w="1386" w:type="dxa"/>
            <w:vAlign w:val="center"/>
          </w:tcPr>
          <w:p w14:paraId="0864E5B3"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0.93</w:t>
            </w:r>
          </w:p>
        </w:tc>
        <w:tc>
          <w:tcPr>
            <w:tcW w:w="1365" w:type="dxa"/>
            <w:vAlign w:val="center"/>
          </w:tcPr>
          <w:p w14:paraId="21CCC571"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0.35</w:t>
            </w:r>
          </w:p>
        </w:tc>
        <w:tc>
          <w:tcPr>
            <w:tcW w:w="1369" w:type="dxa"/>
            <w:vAlign w:val="center"/>
          </w:tcPr>
          <w:p w14:paraId="47BF497B"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0.007</w:t>
            </w:r>
          </w:p>
        </w:tc>
      </w:tr>
      <w:tr w:rsidR="00C002ED" w:rsidRPr="00C002ED" w14:paraId="3F3FADAF"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1F4EDED6" w14:textId="77777777" w:rsidR="00C002ED" w:rsidRPr="00C002ED" w:rsidRDefault="00C002ED" w:rsidP="00C002ED">
            <w:pPr>
              <w:pStyle w:val="TableHeading"/>
              <w:spacing w:before="0" w:after="0" w:line="240" w:lineRule="auto"/>
              <w:jc w:val="left"/>
              <w:rPr>
                <w:szCs w:val="20"/>
              </w:rPr>
            </w:pPr>
            <w:r w:rsidRPr="00C002ED">
              <w:rPr>
                <w:szCs w:val="20"/>
              </w:rPr>
              <w:t>Mean daily flow:FPA60</w:t>
            </w:r>
          </w:p>
        </w:tc>
        <w:tc>
          <w:tcPr>
            <w:tcW w:w="1386" w:type="dxa"/>
            <w:vAlign w:val="center"/>
          </w:tcPr>
          <w:p w14:paraId="2FC780A6"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2.5e-04</w:t>
            </w:r>
          </w:p>
        </w:tc>
        <w:tc>
          <w:tcPr>
            <w:tcW w:w="1365" w:type="dxa"/>
            <w:vAlign w:val="center"/>
          </w:tcPr>
          <w:p w14:paraId="139F3008"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6.2e-05</w:t>
            </w:r>
          </w:p>
        </w:tc>
        <w:tc>
          <w:tcPr>
            <w:tcW w:w="1369" w:type="dxa"/>
            <w:vAlign w:val="center"/>
          </w:tcPr>
          <w:p w14:paraId="5D026092" w14:textId="77777777" w:rsidR="00C002ED" w:rsidRPr="00C002ED" w:rsidDel="00E6744C"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&lt; 0.001</w:t>
            </w:r>
          </w:p>
        </w:tc>
      </w:tr>
      <w:tr w:rsidR="00C002ED" w:rsidRPr="00C002ED" w14:paraId="032D2CD3"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08F6FAF4" w14:textId="77777777" w:rsidR="00C002ED" w:rsidRPr="00C002ED" w:rsidRDefault="00C002ED" w:rsidP="00C002ED">
            <w:pPr>
              <w:pStyle w:val="TableHeading"/>
              <w:spacing w:before="0" w:after="0" w:line="240" w:lineRule="auto"/>
              <w:rPr>
                <w:szCs w:val="20"/>
              </w:rPr>
            </w:pPr>
            <w:r w:rsidRPr="00C002ED">
              <w:rPr>
                <w:szCs w:val="20"/>
              </w:rPr>
              <w:t>AveQ90:Temperature</w:t>
            </w:r>
          </w:p>
        </w:tc>
        <w:tc>
          <w:tcPr>
            <w:tcW w:w="1386" w:type="dxa"/>
            <w:vAlign w:val="center"/>
          </w:tcPr>
          <w:p w14:paraId="06061718"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0.07</w:t>
            </w:r>
          </w:p>
        </w:tc>
        <w:tc>
          <w:tcPr>
            <w:tcW w:w="1365" w:type="dxa"/>
            <w:vAlign w:val="center"/>
          </w:tcPr>
          <w:p w14:paraId="32B0ACE4"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0.03</w:t>
            </w:r>
          </w:p>
        </w:tc>
        <w:tc>
          <w:tcPr>
            <w:tcW w:w="1369" w:type="dxa"/>
            <w:vAlign w:val="center"/>
          </w:tcPr>
          <w:p w14:paraId="3EE57102"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0.025</w:t>
            </w:r>
          </w:p>
        </w:tc>
      </w:tr>
      <w:tr w:rsidR="00C002ED" w:rsidRPr="00C002ED" w14:paraId="281EA519"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vAlign w:val="center"/>
          </w:tcPr>
          <w:p w14:paraId="771D5EFC" w14:textId="77777777" w:rsidR="00C002ED" w:rsidRPr="00C002ED" w:rsidRDefault="00C002ED" w:rsidP="00C002ED">
            <w:pPr>
              <w:pStyle w:val="TableHeading"/>
              <w:spacing w:before="0" w:after="0" w:line="240" w:lineRule="auto"/>
              <w:rPr>
                <w:szCs w:val="20"/>
              </w:rPr>
            </w:pPr>
            <w:r w:rsidRPr="00C002ED">
              <w:rPr>
                <w:szCs w:val="20"/>
              </w:rPr>
              <w:t>Temperature:dQ10</w:t>
            </w:r>
          </w:p>
        </w:tc>
        <w:tc>
          <w:tcPr>
            <w:tcW w:w="1386" w:type="dxa"/>
            <w:vAlign w:val="center"/>
          </w:tcPr>
          <w:p w14:paraId="3CD1DC91"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0.11</w:t>
            </w:r>
          </w:p>
        </w:tc>
        <w:tc>
          <w:tcPr>
            <w:tcW w:w="1365" w:type="dxa"/>
            <w:vAlign w:val="center"/>
          </w:tcPr>
          <w:p w14:paraId="5A076A2F"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0.07</w:t>
            </w:r>
          </w:p>
        </w:tc>
        <w:tc>
          <w:tcPr>
            <w:tcW w:w="1369" w:type="dxa"/>
            <w:vAlign w:val="center"/>
          </w:tcPr>
          <w:p w14:paraId="69818029"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0.101</w:t>
            </w:r>
          </w:p>
        </w:tc>
      </w:tr>
      <w:tr w:rsidR="00C002ED" w:rsidRPr="00C002ED" w14:paraId="12F72927" w14:textId="77777777" w:rsidTr="00C002ED">
        <w:trPr>
          <w:trHeight w:val="312"/>
          <w:jc w:val="center"/>
        </w:trPr>
        <w:tc>
          <w:tcPr>
            <w:cnfStyle w:val="001000000000" w:firstRow="0" w:lastRow="0" w:firstColumn="1" w:lastColumn="0" w:oddVBand="0" w:evenVBand="0" w:oddHBand="0" w:evenHBand="0" w:firstRowFirstColumn="0" w:firstRowLastColumn="0" w:lastRowFirstColumn="0" w:lastRowLastColumn="0"/>
            <w:tcW w:w="3097" w:type="dxa"/>
            <w:tcBorders>
              <w:bottom w:val="single" w:sz="4" w:space="0" w:color="auto"/>
            </w:tcBorders>
            <w:vAlign w:val="center"/>
          </w:tcPr>
          <w:p w14:paraId="3AB081C1" w14:textId="77777777" w:rsidR="00C002ED" w:rsidRPr="00C002ED" w:rsidRDefault="00C002ED" w:rsidP="00C002ED">
            <w:pPr>
              <w:pStyle w:val="TableHeading"/>
              <w:spacing w:before="0" w:after="0" w:line="240" w:lineRule="auto"/>
              <w:rPr>
                <w:szCs w:val="20"/>
              </w:rPr>
            </w:pPr>
            <w:r w:rsidRPr="00C002ED">
              <w:rPr>
                <w:szCs w:val="20"/>
              </w:rPr>
              <w:t>dQ10:FPA60</w:t>
            </w:r>
          </w:p>
        </w:tc>
        <w:tc>
          <w:tcPr>
            <w:tcW w:w="1386" w:type="dxa"/>
            <w:tcBorders>
              <w:bottom w:val="single" w:sz="4" w:space="0" w:color="auto"/>
            </w:tcBorders>
            <w:vAlign w:val="center"/>
          </w:tcPr>
          <w:p w14:paraId="206EA281"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-3.1e-04</w:t>
            </w:r>
          </w:p>
        </w:tc>
        <w:tc>
          <w:tcPr>
            <w:tcW w:w="1365" w:type="dxa"/>
            <w:tcBorders>
              <w:bottom w:val="single" w:sz="4" w:space="0" w:color="auto"/>
            </w:tcBorders>
            <w:vAlign w:val="center"/>
          </w:tcPr>
          <w:p w14:paraId="4F5CFD16"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1.7e-04</w:t>
            </w:r>
          </w:p>
        </w:tc>
        <w:tc>
          <w:tcPr>
            <w:tcW w:w="1369" w:type="dxa"/>
            <w:tcBorders>
              <w:bottom w:val="single" w:sz="4" w:space="0" w:color="auto"/>
            </w:tcBorders>
            <w:vAlign w:val="center"/>
          </w:tcPr>
          <w:p w14:paraId="3D66271C" w14:textId="77777777" w:rsidR="00C002ED" w:rsidRPr="00C002ED" w:rsidRDefault="00C002ED" w:rsidP="00C002ED">
            <w:pPr>
              <w:pStyle w:val="TableText"/>
              <w:spacing w:before="0" w:after="0" w:line="240" w:lineRule="auto"/>
              <w:jc w:val="center"/>
              <w:cnfStyle w:val="000000000000" w:firstRow="0" w:lastRow="0" w:firstColumn="0" w:lastColumn="0" w:oddVBand="0" w:evenVBand="0" w:oddHBand="0" w:evenHBand="0" w:firstRowFirstColumn="0" w:firstRowLastColumn="0" w:lastRowFirstColumn="0" w:lastRowLastColumn="0"/>
              <w:rPr>
                <w:szCs w:val="20"/>
              </w:rPr>
            </w:pPr>
            <w:r w:rsidRPr="00C002ED">
              <w:rPr>
                <w:szCs w:val="20"/>
              </w:rPr>
              <w:t>0.063</w:t>
            </w:r>
          </w:p>
        </w:tc>
      </w:tr>
      <w:bookmarkEnd w:id="599"/>
    </w:tbl>
    <w:p w14:paraId="76E6A7D8" w14:textId="77777777" w:rsidR="00C002ED" w:rsidRDefault="00C002ED" w:rsidP="007F69C2">
      <w:pPr>
        <w:pStyle w:val="Caption"/>
        <w:rPr>
          <w:color w:val="44546A" w:themeColor="text2"/>
          <w:sz w:val="26"/>
          <w:szCs w:val="26"/>
        </w:rPr>
      </w:pPr>
    </w:p>
    <w:p w14:paraId="70D50171" w14:textId="77777777" w:rsidR="00C002ED" w:rsidRDefault="00C002ED">
      <w:pPr>
        <w:spacing w:before="0" w:after="160" w:line="259" w:lineRule="auto"/>
        <w:jc w:val="left"/>
        <w:rPr>
          <w:b/>
          <w:bCs/>
          <w:color w:val="44546A" w:themeColor="text2"/>
          <w:sz w:val="26"/>
          <w:szCs w:val="26"/>
        </w:rPr>
      </w:pPr>
      <w:r>
        <w:rPr>
          <w:color w:val="44546A" w:themeColor="text2"/>
          <w:sz w:val="26"/>
          <w:szCs w:val="26"/>
        </w:rPr>
        <w:br w:type="page"/>
      </w:r>
    </w:p>
    <w:p w14:paraId="29F2D80E" w14:textId="1888E8BF" w:rsidR="007F69C2" w:rsidRPr="00BE5181" w:rsidRDefault="007F69C2" w:rsidP="007F69C2">
      <w:pPr>
        <w:pStyle w:val="Caption"/>
        <w:rPr>
          <w:color w:val="44546A" w:themeColor="text2"/>
          <w:sz w:val="26"/>
          <w:szCs w:val="26"/>
        </w:rPr>
      </w:pPr>
      <w:r w:rsidRPr="00142EA3">
        <w:rPr>
          <w:color w:val="44546A" w:themeColor="text2"/>
          <w:sz w:val="26"/>
          <w:szCs w:val="26"/>
        </w:rPr>
        <w:lastRenderedPageBreak/>
        <w:t>Fish indicators – statistical outputs</w:t>
      </w:r>
      <w:r w:rsidRPr="00BE5181">
        <w:rPr>
          <w:color w:val="44546A" w:themeColor="text2"/>
          <w:sz w:val="26"/>
          <w:szCs w:val="26"/>
        </w:rPr>
        <w:t xml:space="preserve"> </w:t>
      </w:r>
    </w:p>
    <w:p w14:paraId="5A6BC5D2" w14:textId="70458941" w:rsidR="007F69C2" w:rsidRPr="00FF54F3" w:rsidRDefault="007F69C2" w:rsidP="007F69C2">
      <w:pPr>
        <w:pStyle w:val="Caption"/>
      </w:pPr>
      <w:bookmarkStart w:id="612" w:name="_Ref25065691"/>
      <w:r w:rsidRPr="00FF54F3">
        <w:t>Table</w:t>
      </w:r>
      <w:bookmarkEnd w:id="612"/>
      <w:r w:rsidRPr="00FF54F3">
        <w:rPr>
          <w:noProof/>
        </w:rPr>
        <w:t xml:space="preserve"> </w:t>
      </w:r>
      <w:r w:rsidR="00145C00">
        <w:rPr>
          <w:noProof/>
        </w:rPr>
        <w:t>C</w:t>
      </w:r>
      <w:r w:rsidR="008865D1">
        <w:rPr>
          <w:noProof/>
        </w:rPr>
        <w:t>1</w:t>
      </w:r>
      <w:r w:rsidR="00FB33C3">
        <w:rPr>
          <w:noProof/>
        </w:rPr>
        <w:t>8</w:t>
      </w:r>
      <w:r w:rsidRPr="00FF54F3">
        <w:t>. PERMANOVA pairwise comparison test results for golden perch electrofishing abundance (individuals per 90 second shot) in the gorge geomorphic zone (10 sites) of the Lower Murray River in autumn from 2015</w:t>
      </w:r>
      <w:r w:rsidR="00954442">
        <w:t>–202</w:t>
      </w:r>
      <w:r w:rsidR="00400F2C">
        <w:t>4</w:t>
      </w:r>
      <w:r w:rsidRPr="00FF54F3">
        <w:t xml:space="preserve">. </w:t>
      </w:r>
      <w:r w:rsidRPr="00FF54F3">
        <w:rPr>
          <w:i/>
        </w:rPr>
        <w:t>P</w:t>
      </w:r>
      <w:r w:rsidRPr="00FF54F3">
        <w:t>-values presented in bold are significant comparisons, using Bonferroni corrected α = 0.</w:t>
      </w:r>
      <w:r w:rsidR="00D8380A" w:rsidRPr="00FF54F3">
        <w:t>00</w:t>
      </w:r>
      <w:r w:rsidR="002E6C06">
        <w:t>1</w:t>
      </w:r>
      <w:r w:rsidR="00643CC8">
        <w:t>1</w:t>
      </w:r>
      <w:r w:rsidR="00D8380A" w:rsidRPr="00FF54F3">
        <w:t xml:space="preserve"> </w:t>
      </w:r>
      <w:r w:rsidRPr="00FF54F3">
        <w:t>(Narum 2006) for comparisons between years (</w:t>
      </w:r>
      <w:r w:rsidR="009271C6">
        <w:t>forty-five</w:t>
      </w:r>
      <w:r w:rsidR="002E6C06" w:rsidRPr="00FF54F3">
        <w:t xml:space="preserve"> </w:t>
      </w:r>
      <w:r w:rsidRPr="00FF54F3">
        <w:t xml:space="preserve">comparisons).  </w:t>
      </w:r>
    </w:p>
    <w:tbl>
      <w:tblPr>
        <w:tblW w:w="0" w:type="auto"/>
        <w:jc w:val="center"/>
        <w:tblLook w:val="04A0" w:firstRow="1" w:lastRow="0" w:firstColumn="1" w:lastColumn="0" w:noHBand="0" w:noVBand="1"/>
        <w:tblDescription w:val="Table of PERMANOVA pairwise comparison test results for golden perch electrofishing abundance in the gorge geomorphic zone of the Lower Murray River in autumn from 2015–2024. "/>
      </w:tblPr>
      <w:tblGrid>
        <w:gridCol w:w="2252"/>
        <w:gridCol w:w="1799"/>
        <w:gridCol w:w="1510"/>
      </w:tblGrid>
      <w:tr w:rsidR="00FF54F3" w:rsidRPr="00C002ED" w14:paraId="0ADA3A6F" w14:textId="77777777" w:rsidTr="00E45BE6">
        <w:trPr>
          <w:trHeight w:val="312"/>
          <w:jc w:val="center"/>
        </w:trPr>
        <w:tc>
          <w:tcPr>
            <w:tcW w:w="2252" w:type="dxa"/>
            <w:tcBorders>
              <w:top w:val="single" w:sz="4" w:space="0" w:color="auto"/>
              <w:bottom w:val="single" w:sz="4" w:space="0" w:color="auto"/>
            </w:tcBorders>
          </w:tcPr>
          <w:p w14:paraId="34530D6F" w14:textId="174E37A3" w:rsidR="00FF54F3" w:rsidRPr="00C002ED" w:rsidRDefault="00FF54F3" w:rsidP="00142EA3">
            <w:pPr>
              <w:spacing w:before="0" w:after="0" w:line="240" w:lineRule="auto"/>
              <w:rPr>
                <w:b/>
                <w:sz w:val="20"/>
              </w:rPr>
            </w:pPr>
            <w:r w:rsidRPr="00C002ED">
              <w:rPr>
                <w:b/>
                <w:sz w:val="20"/>
              </w:rPr>
              <w:t>Comparison</w:t>
            </w:r>
          </w:p>
        </w:tc>
        <w:tc>
          <w:tcPr>
            <w:tcW w:w="1799" w:type="dxa"/>
            <w:tcBorders>
              <w:top w:val="single" w:sz="4" w:space="0" w:color="auto"/>
              <w:bottom w:val="single" w:sz="4" w:space="0" w:color="auto"/>
            </w:tcBorders>
          </w:tcPr>
          <w:p w14:paraId="7137267A" w14:textId="4C30A9C2" w:rsidR="00FF54F3" w:rsidRPr="00C002ED" w:rsidRDefault="00FF54F3" w:rsidP="00142EA3">
            <w:pPr>
              <w:spacing w:before="0" w:after="0" w:line="240" w:lineRule="auto"/>
              <w:rPr>
                <w:b/>
                <w:i/>
                <w:sz w:val="20"/>
              </w:rPr>
            </w:pPr>
            <w:r w:rsidRPr="00C002ED">
              <w:rPr>
                <w:b/>
                <w:i/>
                <w:sz w:val="20"/>
              </w:rPr>
              <w:t>t</w:t>
            </w:r>
          </w:p>
        </w:tc>
        <w:tc>
          <w:tcPr>
            <w:tcW w:w="1510" w:type="dxa"/>
            <w:tcBorders>
              <w:top w:val="single" w:sz="4" w:space="0" w:color="auto"/>
              <w:bottom w:val="single" w:sz="4" w:space="0" w:color="auto"/>
            </w:tcBorders>
          </w:tcPr>
          <w:p w14:paraId="6BCBF746" w14:textId="01ED6746" w:rsidR="00FF54F3" w:rsidRPr="00C002ED" w:rsidRDefault="00FF54F3" w:rsidP="00142EA3">
            <w:pPr>
              <w:spacing w:before="0" w:after="0" w:line="240" w:lineRule="auto"/>
              <w:rPr>
                <w:b/>
                <w:i/>
                <w:sz w:val="20"/>
              </w:rPr>
            </w:pPr>
            <w:r w:rsidRPr="00C002ED">
              <w:rPr>
                <w:b/>
                <w:i/>
                <w:sz w:val="20"/>
              </w:rPr>
              <w:t>P (perm)</w:t>
            </w:r>
          </w:p>
        </w:tc>
      </w:tr>
      <w:tr w:rsidR="00400F2C" w:rsidRPr="00C002ED" w14:paraId="646FD74A" w14:textId="77777777" w:rsidTr="00E45BE6">
        <w:trPr>
          <w:trHeight w:val="312"/>
          <w:jc w:val="center"/>
        </w:trPr>
        <w:tc>
          <w:tcPr>
            <w:tcW w:w="2252" w:type="dxa"/>
            <w:tcBorders>
              <w:top w:val="single" w:sz="4" w:space="0" w:color="auto"/>
            </w:tcBorders>
          </w:tcPr>
          <w:p w14:paraId="6AE18513" w14:textId="2D5D0D4F" w:rsidR="00400F2C" w:rsidRPr="00C002ED" w:rsidRDefault="00400F2C" w:rsidP="00400F2C">
            <w:pPr>
              <w:spacing w:before="0" w:after="0" w:line="240" w:lineRule="auto"/>
              <w:rPr>
                <w:sz w:val="20"/>
              </w:rPr>
            </w:pPr>
            <w:r w:rsidRPr="00C002ED">
              <w:rPr>
                <w:sz w:val="20"/>
              </w:rPr>
              <w:t>2015, 2016</w:t>
            </w:r>
          </w:p>
        </w:tc>
        <w:tc>
          <w:tcPr>
            <w:tcW w:w="1799" w:type="dxa"/>
            <w:tcBorders>
              <w:top w:val="single" w:sz="4" w:space="0" w:color="auto"/>
            </w:tcBorders>
          </w:tcPr>
          <w:p w14:paraId="68BB1D5D" w14:textId="65D44EDD" w:rsidR="00400F2C" w:rsidRPr="00C002ED" w:rsidRDefault="00400F2C" w:rsidP="00400F2C">
            <w:pPr>
              <w:spacing w:before="0" w:after="0" w:line="240" w:lineRule="auto"/>
              <w:rPr>
                <w:sz w:val="20"/>
              </w:rPr>
            </w:pPr>
            <w:r w:rsidRPr="00C002ED">
              <w:rPr>
                <w:sz w:val="20"/>
              </w:rPr>
              <w:t>0.2726</w:t>
            </w:r>
          </w:p>
        </w:tc>
        <w:tc>
          <w:tcPr>
            <w:tcW w:w="1510" w:type="dxa"/>
            <w:tcBorders>
              <w:top w:val="single" w:sz="4" w:space="0" w:color="auto"/>
            </w:tcBorders>
          </w:tcPr>
          <w:p w14:paraId="6D62758A" w14:textId="1CE252D9" w:rsidR="00400F2C" w:rsidRPr="00C002ED" w:rsidRDefault="00400F2C" w:rsidP="00400F2C">
            <w:pPr>
              <w:spacing w:before="0" w:after="0" w:line="240" w:lineRule="auto"/>
              <w:rPr>
                <w:sz w:val="20"/>
              </w:rPr>
            </w:pPr>
            <w:r w:rsidRPr="00C002ED">
              <w:rPr>
                <w:sz w:val="20"/>
              </w:rPr>
              <w:t>0.8141</w:t>
            </w:r>
          </w:p>
        </w:tc>
      </w:tr>
      <w:tr w:rsidR="00400F2C" w:rsidRPr="00C002ED" w14:paraId="5E3EA27F" w14:textId="77777777" w:rsidTr="00E45BE6">
        <w:trPr>
          <w:trHeight w:val="312"/>
          <w:jc w:val="center"/>
        </w:trPr>
        <w:tc>
          <w:tcPr>
            <w:tcW w:w="2252" w:type="dxa"/>
          </w:tcPr>
          <w:p w14:paraId="31A30D26" w14:textId="31910B27" w:rsidR="00400F2C" w:rsidRPr="00C002ED" w:rsidRDefault="00400F2C" w:rsidP="00400F2C">
            <w:pPr>
              <w:spacing w:before="0" w:after="0" w:line="240" w:lineRule="auto"/>
              <w:rPr>
                <w:sz w:val="20"/>
              </w:rPr>
            </w:pPr>
            <w:r w:rsidRPr="00C002ED">
              <w:rPr>
                <w:sz w:val="20"/>
              </w:rPr>
              <w:t>2015, 2017</w:t>
            </w:r>
          </w:p>
        </w:tc>
        <w:tc>
          <w:tcPr>
            <w:tcW w:w="1799" w:type="dxa"/>
          </w:tcPr>
          <w:p w14:paraId="573C276C" w14:textId="2465931D" w:rsidR="00400F2C" w:rsidRPr="00C002ED" w:rsidRDefault="00400F2C" w:rsidP="00400F2C">
            <w:pPr>
              <w:spacing w:before="0" w:after="0" w:line="240" w:lineRule="auto"/>
              <w:rPr>
                <w:sz w:val="20"/>
              </w:rPr>
            </w:pPr>
            <w:r w:rsidRPr="00C002ED">
              <w:rPr>
                <w:sz w:val="20"/>
              </w:rPr>
              <w:t>1.4563</w:t>
            </w:r>
          </w:p>
        </w:tc>
        <w:tc>
          <w:tcPr>
            <w:tcW w:w="1510" w:type="dxa"/>
          </w:tcPr>
          <w:p w14:paraId="39C1320D" w14:textId="67C97EFF" w:rsidR="00400F2C" w:rsidRPr="00C002ED" w:rsidRDefault="00400F2C" w:rsidP="00400F2C">
            <w:pPr>
              <w:spacing w:before="0" w:after="0" w:line="240" w:lineRule="auto"/>
              <w:rPr>
                <w:b/>
                <w:bCs/>
                <w:sz w:val="20"/>
              </w:rPr>
            </w:pPr>
            <w:r w:rsidRPr="00C002ED">
              <w:rPr>
                <w:sz w:val="20"/>
              </w:rPr>
              <w:t>0.1764</w:t>
            </w:r>
          </w:p>
        </w:tc>
      </w:tr>
      <w:tr w:rsidR="00400F2C" w:rsidRPr="00C002ED" w14:paraId="56428494" w14:textId="77777777" w:rsidTr="00E45BE6">
        <w:trPr>
          <w:trHeight w:val="312"/>
          <w:jc w:val="center"/>
        </w:trPr>
        <w:tc>
          <w:tcPr>
            <w:tcW w:w="2252" w:type="dxa"/>
          </w:tcPr>
          <w:p w14:paraId="23ECC040" w14:textId="3819F712" w:rsidR="00400F2C" w:rsidRPr="00C002ED" w:rsidRDefault="00400F2C" w:rsidP="00400F2C">
            <w:pPr>
              <w:spacing w:before="0" w:after="0" w:line="240" w:lineRule="auto"/>
              <w:rPr>
                <w:sz w:val="20"/>
              </w:rPr>
            </w:pPr>
            <w:r w:rsidRPr="00C002ED">
              <w:rPr>
                <w:sz w:val="20"/>
              </w:rPr>
              <w:t>2015, 2018</w:t>
            </w:r>
          </w:p>
        </w:tc>
        <w:tc>
          <w:tcPr>
            <w:tcW w:w="1799" w:type="dxa"/>
          </w:tcPr>
          <w:p w14:paraId="4C98101F" w14:textId="57283FBC" w:rsidR="00400F2C" w:rsidRPr="00C002ED" w:rsidRDefault="00400F2C" w:rsidP="00400F2C">
            <w:pPr>
              <w:spacing w:before="0" w:after="0" w:line="240" w:lineRule="auto"/>
              <w:rPr>
                <w:sz w:val="20"/>
              </w:rPr>
            </w:pPr>
            <w:r w:rsidRPr="00C002ED">
              <w:rPr>
                <w:sz w:val="20"/>
              </w:rPr>
              <w:t>0.8253</w:t>
            </w:r>
          </w:p>
        </w:tc>
        <w:tc>
          <w:tcPr>
            <w:tcW w:w="1510" w:type="dxa"/>
          </w:tcPr>
          <w:p w14:paraId="00AF49EF" w14:textId="3E21F31A" w:rsidR="00400F2C" w:rsidRPr="00C002ED" w:rsidRDefault="00400F2C" w:rsidP="00400F2C">
            <w:pPr>
              <w:spacing w:before="0" w:after="0" w:line="240" w:lineRule="auto"/>
              <w:rPr>
                <w:sz w:val="20"/>
              </w:rPr>
            </w:pPr>
            <w:r w:rsidRPr="00C002ED">
              <w:rPr>
                <w:sz w:val="20"/>
              </w:rPr>
              <w:t>0.4366</w:t>
            </w:r>
          </w:p>
        </w:tc>
      </w:tr>
      <w:tr w:rsidR="00400F2C" w:rsidRPr="00C002ED" w14:paraId="71BC8916" w14:textId="77777777" w:rsidTr="00E45BE6">
        <w:trPr>
          <w:trHeight w:val="312"/>
          <w:jc w:val="center"/>
        </w:trPr>
        <w:tc>
          <w:tcPr>
            <w:tcW w:w="2252" w:type="dxa"/>
          </w:tcPr>
          <w:p w14:paraId="50E518AD" w14:textId="37780430" w:rsidR="00400F2C" w:rsidRPr="00C002ED" w:rsidRDefault="00400F2C" w:rsidP="00400F2C">
            <w:pPr>
              <w:spacing w:before="0" w:after="0" w:line="240" w:lineRule="auto"/>
              <w:rPr>
                <w:sz w:val="20"/>
              </w:rPr>
            </w:pPr>
            <w:r w:rsidRPr="00C002ED">
              <w:rPr>
                <w:sz w:val="20"/>
              </w:rPr>
              <w:t>2015, 2019</w:t>
            </w:r>
          </w:p>
        </w:tc>
        <w:tc>
          <w:tcPr>
            <w:tcW w:w="1799" w:type="dxa"/>
          </w:tcPr>
          <w:p w14:paraId="7FF088CC" w14:textId="124573D1" w:rsidR="00400F2C" w:rsidRPr="00C002ED" w:rsidRDefault="00400F2C" w:rsidP="00400F2C">
            <w:pPr>
              <w:spacing w:before="0" w:after="0" w:line="240" w:lineRule="auto"/>
              <w:rPr>
                <w:sz w:val="20"/>
              </w:rPr>
            </w:pPr>
            <w:r w:rsidRPr="00C002ED">
              <w:rPr>
                <w:sz w:val="20"/>
              </w:rPr>
              <w:t>3.6323</w:t>
            </w:r>
          </w:p>
        </w:tc>
        <w:tc>
          <w:tcPr>
            <w:tcW w:w="1510" w:type="dxa"/>
          </w:tcPr>
          <w:p w14:paraId="49BD0626" w14:textId="0D78CC41" w:rsidR="00400F2C" w:rsidRPr="00C002ED" w:rsidRDefault="00400F2C" w:rsidP="00400F2C">
            <w:pPr>
              <w:spacing w:before="0" w:after="0" w:line="240" w:lineRule="auto"/>
              <w:rPr>
                <w:b/>
                <w:bCs/>
                <w:sz w:val="20"/>
              </w:rPr>
            </w:pPr>
            <w:r w:rsidRPr="00C002ED">
              <w:rPr>
                <w:sz w:val="20"/>
              </w:rPr>
              <w:t>0.0014</w:t>
            </w:r>
          </w:p>
        </w:tc>
      </w:tr>
      <w:tr w:rsidR="00400F2C" w:rsidRPr="00C002ED" w14:paraId="78BDB542" w14:textId="77777777" w:rsidTr="00E45BE6">
        <w:trPr>
          <w:trHeight w:val="312"/>
          <w:jc w:val="center"/>
        </w:trPr>
        <w:tc>
          <w:tcPr>
            <w:tcW w:w="2252" w:type="dxa"/>
          </w:tcPr>
          <w:p w14:paraId="68E41683" w14:textId="6E409D59" w:rsidR="00400F2C" w:rsidRPr="00C002ED" w:rsidRDefault="00400F2C" w:rsidP="00400F2C">
            <w:pPr>
              <w:spacing w:before="0" w:after="0" w:line="240" w:lineRule="auto"/>
              <w:rPr>
                <w:sz w:val="20"/>
              </w:rPr>
            </w:pPr>
            <w:r w:rsidRPr="00C002ED">
              <w:rPr>
                <w:sz w:val="20"/>
              </w:rPr>
              <w:t>2015, 2020</w:t>
            </w:r>
          </w:p>
        </w:tc>
        <w:tc>
          <w:tcPr>
            <w:tcW w:w="1799" w:type="dxa"/>
          </w:tcPr>
          <w:p w14:paraId="114093CF" w14:textId="3FE140F7" w:rsidR="00400F2C" w:rsidRPr="00C002ED" w:rsidRDefault="00400F2C" w:rsidP="00400F2C">
            <w:pPr>
              <w:spacing w:before="0" w:after="0" w:line="240" w:lineRule="auto"/>
              <w:rPr>
                <w:sz w:val="20"/>
              </w:rPr>
            </w:pPr>
            <w:r w:rsidRPr="00C002ED">
              <w:rPr>
                <w:sz w:val="20"/>
              </w:rPr>
              <w:t>3.5222</w:t>
            </w:r>
          </w:p>
        </w:tc>
        <w:tc>
          <w:tcPr>
            <w:tcW w:w="1510" w:type="dxa"/>
          </w:tcPr>
          <w:p w14:paraId="7573151B" w14:textId="3F861148" w:rsidR="00400F2C" w:rsidRPr="00C002ED" w:rsidRDefault="00400F2C" w:rsidP="00400F2C">
            <w:pPr>
              <w:spacing w:before="0" w:after="0" w:line="240" w:lineRule="auto"/>
              <w:rPr>
                <w:b/>
                <w:bCs/>
                <w:sz w:val="20"/>
              </w:rPr>
            </w:pPr>
            <w:r w:rsidRPr="00C002ED">
              <w:rPr>
                <w:sz w:val="20"/>
              </w:rPr>
              <w:t>0.0022</w:t>
            </w:r>
          </w:p>
        </w:tc>
      </w:tr>
      <w:tr w:rsidR="00400F2C" w:rsidRPr="00C002ED" w14:paraId="16F36969" w14:textId="77777777" w:rsidTr="00E45BE6">
        <w:trPr>
          <w:trHeight w:val="312"/>
          <w:jc w:val="center"/>
        </w:trPr>
        <w:tc>
          <w:tcPr>
            <w:tcW w:w="2252" w:type="dxa"/>
          </w:tcPr>
          <w:p w14:paraId="20DF90CD" w14:textId="7EC8B86F" w:rsidR="00400F2C" w:rsidRPr="00C002ED" w:rsidRDefault="00400F2C" w:rsidP="00400F2C">
            <w:pPr>
              <w:spacing w:before="0" w:after="0" w:line="240" w:lineRule="auto"/>
              <w:rPr>
                <w:sz w:val="20"/>
              </w:rPr>
            </w:pPr>
            <w:r w:rsidRPr="00C002ED">
              <w:rPr>
                <w:sz w:val="20"/>
              </w:rPr>
              <w:t>2015, 2021</w:t>
            </w:r>
          </w:p>
        </w:tc>
        <w:tc>
          <w:tcPr>
            <w:tcW w:w="1799" w:type="dxa"/>
          </w:tcPr>
          <w:p w14:paraId="3BC2CAA3" w14:textId="75587E32" w:rsidR="00400F2C" w:rsidRPr="00C002ED" w:rsidRDefault="00400F2C" w:rsidP="00400F2C">
            <w:pPr>
              <w:spacing w:before="0" w:after="0" w:line="240" w:lineRule="auto"/>
              <w:rPr>
                <w:sz w:val="20"/>
              </w:rPr>
            </w:pPr>
            <w:r w:rsidRPr="00C002ED">
              <w:rPr>
                <w:sz w:val="20"/>
              </w:rPr>
              <w:t>2.0927</w:t>
            </w:r>
          </w:p>
        </w:tc>
        <w:tc>
          <w:tcPr>
            <w:tcW w:w="1510" w:type="dxa"/>
          </w:tcPr>
          <w:p w14:paraId="3AE4919A" w14:textId="5EEE3860" w:rsidR="00400F2C" w:rsidRPr="00C002ED" w:rsidRDefault="00400F2C" w:rsidP="00400F2C">
            <w:pPr>
              <w:spacing w:before="0" w:after="0" w:line="240" w:lineRule="auto"/>
              <w:rPr>
                <w:b/>
                <w:bCs/>
                <w:sz w:val="20"/>
              </w:rPr>
            </w:pPr>
            <w:r w:rsidRPr="00C002ED">
              <w:rPr>
                <w:sz w:val="20"/>
              </w:rPr>
              <w:t>0.0574</w:t>
            </w:r>
          </w:p>
        </w:tc>
      </w:tr>
      <w:tr w:rsidR="00400F2C" w:rsidRPr="00C002ED" w14:paraId="2748048B" w14:textId="77777777" w:rsidTr="00E45BE6">
        <w:trPr>
          <w:trHeight w:val="312"/>
          <w:jc w:val="center"/>
        </w:trPr>
        <w:tc>
          <w:tcPr>
            <w:tcW w:w="2252" w:type="dxa"/>
          </w:tcPr>
          <w:p w14:paraId="07A76585" w14:textId="73F5B096" w:rsidR="00400F2C" w:rsidRPr="00C002ED" w:rsidRDefault="00400F2C" w:rsidP="00400F2C">
            <w:pPr>
              <w:spacing w:before="0" w:after="0" w:line="240" w:lineRule="auto"/>
              <w:rPr>
                <w:sz w:val="20"/>
              </w:rPr>
            </w:pPr>
            <w:r w:rsidRPr="00C002ED">
              <w:rPr>
                <w:sz w:val="20"/>
              </w:rPr>
              <w:t>2015, 2022</w:t>
            </w:r>
          </w:p>
        </w:tc>
        <w:tc>
          <w:tcPr>
            <w:tcW w:w="1799" w:type="dxa"/>
          </w:tcPr>
          <w:p w14:paraId="3BEE508B" w14:textId="3384520B" w:rsidR="00400F2C" w:rsidRPr="00C002ED" w:rsidRDefault="00400F2C" w:rsidP="00400F2C">
            <w:pPr>
              <w:spacing w:before="0" w:after="0" w:line="240" w:lineRule="auto"/>
              <w:rPr>
                <w:sz w:val="20"/>
              </w:rPr>
            </w:pPr>
            <w:r w:rsidRPr="00C002ED">
              <w:rPr>
                <w:sz w:val="20"/>
              </w:rPr>
              <w:t>0.0641</w:t>
            </w:r>
          </w:p>
        </w:tc>
        <w:tc>
          <w:tcPr>
            <w:tcW w:w="1510" w:type="dxa"/>
          </w:tcPr>
          <w:p w14:paraId="4094CB4C" w14:textId="764C4B08" w:rsidR="00400F2C" w:rsidRPr="00C002ED" w:rsidRDefault="00400F2C" w:rsidP="00400F2C">
            <w:pPr>
              <w:spacing w:before="0" w:after="0" w:line="240" w:lineRule="auto"/>
              <w:rPr>
                <w:sz w:val="20"/>
              </w:rPr>
            </w:pPr>
            <w:r w:rsidRPr="00C002ED">
              <w:rPr>
                <w:sz w:val="20"/>
              </w:rPr>
              <w:t>0.9699</w:t>
            </w:r>
          </w:p>
        </w:tc>
      </w:tr>
      <w:tr w:rsidR="00400F2C" w:rsidRPr="00C002ED" w14:paraId="4E2A4EF4" w14:textId="77777777" w:rsidTr="00E45BE6">
        <w:trPr>
          <w:trHeight w:val="312"/>
          <w:jc w:val="center"/>
        </w:trPr>
        <w:tc>
          <w:tcPr>
            <w:tcW w:w="2252" w:type="dxa"/>
          </w:tcPr>
          <w:p w14:paraId="5605A441" w14:textId="67E76658" w:rsidR="00400F2C" w:rsidRPr="00C002ED" w:rsidRDefault="00400F2C" w:rsidP="00400F2C">
            <w:pPr>
              <w:spacing w:before="0" w:after="0" w:line="240" w:lineRule="auto"/>
              <w:rPr>
                <w:sz w:val="20"/>
              </w:rPr>
            </w:pPr>
            <w:r w:rsidRPr="00C002ED">
              <w:rPr>
                <w:sz w:val="20"/>
              </w:rPr>
              <w:t>2015, 2023</w:t>
            </w:r>
          </w:p>
        </w:tc>
        <w:tc>
          <w:tcPr>
            <w:tcW w:w="1799" w:type="dxa"/>
          </w:tcPr>
          <w:p w14:paraId="317B2B74" w14:textId="334E224D" w:rsidR="00400F2C" w:rsidRPr="00C002ED" w:rsidRDefault="00400F2C" w:rsidP="00400F2C">
            <w:pPr>
              <w:spacing w:before="0" w:after="0" w:line="240" w:lineRule="auto"/>
              <w:rPr>
                <w:sz w:val="20"/>
              </w:rPr>
            </w:pPr>
            <w:r w:rsidRPr="00C002ED">
              <w:rPr>
                <w:sz w:val="20"/>
              </w:rPr>
              <w:t>3.9802</w:t>
            </w:r>
          </w:p>
        </w:tc>
        <w:tc>
          <w:tcPr>
            <w:tcW w:w="1510" w:type="dxa"/>
          </w:tcPr>
          <w:p w14:paraId="5D3ED2D0" w14:textId="57869FC4" w:rsidR="00400F2C" w:rsidRPr="00C002ED" w:rsidRDefault="00400F2C" w:rsidP="00400F2C">
            <w:pPr>
              <w:spacing w:before="0" w:after="0" w:line="240" w:lineRule="auto"/>
              <w:rPr>
                <w:b/>
                <w:bCs/>
                <w:sz w:val="20"/>
              </w:rPr>
            </w:pPr>
            <w:r w:rsidRPr="00C002ED">
              <w:rPr>
                <w:sz w:val="20"/>
              </w:rPr>
              <w:t>0.0014</w:t>
            </w:r>
          </w:p>
        </w:tc>
      </w:tr>
      <w:tr w:rsidR="00400F2C" w:rsidRPr="00C002ED" w14:paraId="50E8729D" w14:textId="77777777" w:rsidTr="00E45BE6">
        <w:trPr>
          <w:trHeight w:val="312"/>
          <w:jc w:val="center"/>
        </w:trPr>
        <w:tc>
          <w:tcPr>
            <w:tcW w:w="2252" w:type="dxa"/>
          </w:tcPr>
          <w:p w14:paraId="131FA2B6" w14:textId="62ABFA18" w:rsidR="00400F2C" w:rsidRPr="00C002ED" w:rsidRDefault="00400F2C" w:rsidP="00400F2C">
            <w:pPr>
              <w:spacing w:before="0" w:after="0" w:line="240" w:lineRule="auto"/>
              <w:rPr>
                <w:sz w:val="20"/>
              </w:rPr>
            </w:pPr>
            <w:r w:rsidRPr="00C002ED">
              <w:rPr>
                <w:sz w:val="20"/>
              </w:rPr>
              <w:t>2015, 2024</w:t>
            </w:r>
          </w:p>
        </w:tc>
        <w:tc>
          <w:tcPr>
            <w:tcW w:w="1799" w:type="dxa"/>
          </w:tcPr>
          <w:p w14:paraId="3FB1D11F" w14:textId="7AA64707" w:rsidR="00400F2C" w:rsidRPr="00C002ED" w:rsidRDefault="00400F2C" w:rsidP="00400F2C">
            <w:pPr>
              <w:spacing w:before="0" w:after="0" w:line="240" w:lineRule="auto"/>
              <w:rPr>
                <w:sz w:val="20"/>
              </w:rPr>
            </w:pPr>
            <w:r w:rsidRPr="00C002ED">
              <w:rPr>
                <w:sz w:val="20"/>
              </w:rPr>
              <w:t>3.2609</w:t>
            </w:r>
          </w:p>
        </w:tc>
        <w:tc>
          <w:tcPr>
            <w:tcW w:w="1510" w:type="dxa"/>
          </w:tcPr>
          <w:p w14:paraId="23B06429" w14:textId="57FFCF5A" w:rsidR="00400F2C" w:rsidRPr="00C002ED" w:rsidRDefault="00400F2C" w:rsidP="00400F2C">
            <w:pPr>
              <w:spacing w:before="0" w:after="0" w:line="240" w:lineRule="auto"/>
              <w:rPr>
                <w:sz w:val="20"/>
              </w:rPr>
            </w:pPr>
            <w:r w:rsidRPr="00C002ED">
              <w:rPr>
                <w:sz w:val="20"/>
              </w:rPr>
              <w:t>0.0057</w:t>
            </w:r>
          </w:p>
        </w:tc>
      </w:tr>
      <w:tr w:rsidR="00400F2C" w:rsidRPr="00C002ED" w14:paraId="2447D122" w14:textId="77777777" w:rsidTr="00E45BE6">
        <w:trPr>
          <w:trHeight w:val="312"/>
          <w:jc w:val="center"/>
        </w:trPr>
        <w:tc>
          <w:tcPr>
            <w:tcW w:w="2252" w:type="dxa"/>
          </w:tcPr>
          <w:p w14:paraId="0081D8D1" w14:textId="0BC29A9F" w:rsidR="00400F2C" w:rsidRPr="00C002ED" w:rsidRDefault="00400F2C" w:rsidP="00400F2C">
            <w:pPr>
              <w:spacing w:before="0" w:after="0" w:line="240" w:lineRule="auto"/>
              <w:rPr>
                <w:sz w:val="20"/>
              </w:rPr>
            </w:pPr>
            <w:r w:rsidRPr="00C002ED">
              <w:rPr>
                <w:sz w:val="20"/>
              </w:rPr>
              <w:t>2016, 2017</w:t>
            </w:r>
          </w:p>
        </w:tc>
        <w:tc>
          <w:tcPr>
            <w:tcW w:w="1799" w:type="dxa"/>
          </w:tcPr>
          <w:p w14:paraId="10676CFF" w14:textId="43B280F5" w:rsidR="00400F2C" w:rsidRPr="00C002ED" w:rsidRDefault="00400F2C" w:rsidP="00400F2C">
            <w:pPr>
              <w:spacing w:before="0" w:after="0" w:line="240" w:lineRule="auto"/>
              <w:rPr>
                <w:sz w:val="20"/>
              </w:rPr>
            </w:pPr>
            <w:r w:rsidRPr="00C002ED">
              <w:rPr>
                <w:sz w:val="20"/>
              </w:rPr>
              <w:t>1.6998</w:t>
            </w:r>
          </w:p>
        </w:tc>
        <w:tc>
          <w:tcPr>
            <w:tcW w:w="1510" w:type="dxa"/>
          </w:tcPr>
          <w:p w14:paraId="6ACD2669" w14:textId="3209FD83" w:rsidR="00400F2C" w:rsidRPr="00C002ED" w:rsidRDefault="00400F2C" w:rsidP="00400F2C">
            <w:pPr>
              <w:spacing w:before="0" w:after="0" w:line="240" w:lineRule="auto"/>
              <w:rPr>
                <w:sz w:val="20"/>
              </w:rPr>
            </w:pPr>
            <w:r w:rsidRPr="00C002ED">
              <w:rPr>
                <w:sz w:val="20"/>
              </w:rPr>
              <w:t>0.1188</w:t>
            </w:r>
          </w:p>
        </w:tc>
      </w:tr>
      <w:tr w:rsidR="00400F2C" w:rsidRPr="00C002ED" w14:paraId="682D9B92" w14:textId="77777777" w:rsidTr="00E45BE6">
        <w:trPr>
          <w:trHeight w:val="312"/>
          <w:jc w:val="center"/>
        </w:trPr>
        <w:tc>
          <w:tcPr>
            <w:tcW w:w="2252" w:type="dxa"/>
          </w:tcPr>
          <w:p w14:paraId="722EC0EB" w14:textId="345C86AD" w:rsidR="00400F2C" w:rsidRPr="00C002ED" w:rsidRDefault="00400F2C" w:rsidP="00400F2C">
            <w:pPr>
              <w:spacing w:before="0" w:after="0" w:line="240" w:lineRule="auto"/>
              <w:rPr>
                <w:sz w:val="20"/>
              </w:rPr>
            </w:pPr>
            <w:r w:rsidRPr="00C002ED">
              <w:rPr>
                <w:sz w:val="20"/>
              </w:rPr>
              <w:t>2016, 2018</w:t>
            </w:r>
          </w:p>
        </w:tc>
        <w:tc>
          <w:tcPr>
            <w:tcW w:w="1799" w:type="dxa"/>
          </w:tcPr>
          <w:p w14:paraId="06ABE0B9" w14:textId="5CA77B81" w:rsidR="00400F2C" w:rsidRPr="00C002ED" w:rsidRDefault="00400F2C" w:rsidP="00400F2C">
            <w:pPr>
              <w:spacing w:before="0" w:after="0" w:line="240" w:lineRule="auto"/>
              <w:rPr>
                <w:sz w:val="20"/>
              </w:rPr>
            </w:pPr>
            <w:r w:rsidRPr="00C002ED">
              <w:rPr>
                <w:sz w:val="20"/>
              </w:rPr>
              <w:t>0.6930</w:t>
            </w:r>
          </w:p>
        </w:tc>
        <w:tc>
          <w:tcPr>
            <w:tcW w:w="1510" w:type="dxa"/>
          </w:tcPr>
          <w:p w14:paraId="0AD8DBAC" w14:textId="2039E9D8" w:rsidR="00400F2C" w:rsidRPr="00C002ED" w:rsidRDefault="00400F2C" w:rsidP="00400F2C">
            <w:pPr>
              <w:spacing w:before="0" w:after="0" w:line="240" w:lineRule="auto"/>
              <w:rPr>
                <w:b/>
                <w:bCs/>
                <w:sz w:val="20"/>
              </w:rPr>
            </w:pPr>
            <w:r w:rsidRPr="00C002ED">
              <w:rPr>
                <w:sz w:val="20"/>
              </w:rPr>
              <w:t>0.5156</w:t>
            </w:r>
          </w:p>
        </w:tc>
      </w:tr>
      <w:tr w:rsidR="00400F2C" w:rsidRPr="00C002ED" w14:paraId="7CFEED34" w14:textId="77777777" w:rsidTr="00E45BE6">
        <w:trPr>
          <w:trHeight w:val="312"/>
          <w:jc w:val="center"/>
        </w:trPr>
        <w:tc>
          <w:tcPr>
            <w:tcW w:w="2252" w:type="dxa"/>
          </w:tcPr>
          <w:p w14:paraId="38B6145E" w14:textId="68CCBF1C" w:rsidR="00400F2C" w:rsidRPr="00C002ED" w:rsidRDefault="00400F2C" w:rsidP="00400F2C">
            <w:pPr>
              <w:spacing w:before="0" w:after="0" w:line="240" w:lineRule="auto"/>
              <w:rPr>
                <w:sz w:val="20"/>
              </w:rPr>
            </w:pPr>
            <w:r w:rsidRPr="00C002ED">
              <w:rPr>
                <w:sz w:val="20"/>
              </w:rPr>
              <w:t>2016, 2019</w:t>
            </w:r>
          </w:p>
        </w:tc>
        <w:tc>
          <w:tcPr>
            <w:tcW w:w="1799" w:type="dxa"/>
          </w:tcPr>
          <w:p w14:paraId="3C383C4E" w14:textId="11CC857E" w:rsidR="00400F2C" w:rsidRPr="00C002ED" w:rsidRDefault="00400F2C" w:rsidP="00400F2C">
            <w:pPr>
              <w:spacing w:before="0" w:after="0" w:line="240" w:lineRule="auto"/>
              <w:rPr>
                <w:sz w:val="20"/>
              </w:rPr>
            </w:pPr>
            <w:r w:rsidRPr="00C002ED">
              <w:rPr>
                <w:sz w:val="20"/>
              </w:rPr>
              <w:t>4.7217</w:t>
            </w:r>
          </w:p>
        </w:tc>
        <w:tc>
          <w:tcPr>
            <w:tcW w:w="1510" w:type="dxa"/>
          </w:tcPr>
          <w:p w14:paraId="546E543A" w14:textId="6E29F0F6" w:rsidR="00400F2C" w:rsidRPr="00C002ED" w:rsidRDefault="00400F2C" w:rsidP="00400F2C">
            <w:pPr>
              <w:spacing w:before="0" w:after="0" w:line="240" w:lineRule="auto"/>
              <w:rPr>
                <w:b/>
                <w:bCs/>
                <w:sz w:val="20"/>
              </w:rPr>
            </w:pPr>
            <w:r w:rsidRPr="00C002ED">
              <w:rPr>
                <w:b/>
                <w:bCs/>
                <w:sz w:val="20"/>
              </w:rPr>
              <w:t>0.0005</w:t>
            </w:r>
          </w:p>
        </w:tc>
      </w:tr>
      <w:tr w:rsidR="00400F2C" w:rsidRPr="00C002ED" w14:paraId="282633CF" w14:textId="77777777" w:rsidTr="00E45BE6">
        <w:trPr>
          <w:trHeight w:val="312"/>
          <w:jc w:val="center"/>
        </w:trPr>
        <w:tc>
          <w:tcPr>
            <w:tcW w:w="2252" w:type="dxa"/>
          </w:tcPr>
          <w:p w14:paraId="5ADEE4D7" w14:textId="764BC09A" w:rsidR="00400F2C" w:rsidRPr="00C002ED" w:rsidRDefault="00400F2C" w:rsidP="00400F2C">
            <w:pPr>
              <w:spacing w:before="0" w:after="0" w:line="240" w:lineRule="auto"/>
              <w:rPr>
                <w:sz w:val="20"/>
              </w:rPr>
            </w:pPr>
            <w:r w:rsidRPr="00C002ED">
              <w:rPr>
                <w:sz w:val="20"/>
              </w:rPr>
              <w:t>2016, 2020</w:t>
            </w:r>
          </w:p>
        </w:tc>
        <w:tc>
          <w:tcPr>
            <w:tcW w:w="1799" w:type="dxa"/>
          </w:tcPr>
          <w:p w14:paraId="33FDFD2C" w14:textId="5328CE14" w:rsidR="00400F2C" w:rsidRPr="00C002ED" w:rsidRDefault="00400F2C" w:rsidP="00400F2C">
            <w:pPr>
              <w:spacing w:before="0" w:after="0" w:line="240" w:lineRule="auto"/>
              <w:rPr>
                <w:sz w:val="20"/>
              </w:rPr>
            </w:pPr>
            <w:r w:rsidRPr="00C002ED">
              <w:rPr>
                <w:sz w:val="20"/>
              </w:rPr>
              <w:t>4.3351</w:t>
            </w:r>
          </w:p>
        </w:tc>
        <w:tc>
          <w:tcPr>
            <w:tcW w:w="1510" w:type="dxa"/>
          </w:tcPr>
          <w:p w14:paraId="31E65E7F" w14:textId="5F76B21A" w:rsidR="00400F2C" w:rsidRPr="00C002ED" w:rsidRDefault="00400F2C" w:rsidP="00400F2C">
            <w:pPr>
              <w:spacing w:before="0" w:after="0" w:line="240" w:lineRule="auto"/>
              <w:rPr>
                <w:sz w:val="20"/>
              </w:rPr>
            </w:pPr>
            <w:r w:rsidRPr="00C002ED">
              <w:rPr>
                <w:sz w:val="20"/>
              </w:rPr>
              <w:t>0.0012</w:t>
            </w:r>
          </w:p>
        </w:tc>
      </w:tr>
      <w:tr w:rsidR="00400F2C" w:rsidRPr="00C002ED" w14:paraId="18DC539D" w14:textId="77777777" w:rsidTr="00E45BE6">
        <w:trPr>
          <w:trHeight w:val="312"/>
          <w:jc w:val="center"/>
        </w:trPr>
        <w:tc>
          <w:tcPr>
            <w:tcW w:w="2252" w:type="dxa"/>
          </w:tcPr>
          <w:p w14:paraId="04668971" w14:textId="679B6B4E" w:rsidR="00400F2C" w:rsidRPr="00C002ED" w:rsidRDefault="00400F2C" w:rsidP="00400F2C">
            <w:pPr>
              <w:spacing w:before="0" w:after="0" w:line="240" w:lineRule="auto"/>
              <w:rPr>
                <w:sz w:val="20"/>
              </w:rPr>
            </w:pPr>
            <w:r w:rsidRPr="00C002ED">
              <w:rPr>
                <w:sz w:val="20"/>
              </w:rPr>
              <w:t>2016, 2021</w:t>
            </w:r>
          </w:p>
        </w:tc>
        <w:tc>
          <w:tcPr>
            <w:tcW w:w="1799" w:type="dxa"/>
          </w:tcPr>
          <w:p w14:paraId="6CB3595D" w14:textId="507083B3" w:rsidR="00400F2C" w:rsidRPr="00C002ED" w:rsidRDefault="00400F2C" w:rsidP="00400F2C">
            <w:pPr>
              <w:spacing w:before="0" w:after="0" w:line="240" w:lineRule="auto"/>
              <w:rPr>
                <w:sz w:val="20"/>
              </w:rPr>
            </w:pPr>
            <w:r w:rsidRPr="00C002ED">
              <w:rPr>
                <w:sz w:val="20"/>
              </w:rPr>
              <w:t>2.3178</w:t>
            </w:r>
          </w:p>
        </w:tc>
        <w:tc>
          <w:tcPr>
            <w:tcW w:w="1510" w:type="dxa"/>
          </w:tcPr>
          <w:p w14:paraId="37783029" w14:textId="0779473E" w:rsidR="00400F2C" w:rsidRPr="00C002ED" w:rsidRDefault="00400F2C" w:rsidP="00400F2C">
            <w:pPr>
              <w:spacing w:before="0" w:after="0" w:line="240" w:lineRule="auto"/>
              <w:rPr>
                <w:sz w:val="20"/>
              </w:rPr>
            </w:pPr>
            <w:r w:rsidRPr="00C002ED">
              <w:rPr>
                <w:sz w:val="20"/>
              </w:rPr>
              <w:t>0.0363</w:t>
            </w:r>
          </w:p>
        </w:tc>
      </w:tr>
      <w:tr w:rsidR="00400F2C" w:rsidRPr="00C002ED" w14:paraId="6E9C322D" w14:textId="77777777" w:rsidTr="00E45BE6">
        <w:trPr>
          <w:trHeight w:val="312"/>
          <w:jc w:val="center"/>
        </w:trPr>
        <w:tc>
          <w:tcPr>
            <w:tcW w:w="2252" w:type="dxa"/>
          </w:tcPr>
          <w:p w14:paraId="2F59183A" w14:textId="52AEC780" w:rsidR="00400F2C" w:rsidRPr="00C002ED" w:rsidRDefault="00400F2C" w:rsidP="00400F2C">
            <w:pPr>
              <w:spacing w:before="0" w:after="0" w:line="240" w:lineRule="auto"/>
              <w:rPr>
                <w:sz w:val="20"/>
              </w:rPr>
            </w:pPr>
            <w:r w:rsidRPr="00C002ED">
              <w:rPr>
                <w:sz w:val="20"/>
              </w:rPr>
              <w:t>2016, 2022</w:t>
            </w:r>
          </w:p>
        </w:tc>
        <w:tc>
          <w:tcPr>
            <w:tcW w:w="1799" w:type="dxa"/>
          </w:tcPr>
          <w:p w14:paraId="080327F0" w14:textId="16285943" w:rsidR="00400F2C" w:rsidRPr="00C002ED" w:rsidRDefault="00400F2C" w:rsidP="00400F2C">
            <w:pPr>
              <w:spacing w:before="0" w:after="0" w:line="240" w:lineRule="auto"/>
              <w:rPr>
                <w:sz w:val="20"/>
              </w:rPr>
            </w:pPr>
            <w:r w:rsidRPr="00C002ED">
              <w:rPr>
                <w:sz w:val="20"/>
              </w:rPr>
              <w:t>0.2541</w:t>
            </w:r>
          </w:p>
        </w:tc>
        <w:tc>
          <w:tcPr>
            <w:tcW w:w="1510" w:type="dxa"/>
          </w:tcPr>
          <w:p w14:paraId="7C1FE4DF" w14:textId="24F51810" w:rsidR="00400F2C" w:rsidRPr="00C002ED" w:rsidRDefault="00400F2C" w:rsidP="00400F2C">
            <w:pPr>
              <w:spacing w:before="0" w:after="0" w:line="240" w:lineRule="auto"/>
              <w:rPr>
                <w:b/>
                <w:bCs/>
                <w:sz w:val="20"/>
              </w:rPr>
            </w:pPr>
            <w:r w:rsidRPr="00C002ED">
              <w:rPr>
                <w:sz w:val="20"/>
              </w:rPr>
              <w:t>0.8229</w:t>
            </w:r>
          </w:p>
        </w:tc>
      </w:tr>
      <w:tr w:rsidR="00400F2C" w:rsidRPr="00C002ED" w14:paraId="2512994F" w14:textId="77777777" w:rsidTr="00E45BE6">
        <w:trPr>
          <w:trHeight w:val="312"/>
          <w:jc w:val="center"/>
        </w:trPr>
        <w:tc>
          <w:tcPr>
            <w:tcW w:w="2252" w:type="dxa"/>
          </w:tcPr>
          <w:p w14:paraId="5C9E52C8" w14:textId="0F549452" w:rsidR="00400F2C" w:rsidRPr="00C002ED" w:rsidRDefault="00400F2C" w:rsidP="00400F2C">
            <w:pPr>
              <w:spacing w:before="0" w:after="0" w:line="240" w:lineRule="auto"/>
              <w:rPr>
                <w:sz w:val="20"/>
              </w:rPr>
            </w:pPr>
            <w:r w:rsidRPr="00C002ED">
              <w:rPr>
                <w:sz w:val="20"/>
              </w:rPr>
              <w:t>2016, 2023</w:t>
            </w:r>
          </w:p>
        </w:tc>
        <w:tc>
          <w:tcPr>
            <w:tcW w:w="1799" w:type="dxa"/>
          </w:tcPr>
          <w:p w14:paraId="40DAA08B" w14:textId="3ACACFE0" w:rsidR="00400F2C" w:rsidRPr="00C002ED" w:rsidRDefault="00400F2C" w:rsidP="00400F2C">
            <w:pPr>
              <w:spacing w:before="0" w:after="0" w:line="240" w:lineRule="auto"/>
              <w:rPr>
                <w:sz w:val="20"/>
              </w:rPr>
            </w:pPr>
            <w:r w:rsidRPr="00C002ED">
              <w:rPr>
                <w:sz w:val="20"/>
              </w:rPr>
              <w:t>4.6281</w:t>
            </w:r>
          </w:p>
        </w:tc>
        <w:tc>
          <w:tcPr>
            <w:tcW w:w="1510" w:type="dxa"/>
          </w:tcPr>
          <w:p w14:paraId="1E4DBED4" w14:textId="1195A629" w:rsidR="00400F2C" w:rsidRPr="00C002ED" w:rsidRDefault="00400F2C" w:rsidP="00400F2C">
            <w:pPr>
              <w:spacing w:before="0" w:after="0" w:line="240" w:lineRule="auto"/>
              <w:rPr>
                <w:b/>
                <w:bCs/>
                <w:sz w:val="20"/>
              </w:rPr>
            </w:pPr>
            <w:r w:rsidRPr="00C002ED">
              <w:rPr>
                <w:b/>
                <w:bCs/>
                <w:sz w:val="20"/>
              </w:rPr>
              <w:t>0.0005</w:t>
            </w:r>
          </w:p>
        </w:tc>
      </w:tr>
      <w:tr w:rsidR="00400F2C" w:rsidRPr="00C002ED" w14:paraId="7216CE41" w14:textId="77777777" w:rsidTr="00E45BE6">
        <w:trPr>
          <w:trHeight w:val="312"/>
          <w:jc w:val="center"/>
        </w:trPr>
        <w:tc>
          <w:tcPr>
            <w:tcW w:w="2252" w:type="dxa"/>
          </w:tcPr>
          <w:p w14:paraId="55903787" w14:textId="351427F2" w:rsidR="00400F2C" w:rsidRPr="00C002ED" w:rsidRDefault="00400F2C" w:rsidP="00400F2C">
            <w:pPr>
              <w:spacing w:before="0" w:after="0" w:line="240" w:lineRule="auto"/>
              <w:rPr>
                <w:sz w:val="20"/>
              </w:rPr>
            </w:pPr>
            <w:r w:rsidRPr="00C002ED">
              <w:rPr>
                <w:sz w:val="20"/>
              </w:rPr>
              <w:t>2016, 2024</w:t>
            </w:r>
          </w:p>
        </w:tc>
        <w:tc>
          <w:tcPr>
            <w:tcW w:w="1799" w:type="dxa"/>
          </w:tcPr>
          <w:p w14:paraId="18AF08FE" w14:textId="614D3977" w:rsidR="00400F2C" w:rsidRPr="00C002ED" w:rsidRDefault="00400F2C" w:rsidP="00400F2C">
            <w:pPr>
              <w:spacing w:before="0" w:after="0" w:line="240" w:lineRule="auto"/>
              <w:rPr>
                <w:sz w:val="20"/>
              </w:rPr>
            </w:pPr>
            <w:r w:rsidRPr="00C002ED">
              <w:rPr>
                <w:sz w:val="20"/>
              </w:rPr>
              <w:t>3.8694</w:t>
            </w:r>
          </w:p>
        </w:tc>
        <w:tc>
          <w:tcPr>
            <w:tcW w:w="1510" w:type="dxa"/>
          </w:tcPr>
          <w:p w14:paraId="0DF8AEAD" w14:textId="6AA2802A" w:rsidR="00400F2C" w:rsidRPr="00C002ED" w:rsidRDefault="00400F2C" w:rsidP="00400F2C">
            <w:pPr>
              <w:spacing w:before="0" w:after="0" w:line="240" w:lineRule="auto"/>
              <w:rPr>
                <w:b/>
                <w:bCs/>
                <w:sz w:val="20"/>
              </w:rPr>
            </w:pPr>
            <w:r w:rsidRPr="00C002ED">
              <w:rPr>
                <w:sz w:val="20"/>
              </w:rPr>
              <w:t>0.0023</w:t>
            </w:r>
          </w:p>
        </w:tc>
      </w:tr>
      <w:tr w:rsidR="00400F2C" w:rsidRPr="00C002ED" w14:paraId="0D14C0CD" w14:textId="77777777" w:rsidTr="00E45BE6">
        <w:trPr>
          <w:trHeight w:val="312"/>
          <w:jc w:val="center"/>
        </w:trPr>
        <w:tc>
          <w:tcPr>
            <w:tcW w:w="2252" w:type="dxa"/>
          </w:tcPr>
          <w:p w14:paraId="6FF395D6" w14:textId="771BC7B6" w:rsidR="00400F2C" w:rsidRPr="00C002ED" w:rsidRDefault="00400F2C" w:rsidP="00400F2C">
            <w:pPr>
              <w:spacing w:before="0" w:after="0" w:line="240" w:lineRule="auto"/>
              <w:rPr>
                <w:sz w:val="20"/>
              </w:rPr>
            </w:pPr>
            <w:r w:rsidRPr="00C002ED">
              <w:rPr>
                <w:sz w:val="20"/>
              </w:rPr>
              <w:t>2017, 2018</w:t>
            </w:r>
          </w:p>
        </w:tc>
        <w:tc>
          <w:tcPr>
            <w:tcW w:w="1799" w:type="dxa"/>
          </w:tcPr>
          <w:p w14:paraId="6EC82741" w14:textId="7FC98600" w:rsidR="00400F2C" w:rsidRPr="00C002ED" w:rsidRDefault="00400F2C" w:rsidP="00400F2C">
            <w:pPr>
              <w:spacing w:before="0" w:after="0" w:line="240" w:lineRule="auto"/>
              <w:rPr>
                <w:sz w:val="20"/>
              </w:rPr>
            </w:pPr>
            <w:r w:rsidRPr="00C002ED">
              <w:rPr>
                <w:sz w:val="20"/>
              </w:rPr>
              <w:t>0.8086</w:t>
            </w:r>
          </w:p>
        </w:tc>
        <w:tc>
          <w:tcPr>
            <w:tcW w:w="1510" w:type="dxa"/>
          </w:tcPr>
          <w:p w14:paraId="0F96D3D7" w14:textId="7126BBFD" w:rsidR="00400F2C" w:rsidRPr="00C002ED" w:rsidRDefault="00400F2C" w:rsidP="00400F2C">
            <w:pPr>
              <w:spacing w:before="0" w:after="0" w:line="240" w:lineRule="auto"/>
              <w:rPr>
                <w:b/>
                <w:bCs/>
                <w:sz w:val="20"/>
              </w:rPr>
            </w:pPr>
            <w:r w:rsidRPr="00C002ED">
              <w:rPr>
                <w:sz w:val="20"/>
              </w:rPr>
              <w:t>0.4484</w:t>
            </w:r>
          </w:p>
        </w:tc>
      </w:tr>
      <w:tr w:rsidR="00400F2C" w:rsidRPr="00C002ED" w14:paraId="6F0C6B6D" w14:textId="77777777" w:rsidTr="00E45BE6">
        <w:trPr>
          <w:trHeight w:val="312"/>
          <w:jc w:val="center"/>
        </w:trPr>
        <w:tc>
          <w:tcPr>
            <w:tcW w:w="2252" w:type="dxa"/>
          </w:tcPr>
          <w:p w14:paraId="70353935" w14:textId="06AFD917" w:rsidR="00400F2C" w:rsidRPr="00C002ED" w:rsidRDefault="00400F2C" w:rsidP="00400F2C">
            <w:pPr>
              <w:spacing w:before="0" w:after="0" w:line="240" w:lineRule="auto"/>
              <w:rPr>
                <w:sz w:val="20"/>
              </w:rPr>
            </w:pPr>
            <w:r w:rsidRPr="00C002ED">
              <w:rPr>
                <w:sz w:val="20"/>
              </w:rPr>
              <w:t>2017, 2019</w:t>
            </w:r>
          </w:p>
        </w:tc>
        <w:tc>
          <w:tcPr>
            <w:tcW w:w="1799" w:type="dxa"/>
          </w:tcPr>
          <w:p w14:paraId="44E0A40F" w14:textId="2327F344" w:rsidR="00400F2C" w:rsidRPr="00C002ED" w:rsidRDefault="00400F2C" w:rsidP="00400F2C">
            <w:pPr>
              <w:spacing w:before="0" w:after="0" w:line="240" w:lineRule="auto"/>
              <w:rPr>
                <w:sz w:val="20"/>
              </w:rPr>
            </w:pPr>
            <w:r w:rsidRPr="00C002ED">
              <w:rPr>
                <w:sz w:val="20"/>
              </w:rPr>
              <w:t>2.1526</w:t>
            </w:r>
          </w:p>
        </w:tc>
        <w:tc>
          <w:tcPr>
            <w:tcW w:w="1510" w:type="dxa"/>
          </w:tcPr>
          <w:p w14:paraId="7902AC63" w14:textId="4EAC3C1D" w:rsidR="00400F2C" w:rsidRPr="00C002ED" w:rsidRDefault="00400F2C" w:rsidP="00400F2C">
            <w:pPr>
              <w:spacing w:before="0" w:after="0" w:line="240" w:lineRule="auto"/>
              <w:rPr>
                <w:sz w:val="20"/>
              </w:rPr>
            </w:pPr>
            <w:r w:rsidRPr="00C002ED">
              <w:rPr>
                <w:sz w:val="20"/>
              </w:rPr>
              <w:t>0.0591</w:t>
            </w:r>
          </w:p>
        </w:tc>
      </w:tr>
      <w:tr w:rsidR="00400F2C" w:rsidRPr="00C002ED" w14:paraId="5698A86D" w14:textId="77777777" w:rsidTr="00E45BE6">
        <w:trPr>
          <w:trHeight w:val="312"/>
          <w:jc w:val="center"/>
        </w:trPr>
        <w:tc>
          <w:tcPr>
            <w:tcW w:w="2252" w:type="dxa"/>
          </w:tcPr>
          <w:p w14:paraId="0C1A1CAE" w14:textId="408AF828" w:rsidR="00400F2C" w:rsidRPr="00C002ED" w:rsidRDefault="00400F2C" w:rsidP="00400F2C">
            <w:pPr>
              <w:spacing w:before="0" w:after="0" w:line="240" w:lineRule="auto"/>
              <w:rPr>
                <w:sz w:val="20"/>
              </w:rPr>
            </w:pPr>
            <w:r w:rsidRPr="00C002ED">
              <w:rPr>
                <w:sz w:val="20"/>
              </w:rPr>
              <w:t>2017, 2020</w:t>
            </w:r>
          </w:p>
        </w:tc>
        <w:tc>
          <w:tcPr>
            <w:tcW w:w="1799" w:type="dxa"/>
          </w:tcPr>
          <w:p w14:paraId="60CB0232" w14:textId="2E5EE548" w:rsidR="00400F2C" w:rsidRPr="00C002ED" w:rsidRDefault="00400F2C" w:rsidP="00400F2C">
            <w:pPr>
              <w:spacing w:before="0" w:after="0" w:line="240" w:lineRule="auto"/>
              <w:rPr>
                <w:sz w:val="20"/>
              </w:rPr>
            </w:pPr>
            <w:r w:rsidRPr="00C002ED">
              <w:rPr>
                <w:sz w:val="20"/>
              </w:rPr>
              <w:t>1.8277</w:t>
            </w:r>
          </w:p>
        </w:tc>
        <w:tc>
          <w:tcPr>
            <w:tcW w:w="1510" w:type="dxa"/>
          </w:tcPr>
          <w:p w14:paraId="672020D6" w14:textId="098ED154" w:rsidR="00400F2C" w:rsidRPr="00C002ED" w:rsidRDefault="00400F2C" w:rsidP="00400F2C">
            <w:pPr>
              <w:spacing w:before="0" w:after="0" w:line="240" w:lineRule="auto"/>
              <w:rPr>
                <w:sz w:val="20"/>
              </w:rPr>
            </w:pPr>
            <w:r w:rsidRPr="00C002ED">
              <w:rPr>
                <w:sz w:val="20"/>
              </w:rPr>
              <w:t>0.1123</w:t>
            </w:r>
          </w:p>
        </w:tc>
      </w:tr>
      <w:tr w:rsidR="00400F2C" w:rsidRPr="00C002ED" w14:paraId="44569107" w14:textId="77777777" w:rsidTr="00E45BE6">
        <w:trPr>
          <w:trHeight w:val="312"/>
          <w:jc w:val="center"/>
        </w:trPr>
        <w:tc>
          <w:tcPr>
            <w:tcW w:w="2252" w:type="dxa"/>
          </w:tcPr>
          <w:p w14:paraId="614325EC" w14:textId="470132A5" w:rsidR="00400F2C" w:rsidRPr="00C002ED" w:rsidRDefault="00400F2C" w:rsidP="00400F2C">
            <w:pPr>
              <w:spacing w:before="0" w:after="0" w:line="240" w:lineRule="auto"/>
              <w:rPr>
                <w:sz w:val="20"/>
              </w:rPr>
            </w:pPr>
            <w:r w:rsidRPr="00C002ED">
              <w:rPr>
                <w:sz w:val="20"/>
              </w:rPr>
              <w:t>2017, 2021</w:t>
            </w:r>
          </w:p>
        </w:tc>
        <w:tc>
          <w:tcPr>
            <w:tcW w:w="1799" w:type="dxa"/>
          </w:tcPr>
          <w:p w14:paraId="6812AB7E" w14:textId="1400C773" w:rsidR="00400F2C" w:rsidRPr="00C002ED" w:rsidRDefault="00400F2C" w:rsidP="00400F2C">
            <w:pPr>
              <w:spacing w:before="0" w:after="0" w:line="240" w:lineRule="auto"/>
              <w:rPr>
                <w:sz w:val="20"/>
              </w:rPr>
            </w:pPr>
            <w:r w:rsidRPr="00C002ED">
              <w:rPr>
                <w:sz w:val="20"/>
              </w:rPr>
              <w:t>0.1913</w:t>
            </w:r>
          </w:p>
        </w:tc>
        <w:tc>
          <w:tcPr>
            <w:tcW w:w="1510" w:type="dxa"/>
          </w:tcPr>
          <w:p w14:paraId="2F49FC08" w14:textId="7CF042A4" w:rsidR="00400F2C" w:rsidRPr="00C002ED" w:rsidRDefault="00400F2C" w:rsidP="00400F2C">
            <w:pPr>
              <w:spacing w:before="0" w:after="0" w:line="240" w:lineRule="auto"/>
              <w:rPr>
                <w:sz w:val="20"/>
              </w:rPr>
            </w:pPr>
            <w:r w:rsidRPr="00C002ED">
              <w:rPr>
                <w:sz w:val="20"/>
              </w:rPr>
              <w:t>0.8587</w:t>
            </w:r>
          </w:p>
        </w:tc>
      </w:tr>
      <w:tr w:rsidR="00400F2C" w:rsidRPr="00C002ED" w14:paraId="0BB6C87F" w14:textId="77777777" w:rsidTr="00E45BE6">
        <w:trPr>
          <w:trHeight w:val="312"/>
          <w:jc w:val="center"/>
        </w:trPr>
        <w:tc>
          <w:tcPr>
            <w:tcW w:w="2252" w:type="dxa"/>
          </w:tcPr>
          <w:p w14:paraId="4A822956" w14:textId="283992CD" w:rsidR="00400F2C" w:rsidRPr="00C002ED" w:rsidRDefault="00400F2C" w:rsidP="00400F2C">
            <w:pPr>
              <w:spacing w:before="0" w:after="0" w:line="240" w:lineRule="auto"/>
              <w:rPr>
                <w:sz w:val="20"/>
              </w:rPr>
            </w:pPr>
            <w:r w:rsidRPr="00C002ED">
              <w:rPr>
                <w:sz w:val="20"/>
              </w:rPr>
              <w:t>2017, 2022</w:t>
            </w:r>
          </w:p>
        </w:tc>
        <w:tc>
          <w:tcPr>
            <w:tcW w:w="1799" w:type="dxa"/>
          </w:tcPr>
          <w:p w14:paraId="7E78A214" w14:textId="43C19AD0" w:rsidR="00400F2C" w:rsidRPr="00C002ED" w:rsidRDefault="00400F2C" w:rsidP="00400F2C">
            <w:pPr>
              <w:spacing w:before="0" w:after="0" w:line="240" w:lineRule="auto"/>
              <w:rPr>
                <w:sz w:val="20"/>
              </w:rPr>
            </w:pPr>
            <w:r w:rsidRPr="00C002ED">
              <w:rPr>
                <w:sz w:val="20"/>
              </w:rPr>
              <w:t>0.9762</w:t>
            </w:r>
          </w:p>
        </w:tc>
        <w:tc>
          <w:tcPr>
            <w:tcW w:w="1510" w:type="dxa"/>
          </w:tcPr>
          <w:p w14:paraId="74EED14C" w14:textId="755CFD51" w:rsidR="00400F2C" w:rsidRPr="00C002ED" w:rsidRDefault="00400F2C" w:rsidP="00400F2C">
            <w:pPr>
              <w:spacing w:before="0" w:after="0" w:line="240" w:lineRule="auto"/>
              <w:rPr>
                <w:sz w:val="20"/>
              </w:rPr>
            </w:pPr>
            <w:r w:rsidRPr="00C002ED">
              <w:rPr>
                <w:sz w:val="20"/>
              </w:rPr>
              <w:t>0.3724</w:t>
            </w:r>
          </w:p>
        </w:tc>
      </w:tr>
      <w:tr w:rsidR="00400F2C" w:rsidRPr="00C002ED" w14:paraId="793EECB5" w14:textId="77777777" w:rsidTr="00E45BE6">
        <w:trPr>
          <w:trHeight w:val="312"/>
          <w:jc w:val="center"/>
        </w:trPr>
        <w:tc>
          <w:tcPr>
            <w:tcW w:w="2252" w:type="dxa"/>
          </w:tcPr>
          <w:p w14:paraId="7E3678BD" w14:textId="0B6F11E0" w:rsidR="00400F2C" w:rsidRPr="00C002ED" w:rsidRDefault="00400F2C" w:rsidP="00400F2C">
            <w:pPr>
              <w:spacing w:before="0" w:after="0" w:line="240" w:lineRule="auto"/>
              <w:rPr>
                <w:sz w:val="20"/>
              </w:rPr>
            </w:pPr>
            <w:r w:rsidRPr="00C002ED">
              <w:rPr>
                <w:sz w:val="20"/>
              </w:rPr>
              <w:t>2017, 2023</w:t>
            </w:r>
          </w:p>
        </w:tc>
        <w:tc>
          <w:tcPr>
            <w:tcW w:w="1799" w:type="dxa"/>
          </w:tcPr>
          <w:p w14:paraId="0AC2EB3E" w14:textId="3F0D852F" w:rsidR="00400F2C" w:rsidRPr="00C002ED" w:rsidRDefault="00400F2C" w:rsidP="00400F2C">
            <w:pPr>
              <w:spacing w:before="0" w:after="0" w:line="240" w:lineRule="auto"/>
              <w:rPr>
                <w:sz w:val="20"/>
              </w:rPr>
            </w:pPr>
            <w:r w:rsidRPr="00C002ED">
              <w:rPr>
                <w:sz w:val="20"/>
              </w:rPr>
              <w:t>2.2180</w:t>
            </w:r>
          </w:p>
        </w:tc>
        <w:tc>
          <w:tcPr>
            <w:tcW w:w="1510" w:type="dxa"/>
          </w:tcPr>
          <w:p w14:paraId="72C7514F" w14:textId="04BB2881" w:rsidR="00400F2C" w:rsidRPr="00C002ED" w:rsidRDefault="00400F2C" w:rsidP="00400F2C">
            <w:pPr>
              <w:spacing w:before="0" w:after="0" w:line="240" w:lineRule="auto"/>
              <w:rPr>
                <w:sz w:val="20"/>
              </w:rPr>
            </w:pPr>
            <w:r w:rsidRPr="00C002ED">
              <w:rPr>
                <w:sz w:val="20"/>
              </w:rPr>
              <w:t>0.0479</w:t>
            </w:r>
          </w:p>
        </w:tc>
      </w:tr>
      <w:tr w:rsidR="00400F2C" w:rsidRPr="00C002ED" w14:paraId="1DCAA4EF" w14:textId="77777777" w:rsidTr="00E45BE6">
        <w:trPr>
          <w:trHeight w:val="312"/>
          <w:jc w:val="center"/>
        </w:trPr>
        <w:tc>
          <w:tcPr>
            <w:tcW w:w="2252" w:type="dxa"/>
          </w:tcPr>
          <w:p w14:paraId="7E0BD1EA" w14:textId="4FA5E1C3" w:rsidR="00400F2C" w:rsidRPr="00C002ED" w:rsidRDefault="00400F2C" w:rsidP="00400F2C">
            <w:pPr>
              <w:spacing w:before="0" w:after="0" w:line="240" w:lineRule="auto"/>
              <w:rPr>
                <w:sz w:val="20"/>
              </w:rPr>
            </w:pPr>
            <w:r w:rsidRPr="00C002ED">
              <w:rPr>
                <w:sz w:val="20"/>
              </w:rPr>
              <w:t>2017, 2024</w:t>
            </w:r>
          </w:p>
        </w:tc>
        <w:tc>
          <w:tcPr>
            <w:tcW w:w="1799" w:type="dxa"/>
          </w:tcPr>
          <w:p w14:paraId="2680E915" w14:textId="29D2CE42" w:rsidR="00400F2C" w:rsidRPr="00C002ED" w:rsidRDefault="00400F2C" w:rsidP="00400F2C">
            <w:pPr>
              <w:spacing w:before="0" w:after="0" w:line="240" w:lineRule="auto"/>
              <w:rPr>
                <w:sz w:val="20"/>
              </w:rPr>
            </w:pPr>
            <w:r w:rsidRPr="00C002ED">
              <w:rPr>
                <w:sz w:val="20"/>
              </w:rPr>
              <w:t>1.4777</w:t>
            </w:r>
          </w:p>
        </w:tc>
        <w:tc>
          <w:tcPr>
            <w:tcW w:w="1510" w:type="dxa"/>
          </w:tcPr>
          <w:p w14:paraId="3A7A93D6" w14:textId="173F7A58" w:rsidR="00400F2C" w:rsidRPr="00C002ED" w:rsidRDefault="00400F2C" w:rsidP="00400F2C">
            <w:pPr>
              <w:spacing w:before="0" w:after="0" w:line="240" w:lineRule="auto"/>
              <w:rPr>
                <w:sz w:val="20"/>
              </w:rPr>
            </w:pPr>
            <w:r w:rsidRPr="00C002ED">
              <w:rPr>
                <w:sz w:val="20"/>
              </w:rPr>
              <w:t>0.1824</w:t>
            </w:r>
          </w:p>
        </w:tc>
      </w:tr>
      <w:tr w:rsidR="00400F2C" w:rsidRPr="00C002ED" w14:paraId="1199AB07" w14:textId="77777777" w:rsidTr="00E45BE6">
        <w:trPr>
          <w:trHeight w:val="312"/>
          <w:jc w:val="center"/>
        </w:trPr>
        <w:tc>
          <w:tcPr>
            <w:tcW w:w="2252" w:type="dxa"/>
          </w:tcPr>
          <w:p w14:paraId="600B1B67" w14:textId="79453691" w:rsidR="00400F2C" w:rsidRPr="00C002ED" w:rsidRDefault="00400F2C" w:rsidP="00400F2C">
            <w:pPr>
              <w:spacing w:before="0" w:after="0" w:line="240" w:lineRule="auto"/>
              <w:rPr>
                <w:sz w:val="20"/>
              </w:rPr>
            </w:pPr>
            <w:r w:rsidRPr="00C002ED">
              <w:rPr>
                <w:sz w:val="20"/>
              </w:rPr>
              <w:t>2018, 2019</w:t>
            </w:r>
          </w:p>
        </w:tc>
        <w:tc>
          <w:tcPr>
            <w:tcW w:w="1799" w:type="dxa"/>
          </w:tcPr>
          <w:p w14:paraId="252738ED" w14:textId="6F4B4625" w:rsidR="00400F2C" w:rsidRPr="00C002ED" w:rsidRDefault="00400F2C" w:rsidP="00400F2C">
            <w:pPr>
              <w:spacing w:before="0" w:after="0" w:line="240" w:lineRule="auto"/>
              <w:rPr>
                <w:sz w:val="20"/>
              </w:rPr>
            </w:pPr>
            <w:r w:rsidRPr="00C002ED">
              <w:rPr>
                <w:sz w:val="20"/>
              </w:rPr>
              <w:t>2.8114</w:t>
            </w:r>
          </w:p>
        </w:tc>
        <w:tc>
          <w:tcPr>
            <w:tcW w:w="1510" w:type="dxa"/>
          </w:tcPr>
          <w:p w14:paraId="6CBFB543" w14:textId="35CEE1D1" w:rsidR="00400F2C" w:rsidRPr="00C002ED" w:rsidRDefault="00400F2C" w:rsidP="00400F2C">
            <w:pPr>
              <w:spacing w:before="0" w:after="0" w:line="240" w:lineRule="auto"/>
              <w:rPr>
                <w:sz w:val="20"/>
              </w:rPr>
            </w:pPr>
            <w:r w:rsidRPr="00C002ED">
              <w:rPr>
                <w:sz w:val="20"/>
              </w:rPr>
              <w:t>0.0125</w:t>
            </w:r>
          </w:p>
        </w:tc>
      </w:tr>
      <w:tr w:rsidR="00400F2C" w:rsidRPr="00C002ED" w14:paraId="0C1A281E" w14:textId="77777777" w:rsidTr="00E45BE6">
        <w:trPr>
          <w:trHeight w:val="312"/>
          <w:jc w:val="center"/>
        </w:trPr>
        <w:tc>
          <w:tcPr>
            <w:tcW w:w="2252" w:type="dxa"/>
          </w:tcPr>
          <w:p w14:paraId="03D17767" w14:textId="5CB9E9D0" w:rsidR="00400F2C" w:rsidRPr="00C002ED" w:rsidRDefault="00400F2C" w:rsidP="00400F2C">
            <w:pPr>
              <w:spacing w:before="0" w:after="0" w:line="240" w:lineRule="auto"/>
              <w:rPr>
                <w:sz w:val="20"/>
              </w:rPr>
            </w:pPr>
            <w:r w:rsidRPr="00C002ED">
              <w:rPr>
                <w:sz w:val="20"/>
              </w:rPr>
              <w:t>2018, 2020</w:t>
            </w:r>
          </w:p>
        </w:tc>
        <w:tc>
          <w:tcPr>
            <w:tcW w:w="1799" w:type="dxa"/>
          </w:tcPr>
          <w:p w14:paraId="15DE6264" w14:textId="634BB710" w:rsidR="00400F2C" w:rsidRPr="00C002ED" w:rsidRDefault="00400F2C" w:rsidP="00400F2C">
            <w:pPr>
              <w:spacing w:before="0" w:after="0" w:line="240" w:lineRule="auto"/>
              <w:rPr>
                <w:sz w:val="20"/>
              </w:rPr>
            </w:pPr>
            <w:r w:rsidRPr="00C002ED">
              <w:rPr>
                <w:sz w:val="20"/>
              </w:rPr>
              <w:t>2.7290</w:t>
            </w:r>
          </w:p>
        </w:tc>
        <w:tc>
          <w:tcPr>
            <w:tcW w:w="1510" w:type="dxa"/>
          </w:tcPr>
          <w:p w14:paraId="0F71641B" w14:textId="6ABACD3B" w:rsidR="00400F2C" w:rsidRPr="00C002ED" w:rsidRDefault="00400F2C" w:rsidP="00400F2C">
            <w:pPr>
              <w:spacing w:before="0" w:after="0" w:line="240" w:lineRule="auto"/>
              <w:rPr>
                <w:sz w:val="20"/>
              </w:rPr>
            </w:pPr>
            <w:r w:rsidRPr="00C002ED">
              <w:rPr>
                <w:sz w:val="20"/>
              </w:rPr>
              <w:t>0.0184</w:t>
            </w:r>
          </w:p>
        </w:tc>
      </w:tr>
      <w:tr w:rsidR="00400F2C" w:rsidRPr="00C002ED" w14:paraId="48DBACF9" w14:textId="77777777" w:rsidTr="00E45BE6">
        <w:trPr>
          <w:trHeight w:val="312"/>
          <w:jc w:val="center"/>
        </w:trPr>
        <w:tc>
          <w:tcPr>
            <w:tcW w:w="2252" w:type="dxa"/>
          </w:tcPr>
          <w:p w14:paraId="022618C1" w14:textId="1B604A45" w:rsidR="00400F2C" w:rsidRPr="00C002ED" w:rsidRDefault="00400F2C" w:rsidP="00400F2C">
            <w:pPr>
              <w:spacing w:before="0" w:after="0" w:line="240" w:lineRule="auto"/>
              <w:rPr>
                <w:sz w:val="20"/>
              </w:rPr>
            </w:pPr>
            <w:r w:rsidRPr="00C002ED">
              <w:rPr>
                <w:sz w:val="20"/>
              </w:rPr>
              <w:t>2018, 2021</w:t>
            </w:r>
          </w:p>
        </w:tc>
        <w:tc>
          <w:tcPr>
            <w:tcW w:w="1799" w:type="dxa"/>
          </w:tcPr>
          <w:p w14:paraId="0A9052DF" w14:textId="580DF9E1" w:rsidR="00400F2C" w:rsidRPr="00C002ED" w:rsidRDefault="00400F2C" w:rsidP="00400F2C">
            <w:pPr>
              <w:spacing w:before="0" w:after="0" w:line="240" w:lineRule="auto"/>
              <w:rPr>
                <w:sz w:val="20"/>
              </w:rPr>
            </w:pPr>
            <w:r w:rsidRPr="00C002ED">
              <w:rPr>
                <w:sz w:val="20"/>
              </w:rPr>
              <w:t>1.2362</w:t>
            </w:r>
          </w:p>
        </w:tc>
        <w:tc>
          <w:tcPr>
            <w:tcW w:w="1510" w:type="dxa"/>
          </w:tcPr>
          <w:p w14:paraId="5DC7F5AD" w14:textId="2B380B26" w:rsidR="00400F2C" w:rsidRPr="00C002ED" w:rsidRDefault="00400F2C" w:rsidP="00400F2C">
            <w:pPr>
              <w:spacing w:before="0" w:after="0" w:line="240" w:lineRule="auto"/>
              <w:rPr>
                <w:sz w:val="20"/>
              </w:rPr>
            </w:pPr>
            <w:r w:rsidRPr="00C002ED">
              <w:rPr>
                <w:sz w:val="20"/>
              </w:rPr>
              <w:t>0.2414</w:t>
            </w:r>
          </w:p>
        </w:tc>
      </w:tr>
      <w:tr w:rsidR="00400F2C" w:rsidRPr="00C002ED" w14:paraId="2A36BBBF" w14:textId="77777777" w:rsidTr="00E45BE6">
        <w:trPr>
          <w:trHeight w:val="312"/>
          <w:jc w:val="center"/>
        </w:trPr>
        <w:tc>
          <w:tcPr>
            <w:tcW w:w="2252" w:type="dxa"/>
          </w:tcPr>
          <w:p w14:paraId="2E87B535" w14:textId="048A8B0A" w:rsidR="00400F2C" w:rsidRPr="00C002ED" w:rsidRDefault="00400F2C" w:rsidP="00400F2C">
            <w:pPr>
              <w:spacing w:before="0" w:after="0" w:line="240" w:lineRule="auto"/>
              <w:rPr>
                <w:sz w:val="20"/>
              </w:rPr>
            </w:pPr>
            <w:r w:rsidRPr="00C002ED">
              <w:rPr>
                <w:sz w:val="20"/>
              </w:rPr>
              <w:t>2018, 2022</w:t>
            </w:r>
          </w:p>
        </w:tc>
        <w:tc>
          <w:tcPr>
            <w:tcW w:w="1799" w:type="dxa"/>
          </w:tcPr>
          <w:p w14:paraId="273F898C" w14:textId="5204AD50" w:rsidR="00400F2C" w:rsidRPr="00C002ED" w:rsidRDefault="00400F2C" w:rsidP="00400F2C">
            <w:pPr>
              <w:spacing w:before="0" w:after="0" w:line="240" w:lineRule="auto"/>
              <w:rPr>
                <w:sz w:val="20"/>
              </w:rPr>
            </w:pPr>
            <w:r w:rsidRPr="00C002ED">
              <w:rPr>
                <w:sz w:val="20"/>
              </w:rPr>
              <w:t>0.6573</w:t>
            </w:r>
          </w:p>
        </w:tc>
        <w:tc>
          <w:tcPr>
            <w:tcW w:w="1510" w:type="dxa"/>
          </w:tcPr>
          <w:p w14:paraId="4B8C8ACA" w14:textId="1879B620" w:rsidR="00400F2C" w:rsidRPr="00C002ED" w:rsidRDefault="00400F2C" w:rsidP="00400F2C">
            <w:pPr>
              <w:spacing w:before="0" w:after="0" w:line="240" w:lineRule="auto"/>
              <w:rPr>
                <w:sz w:val="20"/>
              </w:rPr>
            </w:pPr>
            <w:r w:rsidRPr="00C002ED">
              <w:rPr>
                <w:sz w:val="20"/>
              </w:rPr>
              <w:t>0.5468</w:t>
            </w:r>
          </w:p>
        </w:tc>
      </w:tr>
      <w:tr w:rsidR="00400F2C" w:rsidRPr="00C002ED" w14:paraId="60EC301E" w14:textId="77777777" w:rsidTr="00E45BE6">
        <w:trPr>
          <w:trHeight w:val="312"/>
          <w:jc w:val="center"/>
        </w:trPr>
        <w:tc>
          <w:tcPr>
            <w:tcW w:w="2252" w:type="dxa"/>
          </w:tcPr>
          <w:p w14:paraId="65479A3C" w14:textId="104C97DC" w:rsidR="00400F2C" w:rsidRPr="00C002ED" w:rsidRDefault="00400F2C" w:rsidP="00400F2C">
            <w:pPr>
              <w:spacing w:before="0" w:after="0" w:line="240" w:lineRule="auto"/>
              <w:rPr>
                <w:sz w:val="20"/>
              </w:rPr>
            </w:pPr>
            <w:r w:rsidRPr="00C002ED">
              <w:rPr>
                <w:sz w:val="20"/>
              </w:rPr>
              <w:t>2018, 2023</w:t>
            </w:r>
          </w:p>
        </w:tc>
        <w:tc>
          <w:tcPr>
            <w:tcW w:w="1799" w:type="dxa"/>
          </w:tcPr>
          <w:p w14:paraId="06F4E2D1" w14:textId="656A892B" w:rsidR="00400F2C" w:rsidRPr="00C002ED" w:rsidRDefault="00400F2C" w:rsidP="00400F2C">
            <w:pPr>
              <w:spacing w:before="0" w:after="0" w:line="240" w:lineRule="auto"/>
              <w:rPr>
                <w:sz w:val="20"/>
              </w:rPr>
            </w:pPr>
            <w:r w:rsidRPr="00C002ED">
              <w:rPr>
                <w:sz w:val="20"/>
              </w:rPr>
              <w:t>3.2848</w:t>
            </w:r>
          </w:p>
        </w:tc>
        <w:tc>
          <w:tcPr>
            <w:tcW w:w="1510" w:type="dxa"/>
          </w:tcPr>
          <w:p w14:paraId="7BAE186E" w14:textId="431D23F1" w:rsidR="00400F2C" w:rsidRPr="00C002ED" w:rsidRDefault="00400F2C" w:rsidP="00400F2C">
            <w:pPr>
              <w:spacing w:before="0" w:after="0" w:line="240" w:lineRule="auto"/>
              <w:rPr>
                <w:sz w:val="20"/>
              </w:rPr>
            </w:pPr>
            <w:r w:rsidRPr="00C002ED">
              <w:rPr>
                <w:sz w:val="20"/>
              </w:rPr>
              <w:t>0.0059</w:t>
            </w:r>
          </w:p>
        </w:tc>
      </w:tr>
      <w:tr w:rsidR="00400F2C" w:rsidRPr="00C002ED" w14:paraId="493F1233" w14:textId="77777777" w:rsidTr="00E45BE6">
        <w:trPr>
          <w:trHeight w:val="312"/>
          <w:jc w:val="center"/>
        </w:trPr>
        <w:tc>
          <w:tcPr>
            <w:tcW w:w="2252" w:type="dxa"/>
          </w:tcPr>
          <w:p w14:paraId="61575105" w14:textId="4FF8AEEA" w:rsidR="00400F2C" w:rsidRPr="00C002ED" w:rsidRDefault="00400F2C" w:rsidP="00400F2C">
            <w:pPr>
              <w:spacing w:before="0" w:after="0" w:line="240" w:lineRule="auto"/>
              <w:rPr>
                <w:sz w:val="20"/>
              </w:rPr>
            </w:pPr>
            <w:r w:rsidRPr="00C002ED">
              <w:rPr>
                <w:sz w:val="20"/>
              </w:rPr>
              <w:t>2018, 2024</w:t>
            </w:r>
          </w:p>
        </w:tc>
        <w:tc>
          <w:tcPr>
            <w:tcW w:w="1799" w:type="dxa"/>
          </w:tcPr>
          <w:p w14:paraId="6DCC1CFB" w14:textId="125B2319" w:rsidR="00400F2C" w:rsidRPr="00C002ED" w:rsidRDefault="00400F2C" w:rsidP="00400F2C">
            <w:pPr>
              <w:spacing w:before="0" w:after="0" w:line="240" w:lineRule="auto"/>
              <w:rPr>
                <w:sz w:val="20"/>
              </w:rPr>
            </w:pPr>
            <w:r w:rsidRPr="00C002ED">
              <w:rPr>
                <w:sz w:val="20"/>
              </w:rPr>
              <w:t>2.4738</w:t>
            </w:r>
          </w:p>
        </w:tc>
        <w:tc>
          <w:tcPr>
            <w:tcW w:w="1510" w:type="dxa"/>
          </w:tcPr>
          <w:p w14:paraId="4A80C62A" w14:textId="4D5E32A0" w:rsidR="00400F2C" w:rsidRPr="00C002ED" w:rsidRDefault="00400F2C" w:rsidP="00400F2C">
            <w:pPr>
              <w:spacing w:before="0" w:after="0" w:line="240" w:lineRule="auto"/>
              <w:rPr>
                <w:sz w:val="20"/>
              </w:rPr>
            </w:pPr>
            <w:r w:rsidRPr="00C002ED">
              <w:rPr>
                <w:sz w:val="20"/>
              </w:rPr>
              <w:t>0.0271</w:t>
            </w:r>
          </w:p>
        </w:tc>
      </w:tr>
      <w:tr w:rsidR="00400F2C" w:rsidRPr="00C002ED" w14:paraId="691CB678" w14:textId="77777777" w:rsidTr="00E45BE6">
        <w:trPr>
          <w:trHeight w:val="312"/>
          <w:jc w:val="center"/>
        </w:trPr>
        <w:tc>
          <w:tcPr>
            <w:tcW w:w="2252" w:type="dxa"/>
          </w:tcPr>
          <w:p w14:paraId="10CD6468" w14:textId="31C8F4F9" w:rsidR="00400F2C" w:rsidRPr="00C002ED" w:rsidRDefault="00400F2C" w:rsidP="00400F2C">
            <w:pPr>
              <w:spacing w:before="0" w:after="0" w:line="240" w:lineRule="auto"/>
              <w:rPr>
                <w:sz w:val="20"/>
              </w:rPr>
            </w:pPr>
            <w:r w:rsidRPr="00C002ED">
              <w:rPr>
                <w:sz w:val="20"/>
              </w:rPr>
              <w:t>2019, 2020</w:t>
            </w:r>
          </w:p>
        </w:tc>
        <w:tc>
          <w:tcPr>
            <w:tcW w:w="1799" w:type="dxa"/>
          </w:tcPr>
          <w:p w14:paraId="3291B157" w14:textId="056ACDED" w:rsidR="00400F2C" w:rsidRPr="00C002ED" w:rsidRDefault="00400F2C" w:rsidP="00400F2C">
            <w:pPr>
              <w:spacing w:before="0" w:after="0" w:line="240" w:lineRule="auto"/>
              <w:rPr>
                <w:sz w:val="20"/>
              </w:rPr>
            </w:pPr>
            <w:r w:rsidRPr="00C002ED">
              <w:rPr>
                <w:sz w:val="20"/>
              </w:rPr>
              <w:t>0.2371</w:t>
            </w:r>
          </w:p>
        </w:tc>
        <w:tc>
          <w:tcPr>
            <w:tcW w:w="1510" w:type="dxa"/>
          </w:tcPr>
          <w:p w14:paraId="1A4D1BFE" w14:textId="6D6AABED" w:rsidR="00400F2C" w:rsidRPr="00C002ED" w:rsidRDefault="00400F2C" w:rsidP="00400F2C">
            <w:pPr>
              <w:spacing w:before="0" w:after="0" w:line="240" w:lineRule="auto"/>
              <w:rPr>
                <w:b/>
                <w:bCs/>
                <w:sz w:val="20"/>
              </w:rPr>
            </w:pPr>
            <w:r w:rsidRPr="00C002ED">
              <w:rPr>
                <w:sz w:val="20"/>
              </w:rPr>
              <w:t>0.8720</w:t>
            </w:r>
          </w:p>
        </w:tc>
      </w:tr>
      <w:tr w:rsidR="00400F2C" w:rsidRPr="00C002ED" w14:paraId="74B75BB7" w14:textId="77777777" w:rsidTr="00E45BE6">
        <w:trPr>
          <w:trHeight w:val="312"/>
          <w:jc w:val="center"/>
        </w:trPr>
        <w:tc>
          <w:tcPr>
            <w:tcW w:w="2252" w:type="dxa"/>
          </w:tcPr>
          <w:p w14:paraId="23D49485" w14:textId="30529118" w:rsidR="00400F2C" w:rsidRPr="00C002ED" w:rsidRDefault="00400F2C" w:rsidP="00400F2C">
            <w:pPr>
              <w:spacing w:before="0" w:after="0" w:line="240" w:lineRule="auto"/>
              <w:rPr>
                <w:sz w:val="20"/>
              </w:rPr>
            </w:pPr>
            <w:r w:rsidRPr="00C002ED">
              <w:rPr>
                <w:sz w:val="20"/>
              </w:rPr>
              <w:t>2019, 2021</w:t>
            </w:r>
          </w:p>
        </w:tc>
        <w:tc>
          <w:tcPr>
            <w:tcW w:w="1799" w:type="dxa"/>
          </w:tcPr>
          <w:p w14:paraId="2D526FC2" w14:textId="6A951212" w:rsidR="00400F2C" w:rsidRPr="00C002ED" w:rsidRDefault="00400F2C" w:rsidP="00400F2C">
            <w:pPr>
              <w:spacing w:before="0" w:after="0" w:line="240" w:lineRule="auto"/>
              <w:rPr>
                <w:sz w:val="20"/>
              </w:rPr>
            </w:pPr>
            <w:r w:rsidRPr="00C002ED">
              <w:rPr>
                <w:sz w:val="20"/>
              </w:rPr>
              <w:t>1.8870</w:t>
            </w:r>
          </w:p>
        </w:tc>
        <w:tc>
          <w:tcPr>
            <w:tcW w:w="1510" w:type="dxa"/>
          </w:tcPr>
          <w:p w14:paraId="4E963D38" w14:textId="73E319E6" w:rsidR="00400F2C" w:rsidRPr="00C002ED" w:rsidRDefault="00400F2C" w:rsidP="00400F2C">
            <w:pPr>
              <w:spacing w:before="0" w:after="0" w:line="240" w:lineRule="auto"/>
              <w:rPr>
                <w:sz w:val="20"/>
              </w:rPr>
            </w:pPr>
            <w:r w:rsidRPr="00C002ED">
              <w:rPr>
                <w:sz w:val="20"/>
              </w:rPr>
              <w:t>0.0886</w:t>
            </w:r>
          </w:p>
        </w:tc>
      </w:tr>
      <w:tr w:rsidR="00400F2C" w:rsidRPr="00C002ED" w14:paraId="5423822A" w14:textId="77777777" w:rsidTr="00E45BE6">
        <w:trPr>
          <w:trHeight w:val="312"/>
          <w:jc w:val="center"/>
        </w:trPr>
        <w:tc>
          <w:tcPr>
            <w:tcW w:w="2252" w:type="dxa"/>
          </w:tcPr>
          <w:p w14:paraId="71143DC3" w14:textId="6A6572D4" w:rsidR="00400F2C" w:rsidRPr="00C002ED" w:rsidRDefault="00400F2C" w:rsidP="00400F2C">
            <w:pPr>
              <w:spacing w:before="0" w:after="0" w:line="240" w:lineRule="auto"/>
              <w:rPr>
                <w:sz w:val="20"/>
              </w:rPr>
            </w:pPr>
            <w:r w:rsidRPr="00C002ED">
              <w:rPr>
                <w:sz w:val="20"/>
              </w:rPr>
              <w:t>2019, 2022</w:t>
            </w:r>
          </w:p>
        </w:tc>
        <w:tc>
          <w:tcPr>
            <w:tcW w:w="1799" w:type="dxa"/>
          </w:tcPr>
          <w:p w14:paraId="309263C5" w14:textId="50F32CF8" w:rsidR="00400F2C" w:rsidRPr="00C002ED" w:rsidRDefault="00400F2C" w:rsidP="00400F2C">
            <w:pPr>
              <w:spacing w:before="0" w:after="0" w:line="240" w:lineRule="auto"/>
              <w:rPr>
                <w:sz w:val="20"/>
              </w:rPr>
            </w:pPr>
            <w:r w:rsidRPr="00C002ED">
              <w:rPr>
                <w:sz w:val="20"/>
              </w:rPr>
              <w:t>2.3209</w:t>
            </w:r>
          </w:p>
        </w:tc>
        <w:tc>
          <w:tcPr>
            <w:tcW w:w="1510" w:type="dxa"/>
          </w:tcPr>
          <w:p w14:paraId="7B0A45C5" w14:textId="1C110CE6" w:rsidR="00400F2C" w:rsidRPr="00C002ED" w:rsidRDefault="00400F2C" w:rsidP="00400F2C">
            <w:pPr>
              <w:spacing w:before="0" w:after="0" w:line="240" w:lineRule="auto"/>
              <w:rPr>
                <w:sz w:val="20"/>
              </w:rPr>
            </w:pPr>
            <w:r w:rsidRPr="00C002ED">
              <w:rPr>
                <w:sz w:val="20"/>
              </w:rPr>
              <w:t>0.0223</w:t>
            </w:r>
          </w:p>
        </w:tc>
      </w:tr>
      <w:tr w:rsidR="00400F2C" w:rsidRPr="00C002ED" w14:paraId="02BF64E4" w14:textId="77777777" w:rsidTr="00E45BE6">
        <w:trPr>
          <w:trHeight w:val="312"/>
          <w:jc w:val="center"/>
        </w:trPr>
        <w:tc>
          <w:tcPr>
            <w:tcW w:w="2252" w:type="dxa"/>
          </w:tcPr>
          <w:p w14:paraId="71C6AD43" w14:textId="55288F1F" w:rsidR="00400F2C" w:rsidRPr="00C002ED" w:rsidRDefault="00400F2C" w:rsidP="00400F2C">
            <w:pPr>
              <w:spacing w:before="0" w:after="0" w:line="240" w:lineRule="auto"/>
              <w:rPr>
                <w:sz w:val="20"/>
              </w:rPr>
            </w:pPr>
            <w:r w:rsidRPr="00C002ED">
              <w:rPr>
                <w:sz w:val="20"/>
              </w:rPr>
              <w:t>2019, 2023</w:t>
            </w:r>
          </w:p>
        </w:tc>
        <w:tc>
          <w:tcPr>
            <w:tcW w:w="1799" w:type="dxa"/>
          </w:tcPr>
          <w:p w14:paraId="6DF1D275" w14:textId="1007819D" w:rsidR="00400F2C" w:rsidRPr="00C002ED" w:rsidRDefault="00400F2C" w:rsidP="00400F2C">
            <w:pPr>
              <w:spacing w:before="0" w:after="0" w:line="240" w:lineRule="auto"/>
              <w:rPr>
                <w:sz w:val="20"/>
              </w:rPr>
            </w:pPr>
            <w:r w:rsidRPr="00C002ED">
              <w:rPr>
                <w:sz w:val="20"/>
              </w:rPr>
              <w:t>1.5146</w:t>
            </w:r>
          </w:p>
        </w:tc>
        <w:tc>
          <w:tcPr>
            <w:tcW w:w="1510" w:type="dxa"/>
          </w:tcPr>
          <w:p w14:paraId="7123BABA" w14:textId="0B04265A" w:rsidR="00400F2C" w:rsidRPr="00C002ED" w:rsidRDefault="00400F2C" w:rsidP="00400F2C">
            <w:pPr>
              <w:spacing w:before="0" w:after="0" w:line="240" w:lineRule="auto"/>
              <w:rPr>
                <w:sz w:val="20"/>
              </w:rPr>
            </w:pPr>
            <w:r w:rsidRPr="00C002ED">
              <w:rPr>
                <w:sz w:val="20"/>
              </w:rPr>
              <w:t>0.1641</w:t>
            </w:r>
          </w:p>
        </w:tc>
      </w:tr>
      <w:tr w:rsidR="00400F2C" w:rsidRPr="00C002ED" w14:paraId="08F16808" w14:textId="77777777" w:rsidTr="00E45BE6">
        <w:trPr>
          <w:trHeight w:val="312"/>
          <w:jc w:val="center"/>
        </w:trPr>
        <w:tc>
          <w:tcPr>
            <w:tcW w:w="2252" w:type="dxa"/>
          </w:tcPr>
          <w:p w14:paraId="2E7DAEFE" w14:textId="393FF4A8" w:rsidR="00400F2C" w:rsidRPr="00C002ED" w:rsidRDefault="00400F2C" w:rsidP="00400F2C">
            <w:pPr>
              <w:spacing w:before="0" w:after="0" w:line="240" w:lineRule="auto"/>
              <w:rPr>
                <w:sz w:val="20"/>
              </w:rPr>
            </w:pPr>
            <w:r w:rsidRPr="00C002ED">
              <w:rPr>
                <w:sz w:val="20"/>
              </w:rPr>
              <w:t>2019, 2024</w:t>
            </w:r>
          </w:p>
        </w:tc>
        <w:tc>
          <w:tcPr>
            <w:tcW w:w="1799" w:type="dxa"/>
          </w:tcPr>
          <w:p w14:paraId="26AF1433" w14:textId="6599A014" w:rsidR="00400F2C" w:rsidRPr="00C002ED" w:rsidRDefault="00400F2C" w:rsidP="00400F2C">
            <w:pPr>
              <w:spacing w:before="0" w:after="0" w:line="240" w:lineRule="auto"/>
              <w:rPr>
                <w:sz w:val="20"/>
              </w:rPr>
            </w:pPr>
            <w:r w:rsidRPr="00C002ED">
              <w:rPr>
                <w:sz w:val="20"/>
              </w:rPr>
              <w:t>Negative</w:t>
            </w:r>
          </w:p>
        </w:tc>
        <w:tc>
          <w:tcPr>
            <w:tcW w:w="1510" w:type="dxa"/>
          </w:tcPr>
          <w:p w14:paraId="25A6BEC6" w14:textId="519F114E" w:rsidR="00400F2C" w:rsidRPr="00C002ED" w:rsidRDefault="00400F2C" w:rsidP="00400F2C">
            <w:pPr>
              <w:spacing w:before="0" w:after="0" w:line="240" w:lineRule="auto"/>
              <w:rPr>
                <w:sz w:val="20"/>
              </w:rPr>
            </w:pPr>
            <w:r w:rsidRPr="00C002ED">
              <w:rPr>
                <w:sz w:val="20"/>
              </w:rPr>
              <w:t>N/A</w:t>
            </w:r>
          </w:p>
        </w:tc>
      </w:tr>
      <w:tr w:rsidR="00400F2C" w:rsidRPr="00C002ED" w14:paraId="3909A64A" w14:textId="77777777" w:rsidTr="00F869A0">
        <w:trPr>
          <w:trHeight w:val="312"/>
          <w:jc w:val="center"/>
        </w:trPr>
        <w:tc>
          <w:tcPr>
            <w:tcW w:w="2252" w:type="dxa"/>
          </w:tcPr>
          <w:p w14:paraId="21C23D17" w14:textId="5E67C8B5" w:rsidR="00400F2C" w:rsidRPr="00C002ED" w:rsidRDefault="00400F2C" w:rsidP="00400F2C">
            <w:pPr>
              <w:spacing w:before="0" w:after="0" w:line="240" w:lineRule="auto"/>
              <w:rPr>
                <w:sz w:val="20"/>
              </w:rPr>
            </w:pPr>
            <w:r w:rsidRPr="00C002ED">
              <w:rPr>
                <w:sz w:val="20"/>
              </w:rPr>
              <w:t>2020, 2021</w:t>
            </w:r>
          </w:p>
        </w:tc>
        <w:tc>
          <w:tcPr>
            <w:tcW w:w="1799" w:type="dxa"/>
          </w:tcPr>
          <w:p w14:paraId="33AE5640" w14:textId="4E8BACC2" w:rsidR="00400F2C" w:rsidRPr="00C002ED" w:rsidRDefault="00400F2C" w:rsidP="00400F2C">
            <w:pPr>
              <w:spacing w:before="0" w:after="0" w:line="240" w:lineRule="auto"/>
              <w:rPr>
                <w:sz w:val="20"/>
              </w:rPr>
            </w:pPr>
            <w:r w:rsidRPr="00C002ED">
              <w:rPr>
                <w:sz w:val="20"/>
              </w:rPr>
              <w:t>1.8059</w:t>
            </w:r>
          </w:p>
        </w:tc>
        <w:tc>
          <w:tcPr>
            <w:tcW w:w="1510" w:type="dxa"/>
          </w:tcPr>
          <w:p w14:paraId="422FA63F" w14:textId="5F6F629F" w:rsidR="00400F2C" w:rsidRPr="00C002ED" w:rsidRDefault="00400F2C" w:rsidP="00400F2C">
            <w:pPr>
              <w:spacing w:before="0" w:after="0" w:line="240" w:lineRule="auto"/>
              <w:rPr>
                <w:sz w:val="20"/>
              </w:rPr>
            </w:pPr>
            <w:r w:rsidRPr="00C002ED">
              <w:rPr>
                <w:sz w:val="20"/>
              </w:rPr>
              <w:t>0.0936</w:t>
            </w:r>
          </w:p>
        </w:tc>
      </w:tr>
      <w:tr w:rsidR="00400F2C" w:rsidRPr="00C002ED" w14:paraId="7EF3F431" w14:textId="77777777" w:rsidTr="00E45BE6">
        <w:trPr>
          <w:trHeight w:val="312"/>
          <w:jc w:val="center"/>
        </w:trPr>
        <w:tc>
          <w:tcPr>
            <w:tcW w:w="2252" w:type="dxa"/>
          </w:tcPr>
          <w:p w14:paraId="1A770A8E" w14:textId="2374DB72" w:rsidR="00400F2C" w:rsidRPr="00C002ED" w:rsidRDefault="00400F2C" w:rsidP="00400F2C">
            <w:pPr>
              <w:spacing w:before="0" w:after="0" w:line="240" w:lineRule="auto"/>
              <w:rPr>
                <w:sz w:val="20"/>
              </w:rPr>
            </w:pPr>
            <w:r w:rsidRPr="00C002ED">
              <w:rPr>
                <w:sz w:val="20"/>
              </w:rPr>
              <w:t>2020, 2022</w:t>
            </w:r>
          </w:p>
        </w:tc>
        <w:tc>
          <w:tcPr>
            <w:tcW w:w="1799" w:type="dxa"/>
          </w:tcPr>
          <w:p w14:paraId="63DCAF0B" w14:textId="3F59186B" w:rsidR="00400F2C" w:rsidRPr="00C002ED" w:rsidRDefault="00400F2C" w:rsidP="00400F2C">
            <w:pPr>
              <w:spacing w:before="0" w:after="0" w:line="240" w:lineRule="auto"/>
              <w:rPr>
                <w:sz w:val="20"/>
              </w:rPr>
            </w:pPr>
            <w:r w:rsidRPr="00C002ED">
              <w:rPr>
                <w:sz w:val="20"/>
              </w:rPr>
              <w:t>2.3355</w:t>
            </w:r>
          </w:p>
        </w:tc>
        <w:tc>
          <w:tcPr>
            <w:tcW w:w="1510" w:type="dxa"/>
          </w:tcPr>
          <w:p w14:paraId="24342173" w14:textId="28C73656" w:rsidR="00400F2C" w:rsidRPr="00C002ED" w:rsidRDefault="00400F2C" w:rsidP="00400F2C">
            <w:pPr>
              <w:spacing w:before="0" w:after="0" w:line="240" w:lineRule="auto"/>
              <w:rPr>
                <w:sz w:val="20"/>
              </w:rPr>
            </w:pPr>
            <w:r w:rsidRPr="00C002ED">
              <w:rPr>
                <w:sz w:val="20"/>
              </w:rPr>
              <w:t>0.0210</w:t>
            </w:r>
          </w:p>
        </w:tc>
      </w:tr>
      <w:tr w:rsidR="00400F2C" w:rsidRPr="00C002ED" w14:paraId="75F4D7F0" w14:textId="77777777" w:rsidTr="00E45BE6">
        <w:trPr>
          <w:trHeight w:val="312"/>
          <w:jc w:val="center"/>
        </w:trPr>
        <w:tc>
          <w:tcPr>
            <w:tcW w:w="2252" w:type="dxa"/>
          </w:tcPr>
          <w:p w14:paraId="0D25A0C5" w14:textId="203DBED0" w:rsidR="00400F2C" w:rsidRPr="00C002ED" w:rsidRDefault="00400F2C" w:rsidP="00400F2C">
            <w:pPr>
              <w:spacing w:before="0" w:after="0" w:line="240" w:lineRule="auto"/>
              <w:rPr>
                <w:sz w:val="20"/>
              </w:rPr>
            </w:pPr>
            <w:r w:rsidRPr="00C002ED">
              <w:rPr>
                <w:sz w:val="20"/>
              </w:rPr>
              <w:lastRenderedPageBreak/>
              <w:t>2020, 2023</w:t>
            </w:r>
          </w:p>
        </w:tc>
        <w:tc>
          <w:tcPr>
            <w:tcW w:w="1799" w:type="dxa"/>
          </w:tcPr>
          <w:p w14:paraId="77955092" w14:textId="23580D7D" w:rsidR="00400F2C" w:rsidRPr="00C002ED" w:rsidRDefault="00400F2C" w:rsidP="00400F2C">
            <w:pPr>
              <w:spacing w:before="0" w:after="0" w:line="240" w:lineRule="auto"/>
              <w:rPr>
                <w:sz w:val="20"/>
              </w:rPr>
            </w:pPr>
            <w:r w:rsidRPr="00C002ED">
              <w:rPr>
                <w:sz w:val="20"/>
              </w:rPr>
              <w:t>1.2108</w:t>
            </w:r>
          </w:p>
        </w:tc>
        <w:tc>
          <w:tcPr>
            <w:tcW w:w="1510" w:type="dxa"/>
          </w:tcPr>
          <w:p w14:paraId="3640FB48" w14:textId="17C25D72" w:rsidR="00400F2C" w:rsidRPr="00C002ED" w:rsidRDefault="00400F2C" w:rsidP="00400F2C">
            <w:pPr>
              <w:spacing w:before="0" w:after="0" w:line="240" w:lineRule="auto"/>
              <w:rPr>
                <w:sz w:val="20"/>
              </w:rPr>
            </w:pPr>
            <w:r w:rsidRPr="00C002ED">
              <w:rPr>
                <w:sz w:val="20"/>
              </w:rPr>
              <w:t>0.2666</w:t>
            </w:r>
          </w:p>
        </w:tc>
      </w:tr>
      <w:tr w:rsidR="00400F2C" w:rsidRPr="00C002ED" w14:paraId="3328118A" w14:textId="77777777" w:rsidTr="00E45BE6">
        <w:trPr>
          <w:trHeight w:val="312"/>
          <w:jc w:val="center"/>
        </w:trPr>
        <w:tc>
          <w:tcPr>
            <w:tcW w:w="2252" w:type="dxa"/>
          </w:tcPr>
          <w:p w14:paraId="3B0263FE" w14:textId="555EBA74" w:rsidR="00400F2C" w:rsidRPr="00C002ED" w:rsidRDefault="00400F2C" w:rsidP="00400F2C">
            <w:pPr>
              <w:spacing w:before="0" w:after="0" w:line="240" w:lineRule="auto"/>
              <w:rPr>
                <w:sz w:val="20"/>
              </w:rPr>
            </w:pPr>
            <w:r w:rsidRPr="00C002ED">
              <w:rPr>
                <w:sz w:val="20"/>
              </w:rPr>
              <w:t>2020, 2024</w:t>
            </w:r>
          </w:p>
        </w:tc>
        <w:tc>
          <w:tcPr>
            <w:tcW w:w="1799" w:type="dxa"/>
          </w:tcPr>
          <w:p w14:paraId="65C2EAC7" w14:textId="6BE8D2FF" w:rsidR="00400F2C" w:rsidRPr="00C002ED" w:rsidRDefault="00400F2C" w:rsidP="00400F2C">
            <w:pPr>
              <w:spacing w:before="0" w:after="0" w:line="240" w:lineRule="auto"/>
              <w:rPr>
                <w:sz w:val="20"/>
              </w:rPr>
            </w:pPr>
            <w:r w:rsidRPr="00C002ED">
              <w:rPr>
                <w:sz w:val="20"/>
              </w:rPr>
              <w:t>0.1701</w:t>
            </w:r>
          </w:p>
        </w:tc>
        <w:tc>
          <w:tcPr>
            <w:tcW w:w="1510" w:type="dxa"/>
          </w:tcPr>
          <w:p w14:paraId="01B5B687" w14:textId="5D97B868" w:rsidR="00400F2C" w:rsidRPr="00C002ED" w:rsidRDefault="00400F2C" w:rsidP="00400F2C">
            <w:pPr>
              <w:spacing w:before="0" w:after="0" w:line="240" w:lineRule="auto"/>
              <w:rPr>
                <w:sz w:val="20"/>
              </w:rPr>
            </w:pPr>
            <w:r w:rsidRPr="00C002ED">
              <w:rPr>
                <w:sz w:val="20"/>
              </w:rPr>
              <w:t>0.9113</w:t>
            </w:r>
          </w:p>
        </w:tc>
      </w:tr>
      <w:tr w:rsidR="00400F2C" w:rsidRPr="00C002ED" w14:paraId="2109BE40" w14:textId="77777777" w:rsidTr="00E45BE6">
        <w:trPr>
          <w:trHeight w:val="312"/>
          <w:jc w:val="center"/>
        </w:trPr>
        <w:tc>
          <w:tcPr>
            <w:tcW w:w="2252" w:type="dxa"/>
          </w:tcPr>
          <w:p w14:paraId="00BB2014" w14:textId="411F1961" w:rsidR="00400F2C" w:rsidRPr="00C002ED" w:rsidRDefault="00400F2C" w:rsidP="00400F2C">
            <w:pPr>
              <w:spacing w:before="0" w:after="0" w:line="240" w:lineRule="auto"/>
              <w:rPr>
                <w:sz w:val="20"/>
              </w:rPr>
            </w:pPr>
            <w:r w:rsidRPr="00C002ED">
              <w:rPr>
                <w:sz w:val="20"/>
              </w:rPr>
              <w:t>2021, 2022</w:t>
            </w:r>
          </w:p>
        </w:tc>
        <w:tc>
          <w:tcPr>
            <w:tcW w:w="1799" w:type="dxa"/>
          </w:tcPr>
          <w:p w14:paraId="25CA5D3C" w14:textId="78C158B1" w:rsidR="00400F2C" w:rsidRPr="00C002ED" w:rsidRDefault="00400F2C" w:rsidP="00400F2C">
            <w:pPr>
              <w:spacing w:before="0" w:after="0" w:line="240" w:lineRule="auto"/>
              <w:rPr>
                <w:sz w:val="20"/>
              </w:rPr>
            </w:pPr>
            <w:r w:rsidRPr="00C002ED">
              <w:rPr>
                <w:sz w:val="20"/>
              </w:rPr>
              <w:t>1.4708</w:t>
            </w:r>
          </w:p>
        </w:tc>
        <w:tc>
          <w:tcPr>
            <w:tcW w:w="1510" w:type="dxa"/>
          </w:tcPr>
          <w:p w14:paraId="5F678297" w14:textId="0A5CE11A" w:rsidR="00400F2C" w:rsidRPr="00C002ED" w:rsidRDefault="00400F2C" w:rsidP="00400F2C">
            <w:pPr>
              <w:spacing w:before="0" w:after="0" w:line="240" w:lineRule="auto"/>
              <w:rPr>
                <w:sz w:val="20"/>
              </w:rPr>
            </w:pPr>
            <w:r w:rsidRPr="00C002ED">
              <w:rPr>
                <w:sz w:val="20"/>
              </w:rPr>
              <w:t>0.1713</w:t>
            </w:r>
          </w:p>
        </w:tc>
      </w:tr>
      <w:tr w:rsidR="00400F2C" w:rsidRPr="00C002ED" w14:paraId="0CC6EA75" w14:textId="77777777" w:rsidTr="00E45BE6">
        <w:trPr>
          <w:trHeight w:val="312"/>
          <w:jc w:val="center"/>
        </w:trPr>
        <w:tc>
          <w:tcPr>
            <w:tcW w:w="2252" w:type="dxa"/>
          </w:tcPr>
          <w:p w14:paraId="00B68BD5" w14:textId="54717CA4" w:rsidR="00400F2C" w:rsidRPr="00C002ED" w:rsidRDefault="00400F2C" w:rsidP="00400F2C">
            <w:pPr>
              <w:spacing w:before="0" w:after="0" w:line="240" w:lineRule="auto"/>
              <w:rPr>
                <w:sz w:val="20"/>
              </w:rPr>
            </w:pPr>
            <w:r w:rsidRPr="00C002ED">
              <w:rPr>
                <w:sz w:val="20"/>
              </w:rPr>
              <w:t>2021, 2023</w:t>
            </w:r>
          </w:p>
        </w:tc>
        <w:tc>
          <w:tcPr>
            <w:tcW w:w="1799" w:type="dxa"/>
          </w:tcPr>
          <w:p w14:paraId="761F2352" w14:textId="7B35ABE0" w:rsidR="00400F2C" w:rsidRPr="00C002ED" w:rsidRDefault="00400F2C" w:rsidP="00400F2C">
            <w:pPr>
              <w:spacing w:before="0" w:after="0" w:line="240" w:lineRule="auto"/>
              <w:rPr>
                <w:sz w:val="20"/>
              </w:rPr>
            </w:pPr>
            <w:r w:rsidRPr="00C002ED">
              <w:rPr>
                <w:sz w:val="20"/>
              </w:rPr>
              <w:t>2.5481</w:t>
            </w:r>
          </w:p>
        </w:tc>
        <w:tc>
          <w:tcPr>
            <w:tcW w:w="1510" w:type="dxa"/>
          </w:tcPr>
          <w:p w14:paraId="239B02CB" w14:textId="5746404E" w:rsidR="00400F2C" w:rsidRPr="00C002ED" w:rsidRDefault="00400F2C" w:rsidP="00400F2C">
            <w:pPr>
              <w:spacing w:before="0" w:after="0" w:line="240" w:lineRule="auto"/>
              <w:rPr>
                <w:sz w:val="20"/>
              </w:rPr>
            </w:pPr>
            <w:r w:rsidRPr="00C002ED">
              <w:rPr>
                <w:sz w:val="20"/>
              </w:rPr>
              <w:t>0.0235</w:t>
            </w:r>
          </w:p>
        </w:tc>
      </w:tr>
      <w:tr w:rsidR="00400F2C" w:rsidRPr="00C002ED" w14:paraId="4E7E6F8E" w14:textId="77777777" w:rsidTr="00E45BE6">
        <w:trPr>
          <w:trHeight w:val="312"/>
          <w:jc w:val="center"/>
        </w:trPr>
        <w:tc>
          <w:tcPr>
            <w:tcW w:w="2252" w:type="dxa"/>
          </w:tcPr>
          <w:p w14:paraId="5EFD62CF" w14:textId="49CC3827" w:rsidR="00400F2C" w:rsidRPr="00C002ED" w:rsidRDefault="00400F2C" w:rsidP="00400F2C">
            <w:pPr>
              <w:spacing w:before="0" w:after="0" w:line="240" w:lineRule="auto"/>
              <w:rPr>
                <w:sz w:val="20"/>
              </w:rPr>
            </w:pPr>
            <w:r w:rsidRPr="00C002ED">
              <w:rPr>
                <w:sz w:val="20"/>
              </w:rPr>
              <w:t>2021, 2024</w:t>
            </w:r>
          </w:p>
        </w:tc>
        <w:tc>
          <w:tcPr>
            <w:tcW w:w="1799" w:type="dxa"/>
          </w:tcPr>
          <w:p w14:paraId="39C48002" w14:textId="3D4BF637" w:rsidR="00400F2C" w:rsidRPr="00C002ED" w:rsidRDefault="00400F2C" w:rsidP="00400F2C">
            <w:pPr>
              <w:spacing w:before="0" w:after="0" w:line="240" w:lineRule="auto"/>
              <w:rPr>
                <w:sz w:val="20"/>
              </w:rPr>
            </w:pPr>
            <w:r w:rsidRPr="00C002ED">
              <w:rPr>
                <w:sz w:val="20"/>
              </w:rPr>
              <w:t>1.5108</w:t>
            </w:r>
          </w:p>
        </w:tc>
        <w:tc>
          <w:tcPr>
            <w:tcW w:w="1510" w:type="dxa"/>
          </w:tcPr>
          <w:p w14:paraId="426F9A47" w14:textId="51E3B213" w:rsidR="00400F2C" w:rsidRPr="00C002ED" w:rsidRDefault="00400F2C" w:rsidP="00400F2C">
            <w:pPr>
              <w:spacing w:before="0" w:after="0" w:line="240" w:lineRule="auto"/>
              <w:rPr>
                <w:sz w:val="20"/>
              </w:rPr>
            </w:pPr>
            <w:r w:rsidRPr="00C002ED">
              <w:rPr>
                <w:sz w:val="20"/>
              </w:rPr>
              <w:t>0.1675</w:t>
            </w:r>
          </w:p>
        </w:tc>
      </w:tr>
      <w:tr w:rsidR="00400F2C" w:rsidRPr="00C002ED" w14:paraId="4A378E13" w14:textId="77777777" w:rsidTr="00E45BE6">
        <w:trPr>
          <w:trHeight w:val="312"/>
          <w:jc w:val="center"/>
        </w:trPr>
        <w:tc>
          <w:tcPr>
            <w:tcW w:w="2252" w:type="dxa"/>
          </w:tcPr>
          <w:p w14:paraId="56E6452A" w14:textId="76E879B9" w:rsidR="00400F2C" w:rsidRPr="00C002ED" w:rsidRDefault="00400F2C" w:rsidP="00400F2C">
            <w:pPr>
              <w:spacing w:before="0" w:after="0" w:line="240" w:lineRule="auto"/>
              <w:rPr>
                <w:sz w:val="20"/>
              </w:rPr>
            </w:pPr>
            <w:r w:rsidRPr="00C002ED">
              <w:rPr>
                <w:sz w:val="20"/>
              </w:rPr>
              <w:t>2022, 2023</w:t>
            </w:r>
          </w:p>
        </w:tc>
        <w:tc>
          <w:tcPr>
            <w:tcW w:w="1799" w:type="dxa"/>
          </w:tcPr>
          <w:p w14:paraId="5AF844C8" w14:textId="77E15D8C" w:rsidR="00400F2C" w:rsidRPr="00C002ED" w:rsidRDefault="00400F2C" w:rsidP="00400F2C">
            <w:pPr>
              <w:spacing w:before="0" w:after="0" w:line="240" w:lineRule="auto"/>
              <w:rPr>
                <w:sz w:val="20"/>
              </w:rPr>
            </w:pPr>
            <w:r w:rsidRPr="00C002ED">
              <w:rPr>
                <w:sz w:val="20"/>
              </w:rPr>
              <w:t>2.7940</w:t>
            </w:r>
          </w:p>
        </w:tc>
        <w:tc>
          <w:tcPr>
            <w:tcW w:w="1510" w:type="dxa"/>
          </w:tcPr>
          <w:p w14:paraId="01739569" w14:textId="646FE090" w:rsidR="00400F2C" w:rsidRPr="00C002ED" w:rsidRDefault="00400F2C" w:rsidP="00400F2C">
            <w:pPr>
              <w:spacing w:before="0" w:after="0" w:line="240" w:lineRule="auto"/>
              <w:rPr>
                <w:sz w:val="20"/>
              </w:rPr>
            </w:pPr>
            <w:r w:rsidRPr="00C002ED">
              <w:rPr>
                <w:sz w:val="20"/>
              </w:rPr>
              <w:t>0.0083</w:t>
            </w:r>
          </w:p>
        </w:tc>
      </w:tr>
      <w:tr w:rsidR="00400F2C" w:rsidRPr="00C002ED" w14:paraId="490A10B2" w14:textId="77777777" w:rsidTr="00E45BE6">
        <w:trPr>
          <w:trHeight w:val="312"/>
          <w:jc w:val="center"/>
        </w:trPr>
        <w:tc>
          <w:tcPr>
            <w:tcW w:w="2252" w:type="dxa"/>
          </w:tcPr>
          <w:p w14:paraId="25912A16" w14:textId="663B9967" w:rsidR="00400F2C" w:rsidRPr="00C002ED" w:rsidRDefault="00400F2C" w:rsidP="00400F2C">
            <w:pPr>
              <w:spacing w:before="0" w:after="0" w:line="240" w:lineRule="auto"/>
              <w:rPr>
                <w:sz w:val="20"/>
              </w:rPr>
            </w:pPr>
            <w:r w:rsidRPr="00C002ED">
              <w:rPr>
                <w:sz w:val="20"/>
              </w:rPr>
              <w:t>2022, 2024</w:t>
            </w:r>
          </w:p>
        </w:tc>
        <w:tc>
          <w:tcPr>
            <w:tcW w:w="1799" w:type="dxa"/>
          </w:tcPr>
          <w:p w14:paraId="4D085181" w14:textId="29FC7EDD" w:rsidR="00400F2C" w:rsidRPr="00C002ED" w:rsidRDefault="00400F2C" w:rsidP="00400F2C">
            <w:pPr>
              <w:spacing w:before="0" w:after="0" w:line="240" w:lineRule="auto"/>
              <w:rPr>
                <w:sz w:val="20"/>
              </w:rPr>
            </w:pPr>
            <w:r w:rsidRPr="00C002ED">
              <w:rPr>
                <w:sz w:val="20"/>
              </w:rPr>
              <w:t>2.2208</w:t>
            </w:r>
          </w:p>
        </w:tc>
        <w:tc>
          <w:tcPr>
            <w:tcW w:w="1510" w:type="dxa"/>
          </w:tcPr>
          <w:p w14:paraId="532B8E97" w14:textId="2D869E12" w:rsidR="00400F2C" w:rsidRPr="00C002ED" w:rsidRDefault="00400F2C" w:rsidP="00400F2C">
            <w:pPr>
              <w:spacing w:before="0" w:after="0" w:line="240" w:lineRule="auto"/>
              <w:rPr>
                <w:sz w:val="20"/>
              </w:rPr>
            </w:pPr>
            <w:r w:rsidRPr="00C002ED">
              <w:rPr>
                <w:sz w:val="20"/>
              </w:rPr>
              <w:t>0.0320</w:t>
            </w:r>
          </w:p>
        </w:tc>
      </w:tr>
      <w:tr w:rsidR="00400F2C" w:rsidRPr="00C002ED" w14:paraId="03E5FCF8" w14:textId="77777777" w:rsidTr="00E45BE6">
        <w:trPr>
          <w:trHeight w:val="312"/>
          <w:jc w:val="center"/>
        </w:trPr>
        <w:tc>
          <w:tcPr>
            <w:tcW w:w="2252" w:type="dxa"/>
            <w:tcBorders>
              <w:bottom w:val="single" w:sz="4" w:space="0" w:color="auto"/>
            </w:tcBorders>
          </w:tcPr>
          <w:p w14:paraId="5BC04C56" w14:textId="4006807C" w:rsidR="00400F2C" w:rsidRPr="00C002ED" w:rsidRDefault="00400F2C" w:rsidP="00400F2C">
            <w:pPr>
              <w:spacing w:before="0" w:after="0" w:line="240" w:lineRule="auto"/>
              <w:rPr>
                <w:sz w:val="20"/>
              </w:rPr>
            </w:pPr>
            <w:r w:rsidRPr="00C002ED">
              <w:rPr>
                <w:sz w:val="20"/>
              </w:rPr>
              <w:t>2023, 2024</w:t>
            </w:r>
          </w:p>
        </w:tc>
        <w:tc>
          <w:tcPr>
            <w:tcW w:w="1799" w:type="dxa"/>
            <w:tcBorders>
              <w:bottom w:val="single" w:sz="4" w:space="0" w:color="auto"/>
            </w:tcBorders>
          </w:tcPr>
          <w:p w14:paraId="7B3D6DE8" w14:textId="3D6C1841" w:rsidR="00400F2C" w:rsidRPr="00C002ED" w:rsidRDefault="00400F2C" w:rsidP="00400F2C">
            <w:pPr>
              <w:spacing w:before="0" w:after="0" w:line="240" w:lineRule="auto"/>
              <w:rPr>
                <w:sz w:val="20"/>
              </w:rPr>
            </w:pPr>
            <w:r w:rsidRPr="00C002ED">
              <w:rPr>
                <w:sz w:val="20"/>
              </w:rPr>
              <w:t>1.2612</w:t>
            </w:r>
          </w:p>
        </w:tc>
        <w:tc>
          <w:tcPr>
            <w:tcW w:w="1510" w:type="dxa"/>
            <w:tcBorders>
              <w:bottom w:val="single" w:sz="4" w:space="0" w:color="auto"/>
            </w:tcBorders>
          </w:tcPr>
          <w:p w14:paraId="7EAE6858" w14:textId="3A3A5EFF" w:rsidR="00400F2C" w:rsidRPr="00C002ED" w:rsidRDefault="00400F2C" w:rsidP="00400F2C">
            <w:pPr>
              <w:spacing w:before="0" w:after="0" w:line="240" w:lineRule="auto"/>
              <w:rPr>
                <w:sz w:val="20"/>
              </w:rPr>
            </w:pPr>
            <w:r w:rsidRPr="00C002ED">
              <w:rPr>
                <w:sz w:val="20"/>
              </w:rPr>
              <w:t>0.2416</w:t>
            </w:r>
          </w:p>
        </w:tc>
      </w:tr>
    </w:tbl>
    <w:p w14:paraId="5F412351" w14:textId="77777777" w:rsidR="00E45BE6" w:rsidRDefault="00E45BE6" w:rsidP="00E45BE6">
      <w:pPr>
        <w:pStyle w:val="Caption"/>
      </w:pPr>
      <w:bookmarkStart w:id="613" w:name="_Ref61342506"/>
    </w:p>
    <w:p w14:paraId="2FFDA29D" w14:textId="19232BCF" w:rsidR="00E45BE6" w:rsidRDefault="00E45BE6" w:rsidP="00E45BE6">
      <w:pPr>
        <w:pStyle w:val="Caption"/>
      </w:pPr>
      <w:r>
        <w:t>Table C</w:t>
      </w:r>
      <w:r w:rsidR="008865D1">
        <w:t>1</w:t>
      </w:r>
      <w:r w:rsidR="00FB33C3">
        <w:t>9</w:t>
      </w:r>
      <w:r>
        <w:t xml:space="preserve">. Cohorts of </w:t>
      </w:r>
      <w:r w:rsidRPr="00676094">
        <w:t xml:space="preserve">golden perch and silver perch (excluding larvae) </w:t>
      </w:r>
      <w:r>
        <w:t xml:space="preserve">collected from the Lower Murray River from 2015–2024 that were </w:t>
      </w:r>
      <w:r w:rsidRPr="00676094">
        <w:t>analysed for natal origin and migration history</w:t>
      </w:r>
      <w:r>
        <w:t>.</w:t>
      </w:r>
    </w:p>
    <w:tbl>
      <w:tblPr>
        <w:tblW w:w="0" w:type="auto"/>
        <w:jc w:val="center"/>
        <w:tblLook w:val="04A0" w:firstRow="1" w:lastRow="0" w:firstColumn="1" w:lastColumn="0" w:noHBand="0" w:noVBand="1"/>
        <w:tblDescription w:val="Table showing cohorts of golden perch and silver perch collected from the Lower Murray River from 2015–2024 that were analysed for natal origin and migration history."/>
      </w:tblPr>
      <w:tblGrid>
        <w:gridCol w:w="1361"/>
        <w:gridCol w:w="1584"/>
        <w:gridCol w:w="1330"/>
      </w:tblGrid>
      <w:tr w:rsidR="00E45BE6" w:rsidRPr="00C002ED" w14:paraId="51366538" w14:textId="77777777" w:rsidTr="008B4826">
        <w:trPr>
          <w:trHeight w:val="300"/>
          <w:jc w:val="center"/>
        </w:trPr>
        <w:tc>
          <w:tcPr>
            <w:tcW w:w="0" w:type="auto"/>
            <w:tcBorders>
              <w:top w:val="single" w:sz="4" w:space="0" w:color="auto"/>
            </w:tcBorders>
            <w:noWrap/>
            <w:vAlign w:val="bottom"/>
            <w:hideMark/>
          </w:tcPr>
          <w:p w14:paraId="30543C13" w14:textId="77777777" w:rsidR="00E45BE6" w:rsidRPr="00C002ED" w:rsidRDefault="00E45BE6" w:rsidP="0011703F">
            <w:pPr>
              <w:spacing w:before="0" w:after="0" w:line="240" w:lineRule="auto"/>
              <w:jc w:val="left"/>
              <w:rPr>
                <w:rFonts w:cs="Calibri"/>
                <w:kern w:val="0"/>
                <w:sz w:val="20"/>
                <w:lang w:eastAsia="en-AU"/>
              </w:rPr>
            </w:pPr>
            <w:r w:rsidRPr="00C002ED">
              <w:rPr>
                <w:rFonts w:cs="Calibri"/>
                <w:kern w:val="0"/>
                <w:sz w:val="20"/>
                <w:lang w:eastAsia="en-AU"/>
              </w:rPr>
              <w:t> </w:t>
            </w:r>
          </w:p>
        </w:tc>
        <w:tc>
          <w:tcPr>
            <w:tcW w:w="0" w:type="auto"/>
            <w:tcBorders>
              <w:top w:val="single" w:sz="4" w:space="0" w:color="auto"/>
            </w:tcBorders>
            <w:noWrap/>
            <w:vAlign w:val="bottom"/>
            <w:hideMark/>
          </w:tcPr>
          <w:p w14:paraId="2A9172FB" w14:textId="77777777" w:rsidR="00E45BE6" w:rsidRPr="00C002ED" w:rsidRDefault="00E45BE6" w:rsidP="0011703F">
            <w:pPr>
              <w:spacing w:before="0" w:after="0" w:line="240" w:lineRule="auto"/>
              <w:jc w:val="left"/>
              <w:rPr>
                <w:rFonts w:cs="Calibri"/>
                <w:b/>
                <w:bCs/>
                <w:kern w:val="0"/>
                <w:sz w:val="20"/>
                <w:lang w:eastAsia="en-AU"/>
              </w:rPr>
            </w:pPr>
            <w:r w:rsidRPr="00C002ED">
              <w:rPr>
                <w:rFonts w:cs="Calibri"/>
                <w:b/>
                <w:bCs/>
                <w:kern w:val="0"/>
                <w:sz w:val="20"/>
                <w:lang w:eastAsia="en-AU"/>
              </w:rPr>
              <w:t>Species</w:t>
            </w:r>
          </w:p>
        </w:tc>
        <w:tc>
          <w:tcPr>
            <w:tcW w:w="0" w:type="auto"/>
            <w:tcBorders>
              <w:top w:val="single" w:sz="4" w:space="0" w:color="auto"/>
            </w:tcBorders>
            <w:noWrap/>
            <w:vAlign w:val="bottom"/>
            <w:hideMark/>
          </w:tcPr>
          <w:p w14:paraId="28F4C500" w14:textId="77777777" w:rsidR="00E45BE6" w:rsidRPr="00C002ED" w:rsidRDefault="00E45BE6" w:rsidP="0011703F">
            <w:pPr>
              <w:spacing w:before="0" w:after="0" w:line="240" w:lineRule="auto"/>
              <w:jc w:val="left"/>
              <w:rPr>
                <w:rFonts w:cs="Calibri"/>
                <w:kern w:val="0"/>
                <w:sz w:val="20"/>
                <w:lang w:eastAsia="en-AU"/>
              </w:rPr>
            </w:pPr>
            <w:r w:rsidRPr="00C002ED">
              <w:rPr>
                <w:rFonts w:cs="Calibri"/>
                <w:kern w:val="0"/>
                <w:sz w:val="20"/>
                <w:lang w:eastAsia="en-AU"/>
              </w:rPr>
              <w:t> </w:t>
            </w:r>
          </w:p>
        </w:tc>
      </w:tr>
      <w:tr w:rsidR="00E45BE6" w:rsidRPr="00C002ED" w14:paraId="4FFEF08D" w14:textId="77777777" w:rsidTr="008B4826">
        <w:trPr>
          <w:trHeight w:val="300"/>
          <w:jc w:val="center"/>
        </w:trPr>
        <w:tc>
          <w:tcPr>
            <w:tcW w:w="0" w:type="auto"/>
            <w:tcBorders>
              <w:bottom w:val="single" w:sz="4" w:space="0" w:color="auto"/>
            </w:tcBorders>
            <w:noWrap/>
            <w:vAlign w:val="bottom"/>
            <w:hideMark/>
          </w:tcPr>
          <w:p w14:paraId="2ED5F57A" w14:textId="77777777" w:rsidR="00E45BE6" w:rsidRPr="00C002ED" w:rsidRDefault="00E45BE6" w:rsidP="0011703F">
            <w:pPr>
              <w:spacing w:before="0" w:after="0" w:line="240" w:lineRule="auto"/>
              <w:jc w:val="left"/>
              <w:rPr>
                <w:rFonts w:cs="Calibri"/>
                <w:b/>
                <w:bCs/>
                <w:kern w:val="0"/>
                <w:sz w:val="20"/>
                <w:lang w:eastAsia="en-AU"/>
              </w:rPr>
            </w:pPr>
            <w:r w:rsidRPr="00C002ED">
              <w:rPr>
                <w:rFonts w:cs="Calibri"/>
                <w:b/>
                <w:bCs/>
                <w:kern w:val="0"/>
                <w:sz w:val="20"/>
                <w:lang w:eastAsia="en-AU"/>
              </w:rPr>
              <w:t>Spawn year</w:t>
            </w:r>
          </w:p>
        </w:tc>
        <w:tc>
          <w:tcPr>
            <w:tcW w:w="0" w:type="auto"/>
            <w:tcBorders>
              <w:bottom w:val="single" w:sz="4" w:space="0" w:color="auto"/>
            </w:tcBorders>
            <w:noWrap/>
            <w:vAlign w:val="bottom"/>
            <w:hideMark/>
          </w:tcPr>
          <w:p w14:paraId="613724E2" w14:textId="77777777" w:rsidR="00E45BE6" w:rsidRPr="00C002ED" w:rsidRDefault="00E45BE6" w:rsidP="0011703F">
            <w:pPr>
              <w:spacing w:before="0" w:after="0" w:line="240" w:lineRule="auto"/>
              <w:jc w:val="left"/>
              <w:rPr>
                <w:rFonts w:cs="Calibri"/>
                <w:kern w:val="0"/>
                <w:sz w:val="20"/>
                <w:lang w:eastAsia="en-AU"/>
              </w:rPr>
            </w:pPr>
            <w:r w:rsidRPr="00C002ED">
              <w:rPr>
                <w:rFonts w:cs="Calibri"/>
                <w:kern w:val="0"/>
                <w:sz w:val="20"/>
                <w:lang w:eastAsia="en-AU"/>
              </w:rPr>
              <w:t>Golden perch</w:t>
            </w:r>
          </w:p>
        </w:tc>
        <w:tc>
          <w:tcPr>
            <w:tcW w:w="0" w:type="auto"/>
            <w:tcBorders>
              <w:bottom w:val="single" w:sz="4" w:space="0" w:color="auto"/>
            </w:tcBorders>
            <w:noWrap/>
            <w:vAlign w:val="bottom"/>
            <w:hideMark/>
          </w:tcPr>
          <w:p w14:paraId="1B8ECA98" w14:textId="77777777" w:rsidR="00E45BE6" w:rsidRPr="00C002ED" w:rsidRDefault="00E45BE6" w:rsidP="0011703F">
            <w:pPr>
              <w:spacing w:before="0" w:after="0" w:line="240" w:lineRule="auto"/>
              <w:jc w:val="left"/>
              <w:rPr>
                <w:rFonts w:cs="Calibri"/>
                <w:kern w:val="0"/>
                <w:sz w:val="20"/>
                <w:lang w:eastAsia="en-AU"/>
              </w:rPr>
            </w:pPr>
            <w:r w:rsidRPr="00C002ED">
              <w:rPr>
                <w:rFonts w:cs="Calibri"/>
                <w:kern w:val="0"/>
                <w:sz w:val="20"/>
                <w:lang w:eastAsia="en-AU"/>
              </w:rPr>
              <w:t>Silver perch</w:t>
            </w:r>
          </w:p>
        </w:tc>
      </w:tr>
      <w:tr w:rsidR="00C8082A" w:rsidRPr="00C002ED" w14:paraId="75F121CD" w14:textId="77777777" w:rsidTr="008B4826">
        <w:trPr>
          <w:trHeight w:val="300"/>
          <w:jc w:val="center"/>
        </w:trPr>
        <w:tc>
          <w:tcPr>
            <w:tcW w:w="0" w:type="auto"/>
            <w:tcBorders>
              <w:top w:val="single" w:sz="4" w:space="0" w:color="auto"/>
            </w:tcBorders>
            <w:noWrap/>
            <w:vAlign w:val="bottom"/>
            <w:hideMark/>
          </w:tcPr>
          <w:p w14:paraId="025F2812"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1996/97</w:t>
            </w:r>
          </w:p>
        </w:tc>
        <w:tc>
          <w:tcPr>
            <w:tcW w:w="0" w:type="auto"/>
            <w:tcBorders>
              <w:top w:val="single" w:sz="4" w:space="0" w:color="auto"/>
            </w:tcBorders>
            <w:noWrap/>
            <w:hideMark/>
          </w:tcPr>
          <w:p w14:paraId="1790DBA9" w14:textId="3B7F4AFE" w:rsidR="00C8082A" w:rsidRPr="00C002ED" w:rsidRDefault="00C8082A" w:rsidP="00C8082A">
            <w:pPr>
              <w:spacing w:before="0" w:after="0" w:line="240" w:lineRule="auto"/>
              <w:jc w:val="right"/>
              <w:rPr>
                <w:rFonts w:cs="Calibri"/>
                <w:kern w:val="0"/>
                <w:sz w:val="20"/>
                <w:lang w:eastAsia="en-AU"/>
              </w:rPr>
            </w:pPr>
            <w:r w:rsidRPr="00C002ED">
              <w:rPr>
                <w:sz w:val="20"/>
              </w:rPr>
              <w:t>15</w:t>
            </w:r>
          </w:p>
        </w:tc>
        <w:tc>
          <w:tcPr>
            <w:tcW w:w="0" w:type="auto"/>
            <w:tcBorders>
              <w:top w:val="single" w:sz="4" w:space="0" w:color="auto"/>
            </w:tcBorders>
            <w:noWrap/>
            <w:hideMark/>
          </w:tcPr>
          <w:p w14:paraId="2B47A0D0" w14:textId="6F589A4E" w:rsidR="00C8082A" w:rsidRPr="00C002ED" w:rsidRDefault="00C8082A" w:rsidP="00C8082A">
            <w:pPr>
              <w:spacing w:before="0" w:after="0" w:line="240" w:lineRule="auto"/>
              <w:jc w:val="right"/>
              <w:rPr>
                <w:rFonts w:cs="Calibri"/>
                <w:kern w:val="0"/>
                <w:sz w:val="20"/>
                <w:lang w:eastAsia="en-AU"/>
              </w:rPr>
            </w:pPr>
            <w:r w:rsidRPr="00C002ED">
              <w:rPr>
                <w:sz w:val="20"/>
              </w:rPr>
              <w:t>0</w:t>
            </w:r>
          </w:p>
        </w:tc>
      </w:tr>
      <w:tr w:rsidR="00C8082A" w:rsidRPr="00C002ED" w14:paraId="1704BADC" w14:textId="77777777" w:rsidTr="008B4826">
        <w:trPr>
          <w:trHeight w:val="300"/>
          <w:jc w:val="center"/>
        </w:trPr>
        <w:tc>
          <w:tcPr>
            <w:tcW w:w="0" w:type="auto"/>
            <w:noWrap/>
            <w:vAlign w:val="bottom"/>
            <w:hideMark/>
          </w:tcPr>
          <w:p w14:paraId="3EAAB84C"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2000/01</w:t>
            </w:r>
          </w:p>
        </w:tc>
        <w:tc>
          <w:tcPr>
            <w:tcW w:w="0" w:type="auto"/>
            <w:noWrap/>
            <w:hideMark/>
          </w:tcPr>
          <w:p w14:paraId="366D1B25" w14:textId="59095F0D" w:rsidR="00C8082A" w:rsidRPr="00C002ED" w:rsidRDefault="00C8082A" w:rsidP="00C8082A">
            <w:pPr>
              <w:spacing w:before="0" w:after="0" w:line="240" w:lineRule="auto"/>
              <w:jc w:val="right"/>
              <w:rPr>
                <w:rFonts w:cs="Calibri"/>
                <w:kern w:val="0"/>
                <w:sz w:val="20"/>
                <w:lang w:eastAsia="en-AU"/>
              </w:rPr>
            </w:pPr>
            <w:r w:rsidRPr="00C002ED">
              <w:rPr>
                <w:sz w:val="20"/>
              </w:rPr>
              <w:t>8</w:t>
            </w:r>
          </w:p>
        </w:tc>
        <w:tc>
          <w:tcPr>
            <w:tcW w:w="0" w:type="auto"/>
            <w:noWrap/>
            <w:hideMark/>
          </w:tcPr>
          <w:p w14:paraId="12B724A0" w14:textId="58F81A13" w:rsidR="00C8082A" w:rsidRPr="00C002ED" w:rsidRDefault="00C8082A" w:rsidP="00C8082A">
            <w:pPr>
              <w:spacing w:before="0" w:after="0" w:line="240" w:lineRule="auto"/>
              <w:jc w:val="right"/>
              <w:rPr>
                <w:rFonts w:cs="Calibri"/>
                <w:kern w:val="0"/>
                <w:sz w:val="20"/>
                <w:lang w:eastAsia="en-AU"/>
              </w:rPr>
            </w:pPr>
            <w:r w:rsidRPr="00C002ED">
              <w:rPr>
                <w:sz w:val="20"/>
              </w:rPr>
              <w:t>0</w:t>
            </w:r>
          </w:p>
        </w:tc>
      </w:tr>
      <w:tr w:rsidR="00C8082A" w:rsidRPr="00C002ED" w14:paraId="70CF9C36" w14:textId="77777777" w:rsidTr="008B4826">
        <w:trPr>
          <w:trHeight w:val="300"/>
          <w:jc w:val="center"/>
        </w:trPr>
        <w:tc>
          <w:tcPr>
            <w:tcW w:w="0" w:type="auto"/>
            <w:noWrap/>
            <w:vAlign w:val="bottom"/>
            <w:hideMark/>
          </w:tcPr>
          <w:p w14:paraId="2B814E42"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2005/06</w:t>
            </w:r>
          </w:p>
        </w:tc>
        <w:tc>
          <w:tcPr>
            <w:tcW w:w="0" w:type="auto"/>
            <w:noWrap/>
            <w:hideMark/>
          </w:tcPr>
          <w:p w14:paraId="1AA406A1" w14:textId="321629E0" w:rsidR="00C8082A" w:rsidRPr="00C002ED" w:rsidRDefault="00C8082A" w:rsidP="00C8082A">
            <w:pPr>
              <w:spacing w:before="0" w:after="0" w:line="240" w:lineRule="auto"/>
              <w:jc w:val="right"/>
              <w:rPr>
                <w:rFonts w:cs="Calibri"/>
                <w:kern w:val="0"/>
                <w:sz w:val="20"/>
                <w:lang w:eastAsia="en-AU"/>
              </w:rPr>
            </w:pPr>
            <w:r w:rsidRPr="00C002ED">
              <w:rPr>
                <w:sz w:val="20"/>
              </w:rPr>
              <w:t>9</w:t>
            </w:r>
          </w:p>
        </w:tc>
        <w:tc>
          <w:tcPr>
            <w:tcW w:w="0" w:type="auto"/>
            <w:noWrap/>
            <w:hideMark/>
          </w:tcPr>
          <w:p w14:paraId="219F215C" w14:textId="23BBD3F5" w:rsidR="00C8082A" w:rsidRPr="00C002ED" w:rsidRDefault="00C8082A" w:rsidP="00C8082A">
            <w:pPr>
              <w:spacing w:before="0" w:after="0" w:line="240" w:lineRule="auto"/>
              <w:jc w:val="right"/>
              <w:rPr>
                <w:rFonts w:cs="Calibri"/>
                <w:kern w:val="0"/>
                <w:sz w:val="20"/>
                <w:lang w:eastAsia="en-AU"/>
              </w:rPr>
            </w:pPr>
            <w:r w:rsidRPr="00C002ED">
              <w:rPr>
                <w:sz w:val="20"/>
              </w:rPr>
              <w:t>0</w:t>
            </w:r>
          </w:p>
        </w:tc>
      </w:tr>
      <w:tr w:rsidR="00C8082A" w:rsidRPr="00C002ED" w14:paraId="4F43AC78" w14:textId="77777777" w:rsidTr="008B4826">
        <w:trPr>
          <w:trHeight w:val="300"/>
          <w:jc w:val="center"/>
        </w:trPr>
        <w:tc>
          <w:tcPr>
            <w:tcW w:w="0" w:type="auto"/>
            <w:noWrap/>
            <w:vAlign w:val="bottom"/>
            <w:hideMark/>
          </w:tcPr>
          <w:p w14:paraId="67A8C2FE"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2009/10</w:t>
            </w:r>
          </w:p>
        </w:tc>
        <w:tc>
          <w:tcPr>
            <w:tcW w:w="0" w:type="auto"/>
            <w:noWrap/>
            <w:hideMark/>
          </w:tcPr>
          <w:p w14:paraId="504D8262" w14:textId="7CF694D6" w:rsidR="00C8082A" w:rsidRPr="00C002ED" w:rsidRDefault="00C8082A" w:rsidP="00C8082A">
            <w:pPr>
              <w:spacing w:before="0" w:after="0" w:line="240" w:lineRule="auto"/>
              <w:jc w:val="right"/>
              <w:rPr>
                <w:rFonts w:cs="Calibri"/>
                <w:kern w:val="0"/>
                <w:sz w:val="20"/>
                <w:lang w:eastAsia="en-AU"/>
              </w:rPr>
            </w:pPr>
            <w:r w:rsidRPr="00C002ED">
              <w:rPr>
                <w:sz w:val="20"/>
              </w:rPr>
              <w:t>46</w:t>
            </w:r>
          </w:p>
        </w:tc>
        <w:tc>
          <w:tcPr>
            <w:tcW w:w="0" w:type="auto"/>
            <w:noWrap/>
            <w:hideMark/>
          </w:tcPr>
          <w:p w14:paraId="488FC9F6" w14:textId="4039738F" w:rsidR="00C8082A" w:rsidRPr="00C002ED" w:rsidRDefault="00C8082A" w:rsidP="00C8082A">
            <w:pPr>
              <w:spacing w:before="0" w:after="0" w:line="240" w:lineRule="auto"/>
              <w:jc w:val="right"/>
              <w:rPr>
                <w:rFonts w:cs="Calibri"/>
                <w:kern w:val="0"/>
                <w:sz w:val="20"/>
                <w:lang w:eastAsia="en-AU"/>
              </w:rPr>
            </w:pPr>
            <w:r w:rsidRPr="00C002ED">
              <w:rPr>
                <w:sz w:val="20"/>
              </w:rPr>
              <w:t>8</w:t>
            </w:r>
          </w:p>
        </w:tc>
      </w:tr>
      <w:tr w:rsidR="00C8082A" w:rsidRPr="00C002ED" w14:paraId="408C7D59" w14:textId="77777777" w:rsidTr="008B4826">
        <w:trPr>
          <w:trHeight w:val="300"/>
          <w:jc w:val="center"/>
        </w:trPr>
        <w:tc>
          <w:tcPr>
            <w:tcW w:w="0" w:type="auto"/>
            <w:noWrap/>
            <w:vAlign w:val="bottom"/>
            <w:hideMark/>
          </w:tcPr>
          <w:p w14:paraId="723C6A15"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2010/11</w:t>
            </w:r>
          </w:p>
        </w:tc>
        <w:tc>
          <w:tcPr>
            <w:tcW w:w="0" w:type="auto"/>
            <w:noWrap/>
            <w:hideMark/>
          </w:tcPr>
          <w:p w14:paraId="12BE9673" w14:textId="2ED26816" w:rsidR="00C8082A" w:rsidRPr="00C002ED" w:rsidRDefault="00C8082A" w:rsidP="00C8082A">
            <w:pPr>
              <w:spacing w:before="0" w:after="0" w:line="240" w:lineRule="auto"/>
              <w:jc w:val="right"/>
              <w:rPr>
                <w:rFonts w:cs="Calibri"/>
                <w:kern w:val="0"/>
                <w:sz w:val="20"/>
                <w:lang w:eastAsia="en-AU"/>
              </w:rPr>
            </w:pPr>
            <w:r w:rsidRPr="00C002ED">
              <w:rPr>
                <w:sz w:val="20"/>
              </w:rPr>
              <w:t>56</w:t>
            </w:r>
          </w:p>
        </w:tc>
        <w:tc>
          <w:tcPr>
            <w:tcW w:w="0" w:type="auto"/>
            <w:noWrap/>
            <w:hideMark/>
          </w:tcPr>
          <w:p w14:paraId="349E8621" w14:textId="044DBB0B" w:rsidR="00C8082A" w:rsidRPr="00C002ED" w:rsidRDefault="00C8082A" w:rsidP="00C8082A">
            <w:pPr>
              <w:spacing w:before="0" w:after="0" w:line="240" w:lineRule="auto"/>
              <w:jc w:val="right"/>
              <w:rPr>
                <w:rFonts w:cs="Calibri"/>
                <w:kern w:val="0"/>
                <w:sz w:val="20"/>
                <w:lang w:eastAsia="en-AU"/>
              </w:rPr>
            </w:pPr>
            <w:r w:rsidRPr="00C002ED">
              <w:rPr>
                <w:sz w:val="20"/>
              </w:rPr>
              <w:t>9</w:t>
            </w:r>
          </w:p>
        </w:tc>
      </w:tr>
      <w:tr w:rsidR="00C8082A" w:rsidRPr="00C002ED" w14:paraId="140F9B20" w14:textId="77777777" w:rsidTr="008B4826">
        <w:trPr>
          <w:trHeight w:val="300"/>
          <w:jc w:val="center"/>
        </w:trPr>
        <w:tc>
          <w:tcPr>
            <w:tcW w:w="0" w:type="auto"/>
            <w:noWrap/>
            <w:vAlign w:val="bottom"/>
            <w:hideMark/>
          </w:tcPr>
          <w:p w14:paraId="68B1A59B"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2011/12</w:t>
            </w:r>
          </w:p>
        </w:tc>
        <w:tc>
          <w:tcPr>
            <w:tcW w:w="0" w:type="auto"/>
            <w:noWrap/>
            <w:hideMark/>
          </w:tcPr>
          <w:p w14:paraId="022B2931" w14:textId="57F8AEC5" w:rsidR="00C8082A" w:rsidRPr="00C002ED" w:rsidRDefault="00C8082A" w:rsidP="00C8082A">
            <w:pPr>
              <w:spacing w:before="0" w:after="0" w:line="240" w:lineRule="auto"/>
              <w:jc w:val="right"/>
              <w:rPr>
                <w:rFonts w:cs="Calibri"/>
                <w:kern w:val="0"/>
                <w:sz w:val="20"/>
                <w:lang w:eastAsia="en-AU"/>
              </w:rPr>
            </w:pPr>
            <w:r w:rsidRPr="00C002ED">
              <w:rPr>
                <w:sz w:val="20"/>
              </w:rPr>
              <w:t>41</w:t>
            </w:r>
          </w:p>
        </w:tc>
        <w:tc>
          <w:tcPr>
            <w:tcW w:w="0" w:type="auto"/>
            <w:noWrap/>
            <w:hideMark/>
          </w:tcPr>
          <w:p w14:paraId="4CD7F645" w14:textId="3FAACFF4" w:rsidR="00C8082A" w:rsidRPr="00C002ED" w:rsidRDefault="00C8082A" w:rsidP="00C8082A">
            <w:pPr>
              <w:spacing w:before="0" w:after="0" w:line="240" w:lineRule="auto"/>
              <w:jc w:val="right"/>
              <w:rPr>
                <w:rFonts w:cs="Calibri"/>
                <w:kern w:val="0"/>
                <w:sz w:val="20"/>
                <w:lang w:eastAsia="en-AU"/>
              </w:rPr>
            </w:pPr>
            <w:r w:rsidRPr="00C002ED">
              <w:rPr>
                <w:sz w:val="20"/>
              </w:rPr>
              <w:t>6</w:t>
            </w:r>
          </w:p>
        </w:tc>
      </w:tr>
      <w:tr w:rsidR="00C8082A" w:rsidRPr="00C002ED" w14:paraId="0174A1A7" w14:textId="77777777" w:rsidTr="008B4826">
        <w:trPr>
          <w:trHeight w:val="300"/>
          <w:jc w:val="center"/>
        </w:trPr>
        <w:tc>
          <w:tcPr>
            <w:tcW w:w="0" w:type="auto"/>
            <w:noWrap/>
            <w:vAlign w:val="bottom"/>
            <w:hideMark/>
          </w:tcPr>
          <w:p w14:paraId="35BECDE0"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2012/13</w:t>
            </w:r>
          </w:p>
        </w:tc>
        <w:tc>
          <w:tcPr>
            <w:tcW w:w="0" w:type="auto"/>
            <w:noWrap/>
            <w:hideMark/>
          </w:tcPr>
          <w:p w14:paraId="73ECED81" w14:textId="5C003ADF" w:rsidR="00C8082A" w:rsidRPr="00C002ED" w:rsidRDefault="00C8082A" w:rsidP="00C8082A">
            <w:pPr>
              <w:spacing w:before="0" w:after="0" w:line="240" w:lineRule="auto"/>
              <w:jc w:val="right"/>
              <w:rPr>
                <w:rFonts w:cs="Calibri"/>
                <w:kern w:val="0"/>
                <w:sz w:val="20"/>
                <w:lang w:eastAsia="en-AU"/>
              </w:rPr>
            </w:pPr>
            <w:r w:rsidRPr="00C002ED">
              <w:rPr>
                <w:sz w:val="20"/>
              </w:rPr>
              <w:t>20</w:t>
            </w:r>
          </w:p>
        </w:tc>
        <w:tc>
          <w:tcPr>
            <w:tcW w:w="0" w:type="auto"/>
            <w:noWrap/>
            <w:hideMark/>
          </w:tcPr>
          <w:p w14:paraId="6360539D" w14:textId="05D47DB7" w:rsidR="00C8082A" w:rsidRPr="00C002ED" w:rsidRDefault="00C8082A" w:rsidP="00C8082A">
            <w:pPr>
              <w:spacing w:before="0" w:after="0" w:line="240" w:lineRule="auto"/>
              <w:jc w:val="right"/>
              <w:rPr>
                <w:rFonts w:cs="Calibri"/>
                <w:kern w:val="0"/>
                <w:sz w:val="20"/>
                <w:lang w:eastAsia="en-AU"/>
              </w:rPr>
            </w:pPr>
            <w:r w:rsidRPr="00C002ED">
              <w:rPr>
                <w:sz w:val="20"/>
              </w:rPr>
              <w:t>3</w:t>
            </w:r>
          </w:p>
        </w:tc>
      </w:tr>
      <w:tr w:rsidR="00C8082A" w:rsidRPr="00C002ED" w14:paraId="09014F8A" w14:textId="77777777" w:rsidTr="008B4826">
        <w:trPr>
          <w:trHeight w:val="300"/>
          <w:jc w:val="center"/>
        </w:trPr>
        <w:tc>
          <w:tcPr>
            <w:tcW w:w="0" w:type="auto"/>
            <w:noWrap/>
            <w:vAlign w:val="bottom"/>
            <w:hideMark/>
          </w:tcPr>
          <w:p w14:paraId="726A418E"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2013/14</w:t>
            </w:r>
          </w:p>
        </w:tc>
        <w:tc>
          <w:tcPr>
            <w:tcW w:w="0" w:type="auto"/>
            <w:noWrap/>
            <w:hideMark/>
          </w:tcPr>
          <w:p w14:paraId="7161E623" w14:textId="26835966" w:rsidR="00C8082A" w:rsidRPr="00C002ED" w:rsidRDefault="00C8082A" w:rsidP="00C8082A">
            <w:pPr>
              <w:spacing w:before="0" w:after="0" w:line="240" w:lineRule="auto"/>
              <w:jc w:val="right"/>
              <w:rPr>
                <w:rFonts w:cs="Calibri"/>
                <w:kern w:val="0"/>
                <w:sz w:val="20"/>
                <w:lang w:eastAsia="en-AU"/>
              </w:rPr>
            </w:pPr>
            <w:r w:rsidRPr="00C002ED">
              <w:rPr>
                <w:sz w:val="20"/>
              </w:rPr>
              <w:t>26</w:t>
            </w:r>
          </w:p>
        </w:tc>
        <w:tc>
          <w:tcPr>
            <w:tcW w:w="0" w:type="auto"/>
            <w:noWrap/>
            <w:hideMark/>
          </w:tcPr>
          <w:p w14:paraId="53C6B457" w14:textId="3C49B4E2" w:rsidR="00C8082A" w:rsidRPr="00C002ED" w:rsidRDefault="00C8082A" w:rsidP="00C8082A">
            <w:pPr>
              <w:spacing w:before="0" w:after="0" w:line="240" w:lineRule="auto"/>
              <w:jc w:val="right"/>
              <w:rPr>
                <w:rFonts w:cs="Calibri"/>
                <w:kern w:val="0"/>
                <w:sz w:val="20"/>
                <w:lang w:eastAsia="en-AU"/>
              </w:rPr>
            </w:pPr>
            <w:r w:rsidRPr="00C002ED">
              <w:rPr>
                <w:sz w:val="20"/>
              </w:rPr>
              <w:t>15</w:t>
            </w:r>
          </w:p>
        </w:tc>
      </w:tr>
      <w:tr w:rsidR="00C8082A" w:rsidRPr="00C002ED" w14:paraId="21395C9F" w14:textId="77777777" w:rsidTr="008B4826">
        <w:trPr>
          <w:trHeight w:val="300"/>
          <w:jc w:val="center"/>
        </w:trPr>
        <w:tc>
          <w:tcPr>
            <w:tcW w:w="0" w:type="auto"/>
            <w:noWrap/>
            <w:vAlign w:val="bottom"/>
            <w:hideMark/>
          </w:tcPr>
          <w:p w14:paraId="1255241F"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2014/15</w:t>
            </w:r>
          </w:p>
        </w:tc>
        <w:tc>
          <w:tcPr>
            <w:tcW w:w="0" w:type="auto"/>
            <w:noWrap/>
            <w:hideMark/>
          </w:tcPr>
          <w:p w14:paraId="67577B92" w14:textId="76B6B6FA" w:rsidR="00C8082A" w:rsidRPr="00C002ED" w:rsidRDefault="00C8082A" w:rsidP="00C8082A">
            <w:pPr>
              <w:spacing w:before="0" w:after="0" w:line="240" w:lineRule="auto"/>
              <w:jc w:val="right"/>
              <w:rPr>
                <w:rFonts w:cs="Calibri"/>
                <w:kern w:val="0"/>
                <w:sz w:val="20"/>
                <w:lang w:eastAsia="en-AU"/>
              </w:rPr>
            </w:pPr>
            <w:r w:rsidRPr="00C002ED">
              <w:rPr>
                <w:sz w:val="20"/>
              </w:rPr>
              <w:t>1</w:t>
            </w:r>
          </w:p>
        </w:tc>
        <w:tc>
          <w:tcPr>
            <w:tcW w:w="0" w:type="auto"/>
            <w:noWrap/>
            <w:hideMark/>
          </w:tcPr>
          <w:p w14:paraId="222C86BA" w14:textId="5DBD5A7A" w:rsidR="00C8082A" w:rsidRPr="00C002ED" w:rsidRDefault="00C8082A" w:rsidP="00C8082A">
            <w:pPr>
              <w:spacing w:before="0" w:after="0" w:line="240" w:lineRule="auto"/>
              <w:jc w:val="right"/>
              <w:rPr>
                <w:rFonts w:cs="Calibri"/>
                <w:kern w:val="0"/>
                <w:sz w:val="20"/>
                <w:lang w:eastAsia="en-AU"/>
              </w:rPr>
            </w:pPr>
            <w:r w:rsidRPr="00C002ED">
              <w:rPr>
                <w:sz w:val="20"/>
              </w:rPr>
              <w:t>4</w:t>
            </w:r>
          </w:p>
        </w:tc>
      </w:tr>
      <w:tr w:rsidR="00C8082A" w:rsidRPr="00C002ED" w14:paraId="17F3D54A" w14:textId="77777777" w:rsidTr="008B4826">
        <w:trPr>
          <w:trHeight w:val="300"/>
          <w:jc w:val="center"/>
        </w:trPr>
        <w:tc>
          <w:tcPr>
            <w:tcW w:w="0" w:type="auto"/>
            <w:noWrap/>
            <w:vAlign w:val="bottom"/>
            <w:hideMark/>
          </w:tcPr>
          <w:p w14:paraId="30A30B71"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2015/16</w:t>
            </w:r>
          </w:p>
        </w:tc>
        <w:tc>
          <w:tcPr>
            <w:tcW w:w="0" w:type="auto"/>
            <w:noWrap/>
            <w:hideMark/>
          </w:tcPr>
          <w:p w14:paraId="79FAB30E" w14:textId="222F7C2D" w:rsidR="00C8082A" w:rsidRPr="00C002ED" w:rsidRDefault="00C8082A" w:rsidP="00C8082A">
            <w:pPr>
              <w:spacing w:before="0" w:after="0" w:line="240" w:lineRule="auto"/>
              <w:jc w:val="right"/>
              <w:rPr>
                <w:rFonts w:cs="Calibri"/>
                <w:kern w:val="0"/>
                <w:sz w:val="20"/>
                <w:lang w:eastAsia="en-AU"/>
              </w:rPr>
            </w:pPr>
            <w:r w:rsidRPr="00C002ED">
              <w:rPr>
                <w:sz w:val="20"/>
              </w:rPr>
              <w:t>0</w:t>
            </w:r>
          </w:p>
        </w:tc>
        <w:tc>
          <w:tcPr>
            <w:tcW w:w="0" w:type="auto"/>
            <w:noWrap/>
            <w:hideMark/>
          </w:tcPr>
          <w:p w14:paraId="21B42B74" w14:textId="421E080D" w:rsidR="00C8082A" w:rsidRPr="00C002ED" w:rsidRDefault="00C8082A" w:rsidP="00C8082A">
            <w:pPr>
              <w:spacing w:before="0" w:after="0" w:line="240" w:lineRule="auto"/>
              <w:jc w:val="right"/>
              <w:rPr>
                <w:rFonts w:cs="Calibri"/>
                <w:kern w:val="0"/>
                <w:sz w:val="20"/>
                <w:lang w:eastAsia="en-AU"/>
              </w:rPr>
            </w:pPr>
            <w:r w:rsidRPr="00C002ED">
              <w:rPr>
                <w:sz w:val="20"/>
              </w:rPr>
              <w:t>1</w:t>
            </w:r>
          </w:p>
        </w:tc>
      </w:tr>
      <w:tr w:rsidR="00C8082A" w:rsidRPr="00C002ED" w14:paraId="38A530F6" w14:textId="77777777" w:rsidTr="008B4826">
        <w:trPr>
          <w:trHeight w:val="300"/>
          <w:jc w:val="center"/>
        </w:trPr>
        <w:tc>
          <w:tcPr>
            <w:tcW w:w="0" w:type="auto"/>
            <w:noWrap/>
            <w:vAlign w:val="bottom"/>
            <w:hideMark/>
          </w:tcPr>
          <w:p w14:paraId="004A2AB0"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2016/17</w:t>
            </w:r>
          </w:p>
        </w:tc>
        <w:tc>
          <w:tcPr>
            <w:tcW w:w="0" w:type="auto"/>
            <w:noWrap/>
            <w:hideMark/>
          </w:tcPr>
          <w:p w14:paraId="38545B42" w14:textId="2F9FE5FA" w:rsidR="00C8082A" w:rsidRPr="00C002ED" w:rsidRDefault="00C8082A" w:rsidP="00C8082A">
            <w:pPr>
              <w:spacing w:before="0" w:after="0" w:line="240" w:lineRule="auto"/>
              <w:jc w:val="right"/>
              <w:rPr>
                <w:rFonts w:cs="Calibri"/>
                <w:kern w:val="0"/>
                <w:sz w:val="20"/>
                <w:lang w:eastAsia="en-AU"/>
              </w:rPr>
            </w:pPr>
            <w:r w:rsidRPr="00C002ED">
              <w:rPr>
                <w:sz w:val="20"/>
              </w:rPr>
              <w:t>17</w:t>
            </w:r>
          </w:p>
        </w:tc>
        <w:tc>
          <w:tcPr>
            <w:tcW w:w="0" w:type="auto"/>
            <w:noWrap/>
            <w:hideMark/>
          </w:tcPr>
          <w:p w14:paraId="173DCB19" w14:textId="3DF1F8B3" w:rsidR="00C8082A" w:rsidRPr="00C002ED" w:rsidRDefault="00C8082A" w:rsidP="00C8082A">
            <w:pPr>
              <w:spacing w:before="0" w:after="0" w:line="240" w:lineRule="auto"/>
              <w:jc w:val="right"/>
              <w:rPr>
                <w:rFonts w:cs="Calibri"/>
                <w:kern w:val="0"/>
                <w:sz w:val="20"/>
                <w:lang w:eastAsia="en-AU"/>
              </w:rPr>
            </w:pPr>
            <w:r w:rsidRPr="00C002ED">
              <w:rPr>
                <w:sz w:val="20"/>
              </w:rPr>
              <w:t>10</w:t>
            </w:r>
          </w:p>
        </w:tc>
      </w:tr>
      <w:tr w:rsidR="00C8082A" w:rsidRPr="00C002ED" w14:paraId="027B927F" w14:textId="77777777" w:rsidTr="008B4826">
        <w:trPr>
          <w:trHeight w:val="300"/>
          <w:jc w:val="center"/>
        </w:trPr>
        <w:tc>
          <w:tcPr>
            <w:tcW w:w="0" w:type="auto"/>
            <w:noWrap/>
            <w:vAlign w:val="bottom"/>
            <w:hideMark/>
          </w:tcPr>
          <w:p w14:paraId="34540DA8"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2017/18</w:t>
            </w:r>
          </w:p>
        </w:tc>
        <w:tc>
          <w:tcPr>
            <w:tcW w:w="0" w:type="auto"/>
            <w:noWrap/>
            <w:hideMark/>
          </w:tcPr>
          <w:p w14:paraId="179CBA07" w14:textId="29F9F86B" w:rsidR="00C8082A" w:rsidRPr="00C002ED" w:rsidRDefault="00C8082A" w:rsidP="00C8082A">
            <w:pPr>
              <w:spacing w:before="0" w:after="0" w:line="240" w:lineRule="auto"/>
              <w:jc w:val="right"/>
              <w:rPr>
                <w:rFonts w:cs="Calibri"/>
                <w:kern w:val="0"/>
                <w:sz w:val="20"/>
                <w:lang w:eastAsia="en-AU"/>
              </w:rPr>
            </w:pPr>
            <w:r w:rsidRPr="00C002ED">
              <w:rPr>
                <w:sz w:val="20"/>
              </w:rPr>
              <w:t>6</w:t>
            </w:r>
          </w:p>
        </w:tc>
        <w:tc>
          <w:tcPr>
            <w:tcW w:w="0" w:type="auto"/>
            <w:noWrap/>
            <w:hideMark/>
          </w:tcPr>
          <w:p w14:paraId="729969C5" w14:textId="45D05DD6" w:rsidR="00C8082A" w:rsidRPr="00C002ED" w:rsidRDefault="00C8082A" w:rsidP="00C8082A">
            <w:pPr>
              <w:spacing w:before="0" w:after="0" w:line="240" w:lineRule="auto"/>
              <w:jc w:val="right"/>
              <w:rPr>
                <w:rFonts w:cs="Calibri"/>
                <w:kern w:val="0"/>
                <w:sz w:val="20"/>
                <w:lang w:eastAsia="en-AU"/>
              </w:rPr>
            </w:pPr>
            <w:r w:rsidRPr="00C002ED">
              <w:rPr>
                <w:sz w:val="20"/>
              </w:rPr>
              <w:t>1</w:t>
            </w:r>
          </w:p>
        </w:tc>
      </w:tr>
      <w:tr w:rsidR="00C8082A" w:rsidRPr="00C002ED" w14:paraId="3F4E317A" w14:textId="77777777" w:rsidTr="008B4826">
        <w:trPr>
          <w:trHeight w:val="300"/>
          <w:jc w:val="center"/>
        </w:trPr>
        <w:tc>
          <w:tcPr>
            <w:tcW w:w="0" w:type="auto"/>
            <w:noWrap/>
            <w:vAlign w:val="bottom"/>
            <w:hideMark/>
          </w:tcPr>
          <w:p w14:paraId="59AFC337"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2018/19</w:t>
            </w:r>
          </w:p>
        </w:tc>
        <w:tc>
          <w:tcPr>
            <w:tcW w:w="0" w:type="auto"/>
            <w:noWrap/>
            <w:hideMark/>
          </w:tcPr>
          <w:p w14:paraId="46E0EDD9" w14:textId="2B87A199" w:rsidR="00C8082A" w:rsidRPr="00C002ED" w:rsidRDefault="00C8082A" w:rsidP="00C8082A">
            <w:pPr>
              <w:spacing w:before="0" w:after="0" w:line="240" w:lineRule="auto"/>
              <w:jc w:val="right"/>
              <w:rPr>
                <w:rFonts w:cs="Calibri"/>
                <w:kern w:val="0"/>
                <w:sz w:val="20"/>
                <w:lang w:eastAsia="en-AU"/>
              </w:rPr>
            </w:pPr>
            <w:r w:rsidRPr="00C002ED">
              <w:rPr>
                <w:sz w:val="20"/>
              </w:rPr>
              <w:t>15</w:t>
            </w:r>
          </w:p>
        </w:tc>
        <w:tc>
          <w:tcPr>
            <w:tcW w:w="0" w:type="auto"/>
            <w:noWrap/>
            <w:hideMark/>
          </w:tcPr>
          <w:p w14:paraId="3E1178A5" w14:textId="33968534" w:rsidR="00C8082A" w:rsidRPr="00C002ED" w:rsidRDefault="00C8082A" w:rsidP="00C8082A">
            <w:pPr>
              <w:spacing w:before="0" w:after="0" w:line="240" w:lineRule="auto"/>
              <w:jc w:val="right"/>
              <w:rPr>
                <w:rFonts w:cs="Calibri"/>
                <w:kern w:val="0"/>
                <w:sz w:val="20"/>
                <w:lang w:eastAsia="en-AU"/>
              </w:rPr>
            </w:pPr>
            <w:r w:rsidRPr="00C002ED">
              <w:rPr>
                <w:sz w:val="20"/>
              </w:rPr>
              <w:t>2</w:t>
            </w:r>
          </w:p>
        </w:tc>
      </w:tr>
      <w:tr w:rsidR="00C8082A" w:rsidRPr="00C002ED" w14:paraId="57837506" w14:textId="77777777" w:rsidTr="008B4826">
        <w:trPr>
          <w:trHeight w:val="300"/>
          <w:jc w:val="center"/>
        </w:trPr>
        <w:tc>
          <w:tcPr>
            <w:tcW w:w="0" w:type="auto"/>
            <w:noWrap/>
            <w:vAlign w:val="bottom"/>
            <w:hideMark/>
          </w:tcPr>
          <w:p w14:paraId="35CCDF80"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2019/20</w:t>
            </w:r>
          </w:p>
        </w:tc>
        <w:tc>
          <w:tcPr>
            <w:tcW w:w="0" w:type="auto"/>
            <w:noWrap/>
            <w:hideMark/>
          </w:tcPr>
          <w:p w14:paraId="0FA70499" w14:textId="5BA27829" w:rsidR="00C8082A" w:rsidRPr="00C002ED" w:rsidRDefault="00C8082A" w:rsidP="00C8082A">
            <w:pPr>
              <w:spacing w:before="0" w:after="0" w:line="240" w:lineRule="auto"/>
              <w:jc w:val="right"/>
              <w:rPr>
                <w:rFonts w:cs="Calibri"/>
                <w:kern w:val="0"/>
                <w:sz w:val="20"/>
                <w:lang w:eastAsia="en-AU"/>
              </w:rPr>
            </w:pPr>
            <w:r w:rsidRPr="00C002ED">
              <w:rPr>
                <w:sz w:val="20"/>
              </w:rPr>
              <w:t>1</w:t>
            </w:r>
          </w:p>
        </w:tc>
        <w:tc>
          <w:tcPr>
            <w:tcW w:w="0" w:type="auto"/>
            <w:noWrap/>
            <w:hideMark/>
          </w:tcPr>
          <w:p w14:paraId="156825EB" w14:textId="3110AEC7" w:rsidR="00C8082A" w:rsidRPr="00C002ED" w:rsidRDefault="00C8082A" w:rsidP="00C8082A">
            <w:pPr>
              <w:spacing w:before="0" w:after="0" w:line="240" w:lineRule="auto"/>
              <w:jc w:val="right"/>
              <w:rPr>
                <w:rFonts w:cs="Calibri"/>
                <w:kern w:val="0"/>
                <w:sz w:val="20"/>
                <w:lang w:eastAsia="en-AU"/>
              </w:rPr>
            </w:pPr>
            <w:r w:rsidRPr="00C002ED">
              <w:rPr>
                <w:sz w:val="20"/>
              </w:rPr>
              <w:t>2</w:t>
            </w:r>
          </w:p>
        </w:tc>
      </w:tr>
      <w:tr w:rsidR="00C8082A" w:rsidRPr="00C002ED" w14:paraId="5F4145D7" w14:textId="77777777" w:rsidTr="008B4826">
        <w:trPr>
          <w:trHeight w:val="300"/>
          <w:jc w:val="center"/>
        </w:trPr>
        <w:tc>
          <w:tcPr>
            <w:tcW w:w="0" w:type="auto"/>
            <w:noWrap/>
            <w:vAlign w:val="bottom"/>
            <w:hideMark/>
          </w:tcPr>
          <w:p w14:paraId="692D3A0C"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2020/21</w:t>
            </w:r>
          </w:p>
        </w:tc>
        <w:tc>
          <w:tcPr>
            <w:tcW w:w="0" w:type="auto"/>
            <w:noWrap/>
            <w:hideMark/>
          </w:tcPr>
          <w:p w14:paraId="0718DA85" w14:textId="77D718F4" w:rsidR="00C8082A" w:rsidRPr="00C002ED" w:rsidRDefault="00C8082A" w:rsidP="00C8082A">
            <w:pPr>
              <w:spacing w:before="0" w:after="0" w:line="240" w:lineRule="auto"/>
              <w:jc w:val="right"/>
              <w:rPr>
                <w:rFonts w:cs="Calibri"/>
                <w:kern w:val="0"/>
                <w:sz w:val="20"/>
                <w:lang w:eastAsia="en-AU"/>
              </w:rPr>
            </w:pPr>
            <w:r w:rsidRPr="00C002ED">
              <w:rPr>
                <w:sz w:val="20"/>
              </w:rPr>
              <w:t>12</w:t>
            </w:r>
          </w:p>
        </w:tc>
        <w:tc>
          <w:tcPr>
            <w:tcW w:w="0" w:type="auto"/>
            <w:noWrap/>
            <w:hideMark/>
          </w:tcPr>
          <w:p w14:paraId="5F83D2F7" w14:textId="245935F2" w:rsidR="00C8082A" w:rsidRPr="00C002ED" w:rsidRDefault="00C8082A" w:rsidP="00C8082A">
            <w:pPr>
              <w:spacing w:before="0" w:after="0" w:line="240" w:lineRule="auto"/>
              <w:jc w:val="right"/>
              <w:rPr>
                <w:rFonts w:cs="Calibri"/>
                <w:kern w:val="0"/>
                <w:sz w:val="20"/>
                <w:lang w:eastAsia="en-AU"/>
              </w:rPr>
            </w:pPr>
            <w:r w:rsidRPr="00C002ED">
              <w:rPr>
                <w:sz w:val="20"/>
              </w:rPr>
              <w:t>6</w:t>
            </w:r>
          </w:p>
        </w:tc>
      </w:tr>
      <w:tr w:rsidR="00C8082A" w:rsidRPr="00C002ED" w14:paraId="7C853BF7" w14:textId="77777777" w:rsidTr="008B4826">
        <w:trPr>
          <w:trHeight w:val="300"/>
          <w:jc w:val="center"/>
        </w:trPr>
        <w:tc>
          <w:tcPr>
            <w:tcW w:w="0" w:type="auto"/>
            <w:noWrap/>
            <w:vAlign w:val="bottom"/>
            <w:hideMark/>
          </w:tcPr>
          <w:p w14:paraId="66212976"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2021/22</w:t>
            </w:r>
          </w:p>
        </w:tc>
        <w:tc>
          <w:tcPr>
            <w:tcW w:w="0" w:type="auto"/>
            <w:noWrap/>
            <w:hideMark/>
          </w:tcPr>
          <w:p w14:paraId="21408456" w14:textId="32A9BB44" w:rsidR="00C8082A" w:rsidRPr="00C002ED" w:rsidRDefault="00C8082A" w:rsidP="00C8082A">
            <w:pPr>
              <w:spacing w:before="0" w:after="0" w:line="240" w:lineRule="auto"/>
              <w:jc w:val="right"/>
              <w:rPr>
                <w:rFonts w:cs="Calibri"/>
                <w:kern w:val="0"/>
                <w:sz w:val="20"/>
                <w:lang w:eastAsia="en-AU"/>
              </w:rPr>
            </w:pPr>
            <w:r w:rsidRPr="00C002ED">
              <w:rPr>
                <w:sz w:val="20"/>
              </w:rPr>
              <w:t>55</w:t>
            </w:r>
          </w:p>
        </w:tc>
        <w:tc>
          <w:tcPr>
            <w:tcW w:w="0" w:type="auto"/>
            <w:noWrap/>
            <w:hideMark/>
          </w:tcPr>
          <w:p w14:paraId="4321A35F" w14:textId="79B97661" w:rsidR="00C8082A" w:rsidRPr="00C002ED" w:rsidRDefault="00C8082A" w:rsidP="00C8082A">
            <w:pPr>
              <w:spacing w:before="0" w:after="0" w:line="240" w:lineRule="auto"/>
              <w:jc w:val="right"/>
              <w:rPr>
                <w:rFonts w:cs="Calibri"/>
                <w:kern w:val="0"/>
                <w:sz w:val="20"/>
                <w:lang w:eastAsia="en-AU"/>
              </w:rPr>
            </w:pPr>
            <w:r w:rsidRPr="00C002ED">
              <w:rPr>
                <w:sz w:val="20"/>
              </w:rPr>
              <w:t>6</w:t>
            </w:r>
          </w:p>
        </w:tc>
      </w:tr>
      <w:tr w:rsidR="00C8082A" w:rsidRPr="00C002ED" w14:paraId="0E51515A" w14:textId="77777777" w:rsidTr="008B4826">
        <w:trPr>
          <w:trHeight w:val="300"/>
          <w:jc w:val="center"/>
        </w:trPr>
        <w:tc>
          <w:tcPr>
            <w:tcW w:w="0" w:type="auto"/>
            <w:noWrap/>
            <w:vAlign w:val="bottom"/>
            <w:hideMark/>
          </w:tcPr>
          <w:p w14:paraId="1E5A6560"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2022/23</w:t>
            </w:r>
          </w:p>
        </w:tc>
        <w:tc>
          <w:tcPr>
            <w:tcW w:w="0" w:type="auto"/>
            <w:noWrap/>
            <w:hideMark/>
          </w:tcPr>
          <w:p w14:paraId="0CEFC40F" w14:textId="13444AF8" w:rsidR="00C8082A" w:rsidRPr="00C002ED" w:rsidRDefault="00C8082A" w:rsidP="00C8082A">
            <w:pPr>
              <w:spacing w:before="0" w:after="0" w:line="240" w:lineRule="auto"/>
              <w:jc w:val="right"/>
              <w:rPr>
                <w:rFonts w:cs="Calibri"/>
                <w:kern w:val="0"/>
                <w:sz w:val="20"/>
                <w:lang w:eastAsia="en-AU"/>
              </w:rPr>
            </w:pPr>
            <w:r w:rsidRPr="00C002ED">
              <w:rPr>
                <w:sz w:val="20"/>
              </w:rPr>
              <w:t>19</w:t>
            </w:r>
          </w:p>
        </w:tc>
        <w:tc>
          <w:tcPr>
            <w:tcW w:w="0" w:type="auto"/>
            <w:noWrap/>
            <w:hideMark/>
          </w:tcPr>
          <w:p w14:paraId="65411F0E" w14:textId="27C08E02" w:rsidR="00C8082A" w:rsidRPr="00C002ED" w:rsidRDefault="00C8082A" w:rsidP="00C8082A">
            <w:pPr>
              <w:spacing w:before="0" w:after="0" w:line="240" w:lineRule="auto"/>
              <w:jc w:val="right"/>
              <w:rPr>
                <w:rFonts w:cs="Calibri"/>
                <w:kern w:val="0"/>
                <w:sz w:val="20"/>
                <w:lang w:eastAsia="en-AU"/>
              </w:rPr>
            </w:pPr>
            <w:r w:rsidRPr="00C002ED">
              <w:rPr>
                <w:sz w:val="20"/>
              </w:rPr>
              <w:t>0</w:t>
            </w:r>
          </w:p>
        </w:tc>
      </w:tr>
      <w:tr w:rsidR="00C8082A" w:rsidRPr="00C002ED" w14:paraId="6367993D" w14:textId="77777777" w:rsidTr="008B4826">
        <w:trPr>
          <w:trHeight w:val="300"/>
          <w:jc w:val="center"/>
        </w:trPr>
        <w:tc>
          <w:tcPr>
            <w:tcW w:w="0" w:type="auto"/>
            <w:tcBorders>
              <w:bottom w:val="single" w:sz="4" w:space="0" w:color="auto"/>
            </w:tcBorders>
            <w:noWrap/>
            <w:vAlign w:val="bottom"/>
            <w:hideMark/>
          </w:tcPr>
          <w:p w14:paraId="60AAA76F" w14:textId="77777777" w:rsidR="00C8082A" w:rsidRPr="00C002ED" w:rsidRDefault="00C8082A" w:rsidP="00C8082A">
            <w:pPr>
              <w:spacing w:before="0" w:after="0" w:line="240" w:lineRule="auto"/>
              <w:jc w:val="left"/>
              <w:rPr>
                <w:rFonts w:cs="Calibri"/>
                <w:kern w:val="0"/>
                <w:sz w:val="20"/>
                <w:lang w:eastAsia="en-AU"/>
              </w:rPr>
            </w:pPr>
            <w:r w:rsidRPr="00C002ED">
              <w:rPr>
                <w:rFonts w:cs="Calibri"/>
                <w:kern w:val="0"/>
                <w:sz w:val="20"/>
                <w:lang w:eastAsia="en-AU"/>
              </w:rPr>
              <w:t>2023/24</w:t>
            </w:r>
          </w:p>
        </w:tc>
        <w:tc>
          <w:tcPr>
            <w:tcW w:w="0" w:type="auto"/>
            <w:tcBorders>
              <w:bottom w:val="single" w:sz="4" w:space="0" w:color="auto"/>
            </w:tcBorders>
            <w:noWrap/>
            <w:hideMark/>
          </w:tcPr>
          <w:p w14:paraId="0DE640F1" w14:textId="33A137B4" w:rsidR="00C8082A" w:rsidRPr="00C002ED" w:rsidRDefault="00C8082A" w:rsidP="00C8082A">
            <w:pPr>
              <w:spacing w:before="0" w:after="0" w:line="240" w:lineRule="auto"/>
              <w:jc w:val="right"/>
              <w:rPr>
                <w:rFonts w:cs="Calibri"/>
                <w:kern w:val="0"/>
                <w:sz w:val="20"/>
                <w:lang w:eastAsia="en-AU"/>
              </w:rPr>
            </w:pPr>
            <w:r w:rsidRPr="00C002ED">
              <w:rPr>
                <w:sz w:val="20"/>
              </w:rPr>
              <w:t>4</w:t>
            </w:r>
          </w:p>
        </w:tc>
        <w:tc>
          <w:tcPr>
            <w:tcW w:w="0" w:type="auto"/>
            <w:tcBorders>
              <w:bottom w:val="single" w:sz="4" w:space="0" w:color="auto"/>
            </w:tcBorders>
            <w:noWrap/>
            <w:hideMark/>
          </w:tcPr>
          <w:p w14:paraId="55561B71" w14:textId="76E6C371" w:rsidR="00C8082A" w:rsidRPr="00C002ED" w:rsidRDefault="00C8082A" w:rsidP="00C8082A">
            <w:pPr>
              <w:spacing w:before="0" w:after="0" w:line="240" w:lineRule="auto"/>
              <w:jc w:val="right"/>
              <w:rPr>
                <w:rFonts w:cs="Calibri"/>
                <w:kern w:val="0"/>
                <w:sz w:val="20"/>
                <w:lang w:eastAsia="en-AU"/>
              </w:rPr>
            </w:pPr>
            <w:r w:rsidRPr="00C002ED">
              <w:rPr>
                <w:sz w:val="20"/>
              </w:rPr>
              <w:t>4</w:t>
            </w:r>
          </w:p>
        </w:tc>
      </w:tr>
    </w:tbl>
    <w:p w14:paraId="186E952D" w14:textId="77777777" w:rsidR="00E45BE6" w:rsidRDefault="00E45BE6" w:rsidP="00E45BE6"/>
    <w:p w14:paraId="2E691628" w14:textId="1C1A1175" w:rsidR="007F69C2" w:rsidRPr="0070463B" w:rsidRDefault="007F69C2" w:rsidP="00605FB2">
      <w:pPr>
        <w:pStyle w:val="Captions"/>
        <w:rPr>
          <w:noProof/>
          <w:lang w:eastAsia="en-AU"/>
        </w:rPr>
      </w:pPr>
      <w:r w:rsidRPr="00942392">
        <w:t>Table</w:t>
      </w:r>
      <w:bookmarkEnd w:id="613"/>
      <w:r w:rsidRPr="00942392">
        <w:t xml:space="preserve"> </w:t>
      </w:r>
      <w:r w:rsidR="00145C00" w:rsidRPr="00942392">
        <w:t>C</w:t>
      </w:r>
      <w:r w:rsidR="00FB33C3">
        <w:t>20</w:t>
      </w:r>
      <w:r w:rsidRPr="00942392">
        <w:rPr>
          <w:noProof/>
          <w:lang w:eastAsia="en-AU"/>
        </w:rPr>
        <w:t xml:space="preserve">. Results of the model selection procedure for linear regression models fitted to Murray cod length–weight </w:t>
      </w:r>
      <w:r w:rsidR="006224A5" w:rsidRPr="00942392">
        <w:rPr>
          <w:noProof/>
          <w:lang w:eastAsia="en-AU"/>
        </w:rPr>
        <w:t>reference</w:t>
      </w:r>
      <w:r w:rsidRPr="00942392">
        <w:rPr>
          <w:noProof/>
          <w:lang w:eastAsia="en-AU"/>
        </w:rPr>
        <w:t xml:space="preserve"> data (2004</w:t>
      </w:r>
      <w:r w:rsidR="00954442" w:rsidRPr="00942392">
        <w:rPr>
          <w:noProof/>
          <w:lang w:eastAsia="en-AU"/>
        </w:rPr>
        <w:t>–202</w:t>
      </w:r>
      <w:r w:rsidR="00942392" w:rsidRPr="00942392">
        <w:rPr>
          <w:noProof/>
          <w:lang w:eastAsia="en-AU"/>
        </w:rPr>
        <w:t>4</w:t>
      </w:r>
      <w:r w:rsidRPr="00942392">
        <w:rPr>
          <w:noProof/>
          <w:lang w:eastAsia="en-AU"/>
        </w:rPr>
        <w:t>).</w:t>
      </w:r>
    </w:p>
    <w:tbl>
      <w:tblPr>
        <w:tblW w:w="0" w:type="auto"/>
        <w:jc w:val="center"/>
        <w:tblLook w:val="04A0" w:firstRow="1" w:lastRow="0" w:firstColumn="1" w:lastColumn="0" w:noHBand="0" w:noVBand="1"/>
        <w:tblDescription w:val="Table of results of the model selection procedure for linear regression models fitted to Murray cod length–weight reference data (2004–2024)."/>
      </w:tblPr>
      <w:tblGrid>
        <w:gridCol w:w="1346"/>
        <w:gridCol w:w="1114"/>
        <w:gridCol w:w="692"/>
        <w:gridCol w:w="1159"/>
        <w:gridCol w:w="1200"/>
      </w:tblGrid>
      <w:tr w:rsidR="007F69C2" w:rsidRPr="00C002ED" w14:paraId="2742FAA8" w14:textId="77777777" w:rsidTr="009F3C4C">
        <w:trPr>
          <w:trHeight w:val="300"/>
          <w:jc w:val="center"/>
        </w:trPr>
        <w:tc>
          <w:tcPr>
            <w:tcW w:w="0" w:type="auto"/>
            <w:tcBorders>
              <w:top w:val="single" w:sz="4" w:space="0" w:color="auto"/>
              <w:left w:val="nil"/>
              <w:bottom w:val="single" w:sz="4" w:space="0" w:color="auto"/>
              <w:right w:val="nil"/>
            </w:tcBorders>
            <w:noWrap/>
            <w:vAlign w:val="bottom"/>
            <w:hideMark/>
          </w:tcPr>
          <w:p w14:paraId="1083D0E7" w14:textId="77777777" w:rsidR="007F69C2" w:rsidRPr="00C002ED" w:rsidRDefault="007F69C2" w:rsidP="009F3C4C">
            <w:pPr>
              <w:spacing w:after="0" w:line="240" w:lineRule="auto"/>
              <w:jc w:val="left"/>
              <w:rPr>
                <w:b/>
                <w:sz w:val="20"/>
                <w:lang w:eastAsia="en-AU"/>
              </w:rPr>
            </w:pPr>
            <w:r w:rsidRPr="00C002ED">
              <w:rPr>
                <w:b/>
                <w:sz w:val="20"/>
                <w:lang w:eastAsia="en-AU"/>
              </w:rPr>
              <w:t>Model</w:t>
            </w:r>
          </w:p>
        </w:tc>
        <w:tc>
          <w:tcPr>
            <w:tcW w:w="0" w:type="auto"/>
            <w:tcBorders>
              <w:top w:val="single" w:sz="4" w:space="0" w:color="auto"/>
              <w:left w:val="nil"/>
              <w:bottom w:val="single" w:sz="4" w:space="0" w:color="auto"/>
              <w:right w:val="nil"/>
            </w:tcBorders>
            <w:noWrap/>
            <w:vAlign w:val="bottom"/>
            <w:hideMark/>
          </w:tcPr>
          <w:p w14:paraId="2BF1F5A0" w14:textId="77777777" w:rsidR="007F69C2" w:rsidRPr="00C002ED" w:rsidRDefault="007F69C2" w:rsidP="009F3C4C">
            <w:pPr>
              <w:spacing w:after="0" w:line="240" w:lineRule="auto"/>
              <w:jc w:val="center"/>
              <w:rPr>
                <w:rFonts w:cs="Calibri"/>
                <w:b/>
                <w:sz w:val="20"/>
                <w:lang w:eastAsia="en-AU"/>
              </w:rPr>
            </w:pPr>
            <w:r w:rsidRPr="00C002ED">
              <w:rPr>
                <w:rFonts w:cs="Calibri"/>
                <w:b/>
                <w:sz w:val="20"/>
                <w:lang w:eastAsia="en-AU"/>
              </w:rPr>
              <w:t>AICc</w:t>
            </w:r>
          </w:p>
        </w:tc>
        <w:tc>
          <w:tcPr>
            <w:tcW w:w="0" w:type="auto"/>
            <w:tcBorders>
              <w:top w:val="single" w:sz="4" w:space="0" w:color="auto"/>
              <w:left w:val="nil"/>
              <w:bottom w:val="single" w:sz="4" w:space="0" w:color="auto"/>
              <w:right w:val="nil"/>
            </w:tcBorders>
            <w:vAlign w:val="bottom"/>
          </w:tcPr>
          <w:p w14:paraId="7C68CE71" w14:textId="77777777" w:rsidR="007F69C2" w:rsidRPr="00C002ED" w:rsidRDefault="007F69C2" w:rsidP="009F3C4C">
            <w:pPr>
              <w:spacing w:after="0" w:line="240" w:lineRule="auto"/>
              <w:jc w:val="center"/>
              <w:rPr>
                <w:rFonts w:cs="Calibri"/>
                <w:b/>
                <w:sz w:val="20"/>
                <w:lang w:eastAsia="en-AU"/>
              </w:rPr>
            </w:pPr>
            <w:r w:rsidRPr="00C002ED">
              <w:rPr>
                <w:rFonts w:cs="Calibri"/>
                <w:b/>
                <w:sz w:val="20"/>
                <w:lang w:eastAsia="en-AU"/>
              </w:rPr>
              <w:t>Npar</w:t>
            </w:r>
          </w:p>
        </w:tc>
        <w:tc>
          <w:tcPr>
            <w:tcW w:w="0" w:type="auto"/>
            <w:tcBorders>
              <w:top w:val="single" w:sz="4" w:space="0" w:color="auto"/>
              <w:left w:val="nil"/>
              <w:bottom w:val="single" w:sz="4" w:space="0" w:color="auto"/>
              <w:right w:val="nil"/>
            </w:tcBorders>
            <w:noWrap/>
            <w:vAlign w:val="bottom"/>
            <w:hideMark/>
          </w:tcPr>
          <w:p w14:paraId="5BC4C4A7" w14:textId="77777777" w:rsidR="007F69C2" w:rsidRPr="00C002ED" w:rsidRDefault="007F69C2" w:rsidP="009F3C4C">
            <w:pPr>
              <w:spacing w:after="0" w:line="240" w:lineRule="auto"/>
              <w:jc w:val="center"/>
              <w:rPr>
                <w:rFonts w:cs="Calibri"/>
                <w:b/>
                <w:sz w:val="20"/>
                <w:lang w:eastAsia="en-AU"/>
              </w:rPr>
            </w:pPr>
            <w:r w:rsidRPr="00C002ED">
              <w:rPr>
                <w:rFonts w:cs="Calibri"/>
                <w:b/>
                <w:sz w:val="20"/>
                <w:lang w:eastAsia="en-AU"/>
              </w:rPr>
              <w:t>∆AICc</w:t>
            </w:r>
          </w:p>
        </w:tc>
        <w:tc>
          <w:tcPr>
            <w:tcW w:w="0" w:type="auto"/>
            <w:tcBorders>
              <w:top w:val="single" w:sz="4" w:space="0" w:color="auto"/>
              <w:left w:val="nil"/>
              <w:bottom w:val="single" w:sz="4" w:space="0" w:color="auto"/>
              <w:right w:val="nil"/>
            </w:tcBorders>
            <w:noWrap/>
            <w:vAlign w:val="bottom"/>
            <w:hideMark/>
          </w:tcPr>
          <w:p w14:paraId="26B92166" w14:textId="77777777" w:rsidR="007F69C2" w:rsidRPr="00C002ED" w:rsidRDefault="007F69C2" w:rsidP="009F3C4C">
            <w:pPr>
              <w:spacing w:after="0" w:line="240" w:lineRule="auto"/>
              <w:jc w:val="center"/>
              <w:rPr>
                <w:rFonts w:cs="Calibri"/>
                <w:b/>
                <w:sz w:val="20"/>
                <w:lang w:eastAsia="en-AU"/>
              </w:rPr>
            </w:pPr>
            <w:r w:rsidRPr="00C002ED">
              <w:rPr>
                <w:rFonts w:cs="Calibri"/>
                <w:b/>
                <w:sz w:val="20"/>
                <w:lang w:eastAsia="en-AU"/>
              </w:rPr>
              <w:t>Likelihood</w:t>
            </w:r>
          </w:p>
        </w:tc>
      </w:tr>
      <w:tr w:rsidR="00942392" w:rsidRPr="00C002ED" w14:paraId="25FB28D8" w14:textId="77777777" w:rsidTr="009F3C4C">
        <w:trPr>
          <w:trHeight w:val="300"/>
          <w:jc w:val="center"/>
        </w:trPr>
        <w:tc>
          <w:tcPr>
            <w:tcW w:w="0" w:type="auto"/>
            <w:tcBorders>
              <w:top w:val="single" w:sz="4" w:space="0" w:color="auto"/>
              <w:left w:val="nil"/>
              <w:right w:val="nil"/>
            </w:tcBorders>
            <w:noWrap/>
            <w:vAlign w:val="bottom"/>
          </w:tcPr>
          <w:p w14:paraId="4F96C623" w14:textId="77777777" w:rsidR="00942392" w:rsidRPr="00C002ED" w:rsidRDefault="00942392" w:rsidP="00942392">
            <w:pPr>
              <w:spacing w:after="0" w:line="240" w:lineRule="auto"/>
              <w:jc w:val="left"/>
              <w:rPr>
                <w:rFonts w:cs="Calibri"/>
                <w:sz w:val="20"/>
                <w:lang w:eastAsia="en-AU"/>
              </w:rPr>
            </w:pPr>
            <w:r w:rsidRPr="00C002ED">
              <w:rPr>
                <w:rFonts w:cs="Calibri"/>
                <w:sz w:val="20"/>
                <w:lang w:eastAsia="en-AU"/>
              </w:rPr>
              <w:t>Exponential</w:t>
            </w:r>
          </w:p>
        </w:tc>
        <w:tc>
          <w:tcPr>
            <w:tcW w:w="0" w:type="auto"/>
            <w:tcBorders>
              <w:top w:val="single" w:sz="4" w:space="0" w:color="auto"/>
              <w:left w:val="nil"/>
              <w:right w:val="nil"/>
            </w:tcBorders>
            <w:noWrap/>
          </w:tcPr>
          <w:p w14:paraId="663C1503" w14:textId="5A4FB41D" w:rsidR="00942392" w:rsidRPr="00C002ED" w:rsidRDefault="00942392" w:rsidP="00942392">
            <w:pPr>
              <w:spacing w:after="0" w:line="240" w:lineRule="auto"/>
              <w:jc w:val="center"/>
              <w:rPr>
                <w:rFonts w:cs="Calibri"/>
                <w:sz w:val="20"/>
                <w:lang w:eastAsia="en-AU"/>
              </w:rPr>
            </w:pPr>
            <w:r w:rsidRPr="00C002ED">
              <w:rPr>
                <w:sz w:val="20"/>
              </w:rPr>
              <w:t>380.4888</w:t>
            </w:r>
          </w:p>
        </w:tc>
        <w:tc>
          <w:tcPr>
            <w:tcW w:w="0" w:type="auto"/>
            <w:tcBorders>
              <w:top w:val="single" w:sz="4" w:space="0" w:color="auto"/>
              <w:left w:val="nil"/>
              <w:right w:val="nil"/>
            </w:tcBorders>
            <w:vAlign w:val="bottom"/>
          </w:tcPr>
          <w:p w14:paraId="29FF0E4D" w14:textId="77777777" w:rsidR="00942392" w:rsidRPr="00C002ED" w:rsidRDefault="00942392" w:rsidP="00942392">
            <w:pPr>
              <w:spacing w:after="0" w:line="240" w:lineRule="auto"/>
              <w:jc w:val="center"/>
              <w:rPr>
                <w:rFonts w:cs="Calibri"/>
                <w:sz w:val="20"/>
                <w:lang w:eastAsia="en-AU"/>
              </w:rPr>
            </w:pPr>
            <w:r w:rsidRPr="00C002ED">
              <w:rPr>
                <w:rFonts w:cs="Calibri"/>
                <w:sz w:val="20"/>
                <w:lang w:eastAsia="en-AU"/>
              </w:rPr>
              <w:t>2</w:t>
            </w:r>
          </w:p>
        </w:tc>
        <w:tc>
          <w:tcPr>
            <w:tcW w:w="0" w:type="auto"/>
            <w:tcBorders>
              <w:top w:val="single" w:sz="4" w:space="0" w:color="auto"/>
              <w:left w:val="nil"/>
              <w:right w:val="nil"/>
            </w:tcBorders>
            <w:noWrap/>
          </w:tcPr>
          <w:p w14:paraId="38D45D44" w14:textId="7BA4A361" w:rsidR="00942392" w:rsidRPr="00C002ED" w:rsidRDefault="00942392" w:rsidP="00942392">
            <w:pPr>
              <w:spacing w:after="0" w:line="240" w:lineRule="auto"/>
              <w:jc w:val="center"/>
              <w:rPr>
                <w:rFonts w:cs="Calibri"/>
                <w:sz w:val="20"/>
                <w:lang w:eastAsia="en-AU"/>
              </w:rPr>
            </w:pPr>
            <w:r w:rsidRPr="00C002ED">
              <w:rPr>
                <w:sz w:val="20"/>
              </w:rPr>
              <w:t>553.7537</w:t>
            </w:r>
          </w:p>
        </w:tc>
        <w:tc>
          <w:tcPr>
            <w:tcW w:w="0" w:type="auto"/>
            <w:tcBorders>
              <w:top w:val="single" w:sz="4" w:space="0" w:color="auto"/>
              <w:left w:val="nil"/>
              <w:right w:val="nil"/>
            </w:tcBorders>
            <w:noWrap/>
            <w:vAlign w:val="bottom"/>
          </w:tcPr>
          <w:p w14:paraId="460AC382" w14:textId="77777777" w:rsidR="00942392" w:rsidRPr="00C002ED" w:rsidRDefault="00942392" w:rsidP="00942392">
            <w:pPr>
              <w:spacing w:after="0" w:line="240" w:lineRule="auto"/>
              <w:jc w:val="center"/>
              <w:rPr>
                <w:rFonts w:cs="Calibri"/>
                <w:sz w:val="20"/>
                <w:lang w:eastAsia="en-AU"/>
              </w:rPr>
            </w:pPr>
            <w:r w:rsidRPr="00C002ED">
              <w:rPr>
                <w:rFonts w:cs="Calibri"/>
                <w:sz w:val="20"/>
                <w:lang w:eastAsia="en-AU"/>
              </w:rPr>
              <w:t>&lt;0.001</w:t>
            </w:r>
          </w:p>
        </w:tc>
      </w:tr>
      <w:tr w:rsidR="00942392" w:rsidRPr="00C002ED" w14:paraId="3980DF44" w14:textId="77777777" w:rsidTr="009F3C4C">
        <w:trPr>
          <w:trHeight w:val="300"/>
          <w:jc w:val="center"/>
        </w:trPr>
        <w:tc>
          <w:tcPr>
            <w:tcW w:w="0" w:type="auto"/>
            <w:tcBorders>
              <w:left w:val="nil"/>
              <w:right w:val="nil"/>
            </w:tcBorders>
            <w:noWrap/>
            <w:vAlign w:val="bottom"/>
          </w:tcPr>
          <w:p w14:paraId="2F5ABF69" w14:textId="77777777" w:rsidR="00942392" w:rsidRPr="00C002ED" w:rsidRDefault="00942392" w:rsidP="00942392">
            <w:pPr>
              <w:spacing w:after="0" w:line="240" w:lineRule="auto"/>
              <w:jc w:val="left"/>
              <w:rPr>
                <w:rFonts w:cs="Calibri"/>
                <w:sz w:val="20"/>
                <w:lang w:eastAsia="en-AU"/>
              </w:rPr>
            </w:pPr>
            <w:r w:rsidRPr="00C002ED">
              <w:rPr>
                <w:rFonts w:cs="Calibri"/>
                <w:sz w:val="20"/>
                <w:lang w:eastAsia="en-AU"/>
              </w:rPr>
              <w:t>Linear</w:t>
            </w:r>
          </w:p>
        </w:tc>
        <w:tc>
          <w:tcPr>
            <w:tcW w:w="0" w:type="auto"/>
            <w:tcBorders>
              <w:left w:val="nil"/>
              <w:right w:val="nil"/>
            </w:tcBorders>
            <w:noWrap/>
          </w:tcPr>
          <w:p w14:paraId="476DE9EC" w14:textId="09A93947" w:rsidR="00942392" w:rsidRPr="00C002ED" w:rsidRDefault="00942392" w:rsidP="00942392">
            <w:pPr>
              <w:spacing w:after="0" w:line="240" w:lineRule="auto"/>
              <w:jc w:val="center"/>
              <w:rPr>
                <w:sz w:val="20"/>
              </w:rPr>
            </w:pPr>
            <w:r w:rsidRPr="00C002ED">
              <w:rPr>
                <w:sz w:val="20"/>
              </w:rPr>
              <w:t>1765.565</w:t>
            </w:r>
          </w:p>
        </w:tc>
        <w:tc>
          <w:tcPr>
            <w:tcW w:w="0" w:type="auto"/>
            <w:tcBorders>
              <w:left w:val="nil"/>
              <w:right w:val="nil"/>
            </w:tcBorders>
            <w:vAlign w:val="bottom"/>
          </w:tcPr>
          <w:p w14:paraId="5EB3E736" w14:textId="77777777" w:rsidR="00942392" w:rsidRPr="00C002ED" w:rsidRDefault="00942392" w:rsidP="00942392">
            <w:pPr>
              <w:spacing w:after="0" w:line="240" w:lineRule="auto"/>
              <w:jc w:val="center"/>
              <w:rPr>
                <w:rFonts w:cs="Calibri"/>
                <w:sz w:val="20"/>
                <w:lang w:eastAsia="en-AU"/>
              </w:rPr>
            </w:pPr>
            <w:r w:rsidRPr="00C002ED">
              <w:rPr>
                <w:rFonts w:cs="Calibri"/>
                <w:sz w:val="20"/>
                <w:lang w:eastAsia="en-AU"/>
              </w:rPr>
              <w:t>3</w:t>
            </w:r>
          </w:p>
        </w:tc>
        <w:tc>
          <w:tcPr>
            <w:tcW w:w="0" w:type="auto"/>
            <w:tcBorders>
              <w:left w:val="nil"/>
              <w:right w:val="nil"/>
            </w:tcBorders>
            <w:noWrap/>
          </w:tcPr>
          <w:p w14:paraId="36B9F2B6" w14:textId="4651F4C5" w:rsidR="00942392" w:rsidRPr="00C002ED" w:rsidRDefault="00942392" w:rsidP="00942392">
            <w:pPr>
              <w:spacing w:after="0" w:line="240" w:lineRule="auto"/>
              <w:jc w:val="center"/>
              <w:rPr>
                <w:sz w:val="20"/>
              </w:rPr>
            </w:pPr>
            <w:r w:rsidRPr="00C002ED">
              <w:rPr>
                <w:sz w:val="20"/>
              </w:rPr>
              <w:t>1938.8299</w:t>
            </w:r>
          </w:p>
        </w:tc>
        <w:tc>
          <w:tcPr>
            <w:tcW w:w="0" w:type="auto"/>
            <w:tcBorders>
              <w:left w:val="nil"/>
              <w:right w:val="nil"/>
            </w:tcBorders>
            <w:noWrap/>
            <w:vAlign w:val="bottom"/>
          </w:tcPr>
          <w:p w14:paraId="16A0FFC5" w14:textId="77777777" w:rsidR="00942392" w:rsidRPr="00C002ED" w:rsidRDefault="00942392" w:rsidP="00942392">
            <w:pPr>
              <w:spacing w:after="0" w:line="240" w:lineRule="auto"/>
              <w:jc w:val="center"/>
              <w:rPr>
                <w:rFonts w:cs="Calibri"/>
                <w:sz w:val="20"/>
                <w:lang w:eastAsia="en-AU"/>
              </w:rPr>
            </w:pPr>
            <w:r w:rsidRPr="00C002ED">
              <w:rPr>
                <w:rFonts w:cs="Calibri"/>
                <w:sz w:val="20"/>
                <w:lang w:eastAsia="en-AU"/>
              </w:rPr>
              <w:t>0</w:t>
            </w:r>
          </w:p>
        </w:tc>
      </w:tr>
      <w:tr w:rsidR="00942392" w:rsidRPr="00C002ED" w14:paraId="3E64BBF6" w14:textId="77777777" w:rsidTr="009F3C4C">
        <w:trPr>
          <w:trHeight w:val="300"/>
          <w:jc w:val="center"/>
        </w:trPr>
        <w:tc>
          <w:tcPr>
            <w:tcW w:w="0" w:type="auto"/>
            <w:tcBorders>
              <w:top w:val="nil"/>
              <w:left w:val="nil"/>
              <w:right w:val="nil"/>
            </w:tcBorders>
            <w:noWrap/>
            <w:vAlign w:val="bottom"/>
          </w:tcPr>
          <w:p w14:paraId="2001FE1C" w14:textId="77777777" w:rsidR="00942392" w:rsidRPr="00C002ED" w:rsidRDefault="00942392" w:rsidP="00942392">
            <w:pPr>
              <w:spacing w:after="0" w:line="240" w:lineRule="auto"/>
              <w:jc w:val="left"/>
              <w:rPr>
                <w:rFonts w:cs="Calibri"/>
                <w:sz w:val="20"/>
                <w:lang w:eastAsia="en-AU"/>
              </w:rPr>
            </w:pPr>
            <w:r w:rsidRPr="00C002ED">
              <w:rPr>
                <w:rFonts w:cs="Calibri"/>
                <w:sz w:val="20"/>
                <w:lang w:eastAsia="en-AU"/>
              </w:rPr>
              <w:t>Cubic</w:t>
            </w:r>
          </w:p>
        </w:tc>
        <w:tc>
          <w:tcPr>
            <w:tcW w:w="0" w:type="auto"/>
            <w:tcBorders>
              <w:top w:val="nil"/>
              <w:left w:val="nil"/>
              <w:right w:val="nil"/>
            </w:tcBorders>
            <w:noWrap/>
          </w:tcPr>
          <w:p w14:paraId="077E39D0" w14:textId="72FBE0EE" w:rsidR="00942392" w:rsidRPr="00C002ED" w:rsidRDefault="00942392" w:rsidP="00942392">
            <w:pPr>
              <w:spacing w:after="0" w:line="240" w:lineRule="auto"/>
              <w:jc w:val="center"/>
              <w:rPr>
                <w:rFonts w:cs="Calibri"/>
                <w:sz w:val="20"/>
                <w:lang w:eastAsia="en-AU"/>
              </w:rPr>
            </w:pPr>
            <w:r w:rsidRPr="00C002ED">
              <w:rPr>
                <w:sz w:val="20"/>
              </w:rPr>
              <w:t>-173.2649</w:t>
            </w:r>
          </w:p>
        </w:tc>
        <w:tc>
          <w:tcPr>
            <w:tcW w:w="0" w:type="auto"/>
            <w:tcBorders>
              <w:top w:val="nil"/>
              <w:left w:val="nil"/>
              <w:right w:val="nil"/>
            </w:tcBorders>
            <w:vAlign w:val="bottom"/>
          </w:tcPr>
          <w:p w14:paraId="107C988A" w14:textId="77777777" w:rsidR="00942392" w:rsidRPr="00C002ED" w:rsidRDefault="00942392" w:rsidP="00942392">
            <w:pPr>
              <w:spacing w:after="0" w:line="240" w:lineRule="auto"/>
              <w:jc w:val="center"/>
              <w:rPr>
                <w:rFonts w:cs="Calibri"/>
                <w:sz w:val="20"/>
                <w:lang w:eastAsia="en-AU"/>
              </w:rPr>
            </w:pPr>
            <w:r w:rsidRPr="00C002ED">
              <w:rPr>
                <w:rFonts w:cs="Calibri"/>
                <w:sz w:val="20"/>
                <w:lang w:eastAsia="en-AU"/>
              </w:rPr>
              <w:t>5</w:t>
            </w:r>
          </w:p>
        </w:tc>
        <w:tc>
          <w:tcPr>
            <w:tcW w:w="0" w:type="auto"/>
            <w:tcBorders>
              <w:top w:val="nil"/>
              <w:left w:val="nil"/>
              <w:right w:val="nil"/>
            </w:tcBorders>
            <w:noWrap/>
          </w:tcPr>
          <w:p w14:paraId="16F48D8C" w14:textId="05069641" w:rsidR="00942392" w:rsidRPr="00C002ED" w:rsidRDefault="00942392" w:rsidP="00942392">
            <w:pPr>
              <w:spacing w:after="0" w:line="240" w:lineRule="auto"/>
              <w:jc w:val="center"/>
              <w:rPr>
                <w:rFonts w:cs="Calibri"/>
                <w:sz w:val="20"/>
                <w:lang w:eastAsia="en-AU"/>
              </w:rPr>
            </w:pPr>
            <w:r w:rsidRPr="00C002ED">
              <w:rPr>
                <w:sz w:val="20"/>
              </w:rPr>
              <w:t>0</w:t>
            </w:r>
          </w:p>
        </w:tc>
        <w:tc>
          <w:tcPr>
            <w:tcW w:w="0" w:type="auto"/>
            <w:tcBorders>
              <w:top w:val="nil"/>
              <w:left w:val="nil"/>
              <w:right w:val="nil"/>
            </w:tcBorders>
            <w:noWrap/>
            <w:vAlign w:val="bottom"/>
          </w:tcPr>
          <w:p w14:paraId="3EE6FC2A" w14:textId="77777777" w:rsidR="00942392" w:rsidRPr="00C002ED" w:rsidRDefault="00942392" w:rsidP="00942392">
            <w:pPr>
              <w:spacing w:after="0" w:line="240" w:lineRule="auto"/>
              <w:jc w:val="center"/>
              <w:rPr>
                <w:rFonts w:cs="Calibri"/>
                <w:sz w:val="20"/>
                <w:lang w:eastAsia="en-AU"/>
              </w:rPr>
            </w:pPr>
            <w:r w:rsidRPr="00C002ED">
              <w:rPr>
                <w:rFonts w:cs="Calibri"/>
                <w:sz w:val="20"/>
                <w:lang w:eastAsia="en-AU"/>
              </w:rPr>
              <w:t>1</w:t>
            </w:r>
          </w:p>
        </w:tc>
      </w:tr>
      <w:tr w:rsidR="00942392" w:rsidRPr="00C002ED" w14:paraId="384A7A16" w14:textId="77777777" w:rsidTr="009F3C4C">
        <w:trPr>
          <w:trHeight w:val="300"/>
          <w:jc w:val="center"/>
        </w:trPr>
        <w:tc>
          <w:tcPr>
            <w:tcW w:w="0" w:type="auto"/>
            <w:tcBorders>
              <w:top w:val="nil"/>
              <w:left w:val="nil"/>
              <w:bottom w:val="single" w:sz="4" w:space="0" w:color="auto"/>
              <w:right w:val="nil"/>
            </w:tcBorders>
            <w:noWrap/>
            <w:vAlign w:val="bottom"/>
            <w:hideMark/>
          </w:tcPr>
          <w:p w14:paraId="398BAB01" w14:textId="07AFFD86" w:rsidR="00942392" w:rsidRPr="00C002ED" w:rsidRDefault="00942392" w:rsidP="00942392">
            <w:pPr>
              <w:spacing w:after="0" w:line="240" w:lineRule="auto"/>
              <w:jc w:val="left"/>
              <w:rPr>
                <w:rFonts w:cs="Calibri"/>
                <w:sz w:val="20"/>
                <w:lang w:eastAsia="en-AU"/>
              </w:rPr>
            </w:pPr>
            <w:r w:rsidRPr="00C002ED">
              <w:rPr>
                <w:rFonts w:cs="Calibri"/>
                <w:sz w:val="20"/>
                <w:lang w:eastAsia="en-AU"/>
              </w:rPr>
              <w:t>Quadratic</w:t>
            </w:r>
          </w:p>
        </w:tc>
        <w:tc>
          <w:tcPr>
            <w:tcW w:w="0" w:type="auto"/>
            <w:tcBorders>
              <w:top w:val="nil"/>
              <w:left w:val="nil"/>
              <w:bottom w:val="single" w:sz="4" w:space="0" w:color="auto"/>
              <w:right w:val="nil"/>
            </w:tcBorders>
            <w:noWrap/>
            <w:hideMark/>
          </w:tcPr>
          <w:p w14:paraId="3E2C08A6" w14:textId="0DC914D3" w:rsidR="00942392" w:rsidRPr="00C002ED" w:rsidRDefault="00942392" w:rsidP="00942392">
            <w:pPr>
              <w:spacing w:after="0" w:line="240" w:lineRule="auto"/>
              <w:jc w:val="center"/>
              <w:rPr>
                <w:rFonts w:cs="Calibri"/>
                <w:sz w:val="20"/>
                <w:lang w:eastAsia="en-AU"/>
              </w:rPr>
            </w:pPr>
            <w:r w:rsidRPr="00C002ED">
              <w:rPr>
                <w:sz w:val="20"/>
              </w:rPr>
              <w:t>200.4627</w:t>
            </w:r>
          </w:p>
        </w:tc>
        <w:tc>
          <w:tcPr>
            <w:tcW w:w="0" w:type="auto"/>
            <w:tcBorders>
              <w:top w:val="nil"/>
              <w:left w:val="nil"/>
              <w:bottom w:val="single" w:sz="4" w:space="0" w:color="auto"/>
              <w:right w:val="nil"/>
            </w:tcBorders>
            <w:vAlign w:val="bottom"/>
          </w:tcPr>
          <w:p w14:paraId="3A54A67D" w14:textId="77777777" w:rsidR="00942392" w:rsidRPr="00C002ED" w:rsidRDefault="00942392" w:rsidP="00942392">
            <w:pPr>
              <w:spacing w:after="0" w:line="240" w:lineRule="auto"/>
              <w:jc w:val="center"/>
              <w:rPr>
                <w:rFonts w:cs="Calibri"/>
                <w:sz w:val="20"/>
                <w:lang w:eastAsia="en-AU"/>
              </w:rPr>
            </w:pPr>
            <w:r w:rsidRPr="00C002ED">
              <w:rPr>
                <w:rFonts w:cs="Calibri"/>
                <w:sz w:val="20"/>
                <w:lang w:eastAsia="en-AU"/>
              </w:rPr>
              <w:t>6</w:t>
            </w:r>
          </w:p>
        </w:tc>
        <w:tc>
          <w:tcPr>
            <w:tcW w:w="0" w:type="auto"/>
            <w:tcBorders>
              <w:top w:val="nil"/>
              <w:left w:val="nil"/>
              <w:bottom w:val="single" w:sz="4" w:space="0" w:color="auto"/>
              <w:right w:val="nil"/>
            </w:tcBorders>
            <w:noWrap/>
            <w:hideMark/>
          </w:tcPr>
          <w:p w14:paraId="5C83EF9C" w14:textId="7E7CE752" w:rsidR="00942392" w:rsidRPr="00C002ED" w:rsidRDefault="00942392" w:rsidP="00942392">
            <w:pPr>
              <w:spacing w:after="0" w:line="240" w:lineRule="auto"/>
              <w:jc w:val="center"/>
              <w:rPr>
                <w:rFonts w:cs="Calibri"/>
                <w:sz w:val="20"/>
                <w:lang w:eastAsia="en-AU"/>
              </w:rPr>
            </w:pPr>
            <w:r w:rsidRPr="00C002ED">
              <w:rPr>
                <w:sz w:val="20"/>
              </w:rPr>
              <w:t>373.7276</w:t>
            </w:r>
          </w:p>
        </w:tc>
        <w:tc>
          <w:tcPr>
            <w:tcW w:w="0" w:type="auto"/>
            <w:tcBorders>
              <w:top w:val="nil"/>
              <w:left w:val="nil"/>
              <w:bottom w:val="single" w:sz="4" w:space="0" w:color="auto"/>
              <w:right w:val="nil"/>
            </w:tcBorders>
            <w:noWrap/>
            <w:vAlign w:val="bottom"/>
            <w:hideMark/>
          </w:tcPr>
          <w:p w14:paraId="4C8C2A95" w14:textId="77777777" w:rsidR="00942392" w:rsidRPr="00C002ED" w:rsidRDefault="00942392" w:rsidP="00942392">
            <w:pPr>
              <w:spacing w:after="0" w:line="240" w:lineRule="auto"/>
              <w:jc w:val="center"/>
              <w:rPr>
                <w:rFonts w:cs="Calibri"/>
                <w:sz w:val="20"/>
                <w:lang w:eastAsia="en-AU"/>
              </w:rPr>
            </w:pPr>
            <w:r w:rsidRPr="00C002ED">
              <w:rPr>
                <w:rFonts w:cs="Calibri"/>
                <w:sz w:val="20"/>
                <w:lang w:eastAsia="en-AU"/>
              </w:rPr>
              <w:t>&lt;0.001</w:t>
            </w:r>
          </w:p>
        </w:tc>
      </w:tr>
    </w:tbl>
    <w:p w14:paraId="4AC51243" w14:textId="366E5590" w:rsidR="00656EBF" w:rsidRPr="00424090" w:rsidRDefault="00656EBF">
      <w:pPr>
        <w:spacing w:before="0" w:after="160" w:line="259" w:lineRule="auto"/>
        <w:jc w:val="left"/>
        <w:rPr>
          <w:rFonts w:eastAsia="MS Mincho" w:cs="Arial"/>
          <w:b/>
          <w:bCs/>
          <w:color w:val="auto"/>
          <w:kern w:val="0"/>
          <w:sz w:val="20"/>
          <w:highlight w:val="yellow"/>
          <w:lang w:val="en-US"/>
        </w:rPr>
      </w:pPr>
      <w:bookmarkStart w:id="614" w:name="_Ref61342475"/>
    </w:p>
    <w:p w14:paraId="62F73B71" w14:textId="722F7964" w:rsidR="008220AE" w:rsidRPr="00A9302C" w:rsidRDefault="008220AE" w:rsidP="00605FB2">
      <w:pPr>
        <w:pStyle w:val="Captions"/>
        <w:rPr>
          <w:noProof/>
          <w:lang w:eastAsia="en-AU"/>
        </w:rPr>
      </w:pPr>
      <w:bookmarkStart w:id="615" w:name="_Ref63949008"/>
      <w:bookmarkEnd w:id="614"/>
      <w:r w:rsidRPr="00A9302C">
        <w:lastRenderedPageBreak/>
        <w:t xml:space="preserve">Table </w:t>
      </w:r>
      <w:r w:rsidR="00145C00" w:rsidRPr="00A9302C">
        <w:t>C</w:t>
      </w:r>
      <w:r w:rsidR="008865D1">
        <w:t>2</w:t>
      </w:r>
      <w:r w:rsidR="00FB33C3">
        <w:t>1</w:t>
      </w:r>
      <w:r w:rsidRPr="00A9302C">
        <w:rPr>
          <w:noProof/>
          <w:lang w:eastAsia="en-AU"/>
        </w:rPr>
        <w:t>. PERMANOVA pairwise comparisons of the relative condition index (K</w:t>
      </w:r>
      <w:r w:rsidRPr="00A9302C">
        <w:rPr>
          <w:i/>
          <w:noProof/>
          <w:lang w:eastAsia="en-AU"/>
        </w:rPr>
        <w:t>rel</w:t>
      </w:r>
      <w:r w:rsidRPr="00A9302C">
        <w:rPr>
          <w:noProof/>
          <w:lang w:eastAsia="en-AU"/>
        </w:rPr>
        <w:t>) of YOY Murray cod between years (weir pools pooled). P-values presented in bold are significant comparisons (α = 0.05).</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of PERMANOVA pairwise comparisons of the relative condition index of YOY Murray cod between years."/>
      </w:tblPr>
      <w:tblGrid>
        <w:gridCol w:w="2778"/>
        <w:gridCol w:w="2254"/>
        <w:gridCol w:w="2254"/>
      </w:tblGrid>
      <w:tr w:rsidR="008220AE" w:rsidRPr="00C002ED" w14:paraId="08FD5A02" w14:textId="77777777" w:rsidTr="00073893">
        <w:trPr>
          <w:trHeight w:val="340"/>
          <w:tblHeader/>
          <w:jc w:val="center"/>
        </w:trPr>
        <w:tc>
          <w:tcPr>
            <w:tcW w:w="2778" w:type="dxa"/>
            <w:tcBorders>
              <w:top w:val="single" w:sz="4" w:space="0" w:color="auto"/>
              <w:bottom w:val="single" w:sz="4" w:space="0" w:color="auto"/>
            </w:tcBorders>
          </w:tcPr>
          <w:p w14:paraId="41B04C32" w14:textId="77777777" w:rsidR="008220AE" w:rsidRPr="00C002ED" w:rsidRDefault="008220AE" w:rsidP="00073893">
            <w:pPr>
              <w:spacing w:line="240" w:lineRule="auto"/>
              <w:contextualSpacing/>
              <w:jc w:val="center"/>
              <w:rPr>
                <w:b/>
                <w:noProof/>
                <w:sz w:val="20"/>
                <w:lang w:eastAsia="en-AU"/>
              </w:rPr>
            </w:pPr>
            <w:r w:rsidRPr="00C002ED">
              <w:rPr>
                <w:b/>
                <w:noProof/>
                <w:sz w:val="20"/>
                <w:lang w:eastAsia="en-AU"/>
              </w:rPr>
              <w:t>Comparison</w:t>
            </w:r>
          </w:p>
        </w:tc>
        <w:tc>
          <w:tcPr>
            <w:tcW w:w="2254" w:type="dxa"/>
            <w:tcBorders>
              <w:top w:val="single" w:sz="4" w:space="0" w:color="auto"/>
              <w:bottom w:val="single" w:sz="4" w:space="0" w:color="auto"/>
            </w:tcBorders>
          </w:tcPr>
          <w:p w14:paraId="2367F474" w14:textId="77777777" w:rsidR="008220AE" w:rsidRPr="00C002ED" w:rsidRDefault="008220AE" w:rsidP="00073893">
            <w:pPr>
              <w:spacing w:line="240" w:lineRule="auto"/>
              <w:contextualSpacing/>
              <w:jc w:val="center"/>
              <w:rPr>
                <w:b/>
                <w:i/>
                <w:noProof/>
                <w:sz w:val="20"/>
                <w:lang w:eastAsia="en-AU"/>
              </w:rPr>
            </w:pPr>
            <w:r w:rsidRPr="00C002ED">
              <w:rPr>
                <w:b/>
                <w:i/>
                <w:noProof/>
                <w:sz w:val="20"/>
                <w:lang w:eastAsia="en-AU"/>
              </w:rPr>
              <w:t>t</w:t>
            </w:r>
          </w:p>
        </w:tc>
        <w:tc>
          <w:tcPr>
            <w:tcW w:w="2254" w:type="dxa"/>
            <w:tcBorders>
              <w:top w:val="single" w:sz="4" w:space="0" w:color="auto"/>
              <w:bottom w:val="single" w:sz="4" w:space="0" w:color="auto"/>
            </w:tcBorders>
          </w:tcPr>
          <w:p w14:paraId="6619DB42" w14:textId="77777777" w:rsidR="008220AE" w:rsidRPr="00C002ED" w:rsidRDefault="008220AE" w:rsidP="00073893">
            <w:pPr>
              <w:spacing w:line="240" w:lineRule="auto"/>
              <w:contextualSpacing/>
              <w:jc w:val="center"/>
              <w:rPr>
                <w:b/>
                <w:noProof/>
                <w:sz w:val="20"/>
                <w:lang w:eastAsia="en-AU"/>
              </w:rPr>
            </w:pPr>
            <w:r w:rsidRPr="00C002ED">
              <w:rPr>
                <w:b/>
                <w:i/>
                <w:noProof/>
                <w:sz w:val="20"/>
                <w:lang w:eastAsia="en-AU"/>
              </w:rPr>
              <w:t>p</w:t>
            </w:r>
            <w:r w:rsidRPr="00C002ED">
              <w:rPr>
                <w:b/>
                <w:noProof/>
                <w:sz w:val="20"/>
                <w:lang w:eastAsia="en-AU"/>
              </w:rPr>
              <w:t xml:space="preserve"> value</w:t>
            </w:r>
          </w:p>
        </w:tc>
      </w:tr>
      <w:tr w:rsidR="009322A2" w:rsidRPr="00C002ED" w14:paraId="0A3F0D25" w14:textId="77777777" w:rsidTr="00073893">
        <w:trPr>
          <w:trHeight w:val="283"/>
          <w:jc w:val="center"/>
        </w:trPr>
        <w:tc>
          <w:tcPr>
            <w:tcW w:w="2778" w:type="dxa"/>
            <w:tcBorders>
              <w:top w:val="single" w:sz="4" w:space="0" w:color="auto"/>
            </w:tcBorders>
          </w:tcPr>
          <w:p w14:paraId="7A72A8D5" w14:textId="3661BF71" w:rsidR="009322A2" w:rsidRPr="00C002ED" w:rsidRDefault="009322A2" w:rsidP="009322A2">
            <w:pPr>
              <w:spacing w:line="240" w:lineRule="auto"/>
              <w:contextualSpacing/>
              <w:jc w:val="center"/>
              <w:rPr>
                <w:b/>
                <w:noProof/>
                <w:sz w:val="20"/>
                <w:highlight w:val="yellow"/>
                <w:lang w:eastAsia="en-AU"/>
              </w:rPr>
            </w:pPr>
            <w:r w:rsidRPr="00C002ED">
              <w:rPr>
                <w:sz w:val="20"/>
              </w:rPr>
              <w:t>2015, 2016</w:t>
            </w:r>
          </w:p>
        </w:tc>
        <w:tc>
          <w:tcPr>
            <w:tcW w:w="2254" w:type="dxa"/>
            <w:tcBorders>
              <w:top w:val="single" w:sz="4" w:space="0" w:color="auto"/>
            </w:tcBorders>
          </w:tcPr>
          <w:p w14:paraId="1BC3F6BB" w14:textId="74E3E9D2" w:rsidR="009322A2" w:rsidRPr="00C002ED" w:rsidRDefault="009322A2" w:rsidP="009322A2">
            <w:pPr>
              <w:spacing w:line="240" w:lineRule="auto"/>
              <w:contextualSpacing/>
              <w:jc w:val="center"/>
              <w:rPr>
                <w:b/>
                <w:noProof/>
                <w:sz w:val="20"/>
                <w:highlight w:val="yellow"/>
                <w:lang w:eastAsia="en-AU"/>
              </w:rPr>
            </w:pPr>
            <w:r w:rsidRPr="00C002ED">
              <w:rPr>
                <w:sz w:val="20"/>
              </w:rPr>
              <w:t>2.7466</w:t>
            </w:r>
          </w:p>
        </w:tc>
        <w:tc>
          <w:tcPr>
            <w:tcW w:w="2254" w:type="dxa"/>
            <w:tcBorders>
              <w:top w:val="single" w:sz="4" w:space="0" w:color="auto"/>
            </w:tcBorders>
          </w:tcPr>
          <w:p w14:paraId="47DD2772" w14:textId="719EA417" w:rsidR="009322A2" w:rsidRPr="00C002ED" w:rsidRDefault="009322A2" w:rsidP="009322A2">
            <w:pPr>
              <w:spacing w:line="240" w:lineRule="auto"/>
              <w:contextualSpacing/>
              <w:jc w:val="center"/>
              <w:rPr>
                <w:b/>
                <w:bCs/>
                <w:noProof/>
                <w:sz w:val="20"/>
                <w:highlight w:val="yellow"/>
                <w:lang w:eastAsia="en-AU"/>
              </w:rPr>
            </w:pPr>
            <w:r w:rsidRPr="00C002ED">
              <w:rPr>
                <w:b/>
                <w:bCs/>
                <w:sz w:val="20"/>
              </w:rPr>
              <w:t>0.0097</w:t>
            </w:r>
          </w:p>
        </w:tc>
      </w:tr>
      <w:tr w:rsidR="009322A2" w:rsidRPr="00C002ED" w14:paraId="5A15AB43" w14:textId="77777777" w:rsidTr="00073893">
        <w:trPr>
          <w:trHeight w:val="283"/>
          <w:jc w:val="center"/>
        </w:trPr>
        <w:tc>
          <w:tcPr>
            <w:tcW w:w="2778" w:type="dxa"/>
          </w:tcPr>
          <w:p w14:paraId="2FE7F7EB" w14:textId="51B6984A" w:rsidR="009322A2" w:rsidRPr="00C002ED" w:rsidRDefault="009322A2" w:rsidP="009322A2">
            <w:pPr>
              <w:spacing w:line="240" w:lineRule="auto"/>
              <w:contextualSpacing/>
              <w:jc w:val="center"/>
              <w:rPr>
                <w:b/>
                <w:noProof/>
                <w:sz w:val="20"/>
                <w:highlight w:val="yellow"/>
                <w:lang w:eastAsia="en-AU"/>
              </w:rPr>
            </w:pPr>
            <w:r w:rsidRPr="00C002ED">
              <w:rPr>
                <w:sz w:val="20"/>
              </w:rPr>
              <w:t>2015, 2017</w:t>
            </w:r>
          </w:p>
        </w:tc>
        <w:tc>
          <w:tcPr>
            <w:tcW w:w="2254" w:type="dxa"/>
          </w:tcPr>
          <w:p w14:paraId="711EC40A" w14:textId="11E6CAE9" w:rsidR="009322A2" w:rsidRPr="00C002ED" w:rsidRDefault="009322A2" w:rsidP="009322A2">
            <w:pPr>
              <w:spacing w:line="240" w:lineRule="auto"/>
              <w:contextualSpacing/>
              <w:jc w:val="center"/>
              <w:rPr>
                <w:b/>
                <w:noProof/>
                <w:sz w:val="20"/>
                <w:highlight w:val="yellow"/>
                <w:lang w:eastAsia="en-AU"/>
              </w:rPr>
            </w:pPr>
            <w:r w:rsidRPr="00C002ED">
              <w:rPr>
                <w:sz w:val="20"/>
              </w:rPr>
              <w:t>0.5474</w:t>
            </w:r>
          </w:p>
        </w:tc>
        <w:tc>
          <w:tcPr>
            <w:tcW w:w="2254" w:type="dxa"/>
          </w:tcPr>
          <w:p w14:paraId="4453B363" w14:textId="32A18886" w:rsidR="009322A2" w:rsidRPr="00C002ED" w:rsidRDefault="009322A2" w:rsidP="009322A2">
            <w:pPr>
              <w:spacing w:line="240" w:lineRule="auto"/>
              <w:contextualSpacing/>
              <w:jc w:val="center"/>
              <w:rPr>
                <w:b/>
                <w:bCs/>
                <w:noProof/>
                <w:sz w:val="20"/>
                <w:highlight w:val="yellow"/>
                <w:lang w:eastAsia="en-AU"/>
              </w:rPr>
            </w:pPr>
            <w:r w:rsidRPr="00C002ED">
              <w:rPr>
                <w:sz w:val="20"/>
              </w:rPr>
              <w:t>0.5789</w:t>
            </w:r>
          </w:p>
        </w:tc>
      </w:tr>
      <w:tr w:rsidR="009322A2" w:rsidRPr="00C002ED" w14:paraId="7C99E00C" w14:textId="77777777" w:rsidTr="00073893">
        <w:trPr>
          <w:trHeight w:val="283"/>
          <w:jc w:val="center"/>
        </w:trPr>
        <w:tc>
          <w:tcPr>
            <w:tcW w:w="2778" w:type="dxa"/>
          </w:tcPr>
          <w:p w14:paraId="0C58226D" w14:textId="1E0A3321" w:rsidR="009322A2" w:rsidRPr="00C002ED" w:rsidRDefault="009322A2" w:rsidP="009322A2">
            <w:pPr>
              <w:spacing w:line="240" w:lineRule="auto"/>
              <w:contextualSpacing/>
              <w:jc w:val="center"/>
              <w:rPr>
                <w:b/>
                <w:noProof/>
                <w:sz w:val="20"/>
                <w:highlight w:val="yellow"/>
                <w:lang w:eastAsia="en-AU"/>
              </w:rPr>
            </w:pPr>
            <w:r w:rsidRPr="00C002ED">
              <w:rPr>
                <w:sz w:val="20"/>
              </w:rPr>
              <w:t>2015, 2018</w:t>
            </w:r>
          </w:p>
        </w:tc>
        <w:tc>
          <w:tcPr>
            <w:tcW w:w="2254" w:type="dxa"/>
          </w:tcPr>
          <w:p w14:paraId="2C2D7775" w14:textId="5156D8A1" w:rsidR="009322A2" w:rsidRPr="00C002ED" w:rsidRDefault="009322A2" w:rsidP="009322A2">
            <w:pPr>
              <w:spacing w:line="240" w:lineRule="auto"/>
              <w:contextualSpacing/>
              <w:jc w:val="center"/>
              <w:rPr>
                <w:b/>
                <w:noProof/>
                <w:sz w:val="20"/>
                <w:highlight w:val="yellow"/>
                <w:lang w:eastAsia="en-AU"/>
              </w:rPr>
            </w:pPr>
            <w:r w:rsidRPr="00C002ED">
              <w:rPr>
                <w:sz w:val="20"/>
              </w:rPr>
              <w:t>1.2836</w:t>
            </w:r>
          </w:p>
        </w:tc>
        <w:tc>
          <w:tcPr>
            <w:tcW w:w="2254" w:type="dxa"/>
          </w:tcPr>
          <w:p w14:paraId="674C7E65" w14:textId="17F84A6E" w:rsidR="009322A2" w:rsidRPr="00C002ED" w:rsidRDefault="009322A2" w:rsidP="009322A2">
            <w:pPr>
              <w:spacing w:line="240" w:lineRule="auto"/>
              <w:contextualSpacing/>
              <w:jc w:val="center"/>
              <w:rPr>
                <w:noProof/>
                <w:sz w:val="20"/>
                <w:highlight w:val="yellow"/>
                <w:lang w:eastAsia="en-AU"/>
              </w:rPr>
            </w:pPr>
            <w:r w:rsidRPr="00C002ED">
              <w:rPr>
                <w:sz w:val="20"/>
              </w:rPr>
              <w:t>0.2235</w:t>
            </w:r>
          </w:p>
        </w:tc>
      </w:tr>
      <w:tr w:rsidR="009322A2" w:rsidRPr="00C002ED" w14:paraId="3FAC4F1D" w14:textId="77777777" w:rsidTr="00073893">
        <w:trPr>
          <w:trHeight w:val="283"/>
          <w:jc w:val="center"/>
        </w:trPr>
        <w:tc>
          <w:tcPr>
            <w:tcW w:w="2778" w:type="dxa"/>
          </w:tcPr>
          <w:p w14:paraId="36353A20" w14:textId="01C8084A" w:rsidR="009322A2" w:rsidRPr="00C002ED" w:rsidRDefault="009322A2" w:rsidP="009322A2">
            <w:pPr>
              <w:spacing w:line="240" w:lineRule="auto"/>
              <w:contextualSpacing/>
              <w:jc w:val="center"/>
              <w:rPr>
                <w:b/>
                <w:noProof/>
                <w:sz w:val="20"/>
                <w:highlight w:val="yellow"/>
                <w:lang w:eastAsia="en-AU"/>
              </w:rPr>
            </w:pPr>
            <w:r w:rsidRPr="00C002ED">
              <w:rPr>
                <w:sz w:val="20"/>
              </w:rPr>
              <w:t>2015, 2019</w:t>
            </w:r>
          </w:p>
        </w:tc>
        <w:tc>
          <w:tcPr>
            <w:tcW w:w="2254" w:type="dxa"/>
          </w:tcPr>
          <w:p w14:paraId="3303AA94" w14:textId="2364E369" w:rsidR="009322A2" w:rsidRPr="00C002ED" w:rsidRDefault="009322A2" w:rsidP="009322A2">
            <w:pPr>
              <w:spacing w:line="240" w:lineRule="auto"/>
              <w:contextualSpacing/>
              <w:jc w:val="center"/>
              <w:rPr>
                <w:b/>
                <w:noProof/>
                <w:sz w:val="20"/>
                <w:highlight w:val="yellow"/>
                <w:lang w:eastAsia="en-AU"/>
              </w:rPr>
            </w:pPr>
            <w:r w:rsidRPr="00C002ED">
              <w:rPr>
                <w:sz w:val="20"/>
              </w:rPr>
              <w:t>1.1412</w:t>
            </w:r>
          </w:p>
        </w:tc>
        <w:tc>
          <w:tcPr>
            <w:tcW w:w="2254" w:type="dxa"/>
          </w:tcPr>
          <w:p w14:paraId="2EB3B826" w14:textId="50782B28" w:rsidR="009322A2" w:rsidRPr="00C002ED" w:rsidRDefault="009322A2" w:rsidP="009322A2">
            <w:pPr>
              <w:spacing w:line="240" w:lineRule="auto"/>
              <w:contextualSpacing/>
              <w:jc w:val="center"/>
              <w:rPr>
                <w:noProof/>
                <w:sz w:val="20"/>
                <w:highlight w:val="yellow"/>
                <w:lang w:eastAsia="en-AU"/>
              </w:rPr>
            </w:pPr>
            <w:r w:rsidRPr="00C002ED">
              <w:rPr>
                <w:sz w:val="20"/>
              </w:rPr>
              <w:t>0.2661</w:t>
            </w:r>
          </w:p>
        </w:tc>
      </w:tr>
      <w:tr w:rsidR="009322A2" w:rsidRPr="00C002ED" w14:paraId="1F22884D" w14:textId="77777777" w:rsidTr="00073893">
        <w:trPr>
          <w:trHeight w:val="283"/>
          <w:jc w:val="center"/>
        </w:trPr>
        <w:tc>
          <w:tcPr>
            <w:tcW w:w="2778" w:type="dxa"/>
          </w:tcPr>
          <w:p w14:paraId="5063E60C" w14:textId="07862266" w:rsidR="009322A2" w:rsidRPr="00C002ED" w:rsidRDefault="009322A2" w:rsidP="009322A2">
            <w:pPr>
              <w:spacing w:line="240" w:lineRule="auto"/>
              <w:contextualSpacing/>
              <w:jc w:val="center"/>
              <w:rPr>
                <w:b/>
                <w:noProof/>
                <w:sz w:val="20"/>
                <w:highlight w:val="yellow"/>
                <w:lang w:eastAsia="en-AU"/>
              </w:rPr>
            </w:pPr>
            <w:r w:rsidRPr="00C002ED">
              <w:rPr>
                <w:sz w:val="20"/>
              </w:rPr>
              <w:t>2015, 2020</w:t>
            </w:r>
          </w:p>
        </w:tc>
        <w:tc>
          <w:tcPr>
            <w:tcW w:w="2254" w:type="dxa"/>
          </w:tcPr>
          <w:p w14:paraId="237D4463" w14:textId="38C8C16D" w:rsidR="009322A2" w:rsidRPr="00C002ED" w:rsidRDefault="009322A2" w:rsidP="009322A2">
            <w:pPr>
              <w:spacing w:line="240" w:lineRule="auto"/>
              <w:contextualSpacing/>
              <w:jc w:val="center"/>
              <w:rPr>
                <w:b/>
                <w:noProof/>
                <w:sz w:val="20"/>
                <w:highlight w:val="yellow"/>
                <w:lang w:eastAsia="en-AU"/>
              </w:rPr>
            </w:pPr>
            <w:r w:rsidRPr="00C002ED">
              <w:rPr>
                <w:sz w:val="20"/>
              </w:rPr>
              <w:t>3.4543</w:t>
            </w:r>
          </w:p>
        </w:tc>
        <w:tc>
          <w:tcPr>
            <w:tcW w:w="2254" w:type="dxa"/>
          </w:tcPr>
          <w:p w14:paraId="17B53E45" w14:textId="122D94A0" w:rsidR="009322A2" w:rsidRPr="00C002ED" w:rsidRDefault="009322A2" w:rsidP="009322A2">
            <w:pPr>
              <w:spacing w:line="240" w:lineRule="auto"/>
              <w:contextualSpacing/>
              <w:jc w:val="center"/>
              <w:rPr>
                <w:b/>
                <w:bCs/>
                <w:noProof/>
                <w:sz w:val="20"/>
                <w:highlight w:val="yellow"/>
                <w:lang w:eastAsia="en-AU"/>
              </w:rPr>
            </w:pPr>
            <w:r w:rsidRPr="00C002ED">
              <w:rPr>
                <w:b/>
                <w:bCs/>
                <w:sz w:val="20"/>
              </w:rPr>
              <w:t>0.0012</w:t>
            </w:r>
          </w:p>
        </w:tc>
      </w:tr>
      <w:tr w:rsidR="009322A2" w:rsidRPr="00C002ED" w14:paraId="7977B2BC" w14:textId="77777777" w:rsidTr="00073893">
        <w:trPr>
          <w:trHeight w:val="283"/>
          <w:jc w:val="center"/>
        </w:trPr>
        <w:tc>
          <w:tcPr>
            <w:tcW w:w="2778" w:type="dxa"/>
          </w:tcPr>
          <w:p w14:paraId="0AD3C466" w14:textId="0C3F64D0" w:rsidR="009322A2" w:rsidRPr="00C002ED" w:rsidRDefault="009322A2" w:rsidP="009322A2">
            <w:pPr>
              <w:spacing w:line="240" w:lineRule="auto"/>
              <w:contextualSpacing/>
              <w:jc w:val="center"/>
              <w:rPr>
                <w:sz w:val="20"/>
                <w:highlight w:val="yellow"/>
              </w:rPr>
            </w:pPr>
            <w:r w:rsidRPr="00C002ED">
              <w:rPr>
                <w:sz w:val="20"/>
              </w:rPr>
              <w:t>2015, 2021</w:t>
            </w:r>
          </w:p>
        </w:tc>
        <w:tc>
          <w:tcPr>
            <w:tcW w:w="2254" w:type="dxa"/>
          </w:tcPr>
          <w:p w14:paraId="79222909" w14:textId="41E9EA57" w:rsidR="009322A2" w:rsidRPr="00C002ED" w:rsidRDefault="009322A2" w:rsidP="009322A2">
            <w:pPr>
              <w:spacing w:line="240" w:lineRule="auto"/>
              <w:contextualSpacing/>
              <w:jc w:val="center"/>
              <w:rPr>
                <w:sz w:val="20"/>
                <w:highlight w:val="yellow"/>
              </w:rPr>
            </w:pPr>
            <w:r w:rsidRPr="00C002ED">
              <w:rPr>
                <w:sz w:val="20"/>
              </w:rPr>
              <w:t>0.7592</w:t>
            </w:r>
          </w:p>
        </w:tc>
        <w:tc>
          <w:tcPr>
            <w:tcW w:w="2254" w:type="dxa"/>
          </w:tcPr>
          <w:p w14:paraId="2E8D3003" w14:textId="544E9053" w:rsidR="009322A2" w:rsidRPr="00C002ED" w:rsidRDefault="009322A2" w:rsidP="009322A2">
            <w:pPr>
              <w:spacing w:line="240" w:lineRule="auto"/>
              <w:contextualSpacing/>
              <w:jc w:val="center"/>
              <w:rPr>
                <w:sz w:val="20"/>
                <w:highlight w:val="yellow"/>
              </w:rPr>
            </w:pPr>
            <w:r w:rsidRPr="00C002ED">
              <w:rPr>
                <w:sz w:val="20"/>
              </w:rPr>
              <w:t>0.4616</w:t>
            </w:r>
          </w:p>
        </w:tc>
      </w:tr>
      <w:tr w:rsidR="009322A2" w:rsidRPr="00C002ED" w14:paraId="7E310090" w14:textId="77777777" w:rsidTr="00073893">
        <w:trPr>
          <w:trHeight w:val="283"/>
          <w:jc w:val="center"/>
        </w:trPr>
        <w:tc>
          <w:tcPr>
            <w:tcW w:w="2778" w:type="dxa"/>
          </w:tcPr>
          <w:p w14:paraId="73BC9EE6" w14:textId="10B615F4" w:rsidR="009322A2" w:rsidRPr="00C002ED" w:rsidRDefault="009322A2" w:rsidP="009322A2">
            <w:pPr>
              <w:spacing w:line="240" w:lineRule="auto"/>
              <w:contextualSpacing/>
              <w:jc w:val="center"/>
              <w:rPr>
                <w:sz w:val="20"/>
                <w:highlight w:val="yellow"/>
              </w:rPr>
            </w:pPr>
            <w:r w:rsidRPr="00C002ED">
              <w:rPr>
                <w:sz w:val="20"/>
              </w:rPr>
              <w:t>2015, 2023</w:t>
            </w:r>
          </w:p>
        </w:tc>
        <w:tc>
          <w:tcPr>
            <w:tcW w:w="2254" w:type="dxa"/>
          </w:tcPr>
          <w:p w14:paraId="2628E028" w14:textId="595692FE" w:rsidR="009322A2" w:rsidRPr="00C002ED" w:rsidRDefault="009322A2" w:rsidP="009322A2">
            <w:pPr>
              <w:spacing w:line="240" w:lineRule="auto"/>
              <w:contextualSpacing/>
              <w:jc w:val="center"/>
              <w:rPr>
                <w:sz w:val="20"/>
                <w:highlight w:val="yellow"/>
              </w:rPr>
            </w:pPr>
            <w:r w:rsidRPr="00C002ED">
              <w:rPr>
                <w:sz w:val="20"/>
              </w:rPr>
              <w:t>1.8736</w:t>
            </w:r>
          </w:p>
        </w:tc>
        <w:tc>
          <w:tcPr>
            <w:tcW w:w="2254" w:type="dxa"/>
          </w:tcPr>
          <w:p w14:paraId="092C2917" w14:textId="08C6C5EF" w:rsidR="009322A2" w:rsidRPr="00C002ED" w:rsidRDefault="009322A2" w:rsidP="009322A2">
            <w:pPr>
              <w:spacing w:line="240" w:lineRule="auto"/>
              <w:contextualSpacing/>
              <w:jc w:val="center"/>
              <w:rPr>
                <w:sz w:val="20"/>
                <w:highlight w:val="yellow"/>
              </w:rPr>
            </w:pPr>
            <w:r w:rsidRPr="00C002ED">
              <w:rPr>
                <w:sz w:val="20"/>
              </w:rPr>
              <w:t>0.0727</w:t>
            </w:r>
          </w:p>
        </w:tc>
      </w:tr>
      <w:tr w:rsidR="009322A2" w:rsidRPr="00C002ED" w14:paraId="33F3C63D" w14:textId="77777777" w:rsidTr="00073893">
        <w:trPr>
          <w:trHeight w:val="283"/>
          <w:jc w:val="center"/>
        </w:trPr>
        <w:tc>
          <w:tcPr>
            <w:tcW w:w="2778" w:type="dxa"/>
          </w:tcPr>
          <w:p w14:paraId="0010D9BA" w14:textId="07C5480D" w:rsidR="009322A2" w:rsidRPr="00C002ED" w:rsidRDefault="009322A2" w:rsidP="009322A2">
            <w:pPr>
              <w:spacing w:line="240" w:lineRule="auto"/>
              <w:contextualSpacing/>
              <w:jc w:val="center"/>
              <w:rPr>
                <w:b/>
                <w:noProof/>
                <w:sz w:val="20"/>
                <w:highlight w:val="yellow"/>
                <w:lang w:eastAsia="en-AU"/>
              </w:rPr>
            </w:pPr>
            <w:r w:rsidRPr="00C002ED">
              <w:rPr>
                <w:sz w:val="20"/>
              </w:rPr>
              <w:t>2015, 2024</w:t>
            </w:r>
          </w:p>
        </w:tc>
        <w:tc>
          <w:tcPr>
            <w:tcW w:w="2254" w:type="dxa"/>
          </w:tcPr>
          <w:p w14:paraId="217D58C3" w14:textId="4E78B525" w:rsidR="009322A2" w:rsidRPr="00C002ED" w:rsidRDefault="009322A2" w:rsidP="009322A2">
            <w:pPr>
              <w:spacing w:line="240" w:lineRule="auto"/>
              <w:contextualSpacing/>
              <w:jc w:val="center"/>
              <w:rPr>
                <w:b/>
                <w:noProof/>
                <w:sz w:val="20"/>
                <w:highlight w:val="yellow"/>
                <w:lang w:eastAsia="en-AU"/>
              </w:rPr>
            </w:pPr>
            <w:r w:rsidRPr="00C002ED">
              <w:rPr>
                <w:sz w:val="20"/>
              </w:rPr>
              <w:t>2.4963</w:t>
            </w:r>
          </w:p>
        </w:tc>
        <w:tc>
          <w:tcPr>
            <w:tcW w:w="2254" w:type="dxa"/>
          </w:tcPr>
          <w:p w14:paraId="60C3006A" w14:textId="6FC6F9DD" w:rsidR="009322A2" w:rsidRPr="00C002ED" w:rsidRDefault="009322A2" w:rsidP="009322A2">
            <w:pPr>
              <w:spacing w:line="240" w:lineRule="auto"/>
              <w:contextualSpacing/>
              <w:jc w:val="center"/>
              <w:rPr>
                <w:b/>
                <w:bCs/>
                <w:noProof/>
                <w:sz w:val="20"/>
                <w:highlight w:val="yellow"/>
                <w:lang w:eastAsia="en-AU"/>
              </w:rPr>
            </w:pPr>
            <w:r w:rsidRPr="00C002ED">
              <w:rPr>
                <w:b/>
                <w:bCs/>
                <w:sz w:val="20"/>
              </w:rPr>
              <w:t>0.0257</w:t>
            </w:r>
          </w:p>
        </w:tc>
      </w:tr>
      <w:tr w:rsidR="009322A2" w:rsidRPr="00C002ED" w14:paraId="15A7EF11" w14:textId="77777777" w:rsidTr="00073893">
        <w:trPr>
          <w:trHeight w:val="283"/>
          <w:jc w:val="center"/>
        </w:trPr>
        <w:tc>
          <w:tcPr>
            <w:tcW w:w="2778" w:type="dxa"/>
          </w:tcPr>
          <w:p w14:paraId="2A08E2EF" w14:textId="6FEE53AE" w:rsidR="009322A2" w:rsidRPr="00C002ED" w:rsidRDefault="009322A2" w:rsidP="009322A2">
            <w:pPr>
              <w:spacing w:line="240" w:lineRule="auto"/>
              <w:contextualSpacing/>
              <w:jc w:val="center"/>
              <w:rPr>
                <w:b/>
                <w:noProof/>
                <w:sz w:val="20"/>
                <w:highlight w:val="yellow"/>
                <w:lang w:eastAsia="en-AU"/>
              </w:rPr>
            </w:pPr>
            <w:r w:rsidRPr="00C002ED">
              <w:rPr>
                <w:sz w:val="20"/>
              </w:rPr>
              <w:t>2016, 2017</w:t>
            </w:r>
          </w:p>
        </w:tc>
        <w:tc>
          <w:tcPr>
            <w:tcW w:w="2254" w:type="dxa"/>
          </w:tcPr>
          <w:p w14:paraId="31F6BD52" w14:textId="3F6961F0" w:rsidR="009322A2" w:rsidRPr="00C002ED" w:rsidRDefault="009322A2" w:rsidP="009322A2">
            <w:pPr>
              <w:spacing w:line="240" w:lineRule="auto"/>
              <w:contextualSpacing/>
              <w:jc w:val="center"/>
              <w:rPr>
                <w:b/>
                <w:noProof/>
                <w:sz w:val="20"/>
                <w:highlight w:val="yellow"/>
                <w:lang w:eastAsia="en-AU"/>
              </w:rPr>
            </w:pPr>
            <w:r w:rsidRPr="00C002ED">
              <w:rPr>
                <w:sz w:val="20"/>
              </w:rPr>
              <w:t>2.7151</w:t>
            </w:r>
          </w:p>
        </w:tc>
        <w:tc>
          <w:tcPr>
            <w:tcW w:w="2254" w:type="dxa"/>
          </w:tcPr>
          <w:p w14:paraId="61C9CC1A" w14:textId="314C4727" w:rsidR="009322A2" w:rsidRPr="00C002ED" w:rsidRDefault="009322A2" w:rsidP="009322A2">
            <w:pPr>
              <w:spacing w:line="240" w:lineRule="auto"/>
              <w:contextualSpacing/>
              <w:jc w:val="center"/>
              <w:rPr>
                <w:b/>
                <w:bCs/>
                <w:noProof/>
                <w:sz w:val="20"/>
                <w:highlight w:val="yellow"/>
                <w:lang w:eastAsia="en-AU"/>
              </w:rPr>
            </w:pPr>
            <w:r w:rsidRPr="00C002ED">
              <w:rPr>
                <w:b/>
                <w:bCs/>
                <w:sz w:val="20"/>
              </w:rPr>
              <w:t>0.0142</w:t>
            </w:r>
          </w:p>
        </w:tc>
      </w:tr>
      <w:tr w:rsidR="009322A2" w:rsidRPr="00C002ED" w14:paraId="1316CDB7" w14:textId="77777777" w:rsidTr="00073893">
        <w:trPr>
          <w:trHeight w:val="283"/>
          <w:jc w:val="center"/>
        </w:trPr>
        <w:tc>
          <w:tcPr>
            <w:tcW w:w="2778" w:type="dxa"/>
          </w:tcPr>
          <w:p w14:paraId="668B2F0C" w14:textId="6E41219A" w:rsidR="009322A2" w:rsidRPr="00C002ED" w:rsidRDefault="009322A2" w:rsidP="009322A2">
            <w:pPr>
              <w:spacing w:line="240" w:lineRule="auto"/>
              <w:contextualSpacing/>
              <w:jc w:val="center"/>
              <w:rPr>
                <w:b/>
                <w:noProof/>
                <w:sz w:val="20"/>
                <w:highlight w:val="yellow"/>
                <w:lang w:eastAsia="en-AU"/>
              </w:rPr>
            </w:pPr>
            <w:r w:rsidRPr="00C002ED">
              <w:rPr>
                <w:sz w:val="20"/>
              </w:rPr>
              <w:t>2016, 2018</w:t>
            </w:r>
          </w:p>
        </w:tc>
        <w:tc>
          <w:tcPr>
            <w:tcW w:w="2254" w:type="dxa"/>
          </w:tcPr>
          <w:p w14:paraId="0498D154" w14:textId="365E9E38" w:rsidR="009322A2" w:rsidRPr="00C002ED" w:rsidRDefault="009322A2" w:rsidP="009322A2">
            <w:pPr>
              <w:spacing w:line="240" w:lineRule="auto"/>
              <w:contextualSpacing/>
              <w:jc w:val="center"/>
              <w:rPr>
                <w:b/>
                <w:noProof/>
                <w:sz w:val="20"/>
                <w:highlight w:val="yellow"/>
                <w:lang w:eastAsia="en-AU"/>
              </w:rPr>
            </w:pPr>
            <w:r w:rsidRPr="00C002ED">
              <w:rPr>
                <w:sz w:val="20"/>
              </w:rPr>
              <w:t>0.9046</w:t>
            </w:r>
          </w:p>
        </w:tc>
        <w:tc>
          <w:tcPr>
            <w:tcW w:w="2254" w:type="dxa"/>
          </w:tcPr>
          <w:p w14:paraId="75A3418E" w14:textId="02437B0A" w:rsidR="009322A2" w:rsidRPr="00C002ED" w:rsidRDefault="009322A2" w:rsidP="009322A2">
            <w:pPr>
              <w:spacing w:line="240" w:lineRule="auto"/>
              <w:contextualSpacing/>
              <w:jc w:val="center"/>
              <w:rPr>
                <w:b/>
                <w:bCs/>
                <w:noProof/>
                <w:sz w:val="20"/>
                <w:highlight w:val="yellow"/>
                <w:lang w:eastAsia="en-AU"/>
              </w:rPr>
            </w:pPr>
            <w:r w:rsidRPr="00C002ED">
              <w:rPr>
                <w:sz w:val="20"/>
              </w:rPr>
              <w:t>0.3723</w:t>
            </w:r>
          </w:p>
        </w:tc>
      </w:tr>
      <w:tr w:rsidR="009322A2" w:rsidRPr="00C002ED" w14:paraId="64214FE7" w14:textId="77777777" w:rsidTr="00073893">
        <w:trPr>
          <w:trHeight w:val="283"/>
          <w:jc w:val="center"/>
        </w:trPr>
        <w:tc>
          <w:tcPr>
            <w:tcW w:w="2778" w:type="dxa"/>
          </w:tcPr>
          <w:p w14:paraId="6CDE92F6" w14:textId="47112900" w:rsidR="009322A2" w:rsidRPr="00C002ED" w:rsidRDefault="009322A2" w:rsidP="009322A2">
            <w:pPr>
              <w:spacing w:line="240" w:lineRule="auto"/>
              <w:contextualSpacing/>
              <w:jc w:val="center"/>
              <w:rPr>
                <w:b/>
                <w:noProof/>
                <w:sz w:val="20"/>
                <w:highlight w:val="yellow"/>
                <w:lang w:eastAsia="en-AU"/>
              </w:rPr>
            </w:pPr>
            <w:r w:rsidRPr="00C002ED">
              <w:rPr>
                <w:sz w:val="20"/>
              </w:rPr>
              <w:t>2016, 2019</w:t>
            </w:r>
          </w:p>
        </w:tc>
        <w:tc>
          <w:tcPr>
            <w:tcW w:w="2254" w:type="dxa"/>
          </w:tcPr>
          <w:p w14:paraId="31B8CB06" w14:textId="693FB637" w:rsidR="009322A2" w:rsidRPr="00C002ED" w:rsidRDefault="009322A2" w:rsidP="009322A2">
            <w:pPr>
              <w:spacing w:line="240" w:lineRule="auto"/>
              <w:contextualSpacing/>
              <w:jc w:val="center"/>
              <w:rPr>
                <w:b/>
                <w:noProof/>
                <w:sz w:val="20"/>
                <w:highlight w:val="yellow"/>
                <w:lang w:eastAsia="en-AU"/>
              </w:rPr>
            </w:pPr>
            <w:r w:rsidRPr="00C002ED">
              <w:rPr>
                <w:sz w:val="20"/>
              </w:rPr>
              <w:t>2.1638</w:t>
            </w:r>
          </w:p>
        </w:tc>
        <w:tc>
          <w:tcPr>
            <w:tcW w:w="2254" w:type="dxa"/>
          </w:tcPr>
          <w:p w14:paraId="19516F23" w14:textId="0B137A69" w:rsidR="009322A2" w:rsidRPr="00C002ED" w:rsidRDefault="009322A2" w:rsidP="009322A2">
            <w:pPr>
              <w:spacing w:line="240" w:lineRule="auto"/>
              <w:contextualSpacing/>
              <w:jc w:val="center"/>
              <w:rPr>
                <w:b/>
                <w:bCs/>
                <w:noProof/>
                <w:sz w:val="20"/>
                <w:highlight w:val="yellow"/>
                <w:lang w:eastAsia="en-AU"/>
              </w:rPr>
            </w:pPr>
            <w:r w:rsidRPr="00C002ED">
              <w:rPr>
                <w:b/>
                <w:bCs/>
                <w:sz w:val="20"/>
              </w:rPr>
              <w:t>0.0395</w:t>
            </w:r>
          </w:p>
        </w:tc>
      </w:tr>
      <w:tr w:rsidR="009322A2" w:rsidRPr="00C002ED" w14:paraId="4CCCD078" w14:textId="77777777" w:rsidTr="00073893">
        <w:trPr>
          <w:trHeight w:val="283"/>
          <w:jc w:val="center"/>
        </w:trPr>
        <w:tc>
          <w:tcPr>
            <w:tcW w:w="2778" w:type="dxa"/>
          </w:tcPr>
          <w:p w14:paraId="6D0347FA" w14:textId="7A50D192" w:rsidR="009322A2" w:rsidRPr="00C002ED" w:rsidRDefault="009322A2" w:rsidP="009322A2">
            <w:pPr>
              <w:spacing w:line="240" w:lineRule="auto"/>
              <w:contextualSpacing/>
              <w:jc w:val="center"/>
              <w:rPr>
                <w:sz w:val="20"/>
                <w:highlight w:val="yellow"/>
              </w:rPr>
            </w:pPr>
            <w:r w:rsidRPr="00C002ED">
              <w:rPr>
                <w:sz w:val="20"/>
              </w:rPr>
              <w:t>2016, 2020</w:t>
            </w:r>
          </w:p>
        </w:tc>
        <w:tc>
          <w:tcPr>
            <w:tcW w:w="2254" w:type="dxa"/>
          </w:tcPr>
          <w:p w14:paraId="31ED33B6" w14:textId="47AE72A8" w:rsidR="009322A2" w:rsidRPr="00C002ED" w:rsidRDefault="009322A2" w:rsidP="009322A2">
            <w:pPr>
              <w:spacing w:line="240" w:lineRule="auto"/>
              <w:contextualSpacing/>
              <w:jc w:val="center"/>
              <w:rPr>
                <w:sz w:val="20"/>
                <w:highlight w:val="yellow"/>
              </w:rPr>
            </w:pPr>
            <w:r w:rsidRPr="00C002ED">
              <w:rPr>
                <w:sz w:val="20"/>
              </w:rPr>
              <w:t>1.0112</w:t>
            </w:r>
          </w:p>
        </w:tc>
        <w:tc>
          <w:tcPr>
            <w:tcW w:w="2254" w:type="dxa"/>
          </w:tcPr>
          <w:p w14:paraId="73E5AA8D" w14:textId="3C577472" w:rsidR="009322A2" w:rsidRPr="00C002ED" w:rsidRDefault="009322A2" w:rsidP="009322A2">
            <w:pPr>
              <w:spacing w:line="240" w:lineRule="auto"/>
              <w:contextualSpacing/>
              <w:jc w:val="center"/>
              <w:rPr>
                <w:b/>
                <w:bCs/>
                <w:sz w:val="20"/>
                <w:highlight w:val="yellow"/>
              </w:rPr>
            </w:pPr>
            <w:r w:rsidRPr="00C002ED">
              <w:rPr>
                <w:sz w:val="20"/>
              </w:rPr>
              <w:t>0.3195</w:t>
            </w:r>
          </w:p>
        </w:tc>
      </w:tr>
      <w:tr w:rsidR="009322A2" w:rsidRPr="00C002ED" w14:paraId="7B7F0381" w14:textId="77777777" w:rsidTr="00073893">
        <w:trPr>
          <w:trHeight w:val="283"/>
          <w:jc w:val="center"/>
        </w:trPr>
        <w:tc>
          <w:tcPr>
            <w:tcW w:w="2778" w:type="dxa"/>
          </w:tcPr>
          <w:p w14:paraId="31599B5F" w14:textId="3C9169CA" w:rsidR="009322A2" w:rsidRPr="00C002ED" w:rsidRDefault="009322A2" w:rsidP="009322A2">
            <w:pPr>
              <w:spacing w:line="240" w:lineRule="auto"/>
              <w:contextualSpacing/>
              <w:jc w:val="center"/>
              <w:rPr>
                <w:sz w:val="20"/>
                <w:highlight w:val="yellow"/>
              </w:rPr>
            </w:pPr>
            <w:r w:rsidRPr="00C002ED">
              <w:rPr>
                <w:sz w:val="20"/>
              </w:rPr>
              <w:t>2016, 2021</w:t>
            </w:r>
          </w:p>
        </w:tc>
        <w:tc>
          <w:tcPr>
            <w:tcW w:w="2254" w:type="dxa"/>
          </w:tcPr>
          <w:p w14:paraId="55AA47E7" w14:textId="607CDBCA" w:rsidR="009322A2" w:rsidRPr="00C002ED" w:rsidRDefault="009322A2" w:rsidP="009322A2">
            <w:pPr>
              <w:spacing w:line="240" w:lineRule="auto"/>
              <w:contextualSpacing/>
              <w:jc w:val="center"/>
              <w:rPr>
                <w:sz w:val="20"/>
                <w:highlight w:val="yellow"/>
              </w:rPr>
            </w:pPr>
            <w:r w:rsidRPr="00C002ED">
              <w:rPr>
                <w:sz w:val="20"/>
              </w:rPr>
              <w:t>1.7305</w:t>
            </w:r>
          </w:p>
        </w:tc>
        <w:tc>
          <w:tcPr>
            <w:tcW w:w="2254" w:type="dxa"/>
          </w:tcPr>
          <w:p w14:paraId="00955232" w14:textId="35DFA012" w:rsidR="009322A2" w:rsidRPr="00C002ED" w:rsidRDefault="009322A2" w:rsidP="009322A2">
            <w:pPr>
              <w:spacing w:line="240" w:lineRule="auto"/>
              <w:contextualSpacing/>
              <w:jc w:val="center"/>
              <w:rPr>
                <w:b/>
                <w:bCs/>
                <w:sz w:val="20"/>
                <w:highlight w:val="yellow"/>
              </w:rPr>
            </w:pPr>
            <w:r w:rsidRPr="00C002ED">
              <w:rPr>
                <w:sz w:val="20"/>
              </w:rPr>
              <w:t>0.1040</w:t>
            </w:r>
          </w:p>
        </w:tc>
      </w:tr>
      <w:tr w:rsidR="009322A2" w:rsidRPr="00C002ED" w14:paraId="18DE9DBD" w14:textId="77777777" w:rsidTr="00073893">
        <w:trPr>
          <w:trHeight w:val="283"/>
          <w:jc w:val="center"/>
        </w:trPr>
        <w:tc>
          <w:tcPr>
            <w:tcW w:w="2778" w:type="dxa"/>
          </w:tcPr>
          <w:p w14:paraId="68665F23" w14:textId="45215A3F" w:rsidR="009322A2" w:rsidRPr="00C002ED" w:rsidRDefault="009322A2" w:rsidP="009322A2">
            <w:pPr>
              <w:spacing w:line="240" w:lineRule="auto"/>
              <w:contextualSpacing/>
              <w:jc w:val="center"/>
              <w:rPr>
                <w:b/>
                <w:noProof/>
                <w:sz w:val="20"/>
                <w:highlight w:val="yellow"/>
                <w:lang w:eastAsia="en-AU"/>
              </w:rPr>
            </w:pPr>
            <w:r w:rsidRPr="00C002ED">
              <w:rPr>
                <w:sz w:val="20"/>
              </w:rPr>
              <w:t>2016, 2023</w:t>
            </w:r>
          </w:p>
        </w:tc>
        <w:tc>
          <w:tcPr>
            <w:tcW w:w="2254" w:type="dxa"/>
          </w:tcPr>
          <w:p w14:paraId="3A5CAFDC" w14:textId="0457B5C0" w:rsidR="009322A2" w:rsidRPr="00C002ED" w:rsidRDefault="009322A2" w:rsidP="009322A2">
            <w:pPr>
              <w:spacing w:line="240" w:lineRule="auto"/>
              <w:contextualSpacing/>
              <w:jc w:val="center"/>
              <w:rPr>
                <w:b/>
                <w:noProof/>
                <w:sz w:val="20"/>
                <w:highlight w:val="yellow"/>
                <w:lang w:eastAsia="en-AU"/>
              </w:rPr>
            </w:pPr>
            <w:r w:rsidRPr="00C002ED">
              <w:rPr>
                <w:sz w:val="20"/>
              </w:rPr>
              <w:t>5.1005</w:t>
            </w:r>
          </w:p>
        </w:tc>
        <w:tc>
          <w:tcPr>
            <w:tcW w:w="2254" w:type="dxa"/>
          </w:tcPr>
          <w:p w14:paraId="10D36537" w14:textId="55BA3352" w:rsidR="009322A2" w:rsidRPr="00C002ED" w:rsidRDefault="009322A2" w:rsidP="009322A2">
            <w:pPr>
              <w:spacing w:line="240" w:lineRule="auto"/>
              <w:contextualSpacing/>
              <w:jc w:val="center"/>
              <w:rPr>
                <w:b/>
                <w:bCs/>
                <w:noProof/>
                <w:sz w:val="20"/>
                <w:highlight w:val="yellow"/>
                <w:lang w:eastAsia="en-AU"/>
              </w:rPr>
            </w:pPr>
            <w:r w:rsidRPr="00C002ED">
              <w:rPr>
                <w:b/>
                <w:bCs/>
                <w:sz w:val="20"/>
              </w:rPr>
              <w:t>0.0001</w:t>
            </w:r>
          </w:p>
        </w:tc>
      </w:tr>
      <w:tr w:rsidR="009322A2" w:rsidRPr="00C002ED" w14:paraId="60FF02F8" w14:textId="77777777" w:rsidTr="00073893">
        <w:trPr>
          <w:trHeight w:val="283"/>
          <w:jc w:val="center"/>
        </w:trPr>
        <w:tc>
          <w:tcPr>
            <w:tcW w:w="2778" w:type="dxa"/>
          </w:tcPr>
          <w:p w14:paraId="2F561C53" w14:textId="1DC72B83" w:rsidR="009322A2" w:rsidRPr="00C002ED" w:rsidRDefault="009322A2" w:rsidP="009322A2">
            <w:pPr>
              <w:spacing w:line="240" w:lineRule="auto"/>
              <w:contextualSpacing/>
              <w:jc w:val="center"/>
              <w:rPr>
                <w:b/>
                <w:noProof/>
                <w:sz w:val="20"/>
                <w:highlight w:val="yellow"/>
                <w:lang w:eastAsia="en-AU"/>
              </w:rPr>
            </w:pPr>
            <w:r w:rsidRPr="00C002ED">
              <w:rPr>
                <w:sz w:val="20"/>
              </w:rPr>
              <w:t>2016, 2024</w:t>
            </w:r>
          </w:p>
        </w:tc>
        <w:tc>
          <w:tcPr>
            <w:tcW w:w="2254" w:type="dxa"/>
          </w:tcPr>
          <w:p w14:paraId="15896CA1" w14:textId="013520F8" w:rsidR="009322A2" w:rsidRPr="00C002ED" w:rsidRDefault="009322A2" w:rsidP="009322A2">
            <w:pPr>
              <w:spacing w:line="240" w:lineRule="auto"/>
              <w:contextualSpacing/>
              <w:jc w:val="center"/>
              <w:rPr>
                <w:b/>
                <w:noProof/>
                <w:sz w:val="20"/>
                <w:highlight w:val="yellow"/>
                <w:lang w:eastAsia="en-AU"/>
              </w:rPr>
            </w:pPr>
            <w:r w:rsidRPr="00C002ED">
              <w:rPr>
                <w:sz w:val="20"/>
              </w:rPr>
              <w:t>0.2754</w:t>
            </w:r>
          </w:p>
        </w:tc>
        <w:tc>
          <w:tcPr>
            <w:tcW w:w="2254" w:type="dxa"/>
          </w:tcPr>
          <w:p w14:paraId="5419131C" w14:textId="6C3954AB" w:rsidR="009322A2" w:rsidRPr="00C002ED" w:rsidRDefault="009322A2" w:rsidP="009322A2">
            <w:pPr>
              <w:spacing w:line="240" w:lineRule="auto"/>
              <w:contextualSpacing/>
              <w:jc w:val="center"/>
              <w:rPr>
                <w:noProof/>
                <w:sz w:val="20"/>
                <w:highlight w:val="yellow"/>
                <w:lang w:eastAsia="en-AU"/>
              </w:rPr>
            </w:pPr>
            <w:r w:rsidRPr="00C002ED">
              <w:rPr>
                <w:sz w:val="20"/>
              </w:rPr>
              <w:t>0.7897</w:t>
            </w:r>
          </w:p>
        </w:tc>
      </w:tr>
      <w:tr w:rsidR="009322A2" w:rsidRPr="00C002ED" w14:paraId="11F21ABF" w14:textId="77777777" w:rsidTr="00073893">
        <w:trPr>
          <w:trHeight w:val="283"/>
          <w:jc w:val="center"/>
        </w:trPr>
        <w:tc>
          <w:tcPr>
            <w:tcW w:w="2778" w:type="dxa"/>
          </w:tcPr>
          <w:p w14:paraId="3221D037" w14:textId="37C2D4BE" w:rsidR="009322A2" w:rsidRPr="00C002ED" w:rsidRDefault="009322A2" w:rsidP="009322A2">
            <w:pPr>
              <w:spacing w:line="240" w:lineRule="auto"/>
              <w:contextualSpacing/>
              <w:jc w:val="center"/>
              <w:rPr>
                <w:b/>
                <w:noProof/>
                <w:sz w:val="20"/>
                <w:highlight w:val="yellow"/>
                <w:lang w:eastAsia="en-AU"/>
              </w:rPr>
            </w:pPr>
            <w:r w:rsidRPr="00C002ED">
              <w:rPr>
                <w:sz w:val="20"/>
              </w:rPr>
              <w:t>2017, 2018</w:t>
            </w:r>
          </w:p>
        </w:tc>
        <w:tc>
          <w:tcPr>
            <w:tcW w:w="2254" w:type="dxa"/>
          </w:tcPr>
          <w:p w14:paraId="563DABF1" w14:textId="2C0AD459" w:rsidR="009322A2" w:rsidRPr="00C002ED" w:rsidRDefault="009322A2" w:rsidP="009322A2">
            <w:pPr>
              <w:spacing w:line="240" w:lineRule="auto"/>
              <w:contextualSpacing/>
              <w:jc w:val="center"/>
              <w:rPr>
                <w:b/>
                <w:noProof/>
                <w:sz w:val="20"/>
                <w:highlight w:val="yellow"/>
                <w:lang w:eastAsia="en-AU"/>
              </w:rPr>
            </w:pPr>
            <w:r w:rsidRPr="00C002ED">
              <w:rPr>
                <w:sz w:val="20"/>
              </w:rPr>
              <w:t>1.4051</w:t>
            </w:r>
          </w:p>
        </w:tc>
        <w:tc>
          <w:tcPr>
            <w:tcW w:w="2254" w:type="dxa"/>
          </w:tcPr>
          <w:p w14:paraId="16FA0DDA" w14:textId="150ED56B" w:rsidR="009322A2" w:rsidRPr="00C002ED" w:rsidRDefault="009322A2" w:rsidP="009322A2">
            <w:pPr>
              <w:spacing w:line="240" w:lineRule="auto"/>
              <w:contextualSpacing/>
              <w:jc w:val="center"/>
              <w:rPr>
                <w:b/>
                <w:bCs/>
                <w:noProof/>
                <w:sz w:val="20"/>
                <w:highlight w:val="yellow"/>
                <w:lang w:eastAsia="en-AU"/>
              </w:rPr>
            </w:pPr>
            <w:r w:rsidRPr="00C002ED">
              <w:rPr>
                <w:sz w:val="20"/>
              </w:rPr>
              <w:t>0.1808</w:t>
            </w:r>
          </w:p>
        </w:tc>
      </w:tr>
      <w:tr w:rsidR="009322A2" w:rsidRPr="00C002ED" w14:paraId="29C25440" w14:textId="77777777" w:rsidTr="00073893">
        <w:trPr>
          <w:trHeight w:val="283"/>
          <w:jc w:val="center"/>
        </w:trPr>
        <w:tc>
          <w:tcPr>
            <w:tcW w:w="2778" w:type="dxa"/>
          </w:tcPr>
          <w:p w14:paraId="0FF8CDDB" w14:textId="2E98CEB7" w:rsidR="009322A2" w:rsidRPr="00C002ED" w:rsidRDefault="009322A2" w:rsidP="009322A2">
            <w:pPr>
              <w:spacing w:line="240" w:lineRule="auto"/>
              <w:contextualSpacing/>
              <w:jc w:val="center"/>
              <w:rPr>
                <w:sz w:val="20"/>
                <w:highlight w:val="yellow"/>
              </w:rPr>
            </w:pPr>
            <w:r w:rsidRPr="00C002ED">
              <w:rPr>
                <w:sz w:val="20"/>
              </w:rPr>
              <w:t>2017, 2019</w:t>
            </w:r>
          </w:p>
        </w:tc>
        <w:tc>
          <w:tcPr>
            <w:tcW w:w="2254" w:type="dxa"/>
          </w:tcPr>
          <w:p w14:paraId="56FE1470" w14:textId="21D6D44C" w:rsidR="009322A2" w:rsidRPr="00C002ED" w:rsidRDefault="009322A2" w:rsidP="009322A2">
            <w:pPr>
              <w:spacing w:line="240" w:lineRule="auto"/>
              <w:contextualSpacing/>
              <w:jc w:val="center"/>
              <w:rPr>
                <w:sz w:val="20"/>
                <w:highlight w:val="yellow"/>
              </w:rPr>
            </w:pPr>
            <w:r w:rsidRPr="00C002ED">
              <w:rPr>
                <w:sz w:val="20"/>
              </w:rPr>
              <w:t>1.5062</w:t>
            </w:r>
          </w:p>
        </w:tc>
        <w:tc>
          <w:tcPr>
            <w:tcW w:w="2254" w:type="dxa"/>
          </w:tcPr>
          <w:p w14:paraId="6C62EA45" w14:textId="5F39E35A" w:rsidR="009322A2" w:rsidRPr="00C002ED" w:rsidRDefault="009322A2" w:rsidP="009322A2">
            <w:pPr>
              <w:spacing w:line="240" w:lineRule="auto"/>
              <w:contextualSpacing/>
              <w:jc w:val="center"/>
              <w:rPr>
                <w:b/>
                <w:bCs/>
                <w:sz w:val="20"/>
                <w:highlight w:val="yellow"/>
              </w:rPr>
            </w:pPr>
            <w:r w:rsidRPr="00C002ED">
              <w:rPr>
                <w:sz w:val="20"/>
              </w:rPr>
              <w:t>0.1384</w:t>
            </w:r>
          </w:p>
        </w:tc>
      </w:tr>
      <w:tr w:rsidR="009322A2" w:rsidRPr="00C002ED" w14:paraId="1576FFC4" w14:textId="77777777" w:rsidTr="00073893">
        <w:trPr>
          <w:trHeight w:val="283"/>
          <w:jc w:val="center"/>
        </w:trPr>
        <w:tc>
          <w:tcPr>
            <w:tcW w:w="2778" w:type="dxa"/>
          </w:tcPr>
          <w:p w14:paraId="6BB868A9" w14:textId="1176D442" w:rsidR="009322A2" w:rsidRPr="00C002ED" w:rsidRDefault="009322A2" w:rsidP="009322A2">
            <w:pPr>
              <w:spacing w:line="240" w:lineRule="auto"/>
              <w:contextualSpacing/>
              <w:jc w:val="center"/>
              <w:rPr>
                <w:sz w:val="20"/>
                <w:highlight w:val="yellow"/>
              </w:rPr>
            </w:pPr>
            <w:r w:rsidRPr="00C002ED">
              <w:rPr>
                <w:sz w:val="20"/>
              </w:rPr>
              <w:t>2017, 2020</w:t>
            </w:r>
          </w:p>
        </w:tc>
        <w:tc>
          <w:tcPr>
            <w:tcW w:w="2254" w:type="dxa"/>
          </w:tcPr>
          <w:p w14:paraId="1C940DED" w14:textId="3BF681A1" w:rsidR="009322A2" w:rsidRPr="00C002ED" w:rsidRDefault="009322A2" w:rsidP="009322A2">
            <w:pPr>
              <w:spacing w:line="240" w:lineRule="auto"/>
              <w:contextualSpacing/>
              <w:jc w:val="center"/>
              <w:rPr>
                <w:sz w:val="20"/>
                <w:highlight w:val="yellow"/>
              </w:rPr>
            </w:pPr>
            <w:r w:rsidRPr="00C002ED">
              <w:rPr>
                <w:sz w:val="20"/>
              </w:rPr>
              <w:t>3.0597</w:t>
            </w:r>
          </w:p>
        </w:tc>
        <w:tc>
          <w:tcPr>
            <w:tcW w:w="2254" w:type="dxa"/>
          </w:tcPr>
          <w:p w14:paraId="76E6F5F7" w14:textId="458F01A3" w:rsidR="009322A2" w:rsidRPr="00C002ED" w:rsidRDefault="009322A2" w:rsidP="009322A2">
            <w:pPr>
              <w:spacing w:line="240" w:lineRule="auto"/>
              <w:contextualSpacing/>
              <w:jc w:val="center"/>
              <w:rPr>
                <w:b/>
                <w:bCs/>
                <w:sz w:val="20"/>
                <w:highlight w:val="yellow"/>
              </w:rPr>
            </w:pPr>
            <w:r w:rsidRPr="00C002ED">
              <w:rPr>
                <w:b/>
                <w:bCs/>
                <w:sz w:val="20"/>
              </w:rPr>
              <w:t>0.0046</w:t>
            </w:r>
          </w:p>
        </w:tc>
      </w:tr>
      <w:tr w:rsidR="009322A2" w:rsidRPr="00C002ED" w14:paraId="70F1954E" w14:textId="77777777" w:rsidTr="00073893">
        <w:trPr>
          <w:trHeight w:val="283"/>
          <w:jc w:val="center"/>
        </w:trPr>
        <w:tc>
          <w:tcPr>
            <w:tcW w:w="2778" w:type="dxa"/>
          </w:tcPr>
          <w:p w14:paraId="1F26E668" w14:textId="1F585DB2" w:rsidR="009322A2" w:rsidRPr="00C002ED" w:rsidRDefault="009322A2" w:rsidP="009322A2">
            <w:pPr>
              <w:spacing w:line="240" w:lineRule="auto"/>
              <w:contextualSpacing/>
              <w:jc w:val="center"/>
              <w:rPr>
                <w:b/>
                <w:noProof/>
                <w:sz w:val="20"/>
                <w:highlight w:val="yellow"/>
                <w:lang w:eastAsia="en-AU"/>
              </w:rPr>
            </w:pPr>
            <w:r w:rsidRPr="00C002ED">
              <w:rPr>
                <w:sz w:val="20"/>
              </w:rPr>
              <w:t>2017, 2021</w:t>
            </w:r>
          </w:p>
        </w:tc>
        <w:tc>
          <w:tcPr>
            <w:tcW w:w="2254" w:type="dxa"/>
          </w:tcPr>
          <w:p w14:paraId="3261DE60" w14:textId="6E73926A" w:rsidR="009322A2" w:rsidRPr="00C002ED" w:rsidRDefault="009322A2" w:rsidP="009322A2">
            <w:pPr>
              <w:spacing w:line="240" w:lineRule="auto"/>
              <w:contextualSpacing/>
              <w:jc w:val="center"/>
              <w:rPr>
                <w:b/>
                <w:noProof/>
                <w:sz w:val="20"/>
                <w:highlight w:val="yellow"/>
                <w:lang w:eastAsia="en-AU"/>
              </w:rPr>
            </w:pPr>
            <w:r w:rsidRPr="00C002ED">
              <w:rPr>
                <w:sz w:val="20"/>
              </w:rPr>
              <w:t>1.1104</w:t>
            </w:r>
          </w:p>
        </w:tc>
        <w:tc>
          <w:tcPr>
            <w:tcW w:w="2254" w:type="dxa"/>
          </w:tcPr>
          <w:p w14:paraId="6F9CE45C" w14:textId="33CBC121" w:rsidR="009322A2" w:rsidRPr="00C002ED" w:rsidRDefault="009322A2" w:rsidP="009322A2">
            <w:pPr>
              <w:spacing w:line="240" w:lineRule="auto"/>
              <w:contextualSpacing/>
              <w:jc w:val="center"/>
              <w:rPr>
                <w:b/>
                <w:bCs/>
                <w:noProof/>
                <w:sz w:val="20"/>
                <w:highlight w:val="yellow"/>
                <w:lang w:eastAsia="en-AU"/>
              </w:rPr>
            </w:pPr>
            <w:r w:rsidRPr="00C002ED">
              <w:rPr>
                <w:sz w:val="20"/>
              </w:rPr>
              <w:t>0.2872</w:t>
            </w:r>
          </w:p>
        </w:tc>
      </w:tr>
      <w:tr w:rsidR="009322A2" w:rsidRPr="00C002ED" w14:paraId="1E8D4621" w14:textId="77777777" w:rsidTr="00073893">
        <w:trPr>
          <w:trHeight w:val="283"/>
          <w:jc w:val="center"/>
        </w:trPr>
        <w:tc>
          <w:tcPr>
            <w:tcW w:w="2778" w:type="dxa"/>
          </w:tcPr>
          <w:p w14:paraId="7EF9C326" w14:textId="004671A0" w:rsidR="009322A2" w:rsidRPr="00C002ED" w:rsidRDefault="009322A2" w:rsidP="009322A2">
            <w:pPr>
              <w:spacing w:line="240" w:lineRule="auto"/>
              <w:contextualSpacing/>
              <w:jc w:val="center"/>
              <w:rPr>
                <w:b/>
                <w:noProof/>
                <w:sz w:val="20"/>
                <w:highlight w:val="yellow"/>
                <w:lang w:eastAsia="en-AU"/>
              </w:rPr>
            </w:pPr>
            <w:r w:rsidRPr="00C002ED">
              <w:rPr>
                <w:sz w:val="20"/>
              </w:rPr>
              <w:t>2017, 2023</w:t>
            </w:r>
          </w:p>
        </w:tc>
        <w:tc>
          <w:tcPr>
            <w:tcW w:w="2254" w:type="dxa"/>
          </w:tcPr>
          <w:p w14:paraId="4EC085B6" w14:textId="2AE6CE14" w:rsidR="009322A2" w:rsidRPr="00C002ED" w:rsidRDefault="009322A2" w:rsidP="009322A2">
            <w:pPr>
              <w:spacing w:line="240" w:lineRule="auto"/>
              <w:contextualSpacing/>
              <w:jc w:val="center"/>
              <w:rPr>
                <w:b/>
                <w:noProof/>
                <w:sz w:val="20"/>
                <w:highlight w:val="yellow"/>
                <w:lang w:eastAsia="en-AU"/>
              </w:rPr>
            </w:pPr>
            <w:r w:rsidRPr="00C002ED">
              <w:rPr>
                <w:sz w:val="20"/>
              </w:rPr>
              <w:t>0.8785</w:t>
            </w:r>
          </w:p>
        </w:tc>
        <w:tc>
          <w:tcPr>
            <w:tcW w:w="2254" w:type="dxa"/>
          </w:tcPr>
          <w:p w14:paraId="4AD6692A" w14:textId="10061F9D" w:rsidR="009322A2" w:rsidRPr="00C002ED" w:rsidRDefault="009322A2" w:rsidP="009322A2">
            <w:pPr>
              <w:spacing w:line="240" w:lineRule="auto"/>
              <w:contextualSpacing/>
              <w:jc w:val="center"/>
              <w:rPr>
                <w:b/>
                <w:noProof/>
                <w:sz w:val="20"/>
                <w:highlight w:val="yellow"/>
                <w:lang w:eastAsia="en-AU"/>
              </w:rPr>
            </w:pPr>
            <w:r w:rsidRPr="00C002ED">
              <w:rPr>
                <w:sz w:val="20"/>
              </w:rPr>
              <w:t>0.3895</w:t>
            </w:r>
          </w:p>
        </w:tc>
      </w:tr>
      <w:tr w:rsidR="009322A2" w:rsidRPr="00C002ED" w14:paraId="32D1458D" w14:textId="77777777" w:rsidTr="00073893">
        <w:trPr>
          <w:trHeight w:val="283"/>
          <w:jc w:val="center"/>
        </w:trPr>
        <w:tc>
          <w:tcPr>
            <w:tcW w:w="2778" w:type="dxa"/>
          </w:tcPr>
          <w:p w14:paraId="2CC8199C" w14:textId="1911C520" w:rsidR="009322A2" w:rsidRPr="00C002ED" w:rsidRDefault="009322A2" w:rsidP="009322A2">
            <w:pPr>
              <w:spacing w:line="240" w:lineRule="auto"/>
              <w:contextualSpacing/>
              <w:jc w:val="center"/>
              <w:rPr>
                <w:sz w:val="20"/>
                <w:highlight w:val="yellow"/>
              </w:rPr>
            </w:pPr>
            <w:r w:rsidRPr="00C002ED">
              <w:rPr>
                <w:sz w:val="20"/>
              </w:rPr>
              <w:t>2017, 2024</w:t>
            </w:r>
          </w:p>
        </w:tc>
        <w:tc>
          <w:tcPr>
            <w:tcW w:w="2254" w:type="dxa"/>
          </w:tcPr>
          <w:p w14:paraId="138B434D" w14:textId="15CCF747" w:rsidR="009322A2" w:rsidRPr="00C002ED" w:rsidRDefault="009322A2" w:rsidP="009322A2">
            <w:pPr>
              <w:spacing w:line="240" w:lineRule="auto"/>
              <w:contextualSpacing/>
              <w:jc w:val="center"/>
              <w:rPr>
                <w:sz w:val="20"/>
                <w:highlight w:val="yellow"/>
              </w:rPr>
            </w:pPr>
            <w:r w:rsidRPr="00C002ED">
              <w:rPr>
                <w:sz w:val="20"/>
              </w:rPr>
              <w:t>2.5763</w:t>
            </w:r>
          </w:p>
        </w:tc>
        <w:tc>
          <w:tcPr>
            <w:tcW w:w="2254" w:type="dxa"/>
          </w:tcPr>
          <w:p w14:paraId="60A19B57" w14:textId="244BA127" w:rsidR="009322A2" w:rsidRPr="00C002ED" w:rsidRDefault="009322A2" w:rsidP="009322A2">
            <w:pPr>
              <w:spacing w:line="240" w:lineRule="auto"/>
              <w:contextualSpacing/>
              <w:jc w:val="center"/>
              <w:rPr>
                <w:b/>
                <w:bCs/>
                <w:sz w:val="20"/>
                <w:highlight w:val="yellow"/>
              </w:rPr>
            </w:pPr>
            <w:r w:rsidRPr="00C002ED">
              <w:rPr>
                <w:b/>
                <w:bCs/>
                <w:sz w:val="20"/>
              </w:rPr>
              <w:t>0.0286</w:t>
            </w:r>
          </w:p>
        </w:tc>
      </w:tr>
      <w:tr w:rsidR="009322A2" w:rsidRPr="00C002ED" w14:paraId="10FCA0EF" w14:textId="77777777" w:rsidTr="00073893">
        <w:trPr>
          <w:trHeight w:val="283"/>
          <w:jc w:val="center"/>
        </w:trPr>
        <w:tc>
          <w:tcPr>
            <w:tcW w:w="2778" w:type="dxa"/>
          </w:tcPr>
          <w:p w14:paraId="74854F34" w14:textId="740D5D50" w:rsidR="009322A2" w:rsidRPr="00C002ED" w:rsidRDefault="009322A2" w:rsidP="009322A2">
            <w:pPr>
              <w:spacing w:line="240" w:lineRule="auto"/>
              <w:contextualSpacing/>
              <w:jc w:val="center"/>
              <w:rPr>
                <w:sz w:val="20"/>
                <w:highlight w:val="yellow"/>
              </w:rPr>
            </w:pPr>
            <w:r w:rsidRPr="00C002ED">
              <w:rPr>
                <w:sz w:val="20"/>
              </w:rPr>
              <w:t>2018, 2019</w:t>
            </w:r>
          </w:p>
        </w:tc>
        <w:tc>
          <w:tcPr>
            <w:tcW w:w="2254" w:type="dxa"/>
          </w:tcPr>
          <w:p w14:paraId="393C7E8B" w14:textId="27F5DA44" w:rsidR="009322A2" w:rsidRPr="00C002ED" w:rsidRDefault="009322A2" w:rsidP="009322A2">
            <w:pPr>
              <w:spacing w:line="240" w:lineRule="auto"/>
              <w:contextualSpacing/>
              <w:jc w:val="center"/>
              <w:rPr>
                <w:sz w:val="20"/>
                <w:highlight w:val="yellow"/>
              </w:rPr>
            </w:pPr>
            <w:r w:rsidRPr="00C002ED">
              <w:rPr>
                <w:sz w:val="20"/>
              </w:rPr>
              <w:t>0.6636</w:t>
            </w:r>
          </w:p>
        </w:tc>
        <w:tc>
          <w:tcPr>
            <w:tcW w:w="2254" w:type="dxa"/>
          </w:tcPr>
          <w:p w14:paraId="60CF6FB0" w14:textId="6594B690" w:rsidR="009322A2" w:rsidRPr="00C002ED" w:rsidRDefault="009322A2" w:rsidP="009322A2">
            <w:pPr>
              <w:spacing w:line="240" w:lineRule="auto"/>
              <w:contextualSpacing/>
              <w:jc w:val="center"/>
              <w:rPr>
                <w:b/>
                <w:bCs/>
                <w:sz w:val="20"/>
                <w:highlight w:val="yellow"/>
              </w:rPr>
            </w:pPr>
            <w:r w:rsidRPr="00C002ED">
              <w:rPr>
                <w:sz w:val="20"/>
              </w:rPr>
              <w:t>0.5162</w:t>
            </w:r>
          </w:p>
        </w:tc>
      </w:tr>
      <w:tr w:rsidR="009322A2" w:rsidRPr="00C002ED" w14:paraId="19E0E2DD" w14:textId="77777777" w:rsidTr="00073893">
        <w:trPr>
          <w:trHeight w:val="283"/>
          <w:jc w:val="center"/>
        </w:trPr>
        <w:tc>
          <w:tcPr>
            <w:tcW w:w="2778" w:type="dxa"/>
          </w:tcPr>
          <w:p w14:paraId="2166101C" w14:textId="42E83B43" w:rsidR="009322A2" w:rsidRPr="00C002ED" w:rsidRDefault="009322A2" w:rsidP="009322A2">
            <w:pPr>
              <w:spacing w:line="240" w:lineRule="auto"/>
              <w:contextualSpacing/>
              <w:jc w:val="center"/>
              <w:rPr>
                <w:b/>
                <w:noProof/>
                <w:sz w:val="20"/>
                <w:highlight w:val="yellow"/>
                <w:lang w:eastAsia="en-AU"/>
              </w:rPr>
            </w:pPr>
            <w:r w:rsidRPr="00C002ED">
              <w:rPr>
                <w:sz w:val="20"/>
              </w:rPr>
              <w:t>2018, 2020</w:t>
            </w:r>
          </w:p>
        </w:tc>
        <w:tc>
          <w:tcPr>
            <w:tcW w:w="2254" w:type="dxa"/>
          </w:tcPr>
          <w:p w14:paraId="6384CC80" w14:textId="6CB85B6B" w:rsidR="009322A2" w:rsidRPr="00C002ED" w:rsidRDefault="009322A2" w:rsidP="009322A2">
            <w:pPr>
              <w:spacing w:line="240" w:lineRule="auto"/>
              <w:contextualSpacing/>
              <w:jc w:val="center"/>
              <w:rPr>
                <w:b/>
                <w:noProof/>
                <w:sz w:val="20"/>
                <w:highlight w:val="yellow"/>
                <w:lang w:eastAsia="en-AU"/>
              </w:rPr>
            </w:pPr>
            <w:r w:rsidRPr="00C002ED">
              <w:rPr>
                <w:sz w:val="20"/>
              </w:rPr>
              <w:t>1.8399</w:t>
            </w:r>
          </w:p>
        </w:tc>
        <w:tc>
          <w:tcPr>
            <w:tcW w:w="2254" w:type="dxa"/>
          </w:tcPr>
          <w:p w14:paraId="78A62B87" w14:textId="1F7632F2" w:rsidR="009322A2" w:rsidRPr="00C002ED" w:rsidRDefault="009322A2" w:rsidP="009322A2">
            <w:pPr>
              <w:spacing w:line="240" w:lineRule="auto"/>
              <w:contextualSpacing/>
              <w:jc w:val="center"/>
              <w:rPr>
                <w:b/>
                <w:bCs/>
                <w:noProof/>
                <w:sz w:val="20"/>
                <w:highlight w:val="yellow"/>
                <w:lang w:eastAsia="en-AU"/>
              </w:rPr>
            </w:pPr>
            <w:r w:rsidRPr="00C002ED">
              <w:rPr>
                <w:sz w:val="20"/>
              </w:rPr>
              <w:t>0.0718</w:t>
            </w:r>
          </w:p>
        </w:tc>
      </w:tr>
      <w:tr w:rsidR="009322A2" w:rsidRPr="00C002ED" w14:paraId="08EF34FA" w14:textId="77777777" w:rsidTr="00073893">
        <w:trPr>
          <w:trHeight w:val="283"/>
          <w:jc w:val="center"/>
        </w:trPr>
        <w:tc>
          <w:tcPr>
            <w:tcW w:w="2778" w:type="dxa"/>
          </w:tcPr>
          <w:p w14:paraId="636C05D6" w14:textId="24018A0F" w:rsidR="009322A2" w:rsidRPr="00C002ED" w:rsidRDefault="009322A2" w:rsidP="009322A2">
            <w:pPr>
              <w:spacing w:line="240" w:lineRule="auto"/>
              <w:contextualSpacing/>
              <w:jc w:val="center"/>
              <w:rPr>
                <w:sz w:val="20"/>
                <w:highlight w:val="yellow"/>
              </w:rPr>
            </w:pPr>
            <w:r w:rsidRPr="00C002ED">
              <w:rPr>
                <w:sz w:val="20"/>
              </w:rPr>
              <w:t>2018, 2021</w:t>
            </w:r>
          </w:p>
        </w:tc>
        <w:tc>
          <w:tcPr>
            <w:tcW w:w="2254" w:type="dxa"/>
          </w:tcPr>
          <w:p w14:paraId="4228BC82" w14:textId="09575C30" w:rsidR="009322A2" w:rsidRPr="00C002ED" w:rsidRDefault="009322A2" w:rsidP="009322A2">
            <w:pPr>
              <w:spacing w:line="240" w:lineRule="auto"/>
              <w:contextualSpacing/>
              <w:jc w:val="center"/>
              <w:rPr>
                <w:sz w:val="20"/>
                <w:highlight w:val="yellow"/>
              </w:rPr>
            </w:pPr>
            <w:r w:rsidRPr="00C002ED">
              <w:rPr>
                <w:sz w:val="20"/>
              </w:rPr>
              <w:t>0.5684</w:t>
            </w:r>
          </w:p>
        </w:tc>
        <w:tc>
          <w:tcPr>
            <w:tcW w:w="2254" w:type="dxa"/>
          </w:tcPr>
          <w:p w14:paraId="2FD491EE" w14:textId="5E5A6BF4" w:rsidR="009322A2" w:rsidRPr="00C002ED" w:rsidRDefault="009322A2" w:rsidP="009322A2">
            <w:pPr>
              <w:spacing w:line="240" w:lineRule="auto"/>
              <w:contextualSpacing/>
              <w:jc w:val="center"/>
              <w:rPr>
                <w:sz w:val="20"/>
                <w:highlight w:val="yellow"/>
              </w:rPr>
            </w:pPr>
            <w:r w:rsidRPr="00C002ED">
              <w:rPr>
                <w:sz w:val="20"/>
              </w:rPr>
              <w:t>0.5907</w:t>
            </w:r>
          </w:p>
        </w:tc>
      </w:tr>
      <w:tr w:rsidR="009322A2" w:rsidRPr="00C002ED" w14:paraId="0121C038" w14:textId="77777777" w:rsidTr="00073893">
        <w:trPr>
          <w:trHeight w:val="283"/>
          <w:jc w:val="center"/>
        </w:trPr>
        <w:tc>
          <w:tcPr>
            <w:tcW w:w="2778" w:type="dxa"/>
          </w:tcPr>
          <w:p w14:paraId="3818DE65" w14:textId="3A5B5380" w:rsidR="009322A2" w:rsidRPr="00C002ED" w:rsidRDefault="009322A2" w:rsidP="009322A2">
            <w:pPr>
              <w:spacing w:line="240" w:lineRule="auto"/>
              <w:contextualSpacing/>
              <w:jc w:val="center"/>
              <w:rPr>
                <w:sz w:val="20"/>
                <w:highlight w:val="yellow"/>
              </w:rPr>
            </w:pPr>
            <w:r w:rsidRPr="00C002ED">
              <w:rPr>
                <w:sz w:val="20"/>
              </w:rPr>
              <w:t>2018, 2023</w:t>
            </w:r>
          </w:p>
        </w:tc>
        <w:tc>
          <w:tcPr>
            <w:tcW w:w="2254" w:type="dxa"/>
          </w:tcPr>
          <w:p w14:paraId="2D189E09" w14:textId="7F21AA74" w:rsidR="009322A2" w:rsidRPr="00C002ED" w:rsidRDefault="009322A2" w:rsidP="009322A2">
            <w:pPr>
              <w:spacing w:line="240" w:lineRule="auto"/>
              <w:contextualSpacing/>
              <w:jc w:val="center"/>
              <w:rPr>
                <w:sz w:val="20"/>
                <w:highlight w:val="yellow"/>
              </w:rPr>
            </w:pPr>
            <w:r w:rsidRPr="00C002ED">
              <w:rPr>
                <w:sz w:val="20"/>
              </w:rPr>
              <w:t>2.8469</w:t>
            </w:r>
          </w:p>
        </w:tc>
        <w:tc>
          <w:tcPr>
            <w:tcW w:w="2254" w:type="dxa"/>
          </w:tcPr>
          <w:p w14:paraId="247394D7" w14:textId="7794ED40" w:rsidR="009322A2" w:rsidRPr="00C002ED" w:rsidRDefault="009322A2" w:rsidP="009322A2">
            <w:pPr>
              <w:spacing w:line="240" w:lineRule="auto"/>
              <w:contextualSpacing/>
              <w:jc w:val="center"/>
              <w:rPr>
                <w:b/>
                <w:bCs/>
                <w:sz w:val="20"/>
                <w:highlight w:val="yellow"/>
              </w:rPr>
            </w:pPr>
            <w:r w:rsidRPr="00C002ED">
              <w:rPr>
                <w:b/>
                <w:bCs/>
                <w:sz w:val="20"/>
              </w:rPr>
              <w:t>0.0076</w:t>
            </w:r>
          </w:p>
        </w:tc>
      </w:tr>
      <w:tr w:rsidR="009322A2" w:rsidRPr="00C002ED" w14:paraId="755AC2A4" w14:textId="77777777" w:rsidTr="00142EA3">
        <w:trPr>
          <w:trHeight w:val="283"/>
          <w:jc w:val="center"/>
        </w:trPr>
        <w:tc>
          <w:tcPr>
            <w:tcW w:w="2778" w:type="dxa"/>
          </w:tcPr>
          <w:p w14:paraId="5BD0024E" w14:textId="5DCDBC1A" w:rsidR="009322A2" w:rsidRPr="00C002ED" w:rsidRDefault="009322A2" w:rsidP="009322A2">
            <w:pPr>
              <w:spacing w:line="240" w:lineRule="auto"/>
              <w:contextualSpacing/>
              <w:jc w:val="center"/>
              <w:rPr>
                <w:sz w:val="20"/>
                <w:highlight w:val="yellow"/>
              </w:rPr>
            </w:pPr>
            <w:r w:rsidRPr="00C002ED">
              <w:rPr>
                <w:sz w:val="20"/>
              </w:rPr>
              <w:t>2018, 2024</w:t>
            </w:r>
          </w:p>
        </w:tc>
        <w:tc>
          <w:tcPr>
            <w:tcW w:w="2254" w:type="dxa"/>
          </w:tcPr>
          <w:p w14:paraId="55F55FF9" w14:textId="7509164E" w:rsidR="009322A2" w:rsidRPr="00C002ED" w:rsidRDefault="009322A2" w:rsidP="009322A2">
            <w:pPr>
              <w:spacing w:line="240" w:lineRule="auto"/>
              <w:contextualSpacing/>
              <w:jc w:val="center"/>
              <w:rPr>
                <w:sz w:val="20"/>
                <w:highlight w:val="yellow"/>
              </w:rPr>
            </w:pPr>
            <w:r w:rsidRPr="00C002ED">
              <w:rPr>
                <w:sz w:val="20"/>
              </w:rPr>
              <w:t>0.8453</w:t>
            </w:r>
          </w:p>
        </w:tc>
        <w:tc>
          <w:tcPr>
            <w:tcW w:w="2254" w:type="dxa"/>
          </w:tcPr>
          <w:p w14:paraId="416FB40A" w14:textId="1CDC8106" w:rsidR="009322A2" w:rsidRPr="00C002ED" w:rsidRDefault="009322A2" w:rsidP="009322A2">
            <w:pPr>
              <w:spacing w:line="240" w:lineRule="auto"/>
              <w:contextualSpacing/>
              <w:jc w:val="center"/>
              <w:rPr>
                <w:b/>
                <w:bCs/>
                <w:sz w:val="20"/>
                <w:highlight w:val="yellow"/>
              </w:rPr>
            </w:pPr>
            <w:r w:rsidRPr="00C002ED">
              <w:rPr>
                <w:sz w:val="20"/>
              </w:rPr>
              <w:t>0.4072</w:t>
            </w:r>
          </w:p>
        </w:tc>
      </w:tr>
      <w:tr w:rsidR="009322A2" w:rsidRPr="00C002ED" w14:paraId="7F7FA8F6" w14:textId="77777777" w:rsidTr="00F93454">
        <w:trPr>
          <w:trHeight w:val="283"/>
          <w:jc w:val="center"/>
        </w:trPr>
        <w:tc>
          <w:tcPr>
            <w:tcW w:w="2778" w:type="dxa"/>
          </w:tcPr>
          <w:p w14:paraId="01D60479" w14:textId="6568B41F" w:rsidR="009322A2" w:rsidRPr="00C002ED" w:rsidRDefault="009322A2" w:rsidP="009322A2">
            <w:pPr>
              <w:spacing w:line="240" w:lineRule="auto"/>
              <w:contextualSpacing/>
              <w:jc w:val="center"/>
              <w:rPr>
                <w:sz w:val="20"/>
                <w:highlight w:val="yellow"/>
              </w:rPr>
            </w:pPr>
            <w:r w:rsidRPr="00C002ED">
              <w:rPr>
                <w:sz w:val="20"/>
              </w:rPr>
              <w:t>2019, 2020</w:t>
            </w:r>
          </w:p>
        </w:tc>
        <w:tc>
          <w:tcPr>
            <w:tcW w:w="2254" w:type="dxa"/>
          </w:tcPr>
          <w:p w14:paraId="0A763907" w14:textId="27E2D46E" w:rsidR="009322A2" w:rsidRPr="00C002ED" w:rsidRDefault="009322A2" w:rsidP="009322A2">
            <w:pPr>
              <w:spacing w:line="240" w:lineRule="auto"/>
              <w:contextualSpacing/>
              <w:jc w:val="center"/>
              <w:rPr>
                <w:sz w:val="20"/>
                <w:highlight w:val="yellow"/>
              </w:rPr>
            </w:pPr>
            <w:r w:rsidRPr="00C002ED">
              <w:rPr>
                <w:sz w:val="20"/>
              </w:rPr>
              <w:t>3.6359</w:t>
            </w:r>
          </w:p>
        </w:tc>
        <w:tc>
          <w:tcPr>
            <w:tcW w:w="2254" w:type="dxa"/>
          </w:tcPr>
          <w:p w14:paraId="74767551" w14:textId="3DF4D9DC" w:rsidR="009322A2" w:rsidRPr="00C002ED" w:rsidRDefault="009322A2" w:rsidP="009322A2">
            <w:pPr>
              <w:spacing w:line="240" w:lineRule="auto"/>
              <w:contextualSpacing/>
              <w:jc w:val="center"/>
              <w:rPr>
                <w:b/>
                <w:bCs/>
                <w:sz w:val="20"/>
                <w:highlight w:val="yellow"/>
              </w:rPr>
            </w:pPr>
            <w:r w:rsidRPr="00C002ED">
              <w:rPr>
                <w:b/>
                <w:bCs/>
                <w:sz w:val="20"/>
              </w:rPr>
              <w:t>0.0004</w:t>
            </w:r>
          </w:p>
        </w:tc>
      </w:tr>
      <w:tr w:rsidR="009322A2" w:rsidRPr="00C002ED" w14:paraId="3F5F59A7" w14:textId="77777777" w:rsidTr="009322A2">
        <w:trPr>
          <w:trHeight w:val="283"/>
          <w:jc w:val="center"/>
        </w:trPr>
        <w:tc>
          <w:tcPr>
            <w:tcW w:w="2778" w:type="dxa"/>
          </w:tcPr>
          <w:p w14:paraId="41C96C0B" w14:textId="265458F1" w:rsidR="009322A2" w:rsidRPr="00C002ED" w:rsidRDefault="009322A2" w:rsidP="009322A2">
            <w:pPr>
              <w:spacing w:line="240" w:lineRule="auto"/>
              <w:contextualSpacing/>
              <w:jc w:val="center"/>
              <w:rPr>
                <w:sz w:val="20"/>
                <w:highlight w:val="yellow"/>
              </w:rPr>
            </w:pPr>
            <w:r w:rsidRPr="00C002ED">
              <w:rPr>
                <w:sz w:val="20"/>
              </w:rPr>
              <w:t>2019, 2021</w:t>
            </w:r>
          </w:p>
        </w:tc>
        <w:tc>
          <w:tcPr>
            <w:tcW w:w="2254" w:type="dxa"/>
          </w:tcPr>
          <w:p w14:paraId="6742C43A" w14:textId="16E3E88D" w:rsidR="009322A2" w:rsidRPr="00C002ED" w:rsidRDefault="009322A2" w:rsidP="009322A2">
            <w:pPr>
              <w:spacing w:line="240" w:lineRule="auto"/>
              <w:contextualSpacing/>
              <w:jc w:val="center"/>
              <w:rPr>
                <w:sz w:val="20"/>
                <w:highlight w:val="yellow"/>
              </w:rPr>
            </w:pPr>
            <w:r w:rsidRPr="00C002ED">
              <w:rPr>
                <w:sz w:val="20"/>
              </w:rPr>
              <w:t>0.1478</w:t>
            </w:r>
          </w:p>
        </w:tc>
        <w:tc>
          <w:tcPr>
            <w:tcW w:w="2254" w:type="dxa"/>
          </w:tcPr>
          <w:p w14:paraId="076EC3EF" w14:textId="50EEBC02" w:rsidR="009322A2" w:rsidRPr="00C002ED" w:rsidRDefault="009322A2" w:rsidP="009322A2">
            <w:pPr>
              <w:spacing w:line="240" w:lineRule="auto"/>
              <w:contextualSpacing/>
              <w:jc w:val="center"/>
              <w:rPr>
                <w:b/>
                <w:bCs/>
                <w:sz w:val="20"/>
                <w:highlight w:val="yellow"/>
              </w:rPr>
            </w:pPr>
            <w:r w:rsidRPr="00C002ED">
              <w:rPr>
                <w:sz w:val="20"/>
              </w:rPr>
              <w:t>0.8833</w:t>
            </w:r>
          </w:p>
        </w:tc>
      </w:tr>
      <w:tr w:rsidR="009322A2" w:rsidRPr="00C002ED" w14:paraId="0CC5789C" w14:textId="77777777" w:rsidTr="009322A2">
        <w:trPr>
          <w:trHeight w:val="283"/>
          <w:jc w:val="center"/>
        </w:trPr>
        <w:tc>
          <w:tcPr>
            <w:tcW w:w="2778" w:type="dxa"/>
          </w:tcPr>
          <w:p w14:paraId="7BDD5025" w14:textId="2CB41E02" w:rsidR="009322A2" w:rsidRPr="00C002ED" w:rsidRDefault="009322A2" w:rsidP="009322A2">
            <w:pPr>
              <w:spacing w:line="240" w:lineRule="auto"/>
              <w:contextualSpacing/>
              <w:jc w:val="center"/>
              <w:rPr>
                <w:sz w:val="20"/>
                <w:highlight w:val="yellow"/>
              </w:rPr>
            </w:pPr>
            <w:r w:rsidRPr="00C002ED">
              <w:rPr>
                <w:sz w:val="20"/>
              </w:rPr>
              <w:t>2019, 2023</w:t>
            </w:r>
          </w:p>
        </w:tc>
        <w:tc>
          <w:tcPr>
            <w:tcW w:w="2254" w:type="dxa"/>
          </w:tcPr>
          <w:p w14:paraId="7458A65B" w14:textId="71A5C389" w:rsidR="009322A2" w:rsidRPr="00C002ED" w:rsidRDefault="009322A2" w:rsidP="009322A2">
            <w:pPr>
              <w:spacing w:line="240" w:lineRule="auto"/>
              <w:contextualSpacing/>
              <w:jc w:val="center"/>
              <w:rPr>
                <w:sz w:val="20"/>
                <w:highlight w:val="yellow"/>
              </w:rPr>
            </w:pPr>
            <w:r w:rsidRPr="00C002ED">
              <w:rPr>
                <w:sz w:val="20"/>
              </w:rPr>
              <w:t>3.3183</w:t>
            </w:r>
          </w:p>
        </w:tc>
        <w:tc>
          <w:tcPr>
            <w:tcW w:w="2254" w:type="dxa"/>
          </w:tcPr>
          <w:p w14:paraId="07F2E846" w14:textId="0936CBD4" w:rsidR="009322A2" w:rsidRPr="00C002ED" w:rsidRDefault="009322A2" w:rsidP="009322A2">
            <w:pPr>
              <w:spacing w:line="240" w:lineRule="auto"/>
              <w:contextualSpacing/>
              <w:jc w:val="center"/>
              <w:rPr>
                <w:b/>
                <w:bCs/>
                <w:sz w:val="20"/>
                <w:highlight w:val="yellow"/>
              </w:rPr>
            </w:pPr>
            <w:r w:rsidRPr="00C002ED">
              <w:rPr>
                <w:b/>
                <w:bCs/>
                <w:sz w:val="20"/>
              </w:rPr>
              <w:t>0.0029</w:t>
            </w:r>
          </w:p>
        </w:tc>
      </w:tr>
      <w:tr w:rsidR="009322A2" w:rsidRPr="00C002ED" w14:paraId="5ED18841" w14:textId="77777777" w:rsidTr="009322A2">
        <w:trPr>
          <w:trHeight w:val="283"/>
          <w:jc w:val="center"/>
        </w:trPr>
        <w:tc>
          <w:tcPr>
            <w:tcW w:w="2778" w:type="dxa"/>
          </w:tcPr>
          <w:p w14:paraId="1C0F2EAE" w14:textId="44D563FB" w:rsidR="009322A2" w:rsidRPr="00C002ED" w:rsidRDefault="009322A2" w:rsidP="009322A2">
            <w:pPr>
              <w:spacing w:line="240" w:lineRule="auto"/>
              <w:contextualSpacing/>
              <w:jc w:val="center"/>
              <w:rPr>
                <w:sz w:val="20"/>
                <w:highlight w:val="yellow"/>
              </w:rPr>
            </w:pPr>
            <w:r w:rsidRPr="00C002ED">
              <w:rPr>
                <w:sz w:val="20"/>
              </w:rPr>
              <w:t>2019, 2024</w:t>
            </w:r>
          </w:p>
        </w:tc>
        <w:tc>
          <w:tcPr>
            <w:tcW w:w="2254" w:type="dxa"/>
          </w:tcPr>
          <w:p w14:paraId="0D7E8994" w14:textId="3A04228C" w:rsidR="009322A2" w:rsidRPr="00C002ED" w:rsidRDefault="009322A2" w:rsidP="009322A2">
            <w:pPr>
              <w:spacing w:line="240" w:lineRule="auto"/>
              <w:contextualSpacing/>
              <w:jc w:val="center"/>
              <w:rPr>
                <w:sz w:val="20"/>
                <w:highlight w:val="yellow"/>
              </w:rPr>
            </w:pPr>
            <w:r w:rsidRPr="00C002ED">
              <w:rPr>
                <w:sz w:val="20"/>
              </w:rPr>
              <w:t>1.8470</w:t>
            </w:r>
          </w:p>
        </w:tc>
        <w:tc>
          <w:tcPr>
            <w:tcW w:w="2254" w:type="dxa"/>
          </w:tcPr>
          <w:p w14:paraId="4A70A75D" w14:textId="74DD93B6" w:rsidR="009322A2" w:rsidRPr="00C002ED" w:rsidRDefault="009322A2" w:rsidP="009322A2">
            <w:pPr>
              <w:spacing w:line="240" w:lineRule="auto"/>
              <w:contextualSpacing/>
              <w:jc w:val="center"/>
              <w:rPr>
                <w:b/>
                <w:bCs/>
                <w:sz w:val="20"/>
                <w:highlight w:val="yellow"/>
              </w:rPr>
            </w:pPr>
            <w:r w:rsidRPr="00C002ED">
              <w:rPr>
                <w:sz w:val="20"/>
              </w:rPr>
              <w:t>0.0781</w:t>
            </w:r>
          </w:p>
        </w:tc>
      </w:tr>
      <w:tr w:rsidR="009322A2" w:rsidRPr="00C002ED" w14:paraId="7D384A90" w14:textId="77777777" w:rsidTr="009322A2">
        <w:trPr>
          <w:trHeight w:val="283"/>
          <w:jc w:val="center"/>
        </w:trPr>
        <w:tc>
          <w:tcPr>
            <w:tcW w:w="2778" w:type="dxa"/>
          </w:tcPr>
          <w:p w14:paraId="4A62E9F3" w14:textId="29AA6DDE" w:rsidR="009322A2" w:rsidRPr="00C002ED" w:rsidRDefault="009322A2" w:rsidP="009322A2">
            <w:pPr>
              <w:spacing w:line="240" w:lineRule="auto"/>
              <w:contextualSpacing/>
              <w:jc w:val="center"/>
              <w:rPr>
                <w:sz w:val="20"/>
                <w:highlight w:val="yellow"/>
              </w:rPr>
            </w:pPr>
            <w:r w:rsidRPr="00C002ED">
              <w:rPr>
                <w:sz w:val="20"/>
              </w:rPr>
              <w:t>2020, 2021</w:t>
            </w:r>
          </w:p>
        </w:tc>
        <w:tc>
          <w:tcPr>
            <w:tcW w:w="2254" w:type="dxa"/>
          </w:tcPr>
          <w:p w14:paraId="4FB5E598" w14:textId="78B1E81E" w:rsidR="009322A2" w:rsidRPr="00C002ED" w:rsidRDefault="009322A2" w:rsidP="009322A2">
            <w:pPr>
              <w:spacing w:line="240" w:lineRule="auto"/>
              <w:contextualSpacing/>
              <w:jc w:val="center"/>
              <w:rPr>
                <w:sz w:val="20"/>
                <w:highlight w:val="yellow"/>
              </w:rPr>
            </w:pPr>
            <w:r w:rsidRPr="00C002ED">
              <w:rPr>
                <w:sz w:val="20"/>
              </w:rPr>
              <w:t>2.4266</w:t>
            </w:r>
          </w:p>
        </w:tc>
        <w:tc>
          <w:tcPr>
            <w:tcW w:w="2254" w:type="dxa"/>
          </w:tcPr>
          <w:p w14:paraId="1035DBA7" w14:textId="3C6E0B81" w:rsidR="009322A2" w:rsidRPr="00C002ED" w:rsidRDefault="009322A2" w:rsidP="009322A2">
            <w:pPr>
              <w:spacing w:line="240" w:lineRule="auto"/>
              <w:contextualSpacing/>
              <w:jc w:val="center"/>
              <w:rPr>
                <w:b/>
                <w:bCs/>
                <w:sz w:val="20"/>
                <w:highlight w:val="yellow"/>
              </w:rPr>
            </w:pPr>
            <w:r w:rsidRPr="00C002ED">
              <w:rPr>
                <w:b/>
                <w:bCs/>
                <w:sz w:val="20"/>
              </w:rPr>
              <w:t>0.0185</w:t>
            </w:r>
          </w:p>
        </w:tc>
      </w:tr>
      <w:tr w:rsidR="009322A2" w:rsidRPr="00C002ED" w14:paraId="749CFA43" w14:textId="77777777" w:rsidTr="009322A2">
        <w:trPr>
          <w:trHeight w:val="283"/>
          <w:jc w:val="center"/>
        </w:trPr>
        <w:tc>
          <w:tcPr>
            <w:tcW w:w="2778" w:type="dxa"/>
          </w:tcPr>
          <w:p w14:paraId="02C9C869" w14:textId="1AB28546" w:rsidR="009322A2" w:rsidRPr="00C002ED" w:rsidRDefault="009322A2" w:rsidP="009322A2">
            <w:pPr>
              <w:spacing w:line="240" w:lineRule="auto"/>
              <w:contextualSpacing/>
              <w:jc w:val="center"/>
              <w:rPr>
                <w:sz w:val="20"/>
                <w:highlight w:val="yellow"/>
              </w:rPr>
            </w:pPr>
            <w:r w:rsidRPr="00C002ED">
              <w:rPr>
                <w:sz w:val="20"/>
              </w:rPr>
              <w:t>2020, 2023</w:t>
            </w:r>
          </w:p>
        </w:tc>
        <w:tc>
          <w:tcPr>
            <w:tcW w:w="2254" w:type="dxa"/>
          </w:tcPr>
          <w:p w14:paraId="121A1C0B" w14:textId="21A54A67" w:rsidR="009322A2" w:rsidRPr="00C002ED" w:rsidRDefault="009322A2" w:rsidP="009322A2">
            <w:pPr>
              <w:spacing w:line="240" w:lineRule="auto"/>
              <w:contextualSpacing/>
              <w:jc w:val="center"/>
              <w:rPr>
                <w:sz w:val="20"/>
                <w:highlight w:val="yellow"/>
              </w:rPr>
            </w:pPr>
            <w:r w:rsidRPr="00C002ED">
              <w:rPr>
                <w:sz w:val="20"/>
              </w:rPr>
              <w:t>5.1793</w:t>
            </w:r>
          </w:p>
        </w:tc>
        <w:tc>
          <w:tcPr>
            <w:tcW w:w="2254" w:type="dxa"/>
          </w:tcPr>
          <w:p w14:paraId="0EB298CF" w14:textId="4B4F662E" w:rsidR="009322A2" w:rsidRPr="00C002ED" w:rsidRDefault="009322A2" w:rsidP="009322A2">
            <w:pPr>
              <w:spacing w:line="240" w:lineRule="auto"/>
              <w:contextualSpacing/>
              <w:jc w:val="center"/>
              <w:rPr>
                <w:b/>
                <w:bCs/>
                <w:sz w:val="20"/>
                <w:highlight w:val="yellow"/>
              </w:rPr>
            </w:pPr>
            <w:r w:rsidRPr="00C002ED">
              <w:rPr>
                <w:b/>
                <w:bCs/>
                <w:sz w:val="20"/>
              </w:rPr>
              <w:t>0.0001</w:t>
            </w:r>
          </w:p>
        </w:tc>
      </w:tr>
      <w:tr w:rsidR="009322A2" w:rsidRPr="00C002ED" w14:paraId="6D6F3467" w14:textId="77777777" w:rsidTr="009322A2">
        <w:trPr>
          <w:trHeight w:val="283"/>
          <w:jc w:val="center"/>
        </w:trPr>
        <w:tc>
          <w:tcPr>
            <w:tcW w:w="2778" w:type="dxa"/>
          </w:tcPr>
          <w:p w14:paraId="4B84DEF1" w14:textId="0D00CE3C" w:rsidR="009322A2" w:rsidRPr="00C002ED" w:rsidRDefault="009322A2" w:rsidP="009322A2">
            <w:pPr>
              <w:spacing w:line="240" w:lineRule="auto"/>
              <w:contextualSpacing/>
              <w:jc w:val="center"/>
              <w:rPr>
                <w:sz w:val="20"/>
                <w:highlight w:val="yellow"/>
              </w:rPr>
            </w:pPr>
            <w:r w:rsidRPr="00C002ED">
              <w:rPr>
                <w:sz w:val="20"/>
              </w:rPr>
              <w:t>2020, 2024</w:t>
            </w:r>
          </w:p>
        </w:tc>
        <w:tc>
          <w:tcPr>
            <w:tcW w:w="2254" w:type="dxa"/>
          </w:tcPr>
          <w:p w14:paraId="43699945" w14:textId="39E7A63B" w:rsidR="009322A2" w:rsidRPr="00C002ED" w:rsidRDefault="009322A2" w:rsidP="009322A2">
            <w:pPr>
              <w:spacing w:line="240" w:lineRule="auto"/>
              <w:contextualSpacing/>
              <w:jc w:val="center"/>
              <w:rPr>
                <w:sz w:val="20"/>
                <w:highlight w:val="yellow"/>
              </w:rPr>
            </w:pPr>
            <w:r w:rsidRPr="00C002ED">
              <w:rPr>
                <w:sz w:val="20"/>
              </w:rPr>
              <w:t>0.4064</w:t>
            </w:r>
          </w:p>
        </w:tc>
        <w:tc>
          <w:tcPr>
            <w:tcW w:w="2254" w:type="dxa"/>
          </w:tcPr>
          <w:p w14:paraId="4529BE1D" w14:textId="7F7A5FF0" w:rsidR="009322A2" w:rsidRPr="00C002ED" w:rsidRDefault="009322A2" w:rsidP="009322A2">
            <w:pPr>
              <w:spacing w:line="240" w:lineRule="auto"/>
              <w:contextualSpacing/>
              <w:jc w:val="center"/>
              <w:rPr>
                <w:b/>
                <w:bCs/>
                <w:sz w:val="20"/>
                <w:highlight w:val="yellow"/>
              </w:rPr>
            </w:pPr>
            <w:r w:rsidRPr="00C002ED">
              <w:rPr>
                <w:sz w:val="20"/>
              </w:rPr>
              <w:t>0.6844</w:t>
            </w:r>
          </w:p>
        </w:tc>
      </w:tr>
      <w:tr w:rsidR="009322A2" w:rsidRPr="00C002ED" w14:paraId="29EB117C" w14:textId="77777777" w:rsidTr="009322A2">
        <w:trPr>
          <w:trHeight w:val="283"/>
          <w:jc w:val="center"/>
        </w:trPr>
        <w:tc>
          <w:tcPr>
            <w:tcW w:w="2778" w:type="dxa"/>
          </w:tcPr>
          <w:p w14:paraId="199AB6EA" w14:textId="29F7FECE" w:rsidR="009322A2" w:rsidRPr="00C002ED" w:rsidRDefault="009322A2" w:rsidP="009322A2">
            <w:pPr>
              <w:spacing w:line="240" w:lineRule="auto"/>
              <w:contextualSpacing/>
              <w:jc w:val="center"/>
              <w:rPr>
                <w:sz w:val="20"/>
                <w:highlight w:val="yellow"/>
              </w:rPr>
            </w:pPr>
            <w:r w:rsidRPr="00C002ED">
              <w:rPr>
                <w:sz w:val="20"/>
              </w:rPr>
              <w:t>2021, 2023</w:t>
            </w:r>
          </w:p>
        </w:tc>
        <w:tc>
          <w:tcPr>
            <w:tcW w:w="2254" w:type="dxa"/>
          </w:tcPr>
          <w:p w14:paraId="5F67DEE3" w14:textId="0DCD626D" w:rsidR="009322A2" w:rsidRPr="00C002ED" w:rsidRDefault="009322A2" w:rsidP="009322A2">
            <w:pPr>
              <w:spacing w:line="240" w:lineRule="auto"/>
              <w:contextualSpacing/>
              <w:jc w:val="center"/>
              <w:rPr>
                <w:sz w:val="20"/>
                <w:highlight w:val="yellow"/>
              </w:rPr>
            </w:pPr>
            <w:r w:rsidRPr="00C002ED">
              <w:rPr>
                <w:sz w:val="20"/>
              </w:rPr>
              <w:t>2.6751</w:t>
            </w:r>
          </w:p>
        </w:tc>
        <w:tc>
          <w:tcPr>
            <w:tcW w:w="2254" w:type="dxa"/>
          </w:tcPr>
          <w:p w14:paraId="2EDE86ED" w14:textId="58828D9A" w:rsidR="009322A2" w:rsidRPr="00C002ED" w:rsidRDefault="009322A2" w:rsidP="009322A2">
            <w:pPr>
              <w:spacing w:line="240" w:lineRule="auto"/>
              <w:contextualSpacing/>
              <w:jc w:val="center"/>
              <w:rPr>
                <w:b/>
                <w:bCs/>
                <w:sz w:val="20"/>
                <w:highlight w:val="yellow"/>
              </w:rPr>
            </w:pPr>
            <w:r w:rsidRPr="00C002ED">
              <w:rPr>
                <w:b/>
                <w:bCs/>
                <w:sz w:val="20"/>
              </w:rPr>
              <w:t>0.0136</w:t>
            </w:r>
          </w:p>
        </w:tc>
      </w:tr>
      <w:tr w:rsidR="009322A2" w:rsidRPr="00C002ED" w14:paraId="0E903A86" w14:textId="77777777" w:rsidTr="009322A2">
        <w:trPr>
          <w:trHeight w:val="283"/>
          <w:jc w:val="center"/>
        </w:trPr>
        <w:tc>
          <w:tcPr>
            <w:tcW w:w="2778" w:type="dxa"/>
          </w:tcPr>
          <w:p w14:paraId="587D0BA5" w14:textId="7D77E47D" w:rsidR="009322A2" w:rsidRPr="00C002ED" w:rsidRDefault="009322A2" w:rsidP="009322A2">
            <w:pPr>
              <w:spacing w:line="240" w:lineRule="auto"/>
              <w:contextualSpacing/>
              <w:jc w:val="center"/>
              <w:rPr>
                <w:sz w:val="20"/>
                <w:highlight w:val="yellow"/>
              </w:rPr>
            </w:pPr>
            <w:r w:rsidRPr="00C002ED">
              <w:rPr>
                <w:sz w:val="20"/>
              </w:rPr>
              <w:t>2021, 2024</w:t>
            </w:r>
          </w:p>
        </w:tc>
        <w:tc>
          <w:tcPr>
            <w:tcW w:w="2254" w:type="dxa"/>
          </w:tcPr>
          <w:p w14:paraId="503495BD" w14:textId="5FE0201D" w:rsidR="009322A2" w:rsidRPr="00C002ED" w:rsidRDefault="009322A2" w:rsidP="009322A2">
            <w:pPr>
              <w:spacing w:line="240" w:lineRule="auto"/>
              <w:contextualSpacing/>
              <w:jc w:val="center"/>
              <w:rPr>
                <w:sz w:val="20"/>
                <w:highlight w:val="yellow"/>
              </w:rPr>
            </w:pPr>
            <w:r w:rsidRPr="00C002ED">
              <w:rPr>
                <w:sz w:val="20"/>
              </w:rPr>
              <w:t>1.6508</w:t>
            </w:r>
          </w:p>
        </w:tc>
        <w:tc>
          <w:tcPr>
            <w:tcW w:w="2254" w:type="dxa"/>
          </w:tcPr>
          <w:p w14:paraId="0C615F43" w14:textId="1D59934C" w:rsidR="009322A2" w:rsidRPr="00C002ED" w:rsidRDefault="009322A2" w:rsidP="009322A2">
            <w:pPr>
              <w:spacing w:line="240" w:lineRule="auto"/>
              <w:contextualSpacing/>
              <w:jc w:val="center"/>
              <w:rPr>
                <w:b/>
                <w:bCs/>
                <w:sz w:val="20"/>
                <w:highlight w:val="yellow"/>
              </w:rPr>
            </w:pPr>
            <w:r w:rsidRPr="00C002ED">
              <w:rPr>
                <w:sz w:val="20"/>
              </w:rPr>
              <w:t>0.1273</w:t>
            </w:r>
          </w:p>
        </w:tc>
      </w:tr>
      <w:tr w:rsidR="009322A2" w:rsidRPr="00C002ED" w14:paraId="4BAB249E" w14:textId="77777777" w:rsidTr="00073893">
        <w:trPr>
          <w:trHeight w:val="283"/>
          <w:jc w:val="center"/>
        </w:trPr>
        <w:tc>
          <w:tcPr>
            <w:tcW w:w="2778" w:type="dxa"/>
            <w:tcBorders>
              <w:bottom w:val="single" w:sz="4" w:space="0" w:color="auto"/>
            </w:tcBorders>
          </w:tcPr>
          <w:p w14:paraId="34A2A89A" w14:textId="58824B1D" w:rsidR="009322A2" w:rsidRPr="00C002ED" w:rsidRDefault="009322A2" w:rsidP="009322A2">
            <w:pPr>
              <w:spacing w:line="240" w:lineRule="auto"/>
              <w:contextualSpacing/>
              <w:jc w:val="center"/>
              <w:rPr>
                <w:sz w:val="20"/>
                <w:highlight w:val="yellow"/>
              </w:rPr>
            </w:pPr>
            <w:r w:rsidRPr="00C002ED">
              <w:rPr>
                <w:sz w:val="20"/>
              </w:rPr>
              <w:t>2023, 2024</w:t>
            </w:r>
          </w:p>
        </w:tc>
        <w:tc>
          <w:tcPr>
            <w:tcW w:w="2254" w:type="dxa"/>
            <w:tcBorders>
              <w:bottom w:val="single" w:sz="4" w:space="0" w:color="auto"/>
            </w:tcBorders>
          </w:tcPr>
          <w:p w14:paraId="5F2ADFE7" w14:textId="63C7991D" w:rsidR="009322A2" w:rsidRPr="00C002ED" w:rsidRDefault="009322A2" w:rsidP="009322A2">
            <w:pPr>
              <w:spacing w:line="240" w:lineRule="auto"/>
              <w:contextualSpacing/>
              <w:jc w:val="center"/>
              <w:rPr>
                <w:sz w:val="20"/>
                <w:highlight w:val="yellow"/>
              </w:rPr>
            </w:pPr>
            <w:r w:rsidRPr="00C002ED">
              <w:rPr>
                <w:sz w:val="20"/>
              </w:rPr>
              <w:t>5.3333</w:t>
            </w:r>
          </w:p>
        </w:tc>
        <w:tc>
          <w:tcPr>
            <w:tcW w:w="2254" w:type="dxa"/>
            <w:tcBorders>
              <w:bottom w:val="single" w:sz="4" w:space="0" w:color="auto"/>
            </w:tcBorders>
          </w:tcPr>
          <w:p w14:paraId="0ADC9775" w14:textId="5C29F4BD" w:rsidR="009322A2" w:rsidRPr="00C002ED" w:rsidRDefault="009322A2" w:rsidP="009322A2">
            <w:pPr>
              <w:spacing w:line="240" w:lineRule="auto"/>
              <w:contextualSpacing/>
              <w:jc w:val="center"/>
              <w:rPr>
                <w:b/>
                <w:bCs/>
                <w:sz w:val="20"/>
                <w:highlight w:val="yellow"/>
              </w:rPr>
            </w:pPr>
            <w:r w:rsidRPr="00C002ED">
              <w:rPr>
                <w:b/>
                <w:bCs/>
                <w:sz w:val="20"/>
              </w:rPr>
              <w:t>0.0001</w:t>
            </w:r>
          </w:p>
        </w:tc>
      </w:tr>
    </w:tbl>
    <w:p w14:paraId="59D22268" w14:textId="77777777" w:rsidR="00142EA3" w:rsidRDefault="00142EA3">
      <w:pPr>
        <w:spacing w:before="0" w:after="160" w:line="259" w:lineRule="auto"/>
        <w:jc w:val="left"/>
        <w:rPr>
          <w:rFonts w:eastAsia="MS Mincho" w:cs="Arial"/>
          <w:b/>
          <w:color w:val="auto"/>
          <w:kern w:val="0"/>
          <w:sz w:val="20"/>
          <w:lang w:val="en-US"/>
        </w:rPr>
      </w:pPr>
      <w:r>
        <w:br w:type="page"/>
      </w:r>
    </w:p>
    <w:p w14:paraId="758BCD3C" w14:textId="5B9D9E5E" w:rsidR="009A4875" w:rsidRPr="00B87627" w:rsidRDefault="009A4875" w:rsidP="00605FB2">
      <w:pPr>
        <w:pStyle w:val="Captions"/>
        <w:rPr>
          <w:noProof/>
          <w:lang w:eastAsia="en-AU"/>
        </w:rPr>
      </w:pPr>
      <w:r w:rsidRPr="00905027">
        <w:lastRenderedPageBreak/>
        <w:t>Table</w:t>
      </w:r>
      <w:bookmarkEnd w:id="615"/>
      <w:r w:rsidRPr="00905027">
        <w:t xml:space="preserve"> </w:t>
      </w:r>
      <w:r w:rsidR="00145C00" w:rsidRPr="00905027">
        <w:t>C</w:t>
      </w:r>
      <w:r w:rsidR="008865D1">
        <w:t>2</w:t>
      </w:r>
      <w:r w:rsidR="00FB33C3">
        <w:t>2</w:t>
      </w:r>
      <w:r w:rsidRPr="00905027">
        <w:rPr>
          <w:noProof/>
          <w:lang w:eastAsia="en-AU"/>
        </w:rPr>
        <w:t xml:space="preserve">. Results of the model selection procedure for linear regression models fitted to </w:t>
      </w:r>
      <w:r w:rsidR="00852BAB" w:rsidRPr="00905027">
        <w:rPr>
          <w:noProof/>
          <w:lang w:eastAsia="en-AU"/>
        </w:rPr>
        <w:t>20</w:t>
      </w:r>
      <w:r w:rsidR="00D1081F" w:rsidRPr="00905027">
        <w:rPr>
          <w:noProof/>
          <w:lang w:eastAsia="en-AU"/>
        </w:rPr>
        <w:t>17</w:t>
      </w:r>
      <w:r w:rsidR="00954442" w:rsidRPr="00905027">
        <w:rPr>
          <w:noProof/>
          <w:lang w:eastAsia="en-AU"/>
        </w:rPr>
        <w:t>–202</w:t>
      </w:r>
      <w:r w:rsidR="00905027" w:rsidRPr="00905027">
        <w:rPr>
          <w:noProof/>
          <w:lang w:eastAsia="en-AU"/>
        </w:rPr>
        <w:t>4</w:t>
      </w:r>
      <w:r w:rsidRPr="00905027">
        <w:rPr>
          <w:noProof/>
          <w:lang w:eastAsia="en-AU"/>
        </w:rPr>
        <w:t xml:space="preserve"> Murray cod age–length data.</w:t>
      </w:r>
    </w:p>
    <w:tbl>
      <w:tblPr>
        <w:tblW w:w="0" w:type="auto"/>
        <w:jc w:val="center"/>
        <w:tblLook w:val="04A0" w:firstRow="1" w:lastRow="0" w:firstColumn="1" w:lastColumn="0" w:noHBand="0" w:noVBand="1"/>
        <w:tblDescription w:val="Table of results of the model selection procedure for linear regression models fitted to 2017–2024 Murray cod age–length data."/>
      </w:tblPr>
      <w:tblGrid>
        <w:gridCol w:w="1706"/>
        <w:gridCol w:w="973"/>
        <w:gridCol w:w="692"/>
        <w:gridCol w:w="857"/>
        <w:gridCol w:w="1200"/>
      </w:tblGrid>
      <w:tr w:rsidR="009A4875" w:rsidRPr="00B87627" w14:paraId="682CC368" w14:textId="77777777" w:rsidTr="009F3C4C">
        <w:trPr>
          <w:trHeight w:val="300"/>
          <w:jc w:val="center"/>
        </w:trPr>
        <w:tc>
          <w:tcPr>
            <w:tcW w:w="0" w:type="auto"/>
            <w:tcBorders>
              <w:top w:val="single" w:sz="4" w:space="0" w:color="auto"/>
              <w:left w:val="nil"/>
              <w:bottom w:val="single" w:sz="4" w:space="0" w:color="auto"/>
              <w:right w:val="nil"/>
            </w:tcBorders>
            <w:noWrap/>
            <w:vAlign w:val="bottom"/>
            <w:hideMark/>
          </w:tcPr>
          <w:p w14:paraId="0F4D6BC3" w14:textId="77777777" w:rsidR="009A4875" w:rsidRPr="00B87627" w:rsidRDefault="009A4875" w:rsidP="009F3C4C">
            <w:pPr>
              <w:spacing w:after="0" w:line="240" w:lineRule="auto"/>
              <w:jc w:val="left"/>
              <w:rPr>
                <w:b/>
                <w:sz w:val="20"/>
                <w:szCs w:val="21"/>
                <w:lang w:eastAsia="en-AU"/>
              </w:rPr>
            </w:pPr>
            <w:r w:rsidRPr="00B87627">
              <w:rPr>
                <w:b/>
                <w:sz w:val="20"/>
                <w:szCs w:val="21"/>
                <w:lang w:eastAsia="en-AU"/>
              </w:rPr>
              <w:t>Model</w:t>
            </w:r>
          </w:p>
        </w:tc>
        <w:tc>
          <w:tcPr>
            <w:tcW w:w="0" w:type="auto"/>
            <w:tcBorders>
              <w:top w:val="single" w:sz="4" w:space="0" w:color="auto"/>
              <w:left w:val="nil"/>
              <w:bottom w:val="single" w:sz="4" w:space="0" w:color="auto"/>
              <w:right w:val="nil"/>
            </w:tcBorders>
            <w:noWrap/>
            <w:vAlign w:val="bottom"/>
            <w:hideMark/>
          </w:tcPr>
          <w:p w14:paraId="282BE026" w14:textId="77777777" w:rsidR="009A4875" w:rsidRPr="00B87627" w:rsidRDefault="009A4875" w:rsidP="009F3C4C">
            <w:pPr>
              <w:spacing w:after="0" w:line="240" w:lineRule="auto"/>
              <w:jc w:val="center"/>
              <w:rPr>
                <w:rFonts w:cs="Calibri"/>
                <w:b/>
                <w:noProof/>
                <w:sz w:val="20"/>
                <w:szCs w:val="21"/>
                <w:lang w:eastAsia="en-AU"/>
              </w:rPr>
            </w:pPr>
            <w:r w:rsidRPr="00B87627">
              <w:rPr>
                <w:rFonts w:cs="Calibri"/>
                <w:b/>
                <w:noProof/>
                <w:sz w:val="20"/>
                <w:szCs w:val="21"/>
                <w:lang w:eastAsia="en-AU"/>
              </w:rPr>
              <w:t>AICc</w:t>
            </w:r>
          </w:p>
        </w:tc>
        <w:tc>
          <w:tcPr>
            <w:tcW w:w="0" w:type="auto"/>
            <w:tcBorders>
              <w:top w:val="single" w:sz="4" w:space="0" w:color="auto"/>
              <w:left w:val="nil"/>
              <w:bottom w:val="single" w:sz="4" w:space="0" w:color="auto"/>
              <w:right w:val="nil"/>
            </w:tcBorders>
            <w:vAlign w:val="bottom"/>
          </w:tcPr>
          <w:p w14:paraId="3642D025" w14:textId="77777777" w:rsidR="009A4875" w:rsidRPr="00B87627" w:rsidRDefault="009A4875" w:rsidP="009F3C4C">
            <w:pPr>
              <w:spacing w:after="0" w:line="240" w:lineRule="auto"/>
              <w:jc w:val="center"/>
              <w:rPr>
                <w:rFonts w:cs="Calibri"/>
                <w:b/>
                <w:sz w:val="20"/>
                <w:szCs w:val="21"/>
                <w:lang w:eastAsia="en-AU"/>
              </w:rPr>
            </w:pPr>
            <w:r w:rsidRPr="00B87627">
              <w:rPr>
                <w:rFonts w:cs="Calibri"/>
                <w:b/>
                <w:sz w:val="20"/>
                <w:szCs w:val="21"/>
                <w:lang w:eastAsia="en-AU"/>
              </w:rPr>
              <w:t>Npar</w:t>
            </w:r>
          </w:p>
        </w:tc>
        <w:tc>
          <w:tcPr>
            <w:tcW w:w="0" w:type="auto"/>
            <w:tcBorders>
              <w:top w:val="single" w:sz="4" w:space="0" w:color="auto"/>
              <w:left w:val="nil"/>
              <w:bottom w:val="single" w:sz="4" w:space="0" w:color="auto"/>
              <w:right w:val="nil"/>
            </w:tcBorders>
            <w:noWrap/>
            <w:vAlign w:val="bottom"/>
            <w:hideMark/>
          </w:tcPr>
          <w:p w14:paraId="3C37FA14" w14:textId="77777777" w:rsidR="009A4875" w:rsidRPr="00B87627" w:rsidRDefault="009A4875" w:rsidP="009F3C4C">
            <w:pPr>
              <w:spacing w:after="0" w:line="240" w:lineRule="auto"/>
              <w:jc w:val="center"/>
              <w:rPr>
                <w:rFonts w:cs="Calibri"/>
                <w:b/>
                <w:sz w:val="20"/>
                <w:szCs w:val="21"/>
                <w:lang w:eastAsia="en-AU"/>
              </w:rPr>
            </w:pPr>
            <w:r w:rsidRPr="00B87627">
              <w:rPr>
                <w:rFonts w:cs="Calibri"/>
                <w:b/>
                <w:sz w:val="20"/>
                <w:szCs w:val="21"/>
                <w:lang w:eastAsia="en-AU"/>
              </w:rPr>
              <w:t>∆AICc</w:t>
            </w:r>
          </w:p>
        </w:tc>
        <w:tc>
          <w:tcPr>
            <w:tcW w:w="0" w:type="auto"/>
            <w:tcBorders>
              <w:top w:val="single" w:sz="4" w:space="0" w:color="auto"/>
              <w:left w:val="nil"/>
              <w:bottom w:val="single" w:sz="4" w:space="0" w:color="auto"/>
              <w:right w:val="nil"/>
            </w:tcBorders>
            <w:noWrap/>
            <w:vAlign w:val="bottom"/>
            <w:hideMark/>
          </w:tcPr>
          <w:p w14:paraId="4A81948D" w14:textId="77777777" w:rsidR="009A4875" w:rsidRPr="00B87627" w:rsidRDefault="009A4875" w:rsidP="009F3C4C">
            <w:pPr>
              <w:spacing w:after="0" w:line="240" w:lineRule="auto"/>
              <w:jc w:val="center"/>
              <w:rPr>
                <w:rFonts w:cs="Calibri"/>
                <w:b/>
                <w:sz w:val="20"/>
                <w:szCs w:val="21"/>
                <w:lang w:eastAsia="en-AU"/>
              </w:rPr>
            </w:pPr>
            <w:r w:rsidRPr="00B87627">
              <w:rPr>
                <w:rFonts w:cs="Calibri"/>
                <w:b/>
                <w:sz w:val="20"/>
                <w:szCs w:val="21"/>
                <w:lang w:eastAsia="en-AU"/>
              </w:rPr>
              <w:t>Likelihood</w:t>
            </w:r>
          </w:p>
        </w:tc>
      </w:tr>
      <w:tr w:rsidR="00905027" w:rsidRPr="00B87627" w14:paraId="1CE4B211" w14:textId="77777777" w:rsidTr="00D35016">
        <w:trPr>
          <w:trHeight w:val="300"/>
          <w:jc w:val="center"/>
        </w:trPr>
        <w:tc>
          <w:tcPr>
            <w:tcW w:w="0" w:type="auto"/>
            <w:tcBorders>
              <w:top w:val="single" w:sz="4" w:space="0" w:color="auto"/>
              <w:left w:val="nil"/>
              <w:bottom w:val="nil"/>
              <w:right w:val="nil"/>
            </w:tcBorders>
            <w:noWrap/>
            <w:vAlign w:val="bottom"/>
          </w:tcPr>
          <w:p w14:paraId="185152FC" w14:textId="77777777" w:rsidR="00905027" w:rsidRPr="00B87627" w:rsidRDefault="00905027" w:rsidP="00905027">
            <w:pPr>
              <w:spacing w:after="0" w:line="240" w:lineRule="auto"/>
              <w:jc w:val="left"/>
              <w:rPr>
                <w:rFonts w:cs="Calibri"/>
                <w:sz w:val="20"/>
                <w:szCs w:val="21"/>
                <w:lang w:eastAsia="en-AU"/>
              </w:rPr>
            </w:pPr>
            <w:r w:rsidRPr="00B87627">
              <w:rPr>
                <w:rFonts w:cs="Calibri"/>
                <w:sz w:val="20"/>
                <w:szCs w:val="21"/>
                <w:lang w:eastAsia="en-AU"/>
              </w:rPr>
              <w:t>Linear</w:t>
            </w:r>
          </w:p>
        </w:tc>
        <w:tc>
          <w:tcPr>
            <w:tcW w:w="0" w:type="auto"/>
            <w:tcBorders>
              <w:top w:val="single" w:sz="4" w:space="0" w:color="auto"/>
              <w:left w:val="nil"/>
              <w:bottom w:val="nil"/>
              <w:right w:val="nil"/>
            </w:tcBorders>
            <w:noWrap/>
          </w:tcPr>
          <w:p w14:paraId="02E95E19" w14:textId="482C1FA2" w:rsidR="00905027" w:rsidRPr="00B87627" w:rsidRDefault="00905027" w:rsidP="00905027">
            <w:pPr>
              <w:spacing w:after="0" w:line="240" w:lineRule="auto"/>
              <w:jc w:val="center"/>
              <w:rPr>
                <w:rFonts w:cs="Calibri"/>
                <w:sz w:val="20"/>
                <w:szCs w:val="21"/>
                <w:lang w:eastAsia="en-AU"/>
              </w:rPr>
            </w:pPr>
            <w:r w:rsidRPr="00F60205">
              <w:t>690.737</w:t>
            </w:r>
          </w:p>
        </w:tc>
        <w:tc>
          <w:tcPr>
            <w:tcW w:w="0" w:type="auto"/>
            <w:tcBorders>
              <w:top w:val="single" w:sz="4" w:space="0" w:color="auto"/>
              <w:left w:val="nil"/>
              <w:bottom w:val="nil"/>
              <w:right w:val="nil"/>
            </w:tcBorders>
            <w:vAlign w:val="bottom"/>
          </w:tcPr>
          <w:p w14:paraId="4DCBA2AC" w14:textId="77777777" w:rsidR="00905027" w:rsidRPr="00B87627" w:rsidRDefault="00905027" w:rsidP="00905027">
            <w:pPr>
              <w:spacing w:after="0" w:line="240" w:lineRule="auto"/>
              <w:jc w:val="center"/>
              <w:rPr>
                <w:rFonts w:cs="Calibri"/>
                <w:sz w:val="20"/>
                <w:szCs w:val="21"/>
                <w:lang w:eastAsia="en-AU"/>
              </w:rPr>
            </w:pPr>
            <w:r w:rsidRPr="00B87627">
              <w:rPr>
                <w:rFonts w:cs="Calibri"/>
                <w:sz w:val="20"/>
                <w:szCs w:val="21"/>
                <w:lang w:eastAsia="en-AU"/>
              </w:rPr>
              <w:t>1</w:t>
            </w:r>
          </w:p>
        </w:tc>
        <w:tc>
          <w:tcPr>
            <w:tcW w:w="0" w:type="auto"/>
            <w:tcBorders>
              <w:top w:val="single" w:sz="4" w:space="0" w:color="auto"/>
              <w:left w:val="nil"/>
              <w:bottom w:val="nil"/>
              <w:right w:val="nil"/>
            </w:tcBorders>
            <w:noWrap/>
          </w:tcPr>
          <w:p w14:paraId="182C862B" w14:textId="5FC655FA" w:rsidR="00905027" w:rsidRPr="00B87627" w:rsidRDefault="00905027" w:rsidP="00905027">
            <w:pPr>
              <w:spacing w:after="0" w:line="240" w:lineRule="auto"/>
              <w:jc w:val="center"/>
              <w:rPr>
                <w:rFonts w:cs="Calibri"/>
                <w:sz w:val="20"/>
                <w:szCs w:val="21"/>
                <w:lang w:eastAsia="en-AU"/>
              </w:rPr>
            </w:pPr>
            <w:r w:rsidRPr="00437741">
              <w:t>19.869</w:t>
            </w:r>
          </w:p>
        </w:tc>
        <w:tc>
          <w:tcPr>
            <w:tcW w:w="0" w:type="auto"/>
            <w:tcBorders>
              <w:top w:val="single" w:sz="4" w:space="0" w:color="auto"/>
              <w:left w:val="nil"/>
              <w:bottom w:val="nil"/>
              <w:right w:val="nil"/>
            </w:tcBorders>
            <w:noWrap/>
          </w:tcPr>
          <w:p w14:paraId="7F23D664" w14:textId="76CF676E" w:rsidR="00905027" w:rsidRPr="00B87627" w:rsidRDefault="00905027" w:rsidP="00905027">
            <w:pPr>
              <w:spacing w:after="0" w:line="240" w:lineRule="auto"/>
              <w:jc w:val="center"/>
              <w:rPr>
                <w:rFonts w:cs="Calibri"/>
                <w:sz w:val="20"/>
                <w:szCs w:val="21"/>
                <w:lang w:eastAsia="en-AU"/>
              </w:rPr>
            </w:pPr>
            <w:r w:rsidRPr="00B87627">
              <w:t>&lt;0.001</w:t>
            </w:r>
          </w:p>
        </w:tc>
      </w:tr>
      <w:tr w:rsidR="00905027" w:rsidRPr="00B87627" w14:paraId="5B0373E2" w14:textId="77777777" w:rsidTr="00D35016">
        <w:trPr>
          <w:trHeight w:val="300"/>
          <w:jc w:val="center"/>
        </w:trPr>
        <w:tc>
          <w:tcPr>
            <w:tcW w:w="0" w:type="auto"/>
            <w:tcBorders>
              <w:top w:val="nil"/>
              <w:left w:val="nil"/>
              <w:right w:val="nil"/>
            </w:tcBorders>
            <w:noWrap/>
            <w:vAlign w:val="bottom"/>
          </w:tcPr>
          <w:p w14:paraId="0C8FF3D8" w14:textId="77777777" w:rsidR="00905027" w:rsidRPr="00B87627" w:rsidRDefault="00905027" w:rsidP="00905027">
            <w:pPr>
              <w:spacing w:after="0" w:line="240" w:lineRule="auto"/>
              <w:jc w:val="left"/>
              <w:rPr>
                <w:rFonts w:cs="Calibri"/>
                <w:sz w:val="20"/>
                <w:szCs w:val="21"/>
                <w:lang w:eastAsia="en-AU"/>
              </w:rPr>
            </w:pPr>
            <w:r w:rsidRPr="00B87627">
              <w:rPr>
                <w:rFonts w:cs="Calibri"/>
                <w:sz w:val="20"/>
                <w:szCs w:val="21"/>
                <w:lang w:eastAsia="en-AU"/>
              </w:rPr>
              <w:t>Gompertz</w:t>
            </w:r>
          </w:p>
        </w:tc>
        <w:tc>
          <w:tcPr>
            <w:tcW w:w="0" w:type="auto"/>
            <w:tcBorders>
              <w:top w:val="nil"/>
              <w:left w:val="nil"/>
              <w:right w:val="nil"/>
            </w:tcBorders>
            <w:noWrap/>
          </w:tcPr>
          <w:p w14:paraId="098A6BC1" w14:textId="56DD46A3" w:rsidR="00905027" w:rsidRPr="00B87627" w:rsidRDefault="00905027" w:rsidP="00905027">
            <w:pPr>
              <w:spacing w:after="0" w:line="240" w:lineRule="auto"/>
              <w:jc w:val="center"/>
              <w:rPr>
                <w:rFonts w:cs="Calibri"/>
                <w:sz w:val="20"/>
                <w:szCs w:val="21"/>
                <w:lang w:eastAsia="en-AU"/>
              </w:rPr>
            </w:pPr>
            <w:r w:rsidRPr="00F60205">
              <w:t>670.867</w:t>
            </w:r>
          </w:p>
        </w:tc>
        <w:tc>
          <w:tcPr>
            <w:tcW w:w="0" w:type="auto"/>
            <w:tcBorders>
              <w:top w:val="nil"/>
              <w:left w:val="nil"/>
              <w:right w:val="nil"/>
            </w:tcBorders>
            <w:vAlign w:val="bottom"/>
          </w:tcPr>
          <w:p w14:paraId="1E548D21" w14:textId="77777777" w:rsidR="00905027" w:rsidRPr="00B87627" w:rsidRDefault="00905027" w:rsidP="00905027">
            <w:pPr>
              <w:spacing w:after="0" w:line="240" w:lineRule="auto"/>
              <w:jc w:val="center"/>
              <w:rPr>
                <w:rFonts w:cs="Calibri"/>
                <w:sz w:val="20"/>
                <w:szCs w:val="21"/>
                <w:lang w:eastAsia="en-AU"/>
              </w:rPr>
            </w:pPr>
            <w:r w:rsidRPr="00B87627">
              <w:rPr>
                <w:rFonts w:cs="Calibri"/>
                <w:sz w:val="20"/>
                <w:szCs w:val="21"/>
                <w:lang w:eastAsia="en-AU"/>
              </w:rPr>
              <w:t>3</w:t>
            </w:r>
          </w:p>
        </w:tc>
        <w:tc>
          <w:tcPr>
            <w:tcW w:w="0" w:type="auto"/>
            <w:tcBorders>
              <w:top w:val="nil"/>
              <w:left w:val="nil"/>
              <w:right w:val="nil"/>
            </w:tcBorders>
            <w:noWrap/>
          </w:tcPr>
          <w:p w14:paraId="2CB6DF71" w14:textId="01EBCDDC" w:rsidR="00905027" w:rsidRPr="00B87627" w:rsidRDefault="00905027" w:rsidP="00905027">
            <w:pPr>
              <w:spacing w:after="0" w:line="240" w:lineRule="auto"/>
              <w:jc w:val="center"/>
              <w:rPr>
                <w:rFonts w:cs="Calibri"/>
                <w:sz w:val="20"/>
                <w:szCs w:val="21"/>
                <w:lang w:eastAsia="en-AU"/>
              </w:rPr>
            </w:pPr>
            <w:r w:rsidRPr="00437741">
              <w:t>0.000</w:t>
            </w:r>
          </w:p>
        </w:tc>
        <w:tc>
          <w:tcPr>
            <w:tcW w:w="0" w:type="auto"/>
            <w:tcBorders>
              <w:top w:val="nil"/>
              <w:left w:val="nil"/>
              <w:right w:val="nil"/>
            </w:tcBorders>
            <w:noWrap/>
          </w:tcPr>
          <w:p w14:paraId="7EA6AB38" w14:textId="477066D0" w:rsidR="00905027" w:rsidRPr="00B87627" w:rsidRDefault="00905027" w:rsidP="00905027">
            <w:pPr>
              <w:spacing w:after="0" w:line="240" w:lineRule="auto"/>
              <w:jc w:val="center"/>
              <w:rPr>
                <w:rFonts w:cs="Calibri"/>
                <w:sz w:val="20"/>
                <w:szCs w:val="21"/>
                <w:lang w:eastAsia="en-AU"/>
              </w:rPr>
            </w:pPr>
            <w:r w:rsidRPr="00B87627">
              <w:t>1.000</w:t>
            </w:r>
          </w:p>
        </w:tc>
      </w:tr>
      <w:tr w:rsidR="00905027" w:rsidRPr="00424090" w14:paraId="66A44672" w14:textId="77777777" w:rsidTr="00D35016">
        <w:trPr>
          <w:trHeight w:val="300"/>
          <w:jc w:val="center"/>
        </w:trPr>
        <w:tc>
          <w:tcPr>
            <w:tcW w:w="0" w:type="auto"/>
            <w:tcBorders>
              <w:top w:val="nil"/>
              <w:left w:val="nil"/>
              <w:bottom w:val="single" w:sz="4" w:space="0" w:color="auto"/>
              <w:right w:val="nil"/>
            </w:tcBorders>
            <w:noWrap/>
            <w:vAlign w:val="bottom"/>
          </w:tcPr>
          <w:p w14:paraId="2E819EB6" w14:textId="77777777" w:rsidR="00905027" w:rsidRPr="00B87627" w:rsidRDefault="00905027" w:rsidP="00905027">
            <w:pPr>
              <w:spacing w:after="0" w:line="240" w:lineRule="auto"/>
              <w:jc w:val="left"/>
              <w:rPr>
                <w:rFonts w:cs="Calibri"/>
                <w:sz w:val="20"/>
                <w:szCs w:val="21"/>
                <w:lang w:eastAsia="en-AU"/>
              </w:rPr>
            </w:pPr>
            <w:r w:rsidRPr="00B87627">
              <w:rPr>
                <w:rFonts w:cs="Calibri"/>
                <w:sz w:val="20"/>
                <w:szCs w:val="21"/>
                <w:lang w:eastAsia="en-AU"/>
              </w:rPr>
              <w:t>Von Bertalanffy</w:t>
            </w:r>
          </w:p>
        </w:tc>
        <w:tc>
          <w:tcPr>
            <w:tcW w:w="0" w:type="auto"/>
            <w:tcBorders>
              <w:top w:val="nil"/>
              <w:left w:val="nil"/>
              <w:bottom w:val="single" w:sz="4" w:space="0" w:color="auto"/>
              <w:right w:val="nil"/>
            </w:tcBorders>
            <w:noWrap/>
          </w:tcPr>
          <w:p w14:paraId="3DB27E64" w14:textId="4E4520F3" w:rsidR="00905027" w:rsidRPr="00B87627" w:rsidRDefault="00905027" w:rsidP="00905027">
            <w:pPr>
              <w:spacing w:after="0" w:line="240" w:lineRule="auto"/>
              <w:jc w:val="center"/>
              <w:rPr>
                <w:rFonts w:cs="Calibri"/>
                <w:sz w:val="20"/>
                <w:szCs w:val="21"/>
                <w:lang w:eastAsia="en-AU"/>
              </w:rPr>
            </w:pPr>
            <w:r w:rsidRPr="00F60205">
              <w:t>693.068</w:t>
            </w:r>
          </w:p>
        </w:tc>
        <w:tc>
          <w:tcPr>
            <w:tcW w:w="0" w:type="auto"/>
            <w:tcBorders>
              <w:top w:val="nil"/>
              <w:left w:val="nil"/>
              <w:bottom w:val="single" w:sz="4" w:space="0" w:color="auto"/>
              <w:right w:val="nil"/>
            </w:tcBorders>
            <w:vAlign w:val="bottom"/>
          </w:tcPr>
          <w:p w14:paraId="03A786BE" w14:textId="77777777" w:rsidR="00905027" w:rsidRPr="00B87627" w:rsidRDefault="00905027" w:rsidP="00905027">
            <w:pPr>
              <w:spacing w:after="0" w:line="240" w:lineRule="auto"/>
              <w:jc w:val="center"/>
              <w:rPr>
                <w:rFonts w:cs="Calibri"/>
                <w:sz w:val="20"/>
                <w:szCs w:val="21"/>
                <w:lang w:eastAsia="en-AU"/>
              </w:rPr>
            </w:pPr>
            <w:r w:rsidRPr="00B87627">
              <w:rPr>
                <w:rFonts w:cs="Calibri"/>
                <w:sz w:val="20"/>
                <w:szCs w:val="21"/>
                <w:lang w:eastAsia="en-AU"/>
              </w:rPr>
              <w:t>2</w:t>
            </w:r>
          </w:p>
        </w:tc>
        <w:tc>
          <w:tcPr>
            <w:tcW w:w="0" w:type="auto"/>
            <w:tcBorders>
              <w:top w:val="nil"/>
              <w:left w:val="nil"/>
              <w:bottom w:val="single" w:sz="4" w:space="0" w:color="auto"/>
              <w:right w:val="nil"/>
            </w:tcBorders>
            <w:noWrap/>
          </w:tcPr>
          <w:p w14:paraId="4CE8D448" w14:textId="4D0DF4AD" w:rsidR="00905027" w:rsidRPr="00B87627" w:rsidRDefault="00905027" w:rsidP="00905027">
            <w:pPr>
              <w:spacing w:after="0" w:line="240" w:lineRule="auto"/>
              <w:jc w:val="center"/>
              <w:rPr>
                <w:rFonts w:cs="Calibri"/>
                <w:sz w:val="20"/>
                <w:szCs w:val="21"/>
                <w:lang w:eastAsia="en-AU"/>
              </w:rPr>
            </w:pPr>
            <w:r w:rsidRPr="00437741">
              <w:t>22.201</w:t>
            </w:r>
          </w:p>
        </w:tc>
        <w:tc>
          <w:tcPr>
            <w:tcW w:w="0" w:type="auto"/>
            <w:tcBorders>
              <w:top w:val="nil"/>
              <w:left w:val="nil"/>
              <w:bottom w:val="single" w:sz="4" w:space="0" w:color="auto"/>
              <w:right w:val="nil"/>
            </w:tcBorders>
            <w:noWrap/>
          </w:tcPr>
          <w:p w14:paraId="1B249CE9" w14:textId="1DDE7284" w:rsidR="00905027" w:rsidRPr="00A939DC" w:rsidRDefault="00905027" w:rsidP="00905027">
            <w:pPr>
              <w:spacing w:after="0" w:line="240" w:lineRule="auto"/>
              <w:jc w:val="center"/>
              <w:rPr>
                <w:rFonts w:cs="Calibri"/>
                <w:sz w:val="20"/>
                <w:szCs w:val="21"/>
                <w:lang w:eastAsia="en-AU"/>
              </w:rPr>
            </w:pPr>
            <w:r w:rsidRPr="00B87627">
              <w:t>&lt;0.001</w:t>
            </w:r>
          </w:p>
        </w:tc>
      </w:tr>
    </w:tbl>
    <w:p w14:paraId="4A6DE8E1" w14:textId="77777777" w:rsidR="009A4875" w:rsidRPr="00424090" w:rsidRDefault="009A4875" w:rsidP="009A4875">
      <w:pPr>
        <w:rPr>
          <w:highlight w:val="yellow"/>
        </w:rPr>
      </w:pPr>
      <w:bookmarkStart w:id="616" w:name="_Ref61350662"/>
      <w:bookmarkStart w:id="617" w:name="_Ref57899744"/>
    </w:p>
    <w:p w14:paraId="2E871F4F" w14:textId="48D16965" w:rsidR="009A4875" w:rsidRPr="00A35D33" w:rsidRDefault="009A4875" w:rsidP="00605FB2">
      <w:pPr>
        <w:pStyle w:val="Captions"/>
        <w:rPr>
          <w:noProof/>
          <w:lang w:eastAsia="en-AU"/>
        </w:rPr>
      </w:pPr>
      <w:bookmarkStart w:id="618" w:name="_Hlk207969092"/>
      <w:r w:rsidRPr="00067907">
        <w:t>Table</w:t>
      </w:r>
      <w:bookmarkEnd w:id="616"/>
      <w:r w:rsidRPr="00067907">
        <w:t xml:space="preserve"> </w:t>
      </w:r>
      <w:r w:rsidR="00145C00" w:rsidRPr="00067907">
        <w:t>C</w:t>
      </w:r>
      <w:r w:rsidR="008865D1">
        <w:t>2</w:t>
      </w:r>
      <w:r w:rsidR="00FB33C3">
        <w:t>3</w:t>
      </w:r>
      <w:r w:rsidRPr="00067907">
        <w:rPr>
          <w:noProof/>
          <w:lang w:eastAsia="en-AU"/>
        </w:rPr>
        <w:t xml:space="preserve">. PERMANOVA main test comparisons of Murray cod </w:t>
      </w:r>
      <w:r w:rsidR="0099610F" w:rsidRPr="00067907">
        <w:rPr>
          <w:noProof/>
          <w:lang w:eastAsia="en-AU"/>
        </w:rPr>
        <w:t xml:space="preserve">young-of-year </w:t>
      </w:r>
      <w:r w:rsidRPr="00067907">
        <w:rPr>
          <w:noProof/>
          <w:lang w:eastAsia="en-AU"/>
        </w:rPr>
        <w:t xml:space="preserve">catch-per-unit-effort (CPUE) between years for non-targeted electrofishing. </w:t>
      </w:r>
      <w:r w:rsidR="00F8380C" w:rsidRPr="00067907">
        <w:rPr>
          <w:noProof/>
          <w:lang w:eastAsia="en-AU"/>
        </w:rPr>
        <w:t>P-values presented in bold are significant comparisons (α = 0.05).</w:t>
      </w:r>
    </w:p>
    <w:tbl>
      <w:tblPr>
        <w:tblStyle w:val="TableGrid"/>
        <w:tblpPr w:leftFromText="180" w:rightFromText="180" w:vertAnchor="text"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of PERMANOVA main test comparisons of Murray cod young-of-year catch-per-unit-effort between years for non-targeted electrofishing."/>
      </w:tblPr>
      <w:tblGrid>
        <w:gridCol w:w="2324"/>
        <w:gridCol w:w="682"/>
        <w:gridCol w:w="1225"/>
        <w:gridCol w:w="39"/>
        <w:gridCol w:w="2091"/>
        <w:gridCol w:w="39"/>
      </w:tblGrid>
      <w:tr w:rsidR="009A4875" w:rsidRPr="00A35D33" w14:paraId="664E3575" w14:textId="77777777" w:rsidTr="00067907">
        <w:trPr>
          <w:trHeight w:val="340"/>
        </w:trPr>
        <w:tc>
          <w:tcPr>
            <w:tcW w:w="2324" w:type="dxa"/>
            <w:tcBorders>
              <w:top w:val="single" w:sz="4" w:space="0" w:color="auto"/>
              <w:bottom w:val="single" w:sz="4" w:space="0" w:color="auto"/>
            </w:tcBorders>
          </w:tcPr>
          <w:bookmarkEnd w:id="618"/>
          <w:p w14:paraId="10C8DE09" w14:textId="77777777" w:rsidR="009A4875" w:rsidRPr="00A9302C" w:rsidRDefault="009A4875" w:rsidP="00067907">
            <w:pPr>
              <w:spacing w:line="240" w:lineRule="auto"/>
              <w:contextualSpacing/>
              <w:jc w:val="left"/>
              <w:rPr>
                <w:b/>
                <w:noProof/>
                <w:sz w:val="20"/>
                <w:lang w:eastAsia="en-AU"/>
              </w:rPr>
            </w:pPr>
            <w:r w:rsidRPr="00A9302C">
              <w:rPr>
                <w:b/>
                <w:noProof/>
                <w:sz w:val="20"/>
                <w:lang w:eastAsia="en-AU"/>
              </w:rPr>
              <w:t>Factor</w:t>
            </w:r>
          </w:p>
        </w:tc>
        <w:tc>
          <w:tcPr>
            <w:tcW w:w="682" w:type="dxa"/>
            <w:tcBorders>
              <w:top w:val="single" w:sz="4" w:space="0" w:color="auto"/>
              <w:bottom w:val="single" w:sz="4" w:space="0" w:color="auto"/>
            </w:tcBorders>
          </w:tcPr>
          <w:p w14:paraId="04FACBED" w14:textId="77777777" w:rsidR="009A4875" w:rsidRPr="00A9302C" w:rsidRDefault="009A4875" w:rsidP="00067907">
            <w:pPr>
              <w:spacing w:line="240" w:lineRule="auto"/>
              <w:contextualSpacing/>
              <w:jc w:val="center"/>
              <w:rPr>
                <w:b/>
                <w:iCs/>
                <w:noProof/>
                <w:sz w:val="20"/>
                <w:lang w:eastAsia="en-AU"/>
              </w:rPr>
            </w:pPr>
            <w:r w:rsidRPr="00A9302C">
              <w:rPr>
                <w:b/>
                <w:iCs/>
                <w:noProof/>
                <w:sz w:val="20"/>
                <w:lang w:eastAsia="en-AU"/>
              </w:rPr>
              <w:t>df</w:t>
            </w:r>
          </w:p>
        </w:tc>
        <w:tc>
          <w:tcPr>
            <w:tcW w:w="1264" w:type="dxa"/>
            <w:gridSpan w:val="2"/>
            <w:tcBorders>
              <w:top w:val="single" w:sz="4" w:space="0" w:color="auto"/>
              <w:bottom w:val="single" w:sz="4" w:space="0" w:color="auto"/>
            </w:tcBorders>
          </w:tcPr>
          <w:p w14:paraId="246DEF9B" w14:textId="77777777" w:rsidR="009A4875" w:rsidRPr="00A9302C" w:rsidRDefault="009A4875" w:rsidP="00067907">
            <w:pPr>
              <w:spacing w:line="240" w:lineRule="auto"/>
              <w:contextualSpacing/>
              <w:jc w:val="center"/>
              <w:rPr>
                <w:b/>
                <w:i/>
                <w:noProof/>
                <w:sz w:val="20"/>
                <w:lang w:eastAsia="en-AU"/>
              </w:rPr>
            </w:pPr>
            <w:r w:rsidRPr="00A9302C">
              <w:rPr>
                <w:b/>
                <w:i/>
                <w:noProof/>
                <w:sz w:val="20"/>
                <w:lang w:eastAsia="en-AU"/>
              </w:rPr>
              <w:t>Pseudo-F</w:t>
            </w:r>
          </w:p>
        </w:tc>
        <w:tc>
          <w:tcPr>
            <w:tcW w:w="2130" w:type="dxa"/>
            <w:gridSpan w:val="2"/>
            <w:tcBorders>
              <w:top w:val="single" w:sz="4" w:space="0" w:color="auto"/>
              <w:bottom w:val="single" w:sz="4" w:space="0" w:color="auto"/>
            </w:tcBorders>
          </w:tcPr>
          <w:p w14:paraId="288DE31A" w14:textId="77777777" w:rsidR="009A4875" w:rsidRPr="00A9302C" w:rsidRDefault="009A4875" w:rsidP="00067907">
            <w:pPr>
              <w:spacing w:line="240" w:lineRule="auto"/>
              <w:contextualSpacing/>
              <w:jc w:val="center"/>
              <w:rPr>
                <w:b/>
                <w:noProof/>
                <w:sz w:val="20"/>
                <w:lang w:eastAsia="en-AU"/>
              </w:rPr>
            </w:pPr>
            <w:r w:rsidRPr="00A9302C">
              <w:rPr>
                <w:b/>
                <w:i/>
                <w:noProof/>
                <w:sz w:val="20"/>
                <w:lang w:eastAsia="en-AU"/>
              </w:rPr>
              <w:t>p</w:t>
            </w:r>
            <w:r w:rsidRPr="00A9302C">
              <w:rPr>
                <w:b/>
                <w:noProof/>
                <w:sz w:val="20"/>
                <w:lang w:eastAsia="en-AU"/>
              </w:rPr>
              <w:t xml:space="preserve"> value</w:t>
            </w:r>
          </w:p>
        </w:tc>
      </w:tr>
      <w:tr w:rsidR="0074459B" w:rsidRPr="00A35D33" w14:paraId="55DAF29D" w14:textId="77777777" w:rsidTr="00067907">
        <w:trPr>
          <w:trHeight w:val="283"/>
        </w:trPr>
        <w:tc>
          <w:tcPr>
            <w:tcW w:w="2324" w:type="dxa"/>
            <w:tcBorders>
              <w:top w:val="single" w:sz="4" w:space="0" w:color="auto"/>
            </w:tcBorders>
          </w:tcPr>
          <w:p w14:paraId="6165C19D" w14:textId="77777777" w:rsidR="0074459B" w:rsidRPr="00A9302C" w:rsidRDefault="0074459B" w:rsidP="00067907">
            <w:pPr>
              <w:spacing w:line="240" w:lineRule="auto"/>
              <w:contextualSpacing/>
              <w:jc w:val="left"/>
              <w:rPr>
                <w:bCs/>
                <w:noProof/>
                <w:sz w:val="20"/>
                <w:lang w:eastAsia="en-AU"/>
              </w:rPr>
            </w:pPr>
            <w:r w:rsidRPr="00A9302C">
              <w:rPr>
                <w:bCs/>
                <w:noProof/>
                <w:sz w:val="20"/>
                <w:lang w:eastAsia="en-AU"/>
              </w:rPr>
              <w:t>Year</w:t>
            </w:r>
          </w:p>
        </w:tc>
        <w:tc>
          <w:tcPr>
            <w:tcW w:w="682" w:type="dxa"/>
            <w:tcBorders>
              <w:top w:val="single" w:sz="4" w:space="0" w:color="auto"/>
            </w:tcBorders>
          </w:tcPr>
          <w:p w14:paraId="17C18465" w14:textId="017284FA" w:rsidR="0074459B" w:rsidRPr="00A9302C" w:rsidRDefault="00A9302C" w:rsidP="00067907">
            <w:pPr>
              <w:spacing w:line="240" w:lineRule="auto"/>
              <w:contextualSpacing/>
              <w:jc w:val="center"/>
              <w:rPr>
                <w:bCs/>
                <w:noProof/>
                <w:sz w:val="20"/>
                <w:lang w:eastAsia="en-AU"/>
              </w:rPr>
            </w:pPr>
            <w:r w:rsidRPr="00A9302C">
              <w:rPr>
                <w:bCs/>
                <w:noProof/>
                <w:lang w:eastAsia="en-AU"/>
              </w:rPr>
              <w:t>9</w:t>
            </w:r>
          </w:p>
        </w:tc>
        <w:tc>
          <w:tcPr>
            <w:tcW w:w="1264" w:type="dxa"/>
            <w:gridSpan w:val="2"/>
            <w:tcBorders>
              <w:top w:val="single" w:sz="4" w:space="0" w:color="auto"/>
            </w:tcBorders>
          </w:tcPr>
          <w:p w14:paraId="7600E0CB" w14:textId="2C52CF72" w:rsidR="0074459B" w:rsidRPr="00A9302C" w:rsidRDefault="00AE1785" w:rsidP="00067907">
            <w:pPr>
              <w:spacing w:line="240" w:lineRule="auto"/>
              <w:contextualSpacing/>
              <w:jc w:val="center"/>
              <w:rPr>
                <w:b/>
                <w:noProof/>
                <w:sz w:val="20"/>
                <w:lang w:eastAsia="en-AU"/>
              </w:rPr>
            </w:pPr>
            <w:r w:rsidRPr="00A9302C">
              <w:t>3.</w:t>
            </w:r>
            <w:r w:rsidR="006A22DD" w:rsidRPr="00A9302C">
              <w:t>5</w:t>
            </w:r>
            <w:r w:rsidR="00A9302C" w:rsidRPr="00A9302C">
              <w:t>221</w:t>
            </w:r>
          </w:p>
        </w:tc>
        <w:tc>
          <w:tcPr>
            <w:tcW w:w="2130" w:type="dxa"/>
            <w:gridSpan w:val="2"/>
            <w:tcBorders>
              <w:top w:val="single" w:sz="4" w:space="0" w:color="auto"/>
            </w:tcBorders>
          </w:tcPr>
          <w:p w14:paraId="1ABCBE3D" w14:textId="1F27F3EC" w:rsidR="0074459B" w:rsidRPr="00A9302C" w:rsidRDefault="00AE1785" w:rsidP="00067907">
            <w:pPr>
              <w:spacing w:line="240" w:lineRule="auto"/>
              <w:contextualSpacing/>
              <w:jc w:val="center"/>
              <w:rPr>
                <w:b/>
                <w:bCs/>
                <w:noProof/>
                <w:sz w:val="20"/>
                <w:lang w:eastAsia="en-AU"/>
              </w:rPr>
            </w:pPr>
            <w:r w:rsidRPr="00A9302C">
              <w:rPr>
                <w:b/>
                <w:bCs/>
              </w:rPr>
              <w:t>0.0</w:t>
            </w:r>
            <w:r w:rsidR="00A9302C" w:rsidRPr="00A9302C">
              <w:rPr>
                <w:b/>
                <w:bCs/>
              </w:rPr>
              <w:t>11</w:t>
            </w:r>
          </w:p>
        </w:tc>
      </w:tr>
      <w:tr w:rsidR="0074459B" w:rsidRPr="00424090" w14:paraId="78871B21" w14:textId="77777777" w:rsidTr="00067907">
        <w:trPr>
          <w:trHeight w:val="283"/>
        </w:trPr>
        <w:tc>
          <w:tcPr>
            <w:tcW w:w="2324" w:type="dxa"/>
          </w:tcPr>
          <w:p w14:paraId="137775E7" w14:textId="77777777" w:rsidR="0074459B" w:rsidRPr="00A9302C" w:rsidRDefault="0074459B" w:rsidP="00067907">
            <w:pPr>
              <w:spacing w:line="240" w:lineRule="auto"/>
              <w:contextualSpacing/>
              <w:jc w:val="left"/>
              <w:rPr>
                <w:bCs/>
                <w:noProof/>
                <w:sz w:val="20"/>
                <w:lang w:eastAsia="en-AU"/>
              </w:rPr>
            </w:pPr>
            <w:r w:rsidRPr="00A9302C">
              <w:rPr>
                <w:bCs/>
                <w:noProof/>
                <w:sz w:val="20"/>
                <w:lang w:eastAsia="en-AU"/>
              </w:rPr>
              <w:t>Residuals</w:t>
            </w:r>
          </w:p>
        </w:tc>
        <w:tc>
          <w:tcPr>
            <w:tcW w:w="682" w:type="dxa"/>
          </w:tcPr>
          <w:p w14:paraId="68F2D6AA" w14:textId="1C7388C6" w:rsidR="0074459B" w:rsidRPr="00A9302C" w:rsidRDefault="00A9302C" w:rsidP="00067907">
            <w:pPr>
              <w:spacing w:line="240" w:lineRule="auto"/>
              <w:contextualSpacing/>
              <w:jc w:val="center"/>
              <w:rPr>
                <w:bCs/>
                <w:noProof/>
                <w:sz w:val="20"/>
                <w:lang w:eastAsia="en-AU"/>
              </w:rPr>
            </w:pPr>
            <w:r w:rsidRPr="00A9302C">
              <w:rPr>
                <w:bCs/>
                <w:noProof/>
                <w:lang w:eastAsia="en-AU"/>
              </w:rPr>
              <w:t>99</w:t>
            </w:r>
          </w:p>
        </w:tc>
        <w:tc>
          <w:tcPr>
            <w:tcW w:w="1264" w:type="dxa"/>
            <w:gridSpan w:val="2"/>
          </w:tcPr>
          <w:p w14:paraId="472216FE" w14:textId="4C5CCCB8" w:rsidR="0074459B" w:rsidRPr="00A9302C" w:rsidRDefault="0074459B" w:rsidP="00067907">
            <w:pPr>
              <w:spacing w:line="240" w:lineRule="auto"/>
              <w:contextualSpacing/>
              <w:jc w:val="center"/>
              <w:rPr>
                <w:b/>
                <w:noProof/>
                <w:sz w:val="20"/>
                <w:lang w:eastAsia="en-AU"/>
              </w:rPr>
            </w:pPr>
            <w:r w:rsidRPr="00A9302C">
              <w:t xml:space="preserve">        </w:t>
            </w:r>
          </w:p>
        </w:tc>
        <w:tc>
          <w:tcPr>
            <w:tcW w:w="2130" w:type="dxa"/>
            <w:gridSpan w:val="2"/>
          </w:tcPr>
          <w:p w14:paraId="01D8E2F2" w14:textId="1F269280" w:rsidR="0074459B" w:rsidRPr="00A9302C" w:rsidRDefault="0074459B" w:rsidP="00067907">
            <w:pPr>
              <w:spacing w:line="240" w:lineRule="auto"/>
              <w:contextualSpacing/>
              <w:jc w:val="center"/>
              <w:rPr>
                <w:b/>
                <w:noProof/>
                <w:sz w:val="20"/>
                <w:lang w:eastAsia="en-AU"/>
              </w:rPr>
            </w:pPr>
            <w:r w:rsidRPr="00A9302C">
              <w:t xml:space="preserve">       </w:t>
            </w:r>
          </w:p>
        </w:tc>
      </w:tr>
      <w:tr w:rsidR="00C40B3C" w:rsidRPr="00C42101" w14:paraId="34FDD73F" w14:textId="77777777" w:rsidTr="00067907">
        <w:trPr>
          <w:gridAfter w:val="1"/>
          <w:wAfter w:w="39" w:type="dxa"/>
          <w:trHeight w:val="283"/>
        </w:trPr>
        <w:tc>
          <w:tcPr>
            <w:tcW w:w="2324" w:type="dxa"/>
            <w:tcBorders>
              <w:bottom w:val="single" w:sz="4" w:space="0" w:color="auto"/>
            </w:tcBorders>
          </w:tcPr>
          <w:p w14:paraId="545182B3" w14:textId="77777777" w:rsidR="00C40B3C" w:rsidRPr="0020742D" w:rsidRDefault="00C40B3C" w:rsidP="00067907">
            <w:pPr>
              <w:spacing w:line="240" w:lineRule="auto"/>
              <w:contextualSpacing/>
              <w:jc w:val="left"/>
              <w:rPr>
                <w:b/>
                <w:noProof/>
                <w:sz w:val="20"/>
                <w:highlight w:val="yellow"/>
                <w:lang w:eastAsia="en-AU"/>
              </w:rPr>
            </w:pPr>
          </w:p>
        </w:tc>
        <w:tc>
          <w:tcPr>
            <w:tcW w:w="682" w:type="dxa"/>
            <w:tcBorders>
              <w:bottom w:val="single" w:sz="4" w:space="0" w:color="auto"/>
            </w:tcBorders>
          </w:tcPr>
          <w:p w14:paraId="560FE465" w14:textId="77777777" w:rsidR="00C40B3C" w:rsidRPr="0020742D" w:rsidRDefault="00C40B3C" w:rsidP="00067907">
            <w:pPr>
              <w:spacing w:line="240" w:lineRule="auto"/>
              <w:contextualSpacing/>
              <w:jc w:val="center"/>
              <w:rPr>
                <w:b/>
                <w:noProof/>
                <w:sz w:val="20"/>
                <w:highlight w:val="yellow"/>
                <w:lang w:eastAsia="en-AU"/>
              </w:rPr>
            </w:pPr>
          </w:p>
        </w:tc>
        <w:tc>
          <w:tcPr>
            <w:tcW w:w="1225" w:type="dxa"/>
            <w:tcBorders>
              <w:bottom w:val="single" w:sz="4" w:space="0" w:color="auto"/>
            </w:tcBorders>
          </w:tcPr>
          <w:p w14:paraId="3AB9C897" w14:textId="77777777" w:rsidR="00C40B3C" w:rsidRPr="0020742D" w:rsidRDefault="00C40B3C" w:rsidP="00067907">
            <w:pPr>
              <w:spacing w:line="240" w:lineRule="auto"/>
              <w:contextualSpacing/>
              <w:jc w:val="center"/>
              <w:rPr>
                <w:b/>
                <w:noProof/>
                <w:sz w:val="20"/>
                <w:highlight w:val="yellow"/>
                <w:lang w:eastAsia="en-AU"/>
              </w:rPr>
            </w:pPr>
          </w:p>
        </w:tc>
        <w:tc>
          <w:tcPr>
            <w:tcW w:w="2130" w:type="dxa"/>
            <w:gridSpan w:val="2"/>
            <w:tcBorders>
              <w:bottom w:val="single" w:sz="4" w:space="0" w:color="auto"/>
            </w:tcBorders>
          </w:tcPr>
          <w:p w14:paraId="045110CA" w14:textId="77777777" w:rsidR="00C40B3C" w:rsidRPr="0020742D" w:rsidRDefault="00C40B3C" w:rsidP="00067907">
            <w:pPr>
              <w:spacing w:line="240" w:lineRule="auto"/>
              <w:contextualSpacing/>
              <w:jc w:val="center"/>
              <w:rPr>
                <w:b/>
                <w:noProof/>
                <w:sz w:val="20"/>
                <w:highlight w:val="yellow"/>
                <w:lang w:eastAsia="en-AU"/>
              </w:rPr>
            </w:pPr>
          </w:p>
        </w:tc>
      </w:tr>
      <w:tr w:rsidR="00C40B3C" w:rsidRPr="00C42101" w14:paraId="05AD6343" w14:textId="77777777" w:rsidTr="00067907">
        <w:trPr>
          <w:gridAfter w:val="1"/>
          <w:wAfter w:w="39" w:type="dxa"/>
          <w:trHeight w:val="283"/>
        </w:trPr>
        <w:tc>
          <w:tcPr>
            <w:tcW w:w="2324" w:type="dxa"/>
            <w:tcBorders>
              <w:top w:val="single" w:sz="4" w:space="0" w:color="auto"/>
              <w:bottom w:val="single" w:sz="4" w:space="0" w:color="auto"/>
            </w:tcBorders>
          </w:tcPr>
          <w:p w14:paraId="093758C4" w14:textId="77777777" w:rsidR="00C40B3C" w:rsidRPr="00067907" w:rsidRDefault="00C40B3C" w:rsidP="00067907">
            <w:pPr>
              <w:spacing w:line="240" w:lineRule="auto"/>
              <w:contextualSpacing/>
              <w:jc w:val="center"/>
              <w:rPr>
                <w:b/>
                <w:noProof/>
                <w:sz w:val="20"/>
                <w:lang w:eastAsia="en-AU"/>
              </w:rPr>
            </w:pPr>
            <w:r w:rsidRPr="00067907">
              <w:rPr>
                <w:b/>
                <w:noProof/>
                <w:sz w:val="20"/>
                <w:lang w:eastAsia="en-AU"/>
              </w:rPr>
              <w:t>Pairwise comparisons</w:t>
            </w:r>
          </w:p>
          <w:p w14:paraId="2B55189E" w14:textId="77777777" w:rsidR="00C40B3C" w:rsidRPr="00067907" w:rsidRDefault="00C40B3C" w:rsidP="00067907">
            <w:pPr>
              <w:spacing w:line="240" w:lineRule="auto"/>
              <w:contextualSpacing/>
              <w:jc w:val="center"/>
              <w:rPr>
                <w:bCs/>
                <w:noProof/>
                <w:sz w:val="20"/>
                <w:lang w:eastAsia="en-AU"/>
              </w:rPr>
            </w:pPr>
            <w:r w:rsidRPr="00067907">
              <w:rPr>
                <w:bCs/>
                <w:noProof/>
                <w:sz w:val="20"/>
                <w:lang w:eastAsia="en-AU"/>
              </w:rPr>
              <w:t>(between years)</w:t>
            </w:r>
          </w:p>
        </w:tc>
        <w:tc>
          <w:tcPr>
            <w:tcW w:w="682" w:type="dxa"/>
            <w:tcBorders>
              <w:top w:val="single" w:sz="4" w:space="0" w:color="auto"/>
              <w:bottom w:val="single" w:sz="4" w:space="0" w:color="auto"/>
            </w:tcBorders>
          </w:tcPr>
          <w:p w14:paraId="7A9E2ED3" w14:textId="77777777" w:rsidR="00C40B3C" w:rsidRPr="00067907" w:rsidRDefault="00C40B3C" w:rsidP="00067907">
            <w:pPr>
              <w:spacing w:line="240" w:lineRule="auto"/>
              <w:contextualSpacing/>
              <w:jc w:val="center"/>
              <w:rPr>
                <w:b/>
                <w:i/>
                <w:noProof/>
                <w:sz w:val="20"/>
                <w:lang w:eastAsia="en-AU"/>
              </w:rPr>
            </w:pPr>
          </w:p>
        </w:tc>
        <w:tc>
          <w:tcPr>
            <w:tcW w:w="1225" w:type="dxa"/>
            <w:tcBorders>
              <w:top w:val="single" w:sz="4" w:space="0" w:color="auto"/>
              <w:bottom w:val="single" w:sz="4" w:space="0" w:color="auto"/>
            </w:tcBorders>
          </w:tcPr>
          <w:p w14:paraId="21775528" w14:textId="77777777" w:rsidR="00C40B3C" w:rsidRPr="00067907" w:rsidRDefault="00C40B3C" w:rsidP="00067907">
            <w:pPr>
              <w:spacing w:line="240" w:lineRule="auto"/>
              <w:contextualSpacing/>
              <w:jc w:val="center"/>
              <w:rPr>
                <w:b/>
                <w:noProof/>
                <w:sz w:val="20"/>
                <w:lang w:eastAsia="en-AU"/>
              </w:rPr>
            </w:pPr>
            <w:r w:rsidRPr="00067907">
              <w:rPr>
                <w:b/>
                <w:i/>
                <w:noProof/>
                <w:sz w:val="20"/>
                <w:lang w:eastAsia="en-AU"/>
              </w:rPr>
              <w:t>t</w:t>
            </w:r>
          </w:p>
        </w:tc>
        <w:tc>
          <w:tcPr>
            <w:tcW w:w="2130" w:type="dxa"/>
            <w:gridSpan w:val="2"/>
            <w:tcBorders>
              <w:top w:val="single" w:sz="4" w:space="0" w:color="auto"/>
              <w:bottom w:val="single" w:sz="4" w:space="0" w:color="auto"/>
            </w:tcBorders>
          </w:tcPr>
          <w:p w14:paraId="7A0AA6C9" w14:textId="77777777" w:rsidR="00C40B3C" w:rsidRPr="00067907" w:rsidRDefault="00C40B3C" w:rsidP="00067907">
            <w:pPr>
              <w:spacing w:line="240" w:lineRule="auto"/>
              <w:contextualSpacing/>
              <w:jc w:val="center"/>
              <w:rPr>
                <w:b/>
                <w:noProof/>
                <w:sz w:val="20"/>
                <w:lang w:eastAsia="en-AU"/>
              </w:rPr>
            </w:pPr>
            <w:r w:rsidRPr="00067907">
              <w:rPr>
                <w:b/>
                <w:i/>
                <w:noProof/>
                <w:sz w:val="20"/>
                <w:lang w:eastAsia="en-AU"/>
              </w:rPr>
              <w:t>p</w:t>
            </w:r>
            <w:r w:rsidRPr="00067907">
              <w:rPr>
                <w:b/>
                <w:noProof/>
                <w:sz w:val="20"/>
                <w:lang w:eastAsia="en-AU"/>
              </w:rPr>
              <w:t xml:space="preserve"> value</w:t>
            </w:r>
          </w:p>
        </w:tc>
      </w:tr>
      <w:tr w:rsidR="00067907" w:rsidRPr="00C42101" w14:paraId="28A300B2" w14:textId="77777777" w:rsidTr="00067907">
        <w:trPr>
          <w:gridAfter w:val="1"/>
          <w:wAfter w:w="39" w:type="dxa"/>
          <w:trHeight w:val="283"/>
        </w:trPr>
        <w:tc>
          <w:tcPr>
            <w:tcW w:w="2324" w:type="dxa"/>
          </w:tcPr>
          <w:p w14:paraId="77576F0A" w14:textId="617E7EDE" w:rsidR="00067907" w:rsidRPr="0020742D" w:rsidRDefault="00067907" w:rsidP="00067907">
            <w:pPr>
              <w:spacing w:line="240" w:lineRule="auto"/>
              <w:contextualSpacing/>
              <w:jc w:val="center"/>
              <w:rPr>
                <w:sz w:val="20"/>
                <w:highlight w:val="yellow"/>
              </w:rPr>
            </w:pPr>
            <w:r w:rsidRPr="002104EE">
              <w:t>2015, 2016</w:t>
            </w:r>
          </w:p>
        </w:tc>
        <w:tc>
          <w:tcPr>
            <w:tcW w:w="682" w:type="dxa"/>
          </w:tcPr>
          <w:p w14:paraId="704BD9F3" w14:textId="77777777" w:rsidR="00067907" w:rsidRPr="0020742D" w:rsidRDefault="00067907" w:rsidP="00067907">
            <w:pPr>
              <w:spacing w:line="240" w:lineRule="auto"/>
              <w:contextualSpacing/>
              <w:jc w:val="center"/>
              <w:rPr>
                <w:sz w:val="20"/>
                <w:highlight w:val="yellow"/>
              </w:rPr>
            </w:pPr>
          </w:p>
        </w:tc>
        <w:tc>
          <w:tcPr>
            <w:tcW w:w="1225" w:type="dxa"/>
          </w:tcPr>
          <w:p w14:paraId="28F54148" w14:textId="3878C092" w:rsidR="00067907" w:rsidRPr="0020742D" w:rsidRDefault="00067907" w:rsidP="00067907">
            <w:pPr>
              <w:spacing w:line="240" w:lineRule="auto"/>
              <w:contextualSpacing/>
              <w:jc w:val="center"/>
              <w:rPr>
                <w:sz w:val="20"/>
                <w:highlight w:val="yellow"/>
              </w:rPr>
            </w:pPr>
            <w:r w:rsidRPr="007D56EB">
              <w:t>0.7226</w:t>
            </w:r>
          </w:p>
        </w:tc>
        <w:tc>
          <w:tcPr>
            <w:tcW w:w="2130" w:type="dxa"/>
            <w:gridSpan w:val="2"/>
          </w:tcPr>
          <w:p w14:paraId="63D62053" w14:textId="5BB772BE" w:rsidR="00067907" w:rsidRPr="0020742D" w:rsidRDefault="00067907" w:rsidP="00067907">
            <w:pPr>
              <w:spacing w:line="240" w:lineRule="auto"/>
              <w:contextualSpacing/>
              <w:jc w:val="center"/>
              <w:rPr>
                <w:sz w:val="20"/>
                <w:highlight w:val="yellow"/>
              </w:rPr>
            </w:pPr>
            <w:r w:rsidRPr="007D56EB">
              <w:t>0.5926</w:t>
            </w:r>
          </w:p>
        </w:tc>
      </w:tr>
      <w:tr w:rsidR="00067907" w:rsidRPr="00C42101" w14:paraId="59B24DCE" w14:textId="77777777" w:rsidTr="00067907">
        <w:trPr>
          <w:gridAfter w:val="1"/>
          <w:wAfter w:w="39" w:type="dxa"/>
          <w:trHeight w:val="283"/>
        </w:trPr>
        <w:tc>
          <w:tcPr>
            <w:tcW w:w="2324" w:type="dxa"/>
          </w:tcPr>
          <w:p w14:paraId="105E7FC3" w14:textId="44D67F24" w:rsidR="00067907" w:rsidRPr="0020742D" w:rsidRDefault="00067907" w:rsidP="00067907">
            <w:pPr>
              <w:spacing w:line="240" w:lineRule="auto"/>
              <w:contextualSpacing/>
              <w:jc w:val="center"/>
              <w:rPr>
                <w:noProof/>
                <w:sz w:val="20"/>
                <w:highlight w:val="yellow"/>
                <w:lang w:eastAsia="en-AU"/>
              </w:rPr>
            </w:pPr>
            <w:r w:rsidRPr="002104EE">
              <w:t>2015, 2017</w:t>
            </w:r>
          </w:p>
        </w:tc>
        <w:tc>
          <w:tcPr>
            <w:tcW w:w="682" w:type="dxa"/>
          </w:tcPr>
          <w:p w14:paraId="1458202D" w14:textId="77777777" w:rsidR="00067907" w:rsidRPr="0020742D" w:rsidRDefault="00067907" w:rsidP="00067907">
            <w:pPr>
              <w:spacing w:line="240" w:lineRule="auto"/>
              <w:contextualSpacing/>
              <w:jc w:val="center"/>
              <w:rPr>
                <w:sz w:val="20"/>
                <w:highlight w:val="yellow"/>
              </w:rPr>
            </w:pPr>
          </w:p>
        </w:tc>
        <w:tc>
          <w:tcPr>
            <w:tcW w:w="1225" w:type="dxa"/>
          </w:tcPr>
          <w:p w14:paraId="13D72B01" w14:textId="201B6795" w:rsidR="00067907" w:rsidRPr="0020742D" w:rsidRDefault="00067907" w:rsidP="00067907">
            <w:pPr>
              <w:spacing w:line="240" w:lineRule="auto"/>
              <w:contextualSpacing/>
              <w:jc w:val="center"/>
              <w:rPr>
                <w:noProof/>
                <w:sz w:val="20"/>
                <w:highlight w:val="yellow"/>
                <w:lang w:eastAsia="en-AU"/>
              </w:rPr>
            </w:pPr>
            <w:r w:rsidRPr="007D56EB">
              <w:t>2.7524</w:t>
            </w:r>
          </w:p>
        </w:tc>
        <w:tc>
          <w:tcPr>
            <w:tcW w:w="2130" w:type="dxa"/>
            <w:gridSpan w:val="2"/>
          </w:tcPr>
          <w:p w14:paraId="409971DF" w14:textId="763C7609" w:rsidR="00067907" w:rsidRPr="0020742D" w:rsidRDefault="00067907" w:rsidP="00067907">
            <w:pPr>
              <w:spacing w:line="240" w:lineRule="auto"/>
              <w:contextualSpacing/>
              <w:jc w:val="center"/>
              <w:rPr>
                <w:b/>
                <w:bCs/>
                <w:noProof/>
                <w:sz w:val="20"/>
                <w:highlight w:val="yellow"/>
                <w:lang w:eastAsia="en-AU"/>
              </w:rPr>
            </w:pPr>
            <w:r w:rsidRPr="007D56EB">
              <w:t>0.0230</w:t>
            </w:r>
          </w:p>
        </w:tc>
      </w:tr>
      <w:tr w:rsidR="00067907" w:rsidRPr="00C42101" w14:paraId="33C6CE71" w14:textId="77777777" w:rsidTr="00067907">
        <w:trPr>
          <w:gridAfter w:val="1"/>
          <w:wAfter w:w="39" w:type="dxa"/>
          <w:trHeight w:val="283"/>
        </w:trPr>
        <w:tc>
          <w:tcPr>
            <w:tcW w:w="2324" w:type="dxa"/>
          </w:tcPr>
          <w:p w14:paraId="7B8403F2" w14:textId="515C0D15" w:rsidR="00067907" w:rsidRPr="0020742D" w:rsidRDefault="00067907" w:rsidP="00067907">
            <w:pPr>
              <w:spacing w:line="240" w:lineRule="auto"/>
              <w:contextualSpacing/>
              <w:jc w:val="center"/>
              <w:rPr>
                <w:rFonts w:cs="Calibri"/>
                <w:sz w:val="20"/>
                <w:highlight w:val="yellow"/>
              </w:rPr>
            </w:pPr>
            <w:r w:rsidRPr="002104EE">
              <w:t>2015, 2018</w:t>
            </w:r>
          </w:p>
        </w:tc>
        <w:tc>
          <w:tcPr>
            <w:tcW w:w="682" w:type="dxa"/>
          </w:tcPr>
          <w:p w14:paraId="129849E3" w14:textId="77777777" w:rsidR="00067907" w:rsidRPr="0020742D" w:rsidRDefault="00067907" w:rsidP="00067907">
            <w:pPr>
              <w:spacing w:line="240" w:lineRule="auto"/>
              <w:contextualSpacing/>
              <w:jc w:val="center"/>
              <w:rPr>
                <w:sz w:val="20"/>
                <w:highlight w:val="yellow"/>
              </w:rPr>
            </w:pPr>
          </w:p>
        </w:tc>
        <w:tc>
          <w:tcPr>
            <w:tcW w:w="1225" w:type="dxa"/>
          </w:tcPr>
          <w:p w14:paraId="77573D63" w14:textId="0FFFF2B7" w:rsidR="00067907" w:rsidRPr="0020742D" w:rsidRDefault="00067907" w:rsidP="00067907">
            <w:pPr>
              <w:spacing w:line="240" w:lineRule="auto"/>
              <w:contextualSpacing/>
              <w:jc w:val="center"/>
              <w:rPr>
                <w:b/>
                <w:noProof/>
                <w:sz w:val="20"/>
                <w:highlight w:val="yellow"/>
                <w:lang w:eastAsia="en-AU"/>
              </w:rPr>
            </w:pPr>
            <w:r w:rsidRPr="007D56EB">
              <w:t>0.8877</w:t>
            </w:r>
          </w:p>
        </w:tc>
        <w:tc>
          <w:tcPr>
            <w:tcW w:w="2130" w:type="dxa"/>
            <w:gridSpan w:val="2"/>
          </w:tcPr>
          <w:p w14:paraId="68DAFA72" w14:textId="00C17065" w:rsidR="00067907" w:rsidRPr="0020742D" w:rsidRDefault="00067907" w:rsidP="00067907">
            <w:pPr>
              <w:spacing w:line="240" w:lineRule="auto"/>
              <w:contextualSpacing/>
              <w:jc w:val="center"/>
              <w:rPr>
                <w:noProof/>
                <w:sz w:val="20"/>
                <w:highlight w:val="yellow"/>
                <w:lang w:eastAsia="en-AU"/>
              </w:rPr>
            </w:pPr>
            <w:r w:rsidRPr="007D56EB">
              <w:t>0.5426</w:t>
            </w:r>
          </w:p>
        </w:tc>
      </w:tr>
      <w:tr w:rsidR="00067907" w:rsidRPr="00C42101" w14:paraId="122D769F" w14:textId="77777777" w:rsidTr="00067907">
        <w:trPr>
          <w:gridAfter w:val="1"/>
          <w:wAfter w:w="39" w:type="dxa"/>
          <w:trHeight w:val="283"/>
        </w:trPr>
        <w:tc>
          <w:tcPr>
            <w:tcW w:w="2324" w:type="dxa"/>
          </w:tcPr>
          <w:p w14:paraId="285FB0DA" w14:textId="5B231431" w:rsidR="00067907" w:rsidRPr="0020742D" w:rsidRDefault="00067907" w:rsidP="00067907">
            <w:pPr>
              <w:spacing w:line="240" w:lineRule="auto"/>
              <w:contextualSpacing/>
              <w:jc w:val="center"/>
              <w:rPr>
                <w:b/>
                <w:noProof/>
                <w:sz w:val="20"/>
                <w:highlight w:val="yellow"/>
                <w:lang w:eastAsia="en-AU"/>
              </w:rPr>
            </w:pPr>
            <w:r w:rsidRPr="002104EE">
              <w:t>2015, 2019</w:t>
            </w:r>
          </w:p>
        </w:tc>
        <w:tc>
          <w:tcPr>
            <w:tcW w:w="682" w:type="dxa"/>
          </w:tcPr>
          <w:p w14:paraId="7A106CF0" w14:textId="77777777" w:rsidR="00067907" w:rsidRPr="0020742D" w:rsidRDefault="00067907" w:rsidP="00067907">
            <w:pPr>
              <w:spacing w:line="240" w:lineRule="auto"/>
              <w:contextualSpacing/>
              <w:jc w:val="center"/>
              <w:rPr>
                <w:sz w:val="20"/>
                <w:highlight w:val="yellow"/>
              </w:rPr>
            </w:pPr>
          </w:p>
        </w:tc>
        <w:tc>
          <w:tcPr>
            <w:tcW w:w="1225" w:type="dxa"/>
          </w:tcPr>
          <w:p w14:paraId="633039E8" w14:textId="0EEC4122" w:rsidR="00067907" w:rsidRPr="0020742D" w:rsidRDefault="00067907" w:rsidP="00067907">
            <w:pPr>
              <w:spacing w:line="240" w:lineRule="auto"/>
              <w:contextualSpacing/>
              <w:jc w:val="center"/>
              <w:rPr>
                <w:b/>
                <w:noProof/>
                <w:sz w:val="20"/>
                <w:highlight w:val="yellow"/>
                <w:lang w:eastAsia="en-AU"/>
              </w:rPr>
            </w:pPr>
            <w:r w:rsidRPr="007D56EB">
              <w:t>0.5806</w:t>
            </w:r>
          </w:p>
        </w:tc>
        <w:tc>
          <w:tcPr>
            <w:tcW w:w="2130" w:type="dxa"/>
            <w:gridSpan w:val="2"/>
          </w:tcPr>
          <w:p w14:paraId="4C2A69E6" w14:textId="3673D7EF" w:rsidR="00067907" w:rsidRPr="0020742D" w:rsidRDefault="00067907" w:rsidP="00067907">
            <w:pPr>
              <w:spacing w:line="240" w:lineRule="auto"/>
              <w:contextualSpacing/>
              <w:jc w:val="center"/>
              <w:rPr>
                <w:noProof/>
                <w:sz w:val="20"/>
                <w:highlight w:val="yellow"/>
                <w:lang w:eastAsia="en-AU"/>
              </w:rPr>
            </w:pPr>
            <w:r w:rsidRPr="007D56EB">
              <w:t>0.5800</w:t>
            </w:r>
          </w:p>
        </w:tc>
      </w:tr>
      <w:tr w:rsidR="00067907" w:rsidRPr="00C42101" w14:paraId="0B3D853B" w14:textId="77777777" w:rsidTr="00067907">
        <w:trPr>
          <w:gridAfter w:val="1"/>
          <w:wAfter w:w="39" w:type="dxa"/>
          <w:trHeight w:val="283"/>
        </w:trPr>
        <w:tc>
          <w:tcPr>
            <w:tcW w:w="2324" w:type="dxa"/>
          </w:tcPr>
          <w:p w14:paraId="752C71F9" w14:textId="55B5F0B5" w:rsidR="00067907" w:rsidRPr="0020742D" w:rsidRDefault="00067907" w:rsidP="00067907">
            <w:pPr>
              <w:spacing w:line="240" w:lineRule="auto"/>
              <w:contextualSpacing/>
              <w:jc w:val="center"/>
              <w:rPr>
                <w:b/>
                <w:noProof/>
                <w:sz w:val="20"/>
                <w:highlight w:val="yellow"/>
                <w:lang w:eastAsia="en-AU"/>
              </w:rPr>
            </w:pPr>
            <w:r w:rsidRPr="002104EE">
              <w:t>2015, 2020</w:t>
            </w:r>
          </w:p>
        </w:tc>
        <w:tc>
          <w:tcPr>
            <w:tcW w:w="682" w:type="dxa"/>
          </w:tcPr>
          <w:p w14:paraId="451D50D9" w14:textId="77777777" w:rsidR="00067907" w:rsidRPr="0020742D" w:rsidRDefault="00067907" w:rsidP="00067907">
            <w:pPr>
              <w:spacing w:line="240" w:lineRule="auto"/>
              <w:contextualSpacing/>
              <w:jc w:val="center"/>
              <w:rPr>
                <w:sz w:val="20"/>
                <w:highlight w:val="yellow"/>
              </w:rPr>
            </w:pPr>
          </w:p>
        </w:tc>
        <w:tc>
          <w:tcPr>
            <w:tcW w:w="1225" w:type="dxa"/>
          </w:tcPr>
          <w:p w14:paraId="10B3642F" w14:textId="65B78134" w:rsidR="00067907" w:rsidRPr="0020742D" w:rsidRDefault="00067907" w:rsidP="00067907">
            <w:pPr>
              <w:spacing w:line="240" w:lineRule="auto"/>
              <w:contextualSpacing/>
              <w:jc w:val="center"/>
              <w:rPr>
                <w:b/>
                <w:noProof/>
                <w:sz w:val="20"/>
                <w:highlight w:val="yellow"/>
                <w:lang w:eastAsia="en-AU"/>
              </w:rPr>
            </w:pPr>
            <w:r w:rsidRPr="007D56EB">
              <w:t>0.7447</w:t>
            </w:r>
          </w:p>
        </w:tc>
        <w:tc>
          <w:tcPr>
            <w:tcW w:w="2130" w:type="dxa"/>
            <w:gridSpan w:val="2"/>
          </w:tcPr>
          <w:p w14:paraId="4D172043" w14:textId="1BCCCC84" w:rsidR="00067907" w:rsidRPr="0020742D" w:rsidRDefault="00067907" w:rsidP="00067907">
            <w:pPr>
              <w:spacing w:line="240" w:lineRule="auto"/>
              <w:contextualSpacing/>
              <w:jc w:val="center"/>
              <w:rPr>
                <w:noProof/>
                <w:sz w:val="20"/>
                <w:highlight w:val="yellow"/>
                <w:lang w:eastAsia="en-AU"/>
              </w:rPr>
            </w:pPr>
            <w:r w:rsidRPr="007D56EB">
              <w:t>0.4524</w:t>
            </w:r>
          </w:p>
        </w:tc>
      </w:tr>
      <w:tr w:rsidR="00067907" w:rsidRPr="00C42101" w14:paraId="414F3FFA" w14:textId="77777777" w:rsidTr="00067907">
        <w:trPr>
          <w:gridAfter w:val="1"/>
          <w:wAfter w:w="39" w:type="dxa"/>
          <w:trHeight w:val="283"/>
        </w:trPr>
        <w:tc>
          <w:tcPr>
            <w:tcW w:w="2324" w:type="dxa"/>
          </w:tcPr>
          <w:p w14:paraId="65F605BE" w14:textId="189F5BC0" w:rsidR="00067907" w:rsidRPr="0020742D" w:rsidRDefault="00067907" w:rsidP="00067907">
            <w:pPr>
              <w:spacing w:line="240" w:lineRule="auto"/>
              <w:contextualSpacing/>
              <w:jc w:val="center"/>
              <w:rPr>
                <w:rFonts w:cs="Calibri"/>
                <w:sz w:val="20"/>
                <w:highlight w:val="yellow"/>
              </w:rPr>
            </w:pPr>
            <w:r w:rsidRPr="002104EE">
              <w:t>2015, 2021</w:t>
            </w:r>
          </w:p>
        </w:tc>
        <w:tc>
          <w:tcPr>
            <w:tcW w:w="682" w:type="dxa"/>
          </w:tcPr>
          <w:p w14:paraId="2A473A45" w14:textId="77777777" w:rsidR="00067907" w:rsidRPr="0020742D" w:rsidRDefault="00067907" w:rsidP="00067907">
            <w:pPr>
              <w:spacing w:line="240" w:lineRule="auto"/>
              <w:contextualSpacing/>
              <w:jc w:val="center"/>
              <w:rPr>
                <w:sz w:val="20"/>
                <w:highlight w:val="yellow"/>
              </w:rPr>
            </w:pPr>
          </w:p>
        </w:tc>
        <w:tc>
          <w:tcPr>
            <w:tcW w:w="1225" w:type="dxa"/>
          </w:tcPr>
          <w:p w14:paraId="0993374C" w14:textId="0687FB1D" w:rsidR="00067907" w:rsidRPr="0020742D" w:rsidRDefault="00067907" w:rsidP="00067907">
            <w:pPr>
              <w:spacing w:line="240" w:lineRule="auto"/>
              <w:contextualSpacing/>
              <w:jc w:val="center"/>
              <w:rPr>
                <w:b/>
                <w:noProof/>
                <w:sz w:val="20"/>
                <w:highlight w:val="yellow"/>
                <w:lang w:eastAsia="en-AU"/>
              </w:rPr>
            </w:pPr>
            <w:r w:rsidRPr="007D56EB">
              <w:t>1.5441</w:t>
            </w:r>
          </w:p>
        </w:tc>
        <w:tc>
          <w:tcPr>
            <w:tcW w:w="2130" w:type="dxa"/>
            <w:gridSpan w:val="2"/>
          </w:tcPr>
          <w:p w14:paraId="6FBD03FF" w14:textId="431C681F" w:rsidR="00067907" w:rsidRPr="0020742D" w:rsidRDefault="00067907" w:rsidP="00067907">
            <w:pPr>
              <w:spacing w:line="240" w:lineRule="auto"/>
              <w:contextualSpacing/>
              <w:jc w:val="center"/>
              <w:rPr>
                <w:b/>
                <w:bCs/>
                <w:noProof/>
                <w:sz w:val="20"/>
                <w:highlight w:val="yellow"/>
                <w:lang w:eastAsia="en-AU"/>
              </w:rPr>
            </w:pPr>
            <w:r w:rsidRPr="007D56EB">
              <w:t>0.1642</w:t>
            </w:r>
          </w:p>
        </w:tc>
      </w:tr>
      <w:tr w:rsidR="00067907" w:rsidRPr="00C42101" w14:paraId="39B1D873" w14:textId="77777777" w:rsidTr="00067907">
        <w:trPr>
          <w:gridAfter w:val="1"/>
          <w:wAfter w:w="39" w:type="dxa"/>
          <w:trHeight w:val="283"/>
        </w:trPr>
        <w:tc>
          <w:tcPr>
            <w:tcW w:w="2324" w:type="dxa"/>
          </w:tcPr>
          <w:p w14:paraId="7B2A1B11" w14:textId="0507811A" w:rsidR="00067907" w:rsidRPr="0020742D" w:rsidRDefault="00067907" w:rsidP="00067907">
            <w:pPr>
              <w:spacing w:line="240" w:lineRule="auto"/>
              <w:contextualSpacing/>
              <w:jc w:val="center"/>
              <w:rPr>
                <w:rFonts w:cs="Calibri"/>
                <w:sz w:val="20"/>
                <w:highlight w:val="yellow"/>
              </w:rPr>
            </w:pPr>
            <w:r w:rsidRPr="002104EE">
              <w:t>2015, 2022</w:t>
            </w:r>
          </w:p>
        </w:tc>
        <w:tc>
          <w:tcPr>
            <w:tcW w:w="682" w:type="dxa"/>
          </w:tcPr>
          <w:p w14:paraId="195D67F8" w14:textId="77777777" w:rsidR="00067907" w:rsidRPr="0020742D" w:rsidRDefault="00067907" w:rsidP="00067907">
            <w:pPr>
              <w:spacing w:line="240" w:lineRule="auto"/>
              <w:contextualSpacing/>
              <w:jc w:val="center"/>
              <w:rPr>
                <w:sz w:val="20"/>
                <w:highlight w:val="yellow"/>
              </w:rPr>
            </w:pPr>
          </w:p>
        </w:tc>
        <w:tc>
          <w:tcPr>
            <w:tcW w:w="1225" w:type="dxa"/>
          </w:tcPr>
          <w:p w14:paraId="2F6A5442" w14:textId="4D32ECE8" w:rsidR="00067907" w:rsidRPr="0020742D" w:rsidRDefault="00067907" w:rsidP="00067907">
            <w:pPr>
              <w:spacing w:line="240" w:lineRule="auto"/>
              <w:contextualSpacing/>
              <w:jc w:val="center"/>
              <w:rPr>
                <w:highlight w:val="yellow"/>
              </w:rPr>
            </w:pPr>
            <w:r w:rsidRPr="007D56EB">
              <w:t>4.2531</w:t>
            </w:r>
          </w:p>
        </w:tc>
        <w:tc>
          <w:tcPr>
            <w:tcW w:w="2130" w:type="dxa"/>
            <w:gridSpan w:val="2"/>
          </w:tcPr>
          <w:p w14:paraId="1D2F468A" w14:textId="582B505C" w:rsidR="00067907" w:rsidRPr="00067907" w:rsidRDefault="00067907" w:rsidP="00067907">
            <w:pPr>
              <w:spacing w:line="240" w:lineRule="auto"/>
              <w:contextualSpacing/>
              <w:jc w:val="center"/>
              <w:rPr>
                <w:b/>
                <w:bCs/>
                <w:highlight w:val="yellow"/>
              </w:rPr>
            </w:pPr>
            <w:r w:rsidRPr="00067907">
              <w:rPr>
                <w:b/>
                <w:bCs/>
              </w:rPr>
              <w:t>0.0038</w:t>
            </w:r>
          </w:p>
        </w:tc>
      </w:tr>
      <w:tr w:rsidR="00067907" w:rsidRPr="00C42101" w14:paraId="07CA20CC" w14:textId="77777777" w:rsidTr="00067907">
        <w:trPr>
          <w:gridAfter w:val="1"/>
          <w:wAfter w:w="39" w:type="dxa"/>
          <w:trHeight w:val="283"/>
        </w:trPr>
        <w:tc>
          <w:tcPr>
            <w:tcW w:w="2324" w:type="dxa"/>
          </w:tcPr>
          <w:p w14:paraId="7ECBFDEA" w14:textId="25331607" w:rsidR="00067907" w:rsidRPr="0020742D" w:rsidRDefault="00067907" w:rsidP="00067907">
            <w:pPr>
              <w:spacing w:line="240" w:lineRule="auto"/>
              <w:contextualSpacing/>
              <w:jc w:val="center"/>
              <w:rPr>
                <w:rFonts w:cs="Calibri"/>
                <w:sz w:val="20"/>
                <w:highlight w:val="yellow"/>
              </w:rPr>
            </w:pPr>
            <w:r w:rsidRPr="002104EE">
              <w:t>2015, 2023</w:t>
            </w:r>
          </w:p>
        </w:tc>
        <w:tc>
          <w:tcPr>
            <w:tcW w:w="682" w:type="dxa"/>
          </w:tcPr>
          <w:p w14:paraId="72D906DF" w14:textId="77777777" w:rsidR="00067907" w:rsidRPr="0020742D" w:rsidRDefault="00067907" w:rsidP="00067907">
            <w:pPr>
              <w:spacing w:line="240" w:lineRule="auto"/>
              <w:contextualSpacing/>
              <w:jc w:val="center"/>
              <w:rPr>
                <w:sz w:val="20"/>
                <w:highlight w:val="yellow"/>
              </w:rPr>
            </w:pPr>
          </w:p>
        </w:tc>
        <w:tc>
          <w:tcPr>
            <w:tcW w:w="1225" w:type="dxa"/>
          </w:tcPr>
          <w:p w14:paraId="0AE98570" w14:textId="4F5ABCBB" w:rsidR="00067907" w:rsidRPr="0020742D" w:rsidRDefault="00067907" w:rsidP="00067907">
            <w:pPr>
              <w:spacing w:line="240" w:lineRule="auto"/>
              <w:contextualSpacing/>
              <w:jc w:val="center"/>
              <w:rPr>
                <w:highlight w:val="yellow"/>
              </w:rPr>
            </w:pPr>
            <w:r w:rsidRPr="007D56EB">
              <w:t>2.2371</w:t>
            </w:r>
          </w:p>
        </w:tc>
        <w:tc>
          <w:tcPr>
            <w:tcW w:w="2130" w:type="dxa"/>
            <w:gridSpan w:val="2"/>
          </w:tcPr>
          <w:p w14:paraId="3BB0C6DF" w14:textId="1A40CFEE" w:rsidR="00067907" w:rsidRPr="0020742D" w:rsidRDefault="00067907" w:rsidP="00067907">
            <w:pPr>
              <w:spacing w:line="240" w:lineRule="auto"/>
              <w:contextualSpacing/>
              <w:jc w:val="center"/>
              <w:rPr>
                <w:b/>
                <w:bCs/>
                <w:highlight w:val="yellow"/>
              </w:rPr>
            </w:pPr>
            <w:r w:rsidRPr="007D56EB">
              <w:t>0.0608</w:t>
            </w:r>
          </w:p>
        </w:tc>
      </w:tr>
      <w:tr w:rsidR="00067907" w:rsidRPr="00C42101" w14:paraId="6D3CC447" w14:textId="77777777" w:rsidTr="00067907">
        <w:trPr>
          <w:gridAfter w:val="1"/>
          <w:wAfter w:w="39" w:type="dxa"/>
          <w:trHeight w:val="283"/>
        </w:trPr>
        <w:tc>
          <w:tcPr>
            <w:tcW w:w="2324" w:type="dxa"/>
          </w:tcPr>
          <w:p w14:paraId="522CE892" w14:textId="5053D293" w:rsidR="00067907" w:rsidRPr="0020742D" w:rsidRDefault="00067907" w:rsidP="00067907">
            <w:pPr>
              <w:spacing w:line="240" w:lineRule="auto"/>
              <w:contextualSpacing/>
              <w:jc w:val="center"/>
              <w:rPr>
                <w:b/>
                <w:noProof/>
                <w:sz w:val="20"/>
                <w:highlight w:val="yellow"/>
                <w:lang w:eastAsia="en-AU"/>
              </w:rPr>
            </w:pPr>
            <w:r w:rsidRPr="002104EE">
              <w:t>2015, 2024</w:t>
            </w:r>
          </w:p>
        </w:tc>
        <w:tc>
          <w:tcPr>
            <w:tcW w:w="682" w:type="dxa"/>
          </w:tcPr>
          <w:p w14:paraId="1FE31576" w14:textId="77777777" w:rsidR="00067907" w:rsidRPr="0020742D" w:rsidRDefault="00067907" w:rsidP="00067907">
            <w:pPr>
              <w:spacing w:line="240" w:lineRule="auto"/>
              <w:contextualSpacing/>
              <w:jc w:val="center"/>
              <w:rPr>
                <w:sz w:val="20"/>
                <w:highlight w:val="yellow"/>
              </w:rPr>
            </w:pPr>
          </w:p>
        </w:tc>
        <w:tc>
          <w:tcPr>
            <w:tcW w:w="1225" w:type="dxa"/>
          </w:tcPr>
          <w:p w14:paraId="65BB2356" w14:textId="12EC7A57" w:rsidR="00067907" w:rsidRPr="0020742D" w:rsidRDefault="00067907" w:rsidP="00067907">
            <w:pPr>
              <w:spacing w:line="240" w:lineRule="auto"/>
              <w:contextualSpacing/>
              <w:jc w:val="center"/>
              <w:rPr>
                <w:b/>
                <w:noProof/>
                <w:sz w:val="20"/>
                <w:highlight w:val="yellow"/>
                <w:lang w:eastAsia="en-AU"/>
              </w:rPr>
            </w:pPr>
            <w:r w:rsidRPr="007D56EB">
              <w:t>2.5808</w:t>
            </w:r>
          </w:p>
        </w:tc>
        <w:tc>
          <w:tcPr>
            <w:tcW w:w="2130" w:type="dxa"/>
            <w:gridSpan w:val="2"/>
          </w:tcPr>
          <w:p w14:paraId="5747816B" w14:textId="40DE8024" w:rsidR="00067907" w:rsidRPr="00067907" w:rsidRDefault="00067907" w:rsidP="00067907">
            <w:pPr>
              <w:spacing w:line="240" w:lineRule="auto"/>
              <w:contextualSpacing/>
              <w:jc w:val="center"/>
              <w:rPr>
                <w:b/>
                <w:bCs/>
                <w:noProof/>
                <w:sz w:val="20"/>
                <w:highlight w:val="yellow"/>
                <w:lang w:eastAsia="en-AU"/>
              </w:rPr>
            </w:pPr>
            <w:r w:rsidRPr="00067907">
              <w:rPr>
                <w:b/>
                <w:bCs/>
              </w:rPr>
              <w:t>0.0365</w:t>
            </w:r>
          </w:p>
        </w:tc>
      </w:tr>
      <w:tr w:rsidR="00067907" w:rsidRPr="00C42101" w14:paraId="1808418E" w14:textId="77777777" w:rsidTr="00067907">
        <w:trPr>
          <w:gridAfter w:val="1"/>
          <w:wAfter w:w="39" w:type="dxa"/>
          <w:trHeight w:val="283"/>
        </w:trPr>
        <w:tc>
          <w:tcPr>
            <w:tcW w:w="2324" w:type="dxa"/>
          </w:tcPr>
          <w:p w14:paraId="43E8F8AD" w14:textId="4577C167" w:rsidR="00067907" w:rsidRPr="0020742D" w:rsidRDefault="00067907" w:rsidP="00067907">
            <w:pPr>
              <w:spacing w:line="240" w:lineRule="auto"/>
              <w:contextualSpacing/>
              <w:jc w:val="center"/>
              <w:rPr>
                <w:rFonts w:cs="Calibri"/>
                <w:sz w:val="20"/>
                <w:highlight w:val="yellow"/>
              </w:rPr>
            </w:pPr>
            <w:r w:rsidRPr="002104EE">
              <w:t>2016, 2017</w:t>
            </w:r>
          </w:p>
        </w:tc>
        <w:tc>
          <w:tcPr>
            <w:tcW w:w="682" w:type="dxa"/>
          </w:tcPr>
          <w:p w14:paraId="5B98D193" w14:textId="77777777" w:rsidR="00067907" w:rsidRPr="0020742D" w:rsidRDefault="00067907" w:rsidP="00067907">
            <w:pPr>
              <w:spacing w:line="240" w:lineRule="auto"/>
              <w:contextualSpacing/>
              <w:jc w:val="center"/>
              <w:rPr>
                <w:sz w:val="20"/>
                <w:highlight w:val="yellow"/>
              </w:rPr>
            </w:pPr>
          </w:p>
        </w:tc>
        <w:tc>
          <w:tcPr>
            <w:tcW w:w="1225" w:type="dxa"/>
          </w:tcPr>
          <w:p w14:paraId="10ACCE3F" w14:textId="5909111C" w:rsidR="00067907" w:rsidRPr="0020742D" w:rsidRDefault="00067907" w:rsidP="00067907">
            <w:pPr>
              <w:spacing w:line="240" w:lineRule="auto"/>
              <w:contextualSpacing/>
              <w:jc w:val="center"/>
              <w:rPr>
                <w:b/>
                <w:noProof/>
                <w:sz w:val="20"/>
                <w:highlight w:val="yellow"/>
                <w:lang w:eastAsia="en-AU"/>
              </w:rPr>
            </w:pPr>
            <w:r w:rsidRPr="007D56EB">
              <w:t>1.7321</w:t>
            </w:r>
          </w:p>
        </w:tc>
        <w:tc>
          <w:tcPr>
            <w:tcW w:w="2130" w:type="dxa"/>
            <w:gridSpan w:val="2"/>
          </w:tcPr>
          <w:p w14:paraId="5070F232" w14:textId="44C28AF2" w:rsidR="00067907" w:rsidRPr="0020742D" w:rsidRDefault="00067907" w:rsidP="00067907">
            <w:pPr>
              <w:spacing w:line="240" w:lineRule="auto"/>
              <w:contextualSpacing/>
              <w:jc w:val="center"/>
              <w:rPr>
                <w:b/>
                <w:bCs/>
                <w:noProof/>
                <w:sz w:val="20"/>
                <w:highlight w:val="yellow"/>
                <w:lang w:eastAsia="en-AU"/>
              </w:rPr>
            </w:pPr>
            <w:r w:rsidRPr="007D56EB">
              <w:t>0.1410</w:t>
            </w:r>
          </w:p>
        </w:tc>
      </w:tr>
      <w:tr w:rsidR="00067907" w:rsidRPr="00C42101" w14:paraId="62C159FE" w14:textId="77777777" w:rsidTr="00067907">
        <w:trPr>
          <w:gridAfter w:val="1"/>
          <w:wAfter w:w="39" w:type="dxa"/>
          <w:trHeight w:val="283"/>
        </w:trPr>
        <w:tc>
          <w:tcPr>
            <w:tcW w:w="2324" w:type="dxa"/>
          </w:tcPr>
          <w:p w14:paraId="4F42D2E6" w14:textId="1B8B7A15" w:rsidR="00067907" w:rsidRPr="0020742D" w:rsidRDefault="00067907" w:rsidP="00067907">
            <w:pPr>
              <w:spacing w:line="240" w:lineRule="auto"/>
              <w:contextualSpacing/>
              <w:jc w:val="center"/>
              <w:rPr>
                <w:b/>
                <w:noProof/>
                <w:sz w:val="20"/>
                <w:highlight w:val="yellow"/>
                <w:lang w:eastAsia="en-AU"/>
              </w:rPr>
            </w:pPr>
            <w:r w:rsidRPr="002104EE">
              <w:t>2016, 2018</w:t>
            </w:r>
          </w:p>
        </w:tc>
        <w:tc>
          <w:tcPr>
            <w:tcW w:w="682" w:type="dxa"/>
          </w:tcPr>
          <w:p w14:paraId="51A1AC2D" w14:textId="77777777" w:rsidR="00067907" w:rsidRPr="0020742D" w:rsidRDefault="00067907" w:rsidP="00067907">
            <w:pPr>
              <w:spacing w:line="240" w:lineRule="auto"/>
              <w:contextualSpacing/>
              <w:jc w:val="center"/>
              <w:rPr>
                <w:sz w:val="20"/>
                <w:highlight w:val="yellow"/>
              </w:rPr>
            </w:pPr>
          </w:p>
        </w:tc>
        <w:tc>
          <w:tcPr>
            <w:tcW w:w="1225" w:type="dxa"/>
          </w:tcPr>
          <w:p w14:paraId="42572665" w14:textId="59851A0F" w:rsidR="00067907" w:rsidRPr="0020742D" w:rsidRDefault="00067907" w:rsidP="00067907">
            <w:pPr>
              <w:spacing w:line="240" w:lineRule="auto"/>
              <w:contextualSpacing/>
              <w:jc w:val="center"/>
              <w:rPr>
                <w:b/>
                <w:noProof/>
                <w:sz w:val="20"/>
                <w:highlight w:val="yellow"/>
                <w:lang w:eastAsia="en-AU"/>
              </w:rPr>
            </w:pPr>
            <w:r w:rsidRPr="007D56EB">
              <w:t>0.1241</w:t>
            </w:r>
          </w:p>
        </w:tc>
        <w:tc>
          <w:tcPr>
            <w:tcW w:w="2130" w:type="dxa"/>
            <w:gridSpan w:val="2"/>
          </w:tcPr>
          <w:p w14:paraId="2468C7AF" w14:textId="23534CA8" w:rsidR="00067907" w:rsidRPr="0020742D" w:rsidRDefault="00067907" w:rsidP="00067907">
            <w:pPr>
              <w:spacing w:line="240" w:lineRule="auto"/>
              <w:contextualSpacing/>
              <w:jc w:val="center"/>
              <w:rPr>
                <w:noProof/>
                <w:sz w:val="20"/>
                <w:highlight w:val="yellow"/>
                <w:lang w:eastAsia="en-AU"/>
              </w:rPr>
            </w:pPr>
            <w:r w:rsidRPr="007D56EB">
              <w:t>0.8889</w:t>
            </w:r>
          </w:p>
        </w:tc>
      </w:tr>
      <w:tr w:rsidR="00067907" w:rsidRPr="00C42101" w14:paraId="3230C9A9" w14:textId="77777777" w:rsidTr="00067907">
        <w:trPr>
          <w:gridAfter w:val="1"/>
          <w:wAfter w:w="39" w:type="dxa"/>
          <w:trHeight w:val="283"/>
        </w:trPr>
        <w:tc>
          <w:tcPr>
            <w:tcW w:w="2324" w:type="dxa"/>
          </w:tcPr>
          <w:p w14:paraId="2EA641D0" w14:textId="69D6F9E4" w:rsidR="00067907" w:rsidRPr="0020742D" w:rsidRDefault="00067907" w:rsidP="00067907">
            <w:pPr>
              <w:spacing w:line="240" w:lineRule="auto"/>
              <w:contextualSpacing/>
              <w:jc w:val="center"/>
              <w:rPr>
                <w:b/>
                <w:noProof/>
                <w:sz w:val="20"/>
                <w:highlight w:val="yellow"/>
                <w:lang w:eastAsia="en-AU"/>
              </w:rPr>
            </w:pPr>
            <w:r w:rsidRPr="002104EE">
              <w:t>2016, 2019</w:t>
            </w:r>
          </w:p>
        </w:tc>
        <w:tc>
          <w:tcPr>
            <w:tcW w:w="682" w:type="dxa"/>
          </w:tcPr>
          <w:p w14:paraId="3B37888D" w14:textId="77777777" w:rsidR="00067907" w:rsidRPr="0020742D" w:rsidRDefault="00067907" w:rsidP="00067907">
            <w:pPr>
              <w:spacing w:line="240" w:lineRule="auto"/>
              <w:contextualSpacing/>
              <w:jc w:val="center"/>
              <w:rPr>
                <w:sz w:val="20"/>
                <w:highlight w:val="yellow"/>
              </w:rPr>
            </w:pPr>
          </w:p>
        </w:tc>
        <w:tc>
          <w:tcPr>
            <w:tcW w:w="1225" w:type="dxa"/>
          </w:tcPr>
          <w:p w14:paraId="5C7E67B5" w14:textId="0A59EE39" w:rsidR="00067907" w:rsidRPr="0020742D" w:rsidRDefault="00067907" w:rsidP="00067907">
            <w:pPr>
              <w:spacing w:line="240" w:lineRule="auto"/>
              <w:contextualSpacing/>
              <w:jc w:val="center"/>
              <w:rPr>
                <w:b/>
                <w:noProof/>
                <w:sz w:val="20"/>
                <w:highlight w:val="yellow"/>
                <w:lang w:eastAsia="en-AU"/>
              </w:rPr>
            </w:pPr>
            <w:r w:rsidRPr="007D56EB">
              <w:t>1.1886</w:t>
            </w:r>
          </w:p>
        </w:tc>
        <w:tc>
          <w:tcPr>
            <w:tcW w:w="2130" w:type="dxa"/>
            <w:gridSpan w:val="2"/>
          </w:tcPr>
          <w:p w14:paraId="785D6677" w14:textId="336A9D0E" w:rsidR="00067907" w:rsidRPr="0020742D" w:rsidRDefault="00067907" w:rsidP="00067907">
            <w:pPr>
              <w:spacing w:line="240" w:lineRule="auto"/>
              <w:contextualSpacing/>
              <w:jc w:val="center"/>
              <w:rPr>
                <w:noProof/>
                <w:sz w:val="20"/>
                <w:highlight w:val="yellow"/>
                <w:lang w:eastAsia="en-AU"/>
              </w:rPr>
            </w:pPr>
            <w:r w:rsidRPr="007D56EB">
              <w:t>0.2180</w:t>
            </w:r>
          </w:p>
        </w:tc>
      </w:tr>
      <w:tr w:rsidR="00067907" w:rsidRPr="00C42101" w14:paraId="253C4373" w14:textId="77777777" w:rsidTr="00067907">
        <w:trPr>
          <w:gridAfter w:val="1"/>
          <w:wAfter w:w="39" w:type="dxa"/>
          <w:trHeight w:val="283"/>
        </w:trPr>
        <w:tc>
          <w:tcPr>
            <w:tcW w:w="2324" w:type="dxa"/>
          </w:tcPr>
          <w:p w14:paraId="1C9C2AFF" w14:textId="11456F30" w:rsidR="00067907" w:rsidRPr="0020742D" w:rsidRDefault="00067907" w:rsidP="00067907">
            <w:pPr>
              <w:spacing w:line="240" w:lineRule="auto"/>
              <w:contextualSpacing/>
              <w:jc w:val="center"/>
              <w:rPr>
                <w:rFonts w:cs="Calibri"/>
                <w:sz w:val="20"/>
                <w:highlight w:val="yellow"/>
              </w:rPr>
            </w:pPr>
            <w:r w:rsidRPr="002104EE">
              <w:t>2016, 2020</w:t>
            </w:r>
          </w:p>
        </w:tc>
        <w:tc>
          <w:tcPr>
            <w:tcW w:w="682" w:type="dxa"/>
          </w:tcPr>
          <w:p w14:paraId="2E2A3927" w14:textId="77777777" w:rsidR="00067907" w:rsidRPr="0020742D" w:rsidRDefault="00067907" w:rsidP="00067907">
            <w:pPr>
              <w:spacing w:line="240" w:lineRule="auto"/>
              <w:contextualSpacing/>
              <w:jc w:val="center"/>
              <w:rPr>
                <w:sz w:val="20"/>
                <w:highlight w:val="yellow"/>
              </w:rPr>
            </w:pPr>
          </w:p>
        </w:tc>
        <w:tc>
          <w:tcPr>
            <w:tcW w:w="1225" w:type="dxa"/>
          </w:tcPr>
          <w:p w14:paraId="24DF4FB5" w14:textId="5B5CF07B" w:rsidR="00067907" w:rsidRPr="0020742D" w:rsidRDefault="00067907" w:rsidP="00067907">
            <w:pPr>
              <w:spacing w:line="240" w:lineRule="auto"/>
              <w:contextualSpacing/>
              <w:jc w:val="center"/>
              <w:rPr>
                <w:b/>
                <w:noProof/>
                <w:sz w:val="20"/>
                <w:highlight w:val="yellow"/>
                <w:lang w:eastAsia="en-AU"/>
              </w:rPr>
            </w:pPr>
            <w:r w:rsidRPr="007D56EB">
              <w:t>1.2224</w:t>
            </w:r>
          </w:p>
        </w:tc>
        <w:tc>
          <w:tcPr>
            <w:tcW w:w="2130" w:type="dxa"/>
            <w:gridSpan w:val="2"/>
          </w:tcPr>
          <w:p w14:paraId="2601919F" w14:textId="050B6AB3" w:rsidR="00067907" w:rsidRPr="0020742D" w:rsidRDefault="00067907" w:rsidP="00067907">
            <w:pPr>
              <w:spacing w:line="240" w:lineRule="auto"/>
              <w:contextualSpacing/>
              <w:jc w:val="center"/>
              <w:rPr>
                <w:noProof/>
                <w:sz w:val="20"/>
                <w:highlight w:val="yellow"/>
                <w:lang w:eastAsia="en-AU"/>
              </w:rPr>
            </w:pPr>
            <w:r w:rsidRPr="007D56EB">
              <w:t>0.2267</w:t>
            </w:r>
          </w:p>
        </w:tc>
      </w:tr>
      <w:tr w:rsidR="00067907" w:rsidRPr="00C42101" w14:paraId="4C4E541A" w14:textId="77777777" w:rsidTr="00067907">
        <w:trPr>
          <w:gridAfter w:val="1"/>
          <w:wAfter w:w="39" w:type="dxa"/>
          <w:trHeight w:val="283"/>
        </w:trPr>
        <w:tc>
          <w:tcPr>
            <w:tcW w:w="2324" w:type="dxa"/>
          </w:tcPr>
          <w:p w14:paraId="60E0F947" w14:textId="078DEB22" w:rsidR="00067907" w:rsidRPr="0020742D" w:rsidRDefault="00067907" w:rsidP="00067907">
            <w:pPr>
              <w:spacing w:line="240" w:lineRule="auto"/>
              <w:contextualSpacing/>
              <w:jc w:val="center"/>
              <w:rPr>
                <w:rFonts w:cs="Calibri"/>
                <w:sz w:val="20"/>
                <w:highlight w:val="yellow"/>
              </w:rPr>
            </w:pPr>
            <w:r w:rsidRPr="002104EE">
              <w:t>2016, 2021</w:t>
            </w:r>
          </w:p>
        </w:tc>
        <w:tc>
          <w:tcPr>
            <w:tcW w:w="682" w:type="dxa"/>
          </w:tcPr>
          <w:p w14:paraId="31C7F0E9" w14:textId="77777777" w:rsidR="00067907" w:rsidRPr="0020742D" w:rsidRDefault="00067907" w:rsidP="00067907">
            <w:pPr>
              <w:spacing w:line="240" w:lineRule="auto"/>
              <w:contextualSpacing/>
              <w:jc w:val="center"/>
              <w:rPr>
                <w:sz w:val="20"/>
                <w:highlight w:val="yellow"/>
              </w:rPr>
            </w:pPr>
          </w:p>
        </w:tc>
        <w:tc>
          <w:tcPr>
            <w:tcW w:w="1225" w:type="dxa"/>
          </w:tcPr>
          <w:p w14:paraId="5E71E57F" w14:textId="4DA3E50A" w:rsidR="00067907" w:rsidRPr="0020742D" w:rsidRDefault="00067907" w:rsidP="00067907">
            <w:pPr>
              <w:spacing w:line="240" w:lineRule="auto"/>
              <w:contextualSpacing/>
              <w:jc w:val="center"/>
              <w:rPr>
                <w:highlight w:val="yellow"/>
              </w:rPr>
            </w:pPr>
            <w:r w:rsidRPr="007D56EB">
              <w:t>0.6806</w:t>
            </w:r>
          </w:p>
        </w:tc>
        <w:tc>
          <w:tcPr>
            <w:tcW w:w="2130" w:type="dxa"/>
            <w:gridSpan w:val="2"/>
          </w:tcPr>
          <w:p w14:paraId="527E2495" w14:textId="5F73AAD6" w:rsidR="00067907" w:rsidRPr="0020742D" w:rsidRDefault="00067907" w:rsidP="00067907">
            <w:pPr>
              <w:spacing w:line="240" w:lineRule="auto"/>
              <w:contextualSpacing/>
              <w:jc w:val="center"/>
              <w:rPr>
                <w:b/>
                <w:bCs/>
                <w:highlight w:val="yellow"/>
              </w:rPr>
            </w:pPr>
            <w:r w:rsidRPr="007D56EB">
              <w:t>0.4525</w:t>
            </w:r>
          </w:p>
        </w:tc>
      </w:tr>
      <w:tr w:rsidR="00067907" w:rsidRPr="00C42101" w14:paraId="2798342A" w14:textId="77777777" w:rsidTr="00067907">
        <w:trPr>
          <w:gridAfter w:val="1"/>
          <w:wAfter w:w="39" w:type="dxa"/>
          <w:trHeight w:val="283"/>
        </w:trPr>
        <w:tc>
          <w:tcPr>
            <w:tcW w:w="2324" w:type="dxa"/>
          </w:tcPr>
          <w:p w14:paraId="0810627D" w14:textId="1F9D8E16" w:rsidR="00067907" w:rsidRPr="0020742D" w:rsidRDefault="00067907" w:rsidP="00067907">
            <w:pPr>
              <w:spacing w:line="240" w:lineRule="auto"/>
              <w:contextualSpacing/>
              <w:jc w:val="center"/>
              <w:rPr>
                <w:rFonts w:cs="Calibri"/>
                <w:sz w:val="20"/>
                <w:highlight w:val="yellow"/>
              </w:rPr>
            </w:pPr>
            <w:r w:rsidRPr="002104EE">
              <w:t>2016, 2022</w:t>
            </w:r>
          </w:p>
        </w:tc>
        <w:tc>
          <w:tcPr>
            <w:tcW w:w="682" w:type="dxa"/>
          </w:tcPr>
          <w:p w14:paraId="779F0A75" w14:textId="77777777" w:rsidR="00067907" w:rsidRPr="0020742D" w:rsidRDefault="00067907" w:rsidP="00067907">
            <w:pPr>
              <w:spacing w:line="240" w:lineRule="auto"/>
              <w:contextualSpacing/>
              <w:jc w:val="center"/>
              <w:rPr>
                <w:sz w:val="20"/>
                <w:highlight w:val="yellow"/>
              </w:rPr>
            </w:pPr>
          </w:p>
        </w:tc>
        <w:tc>
          <w:tcPr>
            <w:tcW w:w="1225" w:type="dxa"/>
          </w:tcPr>
          <w:p w14:paraId="2B611B6C" w14:textId="552416B5" w:rsidR="00067907" w:rsidRPr="0020742D" w:rsidRDefault="00067907" w:rsidP="00067907">
            <w:pPr>
              <w:spacing w:line="240" w:lineRule="auto"/>
              <w:contextualSpacing/>
              <w:jc w:val="center"/>
              <w:rPr>
                <w:highlight w:val="yellow"/>
              </w:rPr>
            </w:pPr>
            <w:r w:rsidRPr="007D56EB">
              <w:t>2.7083</w:t>
            </w:r>
          </w:p>
        </w:tc>
        <w:tc>
          <w:tcPr>
            <w:tcW w:w="2130" w:type="dxa"/>
            <w:gridSpan w:val="2"/>
          </w:tcPr>
          <w:p w14:paraId="4765CDE2" w14:textId="5326265E" w:rsidR="00067907" w:rsidRPr="00067907" w:rsidRDefault="00067907" w:rsidP="00067907">
            <w:pPr>
              <w:spacing w:line="240" w:lineRule="auto"/>
              <w:contextualSpacing/>
              <w:jc w:val="center"/>
              <w:rPr>
                <w:b/>
                <w:bCs/>
                <w:highlight w:val="yellow"/>
              </w:rPr>
            </w:pPr>
            <w:r w:rsidRPr="00067907">
              <w:rPr>
                <w:b/>
                <w:bCs/>
              </w:rPr>
              <w:t>0.0351</w:t>
            </w:r>
          </w:p>
        </w:tc>
      </w:tr>
      <w:tr w:rsidR="00067907" w:rsidRPr="00C42101" w14:paraId="3C053763" w14:textId="77777777" w:rsidTr="00067907">
        <w:trPr>
          <w:gridAfter w:val="1"/>
          <w:wAfter w:w="39" w:type="dxa"/>
          <w:trHeight w:val="283"/>
        </w:trPr>
        <w:tc>
          <w:tcPr>
            <w:tcW w:w="2324" w:type="dxa"/>
          </w:tcPr>
          <w:p w14:paraId="3F803580" w14:textId="675B625E" w:rsidR="00067907" w:rsidRPr="0020742D" w:rsidRDefault="00067907" w:rsidP="00067907">
            <w:pPr>
              <w:spacing w:line="240" w:lineRule="auto"/>
              <w:contextualSpacing/>
              <w:jc w:val="center"/>
              <w:rPr>
                <w:rFonts w:cs="Calibri"/>
                <w:sz w:val="20"/>
                <w:highlight w:val="yellow"/>
              </w:rPr>
            </w:pPr>
            <w:r w:rsidRPr="002104EE">
              <w:t>2016, 2023</w:t>
            </w:r>
          </w:p>
        </w:tc>
        <w:tc>
          <w:tcPr>
            <w:tcW w:w="682" w:type="dxa"/>
          </w:tcPr>
          <w:p w14:paraId="34915122" w14:textId="77777777" w:rsidR="00067907" w:rsidRPr="0020742D" w:rsidRDefault="00067907" w:rsidP="00067907">
            <w:pPr>
              <w:spacing w:line="240" w:lineRule="auto"/>
              <w:contextualSpacing/>
              <w:jc w:val="center"/>
              <w:rPr>
                <w:sz w:val="20"/>
                <w:highlight w:val="yellow"/>
              </w:rPr>
            </w:pPr>
          </w:p>
        </w:tc>
        <w:tc>
          <w:tcPr>
            <w:tcW w:w="1225" w:type="dxa"/>
          </w:tcPr>
          <w:p w14:paraId="45E252D4" w14:textId="417A18F1" w:rsidR="00067907" w:rsidRPr="0020742D" w:rsidRDefault="00067907" w:rsidP="00067907">
            <w:pPr>
              <w:spacing w:line="240" w:lineRule="auto"/>
              <w:contextualSpacing/>
              <w:jc w:val="center"/>
              <w:rPr>
                <w:b/>
                <w:noProof/>
                <w:sz w:val="20"/>
                <w:highlight w:val="yellow"/>
                <w:lang w:eastAsia="en-AU"/>
              </w:rPr>
            </w:pPr>
            <w:r w:rsidRPr="007D56EB">
              <w:t>1.3101</w:t>
            </w:r>
          </w:p>
        </w:tc>
        <w:tc>
          <w:tcPr>
            <w:tcW w:w="2130" w:type="dxa"/>
            <w:gridSpan w:val="2"/>
          </w:tcPr>
          <w:p w14:paraId="169061D0" w14:textId="36FBCBCB" w:rsidR="00067907" w:rsidRPr="0020742D" w:rsidRDefault="00067907" w:rsidP="00067907">
            <w:pPr>
              <w:spacing w:line="240" w:lineRule="auto"/>
              <w:contextualSpacing/>
              <w:jc w:val="center"/>
              <w:rPr>
                <w:noProof/>
                <w:sz w:val="20"/>
                <w:highlight w:val="yellow"/>
                <w:lang w:eastAsia="en-AU"/>
              </w:rPr>
            </w:pPr>
            <w:r w:rsidRPr="007D56EB">
              <w:t>0.2819</w:t>
            </w:r>
          </w:p>
        </w:tc>
      </w:tr>
      <w:tr w:rsidR="00067907" w:rsidRPr="00C42101" w14:paraId="3D4D0D53" w14:textId="77777777" w:rsidTr="00067907">
        <w:trPr>
          <w:gridAfter w:val="1"/>
          <w:wAfter w:w="39" w:type="dxa"/>
          <w:trHeight w:val="283"/>
        </w:trPr>
        <w:tc>
          <w:tcPr>
            <w:tcW w:w="2324" w:type="dxa"/>
          </w:tcPr>
          <w:p w14:paraId="14B51790" w14:textId="30307957" w:rsidR="00067907" w:rsidRPr="0020742D" w:rsidRDefault="00067907" w:rsidP="00067907">
            <w:pPr>
              <w:spacing w:line="240" w:lineRule="auto"/>
              <w:contextualSpacing/>
              <w:jc w:val="center"/>
              <w:rPr>
                <w:b/>
                <w:noProof/>
                <w:sz w:val="20"/>
                <w:highlight w:val="yellow"/>
                <w:lang w:eastAsia="en-AU"/>
              </w:rPr>
            </w:pPr>
            <w:r w:rsidRPr="002104EE">
              <w:t>2016, 2024</w:t>
            </w:r>
          </w:p>
        </w:tc>
        <w:tc>
          <w:tcPr>
            <w:tcW w:w="682" w:type="dxa"/>
          </w:tcPr>
          <w:p w14:paraId="0255A783" w14:textId="77777777" w:rsidR="00067907" w:rsidRPr="0020742D" w:rsidRDefault="00067907" w:rsidP="00067907">
            <w:pPr>
              <w:spacing w:line="240" w:lineRule="auto"/>
              <w:contextualSpacing/>
              <w:jc w:val="center"/>
              <w:rPr>
                <w:sz w:val="20"/>
                <w:highlight w:val="yellow"/>
              </w:rPr>
            </w:pPr>
          </w:p>
        </w:tc>
        <w:tc>
          <w:tcPr>
            <w:tcW w:w="1225" w:type="dxa"/>
          </w:tcPr>
          <w:p w14:paraId="2B0808E9" w14:textId="680D29CE" w:rsidR="00067907" w:rsidRPr="0020742D" w:rsidRDefault="00067907" w:rsidP="00067907">
            <w:pPr>
              <w:spacing w:line="240" w:lineRule="auto"/>
              <w:contextualSpacing/>
              <w:jc w:val="center"/>
              <w:rPr>
                <w:b/>
                <w:noProof/>
                <w:sz w:val="20"/>
                <w:highlight w:val="yellow"/>
                <w:lang w:eastAsia="en-AU"/>
              </w:rPr>
            </w:pPr>
            <w:r w:rsidRPr="007D56EB">
              <w:t>1.5401</w:t>
            </w:r>
          </w:p>
        </w:tc>
        <w:tc>
          <w:tcPr>
            <w:tcW w:w="2130" w:type="dxa"/>
            <w:gridSpan w:val="2"/>
          </w:tcPr>
          <w:p w14:paraId="6E4A8E96" w14:textId="7B45A13C" w:rsidR="00067907" w:rsidRPr="0020742D" w:rsidRDefault="00067907" w:rsidP="00067907">
            <w:pPr>
              <w:spacing w:line="240" w:lineRule="auto"/>
              <w:contextualSpacing/>
              <w:jc w:val="center"/>
              <w:rPr>
                <w:b/>
                <w:bCs/>
                <w:noProof/>
                <w:sz w:val="20"/>
                <w:highlight w:val="yellow"/>
                <w:lang w:eastAsia="en-AU"/>
              </w:rPr>
            </w:pPr>
            <w:r w:rsidRPr="007D56EB">
              <w:t>0.1439</w:t>
            </w:r>
          </w:p>
        </w:tc>
      </w:tr>
      <w:tr w:rsidR="00067907" w:rsidRPr="00C42101" w14:paraId="143B0DBF" w14:textId="77777777" w:rsidTr="00067907">
        <w:trPr>
          <w:gridAfter w:val="1"/>
          <w:wAfter w:w="39" w:type="dxa"/>
          <w:trHeight w:val="283"/>
        </w:trPr>
        <w:tc>
          <w:tcPr>
            <w:tcW w:w="2324" w:type="dxa"/>
          </w:tcPr>
          <w:p w14:paraId="5004F44E" w14:textId="317320E6" w:rsidR="00067907" w:rsidRPr="0020742D" w:rsidRDefault="00067907" w:rsidP="00067907">
            <w:pPr>
              <w:spacing w:line="240" w:lineRule="auto"/>
              <w:contextualSpacing/>
              <w:jc w:val="center"/>
              <w:rPr>
                <w:b/>
                <w:noProof/>
                <w:sz w:val="20"/>
                <w:highlight w:val="yellow"/>
                <w:lang w:eastAsia="en-AU"/>
              </w:rPr>
            </w:pPr>
            <w:r w:rsidRPr="002104EE">
              <w:t>2017, 2018</w:t>
            </w:r>
          </w:p>
        </w:tc>
        <w:tc>
          <w:tcPr>
            <w:tcW w:w="682" w:type="dxa"/>
          </w:tcPr>
          <w:p w14:paraId="691D354A" w14:textId="77777777" w:rsidR="00067907" w:rsidRPr="0020742D" w:rsidRDefault="00067907" w:rsidP="00067907">
            <w:pPr>
              <w:spacing w:line="240" w:lineRule="auto"/>
              <w:contextualSpacing/>
              <w:jc w:val="center"/>
              <w:rPr>
                <w:sz w:val="20"/>
                <w:highlight w:val="yellow"/>
              </w:rPr>
            </w:pPr>
          </w:p>
        </w:tc>
        <w:tc>
          <w:tcPr>
            <w:tcW w:w="1225" w:type="dxa"/>
          </w:tcPr>
          <w:p w14:paraId="209259BC" w14:textId="07603414" w:rsidR="00067907" w:rsidRPr="0020742D" w:rsidRDefault="00067907" w:rsidP="00067907">
            <w:pPr>
              <w:spacing w:line="240" w:lineRule="auto"/>
              <w:contextualSpacing/>
              <w:jc w:val="center"/>
              <w:rPr>
                <w:b/>
                <w:noProof/>
                <w:sz w:val="20"/>
                <w:highlight w:val="yellow"/>
                <w:lang w:eastAsia="en-AU"/>
              </w:rPr>
            </w:pPr>
            <w:r w:rsidRPr="007D56EB">
              <w:t>1.6528</w:t>
            </w:r>
          </w:p>
        </w:tc>
        <w:tc>
          <w:tcPr>
            <w:tcW w:w="2130" w:type="dxa"/>
            <w:gridSpan w:val="2"/>
          </w:tcPr>
          <w:p w14:paraId="298952D2" w14:textId="5F27C05C" w:rsidR="00067907" w:rsidRPr="0020742D" w:rsidRDefault="00067907" w:rsidP="00067907">
            <w:pPr>
              <w:spacing w:line="240" w:lineRule="auto"/>
              <w:contextualSpacing/>
              <w:jc w:val="center"/>
              <w:rPr>
                <w:b/>
                <w:bCs/>
                <w:noProof/>
                <w:sz w:val="20"/>
                <w:highlight w:val="yellow"/>
                <w:lang w:eastAsia="en-AU"/>
              </w:rPr>
            </w:pPr>
            <w:r w:rsidRPr="007D56EB">
              <w:t>0.1521</w:t>
            </w:r>
          </w:p>
        </w:tc>
      </w:tr>
      <w:tr w:rsidR="00067907" w:rsidRPr="00C42101" w14:paraId="36B32578" w14:textId="77777777" w:rsidTr="00067907">
        <w:trPr>
          <w:gridAfter w:val="1"/>
          <w:wAfter w:w="39" w:type="dxa"/>
          <w:trHeight w:val="283"/>
        </w:trPr>
        <w:tc>
          <w:tcPr>
            <w:tcW w:w="2324" w:type="dxa"/>
          </w:tcPr>
          <w:p w14:paraId="6C1C085A" w14:textId="306B22FD" w:rsidR="00067907" w:rsidRPr="0020742D" w:rsidRDefault="00067907" w:rsidP="00067907">
            <w:pPr>
              <w:spacing w:line="240" w:lineRule="auto"/>
              <w:contextualSpacing/>
              <w:jc w:val="center"/>
              <w:rPr>
                <w:rFonts w:cs="Calibri"/>
                <w:sz w:val="20"/>
                <w:highlight w:val="yellow"/>
              </w:rPr>
            </w:pPr>
            <w:r w:rsidRPr="002104EE">
              <w:t>2017, 2019</w:t>
            </w:r>
          </w:p>
        </w:tc>
        <w:tc>
          <w:tcPr>
            <w:tcW w:w="682" w:type="dxa"/>
          </w:tcPr>
          <w:p w14:paraId="0A7961C1" w14:textId="77777777" w:rsidR="00067907" w:rsidRPr="0020742D" w:rsidRDefault="00067907" w:rsidP="00067907">
            <w:pPr>
              <w:spacing w:line="240" w:lineRule="auto"/>
              <w:contextualSpacing/>
              <w:jc w:val="center"/>
              <w:rPr>
                <w:sz w:val="20"/>
                <w:highlight w:val="yellow"/>
              </w:rPr>
            </w:pPr>
          </w:p>
        </w:tc>
        <w:tc>
          <w:tcPr>
            <w:tcW w:w="1225" w:type="dxa"/>
          </w:tcPr>
          <w:p w14:paraId="6DA7E2BB" w14:textId="3AA34835" w:rsidR="00067907" w:rsidRPr="0020742D" w:rsidRDefault="00067907" w:rsidP="00067907">
            <w:pPr>
              <w:spacing w:line="240" w:lineRule="auto"/>
              <w:contextualSpacing/>
              <w:jc w:val="center"/>
              <w:rPr>
                <w:b/>
                <w:noProof/>
                <w:sz w:val="20"/>
                <w:highlight w:val="yellow"/>
                <w:lang w:eastAsia="en-AU"/>
              </w:rPr>
            </w:pPr>
            <w:r w:rsidRPr="007D56EB">
              <w:t>3.1057</w:t>
            </w:r>
          </w:p>
        </w:tc>
        <w:tc>
          <w:tcPr>
            <w:tcW w:w="2130" w:type="dxa"/>
            <w:gridSpan w:val="2"/>
          </w:tcPr>
          <w:p w14:paraId="5CB213EC" w14:textId="52D73706" w:rsidR="00067907" w:rsidRPr="00067907" w:rsidRDefault="00067907" w:rsidP="00067907">
            <w:pPr>
              <w:spacing w:line="240" w:lineRule="auto"/>
              <w:contextualSpacing/>
              <w:jc w:val="center"/>
              <w:rPr>
                <w:b/>
                <w:bCs/>
                <w:noProof/>
                <w:sz w:val="20"/>
                <w:highlight w:val="yellow"/>
                <w:lang w:eastAsia="en-AU"/>
              </w:rPr>
            </w:pPr>
            <w:r w:rsidRPr="00067907">
              <w:rPr>
                <w:b/>
                <w:bCs/>
              </w:rPr>
              <w:t>0.0122</w:t>
            </w:r>
          </w:p>
        </w:tc>
      </w:tr>
      <w:tr w:rsidR="00067907" w:rsidRPr="00C42101" w14:paraId="5006B5EB" w14:textId="77777777" w:rsidTr="00067907">
        <w:trPr>
          <w:gridAfter w:val="1"/>
          <w:wAfter w:w="39" w:type="dxa"/>
          <w:trHeight w:val="283"/>
        </w:trPr>
        <w:tc>
          <w:tcPr>
            <w:tcW w:w="2324" w:type="dxa"/>
          </w:tcPr>
          <w:p w14:paraId="27C2D0D9" w14:textId="7F4B65DA" w:rsidR="00067907" w:rsidRPr="0020742D" w:rsidRDefault="00067907" w:rsidP="00067907">
            <w:pPr>
              <w:spacing w:line="240" w:lineRule="auto"/>
              <w:contextualSpacing/>
              <w:jc w:val="center"/>
              <w:rPr>
                <w:rFonts w:cs="Calibri"/>
                <w:sz w:val="20"/>
                <w:highlight w:val="yellow"/>
              </w:rPr>
            </w:pPr>
            <w:r w:rsidRPr="002104EE">
              <w:t>2017, 2020</w:t>
            </w:r>
          </w:p>
        </w:tc>
        <w:tc>
          <w:tcPr>
            <w:tcW w:w="682" w:type="dxa"/>
          </w:tcPr>
          <w:p w14:paraId="77D2EF0B" w14:textId="77777777" w:rsidR="00067907" w:rsidRPr="0020742D" w:rsidRDefault="00067907" w:rsidP="00067907">
            <w:pPr>
              <w:spacing w:line="240" w:lineRule="auto"/>
              <w:contextualSpacing/>
              <w:jc w:val="center"/>
              <w:rPr>
                <w:sz w:val="20"/>
                <w:highlight w:val="yellow"/>
              </w:rPr>
            </w:pPr>
          </w:p>
        </w:tc>
        <w:tc>
          <w:tcPr>
            <w:tcW w:w="1225" w:type="dxa"/>
          </w:tcPr>
          <w:p w14:paraId="72296D82" w14:textId="728E9010" w:rsidR="00067907" w:rsidRPr="0020742D" w:rsidRDefault="00067907" w:rsidP="00067907">
            <w:pPr>
              <w:spacing w:line="240" w:lineRule="auto"/>
              <w:contextualSpacing/>
              <w:jc w:val="center"/>
              <w:rPr>
                <w:highlight w:val="yellow"/>
              </w:rPr>
            </w:pPr>
            <w:r w:rsidRPr="007D56EB">
              <w:t>2.6752</w:t>
            </w:r>
          </w:p>
        </w:tc>
        <w:tc>
          <w:tcPr>
            <w:tcW w:w="2130" w:type="dxa"/>
            <w:gridSpan w:val="2"/>
          </w:tcPr>
          <w:p w14:paraId="3A5AFF73" w14:textId="57459473" w:rsidR="00067907" w:rsidRPr="00067907" w:rsidRDefault="00067907" w:rsidP="00067907">
            <w:pPr>
              <w:spacing w:line="240" w:lineRule="auto"/>
              <w:contextualSpacing/>
              <w:jc w:val="center"/>
              <w:rPr>
                <w:b/>
                <w:bCs/>
                <w:highlight w:val="yellow"/>
              </w:rPr>
            </w:pPr>
            <w:r w:rsidRPr="00067907">
              <w:rPr>
                <w:b/>
                <w:bCs/>
              </w:rPr>
              <w:t>0.0248</w:t>
            </w:r>
          </w:p>
        </w:tc>
      </w:tr>
      <w:tr w:rsidR="00067907" w:rsidRPr="00C42101" w14:paraId="44018E6D" w14:textId="77777777" w:rsidTr="00067907">
        <w:trPr>
          <w:gridAfter w:val="1"/>
          <w:wAfter w:w="39" w:type="dxa"/>
          <w:trHeight w:val="283"/>
        </w:trPr>
        <w:tc>
          <w:tcPr>
            <w:tcW w:w="2324" w:type="dxa"/>
          </w:tcPr>
          <w:p w14:paraId="2FFB9DFA" w14:textId="35F8A7E9" w:rsidR="00067907" w:rsidRPr="0020742D" w:rsidRDefault="00067907" w:rsidP="00067907">
            <w:pPr>
              <w:spacing w:line="240" w:lineRule="auto"/>
              <w:contextualSpacing/>
              <w:jc w:val="center"/>
              <w:rPr>
                <w:rFonts w:cs="Calibri"/>
                <w:sz w:val="20"/>
                <w:highlight w:val="yellow"/>
              </w:rPr>
            </w:pPr>
            <w:r w:rsidRPr="002104EE">
              <w:t>2017, 2021</w:t>
            </w:r>
          </w:p>
        </w:tc>
        <w:tc>
          <w:tcPr>
            <w:tcW w:w="682" w:type="dxa"/>
          </w:tcPr>
          <w:p w14:paraId="62E857A2" w14:textId="77777777" w:rsidR="00067907" w:rsidRPr="0020742D" w:rsidRDefault="00067907" w:rsidP="00067907">
            <w:pPr>
              <w:spacing w:line="240" w:lineRule="auto"/>
              <w:contextualSpacing/>
              <w:jc w:val="center"/>
              <w:rPr>
                <w:sz w:val="20"/>
                <w:highlight w:val="yellow"/>
              </w:rPr>
            </w:pPr>
          </w:p>
        </w:tc>
        <w:tc>
          <w:tcPr>
            <w:tcW w:w="1225" w:type="dxa"/>
          </w:tcPr>
          <w:p w14:paraId="0676DD90" w14:textId="3BEFF5C1" w:rsidR="00067907" w:rsidRPr="0020742D" w:rsidRDefault="00067907" w:rsidP="00067907">
            <w:pPr>
              <w:spacing w:line="240" w:lineRule="auto"/>
              <w:contextualSpacing/>
              <w:jc w:val="center"/>
              <w:rPr>
                <w:highlight w:val="yellow"/>
              </w:rPr>
            </w:pPr>
            <w:r w:rsidRPr="007D56EB">
              <w:t>1.1063</w:t>
            </w:r>
          </w:p>
        </w:tc>
        <w:tc>
          <w:tcPr>
            <w:tcW w:w="2130" w:type="dxa"/>
            <w:gridSpan w:val="2"/>
          </w:tcPr>
          <w:p w14:paraId="191E8C85" w14:textId="2B5AD90D" w:rsidR="00067907" w:rsidRPr="0020742D" w:rsidRDefault="00067907" w:rsidP="00067907">
            <w:pPr>
              <w:spacing w:line="240" w:lineRule="auto"/>
              <w:contextualSpacing/>
              <w:jc w:val="center"/>
              <w:rPr>
                <w:highlight w:val="yellow"/>
              </w:rPr>
            </w:pPr>
            <w:r w:rsidRPr="007D56EB">
              <w:t>0.3414</w:t>
            </w:r>
          </w:p>
        </w:tc>
      </w:tr>
      <w:tr w:rsidR="00067907" w:rsidRPr="00C42101" w14:paraId="4A170962" w14:textId="77777777" w:rsidTr="00067907">
        <w:trPr>
          <w:gridAfter w:val="1"/>
          <w:wAfter w:w="39" w:type="dxa"/>
          <w:trHeight w:val="283"/>
        </w:trPr>
        <w:tc>
          <w:tcPr>
            <w:tcW w:w="2324" w:type="dxa"/>
          </w:tcPr>
          <w:p w14:paraId="49CC7029" w14:textId="1D31EF94" w:rsidR="00067907" w:rsidRPr="0020742D" w:rsidRDefault="00067907" w:rsidP="00067907">
            <w:pPr>
              <w:spacing w:line="240" w:lineRule="auto"/>
              <w:contextualSpacing/>
              <w:jc w:val="center"/>
              <w:rPr>
                <w:rFonts w:cs="Calibri"/>
                <w:sz w:val="20"/>
                <w:highlight w:val="yellow"/>
              </w:rPr>
            </w:pPr>
            <w:r w:rsidRPr="002104EE">
              <w:t>2017, 2022</w:t>
            </w:r>
          </w:p>
        </w:tc>
        <w:tc>
          <w:tcPr>
            <w:tcW w:w="682" w:type="dxa"/>
          </w:tcPr>
          <w:p w14:paraId="42F7C1FE" w14:textId="77777777" w:rsidR="00067907" w:rsidRPr="0020742D" w:rsidRDefault="00067907" w:rsidP="00067907">
            <w:pPr>
              <w:spacing w:line="240" w:lineRule="auto"/>
              <w:contextualSpacing/>
              <w:jc w:val="center"/>
              <w:rPr>
                <w:sz w:val="20"/>
                <w:highlight w:val="yellow"/>
              </w:rPr>
            </w:pPr>
          </w:p>
        </w:tc>
        <w:tc>
          <w:tcPr>
            <w:tcW w:w="1225" w:type="dxa"/>
          </w:tcPr>
          <w:p w14:paraId="35D9F2BC" w14:textId="2456EE5E" w:rsidR="00067907" w:rsidRPr="0020742D" w:rsidRDefault="00067907" w:rsidP="00067907">
            <w:pPr>
              <w:spacing w:line="240" w:lineRule="auto"/>
              <w:contextualSpacing/>
              <w:jc w:val="center"/>
              <w:rPr>
                <w:b/>
                <w:noProof/>
                <w:sz w:val="20"/>
                <w:highlight w:val="yellow"/>
                <w:lang w:eastAsia="en-AU"/>
              </w:rPr>
            </w:pPr>
            <w:r w:rsidRPr="007D56EB">
              <w:t>0.7366</w:t>
            </w:r>
          </w:p>
        </w:tc>
        <w:tc>
          <w:tcPr>
            <w:tcW w:w="2130" w:type="dxa"/>
            <w:gridSpan w:val="2"/>
          </w:tcPr>
          <w:p w14:paraId="0541D863" w14:textId="38365192" w:rsidR="00067907" w:rsidRPr="0020742D" w:rsidRDefault="00067907" w:rsidP="00067907">
            <w:pPr>
              <w:spacing w:line="240" w:lineRule="auto"/>
              <w:contextualSpacing/>
              <w:jc w:val="center"/>
              <w:rPr>
                <w:b/>
                <w:bCs/>
                <w:noProof/>
                <w:sz w:val="20"/>
                <w:highlight w:val="yellow"/>
                <w:lang w:eastAsia="en-AU"/>
              </w:rPr>
            </w:pPr>
            <w:r w:rsidRPr="007D56EB">
              <w:t>0.7368</w:t>
            </w:r>
          </w:p>
        </w:tc>
      </w:tr>
      <w:tr w:rsidR="00067907" w:rsidRPr="00C42101" w14:paraId="20F95129" w14:textId="77777777" w:rsidTr="00067907">
        <w:trPr>
          <w:gridAfter w:val="1"/>
          <w:wAfter w:w="39" w:type="dxa"/>
          <w:trHeight w:val="283"/>
        </w:trPr>
        <w:tc>
          <w:tcPr>
            <w:tcW w:w="2324" w:type="dxa"/>
          </w:tcPr>
          <w:p w14:paraId="7F643E6D" w14:textId="3FA156C1" w:rsidR="00067907" w:rsidRPr="0020742D" w:rsidRDefault="00067907" w:rsidP="00067907">
            <w:pPr>
              <w:spacing w:line="240" w:lineRule="auto"/>
              <w:contextualSpacing/>
              <w:jc w:val="center"/>
              <w:rPr>
                <w:rFonts w:cs="Calibri"/>
                <w:sz w:val="20"/>
                <w:highlight w:val="yellow"/>
              </w:rPr>
            </w:pPr>
            <w:r w:rsidRPr="002104EE">
              <w:t>2017, 2023</w:t>
            </w:r>
          </w:p>
        </w:tc>
        <w:tc>
          <w:tcPr>
            <w:tcW w:w="682" w:type="dxa"/>
          </w:tcPr>
          <w:p w14:paraId="43BBCD44" w14:textId="77777777" w:rsidR="00067907" w:rsidRPr="0020742D" w:rsidRDefault="00067907" w:rsidP="00067907">
            <w:pPr>
              <w:spacing w:line="240" w:lineRule="auto"/>
              <w:contextualSpacing/>
              <w:jc w:val="center"/>
              <w:rPr>
                <w:sz w:val="20"/>
                <w:highlight w:val="yellow"/>
              </w:rPr>
            </w:pPr>
          </w:p>
        </w:tc>
        <w:tc>
          <w:tcPr>
            <w:tcW w:w="1225" w:type="dxa"/>
          </w:tcPr>
          <w:p w14:paraId="16BE7250" w14:textId="4831478D" w:rsidR="00067907" w:rsidRPr="0020742D" w:rsidRDefault="00067907" w:rsidP="00067907">
            <w:pPr>
              <w:spacing w:line="240" w:lineRule="auto"/>
              <w:contextualSpacing/>
              <w:jc w:val="center"/>
              <w:rPr>
                <w:b/>
                <w:noProof/>
                <w:sz w:val="20"/>
                <w:highlight w:val="yellow"/>
                <w:lang w:eastAsia="en-AU"/>
              </w:rPr>
            </w:pPr>
            <w:r w:rsidRPr="007D56EB">
              <w:t>0.4049</w:t>
            </w:r>
          </w:p>
        </w:tc>
        <w:tc>
          <w:tcPr>
            <w:tcW w:w="2130" w:type="dxa"/>
            <w:gridSpan w:val="2"/>
          </w:tcPr>
          <w:p w14:paraId="23341AEA" w14:textId="0A1E6CFD" w:rsidR="00067907" w:rsidRPr="0020742D" w:rsidRDefault="00067907" w:rsidP="00067907">
            <w:pPr>
              <w:spacing w:line="240" w:lineRule="auto"/>
              <w:contextualSpacing/>
              <w:jc w:val="center"/>
              <w:rPr>
                <w:b/>
                <w:bCs/>
                <w:noProof/>
                <w:sz w:val="20"/>
                <w:highlight w:val="yellow"/>
                <w:lang w:eastAsia="en-AU"/>
              </w:rPr>
            </w:pPr>
            <w:r w:rsidRPr="007D56EB">
              <w:t>0.8597</w:t>
            </w:r>
          </w:p>
        </w:tc>
      </w:tr>
      <w:tr w:rsidR="00067907" w:rsidRPr="00C42101" w14:paraId="63710E8C" w14:textId="77777777" w:rsidTr="00067907">
        <w:trPr>
          <w:gridAfter w:val="1"/>
          <w:wAfter w:w="39" w:type="dxa"/>
          <w:trHeight w:val="283"/>
        </w:trPr>
        <w:tc>
          <w:tcPr>
            <w:tcW w:w="2324" w:type="dxa"/>
          </w:tcPr>
          <w:p w14:paraId="3AF351F3" w14:textId="699E0F9C" w:rsidR="00067907" w:rsidRPr="0020742D" w:rsidRDefault="00067907" w:rsidP="00067907">
            <w:pPr>
              <w:spacing w:line="240" w:lineRule="auto"/>
              <w:contextualSpacing/>
              <w:jc w:val="center"/>
              <w:rPr>
                <w:rFonts w:cs="Calibri"/>
                <w:sz w:val="20"/>
                <w:highlight w:val="yellow"/>
              </w:rPr>
            </w:pPr>
            <w:r w:rsidRPr="002104EE">
              <w:t>2017, 2024</w:t>
            </w:r>
          </w:p>
        </w:tc>
        <w:tc>
          <w:tcPr>
            <w:tcW w:w="682" w:type="dxa"/>
          </w:tcPr>
          <w:p w14:paraId="239BB025" w14:textId="77777777" w:rsidR="00067907" w:rsidRPr="0020742D" w:rsidRDefault="00067907" w:rsidP="00067907">
            <w:pPr>
              <w:spacing w:line="240" w:lineRule="auto"/>
              <w:contextualSpacing/>
              <w:jc w:val="center"/>
              <w:rPr>
                <w:sz w:val="20"/>
                <w:highlight w:val="yellow"/>
              </w:rPr>
            </w:pPr>
          </w:p>
        </w:tc>
        <w:tc>
          <w:tcPr>
            <w:tcW w:w="1225" w:type="dxa"/>
          </w:tcPr>
          <w:p w14:paraId="26C13F41" w14:textId="7CAD6E26" w:rsidR="00067907" w:rsidRPr="0020742D" w:rsidRDefault="00067907" w:rsidP="00067907">
            <w:pPr>
              <w:spacing w:line="240" w:lineRule="auto"/>
              <w:contextualSpacing/>
              <w:jc w:val="center"/>
              <w:rPr>
                <w:b/>
                <w:noProof/>
                <w:sz w:val="20"/>
                <w:highlight w:val="yellow"/>
                <w:lang w:eastAsia="en-AU"/>
              </w:rPr>
            </w:pPr>
            <w:r w:rsidRPr="007D56EB">
              <w:t>0.2615</w:t>
            </w:r>
          </w:p>
        </w:tc>
        <w:tc>
          <w:tcPr>
            <w:tcW w:w="2130" w:type="dxa"/>
            <w:gridSpan w:val="2"/>
          </w:tcPr>
          <w:p w14:paraId="5EA462D9" w14:textId="3765E952" w:rsidR="00067907" w:rsidRPr="0020742D" w:rsidRDefault="00067907" w:rsidP="00067907">
            <w:pPr>
              <w:spacing w:line="240" w:lineRule="auto"/>
              <w:contextualSpacing/>
              <w:jc w:val="center"/>
              <w:rPr>
                <w:b/>
                <w:bCs/>
                <w:noProof/>
                <w:sz w:val="20"/>
                <w:highlight w:val="yellow"/>
                <w:lang w:eastAsia="en-AU"/>
              </w:rPr>
            </w:pPr>
            <w:r w:rsidRPr="007D56EB">
              <w:t>1.0000</w:t>
            </w:r>
          </w:p>
        </w:tc>
      </w:tr>
      <w:tr w:rsidR="00067907" w:rsidRPr="00C42101" w14:paraId="4E03E8DB" w14:textId="77777777" w:rsidTr="00067907">
        <w:trPr>
          <w:gridAfter w:val="1"/>
          <w:wAfter w:w="39" w:type="dxa"/>
          <w:trHeight w:val="283"/>
        </w:trPr>
        <w:tc>
          <w:tcPr>
            <w:tcW w:w="2324" w:type="dxa"/>
          </w:tcPr>
          <w:p w14:paraId="4E2B7EA5" w14:textId="2C6D6E93" w:rsidR="00067907" w:rsidRPr="0020742D" w:rsidRDefault="00067907" w:rsidP="00067907">
            <w:pPr>
              <w:spacing w:line="240" w:lineRule="auto"/>
              <w:contextualSpacing/>
              <w:jc w:val="center"/>
              <w:rPr>
                <w:rFonts w:cs="Calibri"/>
                <w:sz w:val="20"/>
                <w:highlight w:val="yellow"/>
              </w:rPr>
            </w:pPr>
            <w:r w:rsidRPr="002104EE">
              <w:t>2018, 2019</w:t>
            </w:r>
          </w:p>
        </w:tc>
        <w:tc>
          <w:tcPr>
            <w:tcW w:w="682" w:type="dxa"/>
          </w:tcPr>
          <w:p w14:paraId="75A66A43" w14:textId="77777777" w:rsidR="00067907" w:rsidRPr="0020742D" w:rsidRDefault="00067907" w:rsidP="00067907">
            <w:pPr>
              <w:spacing w:line="240" w:lineRule="auto"/>
              <w:contextualSpacing/>
              <w:jc w:val="center"/>
              <w:rPr>
                <w:sz w:val="20"/>
                <w:highlight w:val="yellow"/>
              </w:rPr>
            </w:pPr>
          </w:p>
        </w:tc>
        <w:tc>
          <w:tcPr>
            <w:tcW w:w="1225" w:type="dxa"/>
          </w:tcPr>
          <w:p w14:paraId="0C4782E1" w14:textId="3ED29912" w:rsidR="00067907" w:rsidRPr="0020742D" w:rsidRDefault="00067907" w:rsidP="00067907">
            <w:pPr>
              <w:spacing w:line="240" w:lineRule="auto"/>
              <w:contextualSpacing/>
              <w:jc w:val="center"/>
              <w:rPr>
                <w:highlight w:val="yellow"/>
              </w:rPr>
            </w:pPr>
            <w:r w:rsidRPr="007D56EB">
              <w:t>1.3556</w:t>
            </w:r>
          </w:p>
        </w:tc>
        <w:tc>
          <w:tcPr>
            <w:tcW w:w="2130" w:type="dxa"/>
            <w:gridSpan w:val="2"/>
          </w:tcPr>
          <w:p w14:paraId="2E74B301" w14:textId="31E70E49" w:rsidR="00067907" w:rsidRPr="0020742D" w:rsidRDefault="00067907" w:rsidP="00067907">
            <w:pPr>
              <w:spacing w:line="240" w:lineRule="auto"/>
              <w:contextualSpacing/>
              <w:jc w:val="center"/>
              <w:rPr>
                <w:b/>
                <w:bCs/>
                <w:highlight w:val="yellow"/>
              </w:rPr>
            </w:pPr>
            <w:r w:rsidRPr="007D56EB">
              <w:t>0.1652</w:t>
            </w:r>
          </w:p>
        </w:tc>
      </w:tr>
      <w:tr w:rsidR="00067907" w:rsidRPr="00C42101" w14:paraId="0D4239E2" w14:textId="77777777" w:rsidTr="00067907">
        <w:trPr>
          <w:gridAfter w:val="1"/>
          <w:wAfter w:w="39" w:type="dxa"/>
          <w:trHeight w:val="283"/>
        </w:trPr>
        <w:tc>
          <w:tcPr>
            <w:tcW w:w="2324" w:type="dxa"/>
          </w:tcPr>
          <w:p w14:paraId="69E030C0" w14:textId="60D947BF" w:rsidR="00067907" w:rsidRPr="0020742D" w:rsidRDefault="00067907" w:rsidP="00067907">
            <w:pPr>
              <w:spacing w:line="240" w:lineRule="auto"/>
              <w:contextualSpacing/>
              <w:jc w:val="center"/>
              <w:rPr>
                <w:rFonts w:cs="Calibri"/>
                <w:sz w:val="20"/>
                <w:highlight w:val="yellow"/>
              </w:rPr>
            </w:pPr>
            <w:r w:rsidRPr="002104EE">
              <w:t>2018, 2020</w:t>
            </w:r>
          </w:p>
        </w:tc>
        <w:tc>
          <w:tcPr>
            <w:tcW w:w="682" w:type="dxa"/>
          </w:tcPr>
          <w:p w14:paraId="58BB26E4" w14:textId="77777777" w:rsidR="00067907" w:rsidRPr="0020742D" w:rsidRDefault="00067907" w:rsidP="00067907">
            <w:pPr>
              <w:spacing w:line="240" w:lineRule="auto"/>
              <w:contextualSpacing/>
              <w:jc w:val="center"/>
              <w:rPr>
                <w:sz w:val="20"/>
                <w:highlight w:val="yellow"/>
              </w:rPr>
            </w:pPr>
          </w:p>
        </w:tc>
        <w:tc>
          <w:tcPr>
            <w:tcW w:w="1225" w:type="dxa"/>
          </w:tcPr>
          <w:p w14:paraId="1ECFE8C6" w14:textId="2E05776B" w:rsidR="00067907" w:rsidRPr="0020742D" w:rsidRDefault="00067907" w:rsidP="00067907">
            <w:pPr>
              <w:spacing w:line="240" w:lineRule="auto"/>
              <w:contextualSpacing/>
              <w:jc w:val="center"/>
              <w:rPr>
                <w:highlight w:val="yellow"/>
              </w:rPr>
            </w:pPr>
            <w:r w:rsidRPr="007D56EB">
              <w:t>1.3463</w:t>
            </w:r>
          </w:p>
        </w:tc>
        <w:tc>
          <w:tcPr>
            <w:tcW w:w="2130" w:type="dxa"/>
            <w:gridSpan w:val="2"/>
          </w:tcPr>
          <w:p w14:paraId="2921B5A5" w14:textId="2F8BE0FE" w:rsidR="00067907" w:rsidRPr="0020742D" w:rsidRDefault="00067907" w:rsidP="00067907">
            <w:pPr>
              <w:spacing w:line="240" w:lineRule="auto"/>
              <w:contextualSpacing/>
              <w:jc w:val="center"/>
              <w:rPr>
                <w:highlight w:val="yellow"/>
              </w:rPr>
            </w:pPr>
            <w:r w:rsidRPr="007D56EB">
              <w:t>0.1832</w:t>
            </w:r>
          </w:p>
        </w:tc>
      </w:tr>
      <w:tr w:rsidR="00067907" w:rsidRPr="00C42101" w14:paraId="33790D85" w14:textId="77777777" w:rsidTr="00067907">
        <w:trPr>
          <w:gridAfter w:val="1"/>
          <w:wAfter w:w="39" w:type="dxa"/>
          <w:trHeight w:val="283"/>
        </w:trPr>
        <w:tc>
          <w:tcPr>
            <w:tcW w:w="2324" w:type="dxa"/>
          </w:tcPr>
          <w:p w14:paraId="388B087E" w14:textId="1264859A" w:rsidR="00067907" w:rsidRPr="0020742D" w:rsidRDefault="00067907" w:rsidP="00067907">
            <w:pPr>
              <w:spacing w:line="240" w:lineRule="auto"/>
              <w:contextualSpacing/>
              <w:jc w:val="center"/>
              <w:rPr>
                <w:b/>
                <w:noProof/>
                <w:sz w:val="20"/>
                <w:highlight w:val="yellow"/>
                <w:lang w:eastAsia="en-AU"/>
              </w:rPr>
            </w:pPr>
            <w:r w:rsidRPr="002104EE">
              <w:t>2018, 2021</w:t>
            </w:r>
          </w:p>
        </w:tc>
        <w:tc>
          <w:tcPr>
            <w:tcW w:w="682" w:type="dxa"/>
          </w:tcPr>
          <w:p w14:paraId="48D194C7" w14:textId="77777777" w:rsidR="00067907" w:rsidRPr="0020742D" w:rsidRDefault="00067907" w:rsidP="00067907">
            <w:pPr>
              <w:spacing w:line="240" w:lineRule="auto"/>
              <w:contextualSpacing/>
              <w:jc w:val="center"/>
              <w:rPr>
                <w:sz w:val="20"/>
                <w:highlight w:val="yellow"/>
              </w:rPr>
            </w:pPr>
          </w:p>
        </w:tc>
        <w:tc>
          <w:tcPr>
            <w:tcW w:w="1225" w:type="dxa"/>
          </w:tcPr>
          <w:p w14:paraId="2B456951" w14:textId="42FAFDAB" w:rsidR="00067907" w:rsidRPr="0020742D" w:rsidRDefault="00067907" w:rsidP="00067907">
            <w:pPr>
              <w:spacing w:line="240" w:lineRule="auto"/>
              <w:contextualSpacing/>
              <w:jc w:val="center"/>
              <w:rPr>
                <w:b/>
                <w:noProof/>
                <w:sz w:val="20"/>
                <w:highlight w:val="yellow"/>
                <w:lang w:eastAsia="en-AU"/>
              </w:rPr>
            </w:pPr>
            <w:r w:rsidRPr="007D56EB">
              <w:t>0.5702</w:t>
            </w:r>
          </w:p>
        </w:tc>
        <w:tc>
          <w:tcPr>
            <w:tcW w:w="2130" w:type="dxa"/>
            <w:gridSpan w:val="2"/>
          </w:tcPr>
          <w:p w14:paraId="20E605CB" w14:textId="520D0ACB" w:rsidR="00067907" w:rsidRPr="0020742D" w:rsidRDefault="00067907" w:rsidP="00067907">
            <w:pPr>
              <w:spacing w:line="240" w:lineRule="auto"/>
              <w:contextualSpacing/>
              <w:jc w:val="center"/>
              <w:rPr>
                <w:b/>
                <w:noProof/>
                <w:sz w:val="20"/>
                <w:highlight w:val="yellow"/>
                <w:lang w:eastAsia="en-AU"/>
              </w:rPr>
            </w:pPr>
            <w:r w:rsidRPr="007D56EB">
              <w:t>0.5346</w:t>
            </w:r>
          </w:p>
        </w:tc>
      </w:tr>
      <w:tr w:rsidR="00067907" w:rsidRPr="00C42101" w14:paraId="74D51B7B" w14:textId="77777777" w:rsidTr="00067907">
        <w:trPr>
          <w:gridAfter w:val="1"/>
          <w:wAfter w:w="39" w:type="dxa"/>
          <w:trHeight w:val="283"/>
        </w:trPr>
        <w:tc>
          <w:tcPr>
            <w:tcW w:w="2324" w:type="dxa"/>
          </w:tcPr>
          <w:p w14:paraId="5CCD6EE1" w14:textId="29BAEDC9" w:rsidR="00067907" w:rsidRPr="0020742D" w:rsidRDefault="00067907" w:rsidP="00067907">
            <w:pPr>
              <w:spacing w:line="240" w:lineRule="auto"/>
              <w:contextualSpacing/>
              <w:jc w:val="center"/>
              <w:rPr>
                <w:rFonts w:cs="Calibri"/>
                <w:sz w:val="20"/>
                <w:highlight w:val="yellow"/>
              </w:rPr>
            </w:pPr>
            <w:r w:rsidRPr="002104EE">
              <w:t>2018, 2022</w:t>
            </w:r>
          </w:p>
        </w:tc>
        <w:tc>
          <w:tcPr>
            <w:tcW w:w="682" w:type="dxa"/>
          </w:tcPr>
          <w:p w14:paraId="50238554" w14:textId="77777777" w:rsidR="00067907" w:rsidRPr="0020742D" w:rsidRDefault="00067907" w:rsidP="00067907">
            <w:pPr>
              <w:spacing w:line="240" w:lineRule="auto"/>
              <w:contextualSpacing/>
              <w:jc w:val="center"/>
              <w:rPr>
                <w:sz w:val="20"/>
                <w:highlight w:val="yellow"/>
              </w:rPr>
            </w:pPr>
          </w:p>
        </w:tc>
        <w:tc>
          <w:tcPr>
            <w:tcW w:w="1225" w:type="dxa"/>
          </w:tcPr>
          <w:p w14:paraId="7DBECE50" w14:textId="68DD957B" w:rsidR="00067907" w:rsidRPr="0020742D" w:rsidRDefault="00067907" w:rsidP="00067907">
            <w:pPr>
              <w:spacing w:line="240" w:lineRule="auto"/>
              <w:contextualSpacing/>
              <w:jc w:val="center"/>
              <w:rPr>
                <w:b/>
                <w:noProof/>
                <w:sz w:val="20"/>
                <w:highlight w:val="yellow"/>
                <w:lang w:eastAsia="en-AU"/>
              </w:rPr>
            </w:pPr>
            <w:r w:rsidRPr="007D56EB">
              <w:t>2.6671</w:t>
            </w:r>
          </w:p>
        </w:tc>
        <w:tc>
          <w:tcPr>
            <w:tcW w:w="2130" w:type="dxa"/>
            <w:gridSpan w:val="2"/>
          </w:tcPr>
          <w:p w14:paraId="1BFDDB5C" w14:textId="3590042B" w:rsidR="00067907" w:rsidRPr="00067907" w:rsidRDefault="00067907" w:rsidP="00067907">
            <w:pPr>
              <w:spacing w:line="240" w:lineRule="auto"/>
              <w:contextualSpacing/>
              <w:jc w:val="center"/>
              <w:rPr>
                <w:b/>
                <w:bCs/>
                <w:noProof/>
                <w:sz w:val="20"/>
                <w:highlight w:val="yellow"/>
                <w:lang w:eastAsia="en-AU"/>
              </w:rPr>
            </w:pPr>
            <w:r w:rsidRPr="00067907">
              <w:rPr>
                <w:b/>
                <w:bCs/>
              </w:rPr>
              <w:t>0.0395</w:t>
            </w:r>
          </w:p>
        </w:tc>
      </w:tr>
      <w:tr w:rsidR="00067907" w:rsidRPr="00C42101" w14:paraId="02447F70" w14:textId="77777777" w:rsidTr="00067907">
        <w:trPr>
          <w:gridAfter w:val="1"/>
          <w:wAfter w:w="39" w:type="dxa"/>
          <w:trHeight w:val="283"/>
        </w:trPr>
        <w:tc>
          <w:tcPr>
            <w:tcW w:w="2324" w:type="dxa"/>
          </w:tcPr>
          <w:p w14:paraId="1BF3D6E9" w14:textId="70E70725" w:rsidR="00067907" w:rsidRPr="0020742D" w:rsidRDefault="00067907" w:rsidP="00067907">
            <w:pPr>
              <w:spacing w:line="240" w:lineRule="auto"/>
              <w:contextualSpacing/>
              <w:jc w:val="center"/>
              <w:rPr>
                <w:rFonts w:cs="Calibri"/>
                <w:sz w:val="20"/>
                <w:highlight w:val="yellow"/>
              </w:rPr>
            </w:pPr>
            <w:r w:rsidRPr="002104EE">
              <w:t>2018, 2023</w:t>
            </w:r>
          </w:p>
        </w:tc>
        <w:tc>
          <w:tcPr>
            <w:tcW w:w="682" w:type="dxa"/>
          </w:tcPr>
          <w:p w14:paraId="748867A8" w14:textId="77777777" w:rsidR="00067907" w:rsidRPr="0020742D" w:rsidRDefault="00067907" w:rsidP="00067907">
            <w:pPr>
              <w:spacing w:line="240" w:lineRule="auto"/>
              <w:contextualSpacing/>
              <w:jc w:val="center"/>
              <w:rPr>
                <w:sz w:val="20"/>
                <w:highlight w:val="yellow"/>
              </w:rPr>
            </w:pPr>
          </w:p>
        </w:tc>
        <w:tc>
          <w:tcPr>
            <w:tcW w:w="1225" w:type="dxa"/>
          </w:tcPr>
          <w:p w14:paraId="2FFD8F05" w14:textId="2810E8A8" w:rsidR="00067907" w:rsidRPr="0020742D" w:rsidRDefault="00067907" w:rsidP="00067907">
            <w:pPr>
              <w:spacing w:line="240" w:lineRule="auto"/>
              <w:contextualSpacing/>
              <w:jc w:val="center"/>
              <w:rPr>
                <w:highlight w:val="yellow"/>
              </w:rPr>
            </w:pPr>
            <w:r w:rsidRPr="007D56EB">
              <w:t>1.2194</w:t>
            </w:r>
          </w:p>
        </w:tc>
        <w:tc>
          <w:tcPr>
            <w:tcW w:w="2130" w:type="dxa"/>
            <w:gridSpan w:val="2"/>
          </w:tcPr>
          <w:p w14:paraId="2D647761" w14:textId="24681E95" w:rsidR="00067907" w:rsidRPr="0020742D" w:rsidRDefault="00067907" w:rsidP="00067907">
            <w:pPr>
              <w:spacing w:line="240" w:lineRule="auto"/>
              <w:contextualSpacing/>
              <w:jc w:val="center"/>
              <w:rPr>
                <w:b/>
                <w:bCs/>
                <w:highlight w:val="yellow"/>
              </w:rPr>
            </w:pPr>
            <w:r w:rsidRPr="007D56EB">
              <w:t>0.3605</w:t>
            </w:r>
          </w:p>
        </w:tc>
      </w:tr>
      <w:tr w:rsidR="00067907" w:rsidRPr="00C42101" w14:paraId="10C358AD" w14:textId="77777777" w:rsidTr="00067907">
        <w:trPr>
          <w:gridAfter w:val="1"/>
          <w:wAfter w:w="39" w:type="dxa"/>
          <w:trHeight w:val="283"/>
        </w:trPr>
        <w:tc>
          <w:tcPr>
            <w:tcW w:w="2324" w:type="dxa"/>
          </w:tcPr>
          <w:p w14:paraId="52885E27" w14:textId="1E9271F3" w:rsidR="00067907" w:rsidRPr="0020742D" w:rsidRDefault="00067907" w:rsidP="00067907">
            <w:pPr>
              <w:spacing w:line="240" w:lineRule="auto"/>
              <w:contextualSpacing/>
              <w:jc w:val="center"/>
              <w:rPr>
                <w:rFonts w:cs="Calibri"/>
                <w:sz w:val="20"/>
                <w:highlight w:val="yellow"/>
              </w:rPr>
            </w:pPr>
            <w:r w:rsidRPr="002104EE">
              <w:t>2018, 2024</w:t>
            </w:r>
          </w:p>
        </w:tc>
        <w:tc>
          <w:tcPr>
            <w:tcW w:w="682" w:type="dxa"/>
          </w:tcPr>
          <w:p w14:paraId="5490CE0A" w14:textId="77777777" w:rsidR="00067907" w:rsidRPr="0020742D" w:rsidRDefault="00067907" w:rsidP="00067907">
            <w:pPr>
              <w:spacing w:line="240" w:lineRule="auto"/>
              <w:contextualSpacing/>
              <w:jc w:val="center"/>
              <w:rPr>
                <w:sz w:val="20"/>
                <w:highlight w:val="yellow"/>
              </w:rPr>
            </w:pPr>
          </w:p>
        </w:tc>
        <w:tc>
          <w:tcPr>
            <w:tcW w:w="1225" w:type="dxa"/>
          </w:tcPr>
          <w:p w14:paraId="523D4799" w14:textId="04CF2B4E" w:rsidR="00067907" w:rsidRPr="0020742D" w:rsidRDefault="00067907" w:rsidP="00067907">
            <w:pPr>
              <w:spacing w:line="240" w:lineRule="auto"/>
              <w:contextualSpacing/>
              <w:jc w:val="center"/>
              <w:rPr>
                <w:highlight w:val="yellow"/>
              </w:rPr>
            </w:pPr>
            <w:r w:rsidRPr="007D56EB">
              <w:t>1.4538</w:t>
            </w:r>
          </w:p>
        </w:tc>
        <w:tc>
          <w:tcPr>
            <w:tcW w:w="2130" w:type="dxa"/>
            <w:gridSpan w:val="2"/>
          </w:tcPr>
          <w:p w14:paraId="13F09CFD" w14:textId="6094B20F" w:rsidR="00067907" w:rsidRPr="0020742D" w:rsidRDefault="00067907" w:rsidP="00067907">
            <w:pPr>
              <w:spacing w:line="240" w:lineRule="auto"/>
              <w:contextualSpacing/>
              <w:jc w:val="center"/>
              <w:rPr>
                <w:b/>
                <w:bCs/>
                <w:highlight w:val="yellow"/>
              </w:rPr>
            </w:pPr>
            <w:r w:rsidRPr="007D56EB">
              <w:t>0.1987</w:t>
            </w:r>
          </w:p>
        </w:tc>
      </w:tr>
      <w:tr w:rsidR="00067907" w:rsidRPr="00C42101" w14:paraId="7F4FDF95" w14:textId="77777777" w:rsidTr="00067907">
        <w:trPr>
          <w:gridAfter w:val="1"/>
          <w:wAfter w:w="39" w:type="dxa"/>
          <w:trHeight w:val="283"/>
        </w:trPr>
        <w:tc>
          <w:tcPr>
            <w:tcW w:w="2324" w:type="dxa"/>
          </w:tcPr>
          <w:p w14:paraId="18C3EB55" w14:textId="348E9616" w:rsidR="00067907" w:rsidRPr="0020742D" w:rsidRDefault="00067907" w:rsidP="00067907">
            <w:pPr>
              <w:spacing w:line="240" w:lineRule="auto"/>
              <w:contextualSpacing/>
              <w:jc w:val="center"/>
              <w:rPr>
                <w:rFonts w:cs="Calibri"/>
                <w:sz w:val="20"/>
                <w:highlight w:val="yellow"/>
              </w:rPr>
            </w:pPr>
            <w:r w:rsidRPr="002104EE">
              <w:lastRenderedPageBreak/>
              <w:t>2019, 2020</w:t>
            </w:r>
          </w:p>
        </w:tc>
        <w:tc>
          <w:tcPr>
            <w:tcW w:w="682" w:type="dxa"/>
          </w:tcPr>
          <w:p w14:paraId="2F27D4FA" w14:textId="77777777" w:rsidR="00067907" w:rsidRPr="0020742D" w:rsidRDefault="00067907" w:rsidP="00067907">
            <w:pPr>
              <w:spacing w:line="240" w:lineRule="auto"/>
              <w:contextualSpacing/>
              <w:jc w:val="center"/>
              <w:rPr>
                <w:sz w:val="20"/>
                <w:highlight w:val="yellow"/>
              </w:rPr>
            </w:pPr>
          </w:p>
        </w:tc>
        <w:tc>
          <w:tcPr>
            <w:tcW w:w="1225" w:type="dxa"/>
          </w:tcPr>
          <w:p w14:paraId="26223E08" w14:textId="1B6D51C7" w:rsidR="00067907" w:rsidRPr="0020742D" w:rsidRDefault="00067907" w:rsidP="00067907">
            <w:pPr>
              <w:spacing w:line="240" w:lineRule="auto"/>
              <w:contextualSpacing/>
              <w:jc w:val="center"/>
              <w:rPr>
                <w:b/>
                <w:noProof/>
                <w:sz w:val="20"/>
                <w:highlight w:val="yellow"/>
                <w:lang w:eastAsia="en-AU"/>
              </w:rPr>
            </w:pPr>
            <w:r w:rsidRPr="007D56EB">
              <w:t>0.3012</w:t>
            </w:r>
          </w:p>
        </w:tc>
        <w:tc>
          <w:tcPr>
            <w:tcW w:w="2130" w:type="dxa"/>
            <w:gridSpan w:val="2"/>
          </w:tcPr>
          <w:p w14:paraId="0AB29020" w14:textId="75C2C3D2" w:rsidR="00067907" w:rsidRPr="0020742D" w:rsidRDefault="00067907" w:rsidP="00067907">
            <w:pPr>
              <w:spacing w:line="240" w:lineRule="auto"/>
              <w:contextualSpacing/>
              <w:jc w:val="center"/>
              <w:rPr>
                <w:b/>
                <w:noProof/>
                <w:sz w:val="20"/>
                <w:highlight w:val="yellow"/>
                <w:lang w:eastAsia="en-AU"/>
              </w:rPr>
            </w:pPr>
            <w:r w:rsidRPr="007D56EB">
              <w:t>0.7955</w:t>
            </w:r>
          </w:p>
        </w:tc>
      </w:tr>
      <w:tr w:rsidR="00067907" w:rsidRPr="00C42101" w14:paraId="5A29E205" w14:textId="77777777" w:rsidTr="00067907">
        <w:trPr>
          <w:gridAfter w:val="1"/>
          <w:wAfter w:w="39" w:type="dxa"/>
          <w:trHeight w:val="283"/>
        </w:trPr>
        <w:tc>
          <w:tcPr>
            <w:tcW w:w="2324" w:type="dxa"/>
          </w:tcPr>
          <w:p w14:paraId="53B4194B" w14:textId="47D83873" w:rsidR="00067907" w:rsidRPr="0020742D" w:rsidRDefault="00067907" w:rsidP="00067907">
            <w:pPr>
              <w:spacing w:line="240" w:lineRule="auto"/>
              <w:contextualSpacing/>
              <w:jc w:val="center"/>
              <w:rPr>
                <w:rFonts w:cs="Calibri"/>
                <w:sz w:val="20"/>
                <w:highlight w:val="yellow"/>
              </w:rPr>
            </w:pPr>
            <w:r w:rsidRPr="002104EE">
              <w:t>2019, 2021</w:t>
            </w:r>
          </w:p>
        </w:tc>
        <w:tc>
          <w:tcPr>
            <w:tcW w:w="682" w:type="dxa"/>
          </w:tcPr>
          <w:p w14:paraId="3F3B4184" w14:textId="77777777" w:rsidR="00067907" w:rsidRPr="0020742D" w:rsidRDefault="00067907" w:rsidP="00067907">
            <w:pPr>
              <w:spacing w:line="240" w:lineRule="auto"/>
              <w:contextualSpacing/>
              <w:jc w:val="center"/>
              <w:rPr>
                <w:sz w:val="20"/>
                <w:highlight w:val="yellow"/>
              </w:rPr>
            </w:pPr>
          </w:p>
        </w:tc>
        <w:tc>
          <w:tcPr>
            <w:tcW w:w="1225" w:type="dxa"/>
          </w:tcPr>
          <w:p w14:paraId="5F4D34AD" w14:textId="51C29D77" w:rsidR="00067907" w:rsidRPr="0020742D" w:rsidRDefault="00067907" w:rsidP="00067907">
            <w:pPr>
              <w:spacing w:line="240" w:lineRule="auto"/>
              <w:contextualSpacing/>
              <w:jc w:val="center"/>
              <w:rPr>
                <w:highlight w:val="yellow"/>
              </w:rPr>
            </w:pPr>
            <w:r w:rsidRPr="007D56EB">
              <w:t>1.9780</w:t>
            </w:r>
          </w:p>
        </w:tc>
        <w:tc>
          <w:tcPr>
            <w:tcW w:w="2130" w:type="dxa"/>
            <w:gridSpan w:val="2"/>
          </w:tcPr>
          <w:p w14:paraId="2FEAB4E1" w14:textId="09A29126" w:rsidR="00067907" w:rsidRPr="0020742D" w:rsidRDefault="00067907" w:rsidP="00067907">
            <w:pPr>
              <w:spacing w:line="240" w:lineRule="auto"/>
              <w:contextualSpacing/>
              <w:jc w:val="center"/>
              <w:rPr>
                <w:b/>
                <w:bCs/>
                <w:highlight w:val="yellow"/>
              </w:rPr>
            </w:pPr>
            <w:r w:rsidRPr="007D56EB">
              <w:t>0.0615</w:t>
            </w:r>
          </w:p>
        </w:tc>
      </w:tr>
      <w:tr w:rsidR="00067907" w:rsidRPr="00C42101" w14:paraId="0D642AA9" w14:textId="77777777" w:rsidTr="00067907">
        <w:trPr>
          <w:gridAfter w:val="1"/>
          <w:wAfter w:w="39" w:type="dxa"/>
          <w:trHeight w:val="283"/>
        </w:trPr>
        <w:tc>
          <w:tcPr>
            <w:tcW w:w="2324" w:type="dxa"/>
          </w:tcPr>
          <w:p w14:paraId="7A204212" w14:textId="3C3B2FDE" w:rsidR="00067907" w:rsidRPr="0020742D" w:rsidRDefault="00067907" w:rsidP="00067907">
            <w:pPr>
              <w:spacing w:line="240" w:lineRule="auto"/>
              <w:contextualSpacing/>
              <w:jc w:val="center"/>
              <w:rPr>
                <w:rFonts w:cs="Calibri"/>
                <w:sz w:val="20"/>
                <w:highlight w:val="yellow"/>
              </w:rPr>
            </w:pPr>
            <w:r w:rsidRPr="002104EE">
              <w:t>2019, 2022</w:t>
            </w:r>
          </w:p>
        </w:tc>
        <w:tc>
          <w:tcPr>
            <w:tcW w:w="682" w:type="dxa"/>
          </w:tcPr>
          <w:p w14:paraId="4293A8D8" w14:textId="77777777" w:rsidR="00067907" w:rsidRPr="0020742D" w:rsidRDefault="00067907" w:rsidP="00067907">
            <w:pPr>
              <w:spacing w:line="240" w:lineRule="auto"/>
              <w:contextualSpacing/>
              <w:jc w:val="center"/>
              <w:rPr>
                <w:sz w:val="20"/>
                <w:highlight w:val="yellow"/>
              </w:rPr>
            </w:pPr>
          </w:p>
        </w:tc>
        <w:tc>
          <w:tcPr>
            <w:tcW w:w="1225" w:type="dxa"/>
          </w:tcPr>
          <w:p w14:paraId="35C14D7F" w14:textId="71B43778" w:rsidR="00067907" w:rsidRPr="0020742D" w:rsidRDefault="00067907" w:rsidP="00067907">
            <w:pPr>
              <w:spacing w:line="240" w:lineRule="auto"/>
              <w:contextualSpacing/>
              <w:jc w:val="center"/>
              <w:rPr>
                <w:highlight w:val="yellow"/>
              </w:rPr>
            </w:pPr>
            <w:r w:rsidRPr="007D56EB">
              <w:t>4.4741</w:t>
            </w:r>
          </w:p>
        </w:tc>
        <w:tc>
          <w:tcPr>
            <w:tcW w:w="2130" w:type="dxa"/>
            <w:gridSpan w:val="2"/>
          </w:tcPr>
          <w:p w14:paraId="53C6D19C" w14:textId="6B279D83" w:rsidR="00067907" w:rsidRPr="00067907" w:rsidRDefault="00067907" w:rsidP="00067907">
            <w:pPr>
              <w:spacing w:line="240" w:lineRule="auto"/>
              <w:contextualSpacing/>
              <w:jc w:val="center"/>
              <w:rPr>
                <w:b/>
                <w:bCs/>
                <w:highlight w:val="yellow"/>
              </w:rPr>
            </w:pPr>
            <w:r w:rsidRPr="00067907">
              <w:rPr>
                <w:b/>
                <w:bCs/>
              </w:rPr>
              <w:t>0.0023</w:t>
            </w:r>
          </w:p>
        </w:tc>
      </w:tr>
      <w:tr w:rsidR="00067907" w:rsidRPr="00C42101" w14:paraId="190A5688" w14:textId="77777777" w:rsidTr="00067907">
        <w:trPr>
          <w:gridAfter w:val="1"/>
          <w:wAfter w:w="39" w:type="dxa"/>
          <w:trHeight w:val="283"/>
        </w:trPr>
        <w:tc>
          <w:tcPr>
            <w:tcW w:w="2324" w:type="dxa"/>
          </w:tcPr>
          <w:p w14:paraId="73A6D508" w14:textId="5F152A60" w:rsidR="00067907" w:rsidRPr="0020742D" w:rsidRDefault="00067907" w:rsidP="00067907">
            <w:pPr>
              <w:spacing w:line="240" w:lineRule="auto"/>
              <w:contextualSpacing/>
              <w:jc w:val="center"/>
              <w:rPr>
                <w:rFonts w:cs="Calibri"/>
                <w:sz w:val="20"/>
                <w:highlight w:val="yellow"/>
              </w:rPr>
            </w:pPr>
            <w:r w:rsidRPr="002104EE">
              <w:t>2019, 2023</w:t>
            </w:r>
          </w:p>
        </w:tc>
        <w:tc>
          <w:tcPr>
            <w:tcW w:w="682" w:type="dxa"/>
          </w:tcPr>
          <w:p w14:paraId="62479AED" w14:textId="77777777" w:rsidR="00067907" w:rsidRPr="0020742D" w:rsidRDefault="00067907" w:rsidP="00067907">
            <w:pPr>
              <w:spacing w:line="240" w:lineRule="auto"/>
              <w:contextualSpacing/>
              <w:jc w:val="center"/>
              <w:rPr>
                <w:sz w:val="20"/>
                <w:highlight w:val="yellow"/>
              </w:rPr>
            </w:pPr>
          </w:p>
        </w:tc>
        <w:tc>
          <w:tcPr>
            <w:tcW w:w="1225" w:type="dxa"/>
          </w:tcPr>
          <w:p w14:paraId="700F5C39" w14:textId="4EBBC46D" w:rsidR="00067907" w:rsidRPr="0020742D" w:rsidRDefault="00067907" w:rsidP="00067907">
            <w:pPr>
              <w:spacing w:line="240" w:lineRule="auto"/>
              <w:contextualSpacing/>
              <w:jc w:val="center"/>
              <w:rPr>
                <w:highlight w:val="yellow"/>
              </w:rPr>
            </w:pPr>
            <w:r w:rsidRPr="007D56EB">
              <w:t>2.6199</w:t>
            </w:r>
          </w:p>
        </w:tc>
        <w:tc>
          <w:tcPr>
            <w:tcW w:w="2130" w:type="dxa"/>
            <w:gridSpan w:val="2"/>
          </w:tcPr>
          <w:p w14:paraId="1851E6A7" w14:textId="76A1B38E" w:rsidR="00067907" w:rsidRPr="00067907" w:rsidRDefault="00067907" w:rsidP="00067907">
            <w:pPr>
              <w:spacing w:line="240" w:lineRule="auto"/>
              <w:contextualSpacing/>
              <w:jc w:val="center"/>
              <w:rPr>
                <w:b/>
                <w:bCs/>
                <w:highlight w:val="yellow"/>
              </w:rPr>
            </w:pPr>
            <w:r w:rsidRPr="00067907">
              <w:rPr>
                <w:b/>
                <w:bCs/>
              </w:rPr>
              <w:t>0.0226</w:t>
            </w:r>
          </w:p>
        </w:tc>
      </w:tr>
      <w:tr w:rsidR="00067907" w:rsidRPr="00C42101" w14:paraId="57248749" w14:textId="77777777" w:rsidTr="00067907">
        <w:trPr>
          <w:gridAfter w:val="1"/>
          <w:wAfter w:w="39" w:type="dxa"/>
          <w:trHeight w:val="283"/>
        </w:trPr>
        <w:tc>
          <w:tcPr>
            <w:tcW w:w="2324" w:type="dxa"/>
          </w:tcPr>
          <w:p w14:paraId="0DF0D145" w14:textId="1F97617F" w:rsidR="00067907" w:rsidRPr="0020742D" w:rsidRDefault="00067907" w:rsidP="00067907">
            <w:pPr>
              <w:spacing w:line="240" w:lineRule="auto"/>
              <w:contextualSpacing/>
              <w:jc w:val="center"/>
              <w:rPr>
                <w:rFonts w:cs="Calibri"/>
                <w:sz w:val="20"/>
                <w:highlight w:val="yellow"/>
              </w:rPr>
            </w:pPr>
            <w:r w:rsidRPr="002104EE">
              <w:t>2019, 2024</w:t>
            </w:r>
          </w:p>
        </w:tc>
        <w:tc>
          <w:tcPr>
            <w:tcW w:w="682" w:type="dxa"/>
          </w:tcPr>
          <w:p w14:paraId="6A98F6CA" w14:textId="77777777" w:rsidR="00067907" w:rsidRPr="0020742D" w:rsidRDefault="00067907" w:rsidP="00067907">
            <w:pPr>
              <w:spacing w:line="240" w:lineRule="auto"/>
              <w:contextualSpacing/>
              <w:jc w:val="center"/>
              <w:rPr>
                <w:sz w:val="20"/>
                <w:highlight w:val="yellow"/>
              </w:rPr>
            </w:pPr>
          </w:p>
        </w:tc>
        <w:tc>
          <w:tcPr>
            <w:tcW w:w="1225" w:type="dxa"/>
          </w:tcPr>
          <w:p w14:paraId="0940A277" w14:textId="1F345958" w:rsidR="00067907" w:rsidRPr="0020742D" w:rsidRDefault="00067907" w:rsidP="00067907">
            <w:pPr>
              <w:spacing w:line="240" w:lineRule="auto"/>
              <w:contextualSpacing/>
              <w:jc w:val="center"/>
              <w:rPr>
                <w:highlight w:val="yellow"/>
              </w:rPr>
            </w:pPr>
            <w:r w:rsidRPr="007D56EB">
              <w:t>2.9516</w:t>
            </w:r>
          </w:p>
        </w:tc>
        <w:tc>
          <w:tcPr>
            <w:tcW w:w="2130" w:type="dxa"/>
            <w:gridSpan w:val="2"/>
          </w:tcPr>
          <w:p w14:paraId="0FA5651B" w14:textId="5922D248" w:rsidR="00067907" w:rsidRPr="00067907" w:rsidRDefault="00067907" w:rsidP="00067907">
            <w:pPr>
              <w:spacing w:line="240" w:lineRule="auto"/>
              <w:contextualSpacing/>
              <w:jc w:val="center"/>
              <w:rPr>
                <w:b/>
                <w:bCs/>
                <w:highlight w:val="yellow"/>
              </w:rPr>
            </w:pPr>
            <w:r w:rsidRPr="00067907">
              <w:rPr>
                <w:b/>
                <w:bCs/>
              </w:rPr>
              <w:t>0.0106</w:t>
            </w:r>
          </w:p>
        </w:tc>
      </w:tr>
      <w:tr w:rsidR="00067907" w:rsidRPr="00C42101" w14:paraId="5CE61849" w14:textId="77777777" w:rsidTr="00067907">
        <w:trPr>
          <w:gridAfter w:val="1"/>
          <w:wAfter w:w="39" w:type="dxa"/>
          <w:trHeight w:val="283"/>
        </w:trPr>
        <w:tc>
          <w:tcPr>
            <w:tcW w:w="2324" w:type="dxa"/>
          </w:tcPr>
          <w:p w14:paraId="60FDF918" w14:textId="1C0AA385" w:rsidR="00067907" w:rsidRPr="0020742D" w:rsidRDefault="00067907" w:rsidP="00067907">
            <w:pPr>
              <w:spacing w:line="240" w:lineRule="auto"/>
              <w:contextualSpacing/>
              <w:jc w:val="center"/>
              <w:rPr>
                <w:rFonts w:cs="Calibri"/>
                <w:sz w:val="20"/>
                <w:highlight w:val="yellow"/>
              </w:rPr>
            </w:pPr>
            <w:r w:rsidRPr="002104EE">
              <w:t>2020, 2021</w:t>
            </w:r>
          </w:p>
        </w:tc>
        <w:tc>
          <w:tcPr>
            <w:tcW w:w="682" w:type="dxa"/>
          </w:tcPr>
          <w:p w14:paraId="0A4A0AA1" w14:textId="77777777" w:rsidR="00067907" w:rsidRPr="0020742D" w:rsidRDefault="00067907" w:rsidP="00067907">
            <w:pPr>
              <w:spacing w:line="240" w:lineRule="auto"/>
              <w:contextualSpacing/>
              <w:jc w:val="center"/>
              <w:rPr>
                <w:sz w:val="20"/>
                <w:highlight w:val="yellow"/>
              </w:rPr>
            </w:pPr>
          </w:p>
        </w:tc>
        <w:tc>
          <w:tcPr>
            <w:tcW w:w="1225" w:type="dxa"/>
          </w:tcPr>
          <w:p w14:paraId="55866E18" w14:textId="566469E6" w:rsidR="00067907" w:rsidRPr="0020742D" w:rsidRDefault="00067907" w:rsidP="00067907">
            <w:pPr>
              <w:spacing w:line="240" w:lineRule="auto"/>
              <w:contextualSpacing/>
              <w:jc w:val="center"/>
              <w:rPr>
                <w:highlight w:val="yellow"/>
              </w:rPr>
            </w:pPr>
            <w:r w:rsidRPr="007D56EB">
              <w:t>1.8172</w:t>
            </w:r>
          </w:p>
        </w:tc>
        <w:tc>
          <w:tcPr>
            <w:tcW w:w="2130" w:type="dxa"/>
            <w:gridSpan w:val="2"/>
          </w:tcPr>
          <w:p w14:paraId="213A83FC" w14:textId="51CFCE48" w:rsidR="00067907" w:rsidRPr="0020742D" w:rsidRDefault="00067907" w:rsidP="00067907">
            <w:pPr>
              <w:spacing w:line="240" w:lineRule="auto"/>
              <w:contextualSpacing/>
              <w:jc w:val="center"/>
              <w:rPr>
                <w:highlight w:val="yellow"/>
              </w:rPr>
            </w:pPr>
            <w:r w:rsidRPr="007D56EB">
              <w:t>0.0787</w:t>
            </w:r>
          </w:p>
        </w:tc>
      </w:tr>
      <w:tr w:rsidR="00067907" w:rsidRPr="00C42101" w14:paraId="259511EE" w14:textId="77777777" w:rsidTr="00067907">
        <w:trPr>
          <w:gridAfter w:val="1"/>
          <w:wAfter w:w="39" w:type="dxa"/>
          <w:trHeight w:val="283"/>
        </w:trPr>
        <w:tc>
          <w:tcPr>
            <w:tcW w:w="2324" w:type="dxa"/>
          </w:tcPr>
          <w:p w14:paraId="180FFC9A" w14:textId="5F2FD9FD" w:rsidR="00067907" w:rsidRPr="0020742D" w:rsidRDefault="00067907" w:rsidP="00067907">
            <w:pPr>
              <w:spacing w:line="240" w:lineRule="auto"/>
              <w:contextualSpacing/>
              <w:jc w:val="center"/>
              <w:rPr>
                <w:rFonts w:cs="Calibri"/>
                <w:sz w:val="20"/>
                <w:highlight w:val="yellow"/>
              </w:rPr>
            </w:pPr>
            <w:r w:rsidRPr="002104EE">
              <w:t>2020, 2022</w:t>
            </w:r>
          </w:p>
        </w:tc>
        <w:tc>
          <w:tcPr>
            <w:tcW w:w="682" w:type="dxa"/>
          </w:tcPr>
          <w:p w14:paraId="385A554C" w14:textId="77777777" w:rsidR="00067907" w:rsidRPr="0020742D" w:rsidRDefault="00067907" w:rsidP="00067907">
            <w:pPr>
              <w:spacing w:line="240" w:lineRule="auto"/>
              <w:contextualSpacing/>
              <w:jc w:val="center"/>
              <w:rPr>
                <w:sz w:val="20"/>
                <w:highlight w:val="yellow"/>
              </w:rPr>
            </w:pPr>
          </w:p>
        </w:tc>
        <w:tc>
          <w:tcPr>
            <w:tcW w:w="1225" w:type="dxa"/>
          </w:tcPr>
          <w:p w14:paraId="7C8704AB" w14:textId="2C297AAC" w:rsidR="00067907" w:rsidRPr="0020742D" w:rsidRDefault="00067907" w:rsidP="00067907">
            <w:pPr>
              <w:spacing w:line="240" w:lineRule="auto"/>
              <w:contextualSpacing/>
              <w:jc w:val="center"/>
              <w:rPr>
                <w:highlight w:val="yellow"/>
              </w:rPr>
            </w:pPr>
            <w:r w:rsidRPr="007D56EB">
              <w:t>3.4707</w:t>
            </w:r>
          </w:p>
        </w:tc>
        <w:tc>
          <w:tcPr>
            <w:tcW w:w="2130" w:type="dxa"/>
            <w:gridSpan w:val="2"/>
          </w:tcPr>
          <w:p w14:paraId="62CB1FEF" w14:textId="4E53DC25" w:rsidR="00067907" w:rsidRPr="00067907" w:rsidRDefault="00067907" w:rsidP="00067907">
            <w:pPr>
              <w:spacing w:line="240" w:lineRule="auto"/>
              <w:contextualSpacing/>
              <w:jc w:val="center"/>
              <w:rPr>
                <w:b/>
                <w:bCs/>
                <w:highlight w:val="yellow"/>
              </w:rPr>
            </w:pPr>
            <w:r w:rsidRPr="00067907">
              <w:rPr>
                <w:b/>
                <w:bCs/>
              </w:rPr>
              <w:t>0.0060</w:t>
            </w:r>
          </w:p>
        </w:tc>
      </w:tr>
      <w:tr w:rsidR="00067907" w:rsidRPr="00C42101" w14:paraId="41C18394" w14:textId="77777777" w:rsidTr="00067907">
        <w:trPr>
          <w:gridAfter w:val="1"/>
          <w:wAfter w:w="39" w:type="dxa"/>
          <w:trHeight w:val="283"/>
        </w:trPr>
        <w:tc>
          <w:tcPr>
            <w:tcW w:w="2324" w:type="dxa"/>
          </w:tcPr>
          <w:p w14:paraId="13E762D0" w14:textId="49CAB359" w:rsidR="00067907" w:rsidRPr="0020742D" w:rsidRDefault="00067907" w:rsidP="00067907">
            <w:pPr>
              <w:spacing w:line="240" w:lineRule="auto"/>
              <w:contextualSpacing/>
              <w:jc w:val="center"/>
              <w:rPr>
                <w:rFonts w:cs="Calibri"/>
                <w:sz w:val="20"/>
                <w:highlight w:val="yellow"/>
              </w:rPr>
            </w:pPr>
            <w:r w:rsidRPr="002104EE">
              <w:t>2020, 2023</w:t>
            </w:r>
          </w:p>
        </w:tc>
        <w:tc>
          <w:tcPr>
            <w:tcW w:w="682" w:type="dxa"/>
          </w:tcPr>
          <w:p w14:paraId="2EC688D9" w14:textId="77777777" w:rsidR="00067907" w:rsidRPr="0020742D" w:rsidRDefault="00067907" w:rsidP="00067907">
            <w:pPr>
              <w:spacing w:line="240" w:lineRule="auto"/>
              <w:contextualSpacing/>
              <w:jc w:val="center"/>
              <w:rPr>
                <w:sz w:val="20"/>
                <w:highlight w:val="yellow"/>
              </w:rPr>
            </w:pPr>
          </w:p>
        </w:tc>
        <w:tc>
          <w:tcPr>
            <w:tcW w:w="1225" w:type="dxa"/>
          </w:tcPr>
          <w:p w14:paraId="117CCB05" w14:textId="0231521C" w:rsidR="00067907" w:rsidRPr="0020742D" w:rsidRDefault="00067907" w:rsidP="00067907">
            <w:pPr>
              <w:spacing w:line="240" w:lineRule="auto"/>
              <w:contextualSpacing/>
              <w:jc w:val="center"/>
              <w:rPr>
                <w:highlight w:val="yellow"/>
              </w:rPr>
            </w:pPr>
            <w:r w:rsidRPr="007D56EB">
              <w:t>2.3214</w:t>
            </w:r>
          </w:p>
        </w:tc>
        <w:tc>
          <w:tcPr>
            <w:tcW w:w="2130" w:type="dxa"/>
            <w:gridSpan w:val="2"/>
          </w:tcPr>
          <w:p w14:paraId="7B853EA7" w14:textId="3927A768" w:rsidR="00067907" w:rsidRPr="00067907" w:rsidRDefault="00067907" w:rsidP="00067907">
            <w:pPr>
              <w:spacing w:line="240" w:lineRule="auto"/>
              <w:contextualSpacing/>
              <w:jc w:val="center"/>
              <w:rPr>
                <w:b/>
                <w:bCs/>
                <w:highlight w:val="yellow"/>
              </w:rPr>
            </w:pPr>
            <w:r w:rsidRPr="00067907">
              <w:rPr>
                <w:b/>
                <w:bCs/>
              </w:rPr>
              <w:t>0.0351</w:t>
            </w:r>
          </w:p>
        </w:tc>
      </w:tr>
      <w:tr w:rsidR="00067907" w:rsidRPr="00C42101" w14:paraId="24D60370" w14:textId="77777777" w:rsidTr="00067907">
        <w:trPr>
          <w:gridAfter w:val="1"/>
          <w:wAfter w:w="39" w:type="dxa"/>
          <w:trHeight w:val="283"/>
        </w:trPr>
        <w:tc>
          <w:tcPr>
            <w:tcW w:w="2324" w:type="dxa"/>
          </w:tcPr>
          <w:p w14:paraId="45E83F11" w14:textId="004F4184" w:rsidR="00067907" w:rsidRPr="0020742D" w:rsidRDefault="00067907" w:rsidP="00067907">
            <w:pPr>
              <w:spacing w:line="240" w:lineRule="auto"/>
              <w:contextualSpacing/>
              <w:jc w:val="center"/>
              <w:rPr>
                <w:rFonts w:cs="Calibri"/>
                <w:sz w:val="20"/>
                <w:highlight w:val="yellow"/>
              </w:rPr>
            </w:pPr>
            <w:r w:rsidRPr="002104EE">
              <w:t>2020, 2024</w:t>
            </w:r>
          </w:p>
        </w:tc>
        <w:tc>
          <w:tcPr>
            <w:tcW w:w="682" w:type="dxa"/>
          </w:tcPr>
          <w:p w14:paraId="79C836A8" w14:textId="77777777" w:rsidR="00067907" w:rsidRPr="0020742D" w:rsidRDefault="00067907" w:rsidP="00067907">
            <w:pPr>
              <w:spacing w:line="240" w:lineRule="auto"/>
              <w:contextualSpacing/>
              <w:jc w:val="center"/>
              <w:rPr>
                <w:sz w:val="20"/>
                <w:highlight w:val="yellow"/>
              </w:rPr>
            </w:pPr>
          </w:p>
        </w:tc>
        <w:tc>
          <w:tcPr>
            <w:tcW w:w="1225" w:type="dxa"/>
          </w:tcPr>
          <w:p w14:paraId="10E5C6D1" w14:textId="414E1334" w:rsidR="00067907" w:rsidRPr="0020742D" w:rsidRDefault="00067907" w:rsidP="00067907">
            <w:pPr>
              <w:spacing w:line="240" w:lineRule="auto"/>
              <w:contextualSpacing/>
              <w:jc w:val="center"/>
              <w:rPr>
                <w:highlight w:val="yellow"/>
              </w:rPr>
            </w:pPr>
            <w:r w:rsidRPr="007D56EB">
              <w:t>2.5314</w:t>
            </w:r>
          </w:p>
        </w:tc>
        <w:tc>
          <w:tcPr>
            <w:tcW w:w="2130" w:type="dxa"/>
            <w:gridSpan w:val="2"/>
          </w:tcPr>
          <w:p w14:paraId="5A08F619" w14:textId="6B439B3D" w:rsidR="00067907" w:rsidRPr="00067907" w:rsidRDefault="00067907" w:rsidP="00067907">
            <w:pPr>
              <w:spacing w:line="240" w:lineRule="auto"/>
              <w:contextualSpacing/>
              <w:jc w:val="center"/>
              <w:rPr>
                <w:b/>
                <w:bCs/>
                <w:highlight w:val="yellow"/>
              </w:rPr>
            </w:pPr>
            <w:r w:rsidRPr="00067907">
              <w:rPr>
                <w:b/>
                <w:bCs/>
              </w:rPr>
              <w:t>0.0216</w:t>
            </w:r>
          </w:p>
        </w:tc>
      </w:tr>
      <w:tr w:rsidR="00067907" w:rsidRPr="00C42101" w14:paraId="04D6F4E8" w14:textId="77777777" w:rsidTr="00067907">
        <w:trPr>
          <w:gridAfter w:val="1"/>
          <w:wAfter w:w="39" w:type="dxa"/>
          <w:trHeight w:val="283"/>
        </w:trPr>
        <w:tc>
          <w:tcPr>
            <w:tcW w:w="2324" w:type="dxa"/>
          </w:tcPr>
          <w:p w14:paraId="1BA7521C" w14:textId="7B9112CE" w:rsidR="00067907" w:rsidRPr="0020742D" w:rsidRDefault="00067907" w:rsidP="00067907">
            <w:pPr>
              <w:spacing w:line="240" w:lineRule="auto"/>
              <w:contextualSpacing/>
              <w:jc w:val="center"/>
              <w:rPr>
                <w:rFonts w:cs="Calibri"/>
                <w:sz w:val="20"/>
                <w:highlight w:val="yellow"/>
              </w:rPr>
            </w:pPr>
            <w:r w:rsidRPr="002104EE">
              <w:t>2021, 2022</w:t>
            </w:r>
          </w:p>
        </w:tc>
        <w:tc>
          <w:tcPr>
            <w:tcW w:w="682" w:type="dxa"/>
          </w:tcPr>
          <w:p w14:paraId="7D05BF9B" w14:textId="77777777" w:rsidR="00067907" w:rsidRPr="0020742D" w:rsidRDefault="00067907" w:rsidP="00067907">
            <w:pPr>
              <w:spacing w:line="240" w:lineRule="auto"/>
              <w:contextualSpacing/>
              <w:jc w:val="center"/>
              <w:rPr>
                <w:sz w:val="20"/>
                <w:highlight w:val="yellow"/>
              </w:rPr>
            </w:pPr>
          </w:p>
        </w:tc>
        <w:tc>
          <w:tcPr>
            <w:tcW w:w="1225" w:type="dxa"/>
          </w:tcPr>
          <w:p w14:paraId="6094896E" w14:textId="1BA75BD6" w:rsidR="00067907" w:rsidRPr="0020742D" w:rsidRDefault="00067907" w:rsidP="00067907">
            <w:pPr>
              <w:spacing w:line="240" w:lineRule="auto"/>
              <w:contextualSpacing/>
              <w:jc w:val="center"/>
              <w:rPr>
                <w:highlight w:val="yellow"/>
              </w:rPr>
            </w:pPr>
            <w:r w:rsidRPr="007D56EB">
              <w:t>2.0580</w:t>
            </w:r>
          </w:p>
        </w:tc>
        <w:tc>
          <w:tcPr>
            <w:tcW w:w="2130" w:type="dxa"/>
            <w:gridSpan w:val="2"/>
          </w:tcPr>
          <w:p w14:paraId="3D691EFF" w14:textId="7E7AF123" w:rsidR="00067907" w:rsidRPr="0020742D" w:rsidRDefault="00067907" w:rsidP="00067907">
            <w:pPr>
              <w:spacing w:line="240" w:lineRule="auto"/>
              <w:contextualSpacing/>
              <w:jc w:val="center"/>
              <w:rPr>
                <w:highlight w:val="yellow"/>
              </w:rPr>
            </w:pPr>
            <w:r w:rsidRPr="007D56EB">
              <w:t>0.1349</w:t>
            </w:r>
          </w:p>
        </w:tc>
      </w:tr>
      <w:tr w:rsidR="00067907" w:rsidRPr="00C42101" w14:paraId="1A7E3B6D" w14:textId="77777777" w:rsidTr="00067907">
        <w:trPr>
          <w:gridAfter w:val="1"/>
          <w:wAfter w:w="39" w:type="dxa"/>
          <w:trHeight w:val="283"/>
        </w:trPr>
        <w:tc>
          <w:tcPr>
            <w:tcW w:w="2324" w:type="dxa"/>
          </w:tcPr>
          <w:p w14:paraId="58A2EDCB" w14:textId="078B6F56" w:rsidR="00067907" w:rsidRPr="0020742D" w:rsidRDefault="00067907" w:rsidP="00067907">
            <w:pPr>
              <w:spacing w:line="240" w:lineRule="auto"/>
              <w:contextualSpacing/>
              <w:jc w:val="center"/>
              <w:rPr>
                <w:rFonts w:cs="Calibri"/>
                <w:sz w:val="20"/>
                <w:highlight w:val="yellow"/>
              </w:rPr>
            </w:pPr>
            <w:r w:rsidRPr="002104EE">
              <w:t>2021, 2023</w:t>
            </w:r>
          </w:p>
        </w:tc>
        <w:tc>
          <w:tcPr>
            <w:tcW w:w="682" w:type="dxa"/>
          </w:tcPr>
          <w:p w14:paraId="7D8972F6" w14:textId="77777777" w:rsidR="00067907" w:rsidRPr="0020742D" w:rsidRDefault="00067907" w:rsidP="00067907">
            <w:pPr>
              <w:spacing w:line="240" w:lineRule="auto"/>
              <w:contextualSpacing/>
              <w:jc w:val="center"/>
              <w:rPr>
                <w:sz w:val="20"/>
                <w:highlight w:val="yellow"/>
              </w:rPr>
            </w:pPr>
          </w:p>
        </w:tc>
        <w:tc>
          <w:tcPr>
            <w:tcW w:w="1225" w:type="dxa"/>
          </w:tcPr>
          <w:p w14:paraId="1D0C4EFD" w14:textId="4D81C818" w:rsidR="00067907" w:rsidRPr="0020742D" w:rsidRDefault="00067907" w:rsidP="00067907">
            <w:pPr>
              <w:spacing w:line="240" w:lineRule="auto"/>
              <w:contextualSpacing/>
              <w:jc w:val="center"/>
              <w:rPr>
                <w:highlight w:val="yellow"/>
              </w:rPr>
            </w:pPr>
            <w:r w:rsidRPr="007D56EB">
              <w:t>0.6755</w:t>
            </w:r>
          </w:p>
        </w:tc>
        <w:tc>
          <w:tcPr>
            <w:tcW w:w="2130" w:type="dxa"/>
            <w:gridSpan w:val="2"/>
          </w:tcPr>
          <w:p w14:paraId="7C3F110E" w14:textId="06E62EA4" w:rsidR="00067907" w:rsidRPr="0020742D" w:rsidRDefault="00067907" w:rsidP="00067907">
            <w:pPr>
              <w:spacing w:line="240" w:lineRule="auto"/>
              <w:contextualSpacing/>
              <w:jc w:val="center"/>
              <w:rPr>
                <w:highlight w:val="yellow"/>
              </w:rPr>
            </w:pPr>
            <w:r w:rsidRPr="007D56EB">
              <w:t>0.6505</w:t>
            </w:r>
          </w:p>
        </w:tc>
      </w:tr>
      <w:tr w:rsidR="00067907" w:rsidRPr="00C42101" w14:paraId="39A01A02" w14:textId="77777777" w:rsidTr="00067907">
        <w:trPr>
          <w:gridAfter w:val="1"/>
          <w:wAfter w:w="39" w:type="dxa"/>
          <w:trHeight w:val="283"/>
        </w:trPr>
        <w:tc>
          <w:tcPr>
            <w:tcW w:w="2324" w:type="dxa"/>
          </w:tcPr>
          <w:p w14:paraId="5096FDE4" w14:textId="0B3AF9E8" w:rsidR="00067907" w:rsidRPr="0020742D" w:rsidRDefault="00067907" w:rsidP="00067907">
            <w:pPr>
              <w:spacing w:line="240" w:lineRule="auto"/>
              <w:contextualSpacing/>
              <w:jc w:val="center"/>
              <w:rPr>
                <w:rFonts w:cs="Calibri"/>
                <w:sz w:val="20"/>
                <w:highlight w:val="yellow"/>
              </w:rPr>
            </w:pPr>
            <w:r w:rsidRPr="002104EE">
              <w:t>2021, 2024</w:t>
            </w:r>
          </w:p>
        </w:tc>
        <w:tc>
          <w:tcPr>
            <w:tcW w:w="682" w:type="dxa"/>
          </w:tcPr>
          <w:p w14:paraId="4B96E294" w14:textId="77777777" w:rsidR="00067907" w:rsidRPr="0020742D" w:rsidRDefault="00067907" w:rsidP="00067907">
            <w:pPr>
              <w:spacing w:line="240" w:lineRule="auto"/>
              <w:contextualSpacing/>
              <w:jc w:val="center"/>
              <w:rPr>
                <w:sz w:val="20"/>
                <w:highlight w:val="yellow"/>
              </w:rPr>
            </w:pPr>
          </w:p>
        </w:tc>
        <w:tc>
          <w:tcPr>
            <w:tcW w:w="1225" w:type="dxa"/>
          </w:tcPr>
          <w:p w14:paraId="767F1DEE" w14:textId="47980EF6" w:rsidR="00067907" w:rsidRPr="0020742D" w:rsidRDefault="00067907" w:rsidP="00067907">
            <w:pPr>
              <w:spacing w:line="240" w:lineRule="auto"/>
              <w:contextualSpacing/>
              <w:jc w:val="center"/>
              <w:rPr>
                <w:highlight w:val="yellow"/>
              </w:rPr>
            </w:pPr>
            <w:r w:rsidRPr="007D56EB">
              <w:t>0.8847</w:t>
            </w:r>
          </w:p>
        </w:tc>
        <w:tc>
          <w:tcPr>
            <w:tcW w:w="2130" w:type="dxa"/>
            <w:gridSpan w:val="2"/>
          </w:tcPr>
          <w:p w14:paraId="05AC2F52" w14:textId="2F82D4DA" w:rsidR="00067907" w:rsidRPr="0020742D" w:rsidRDefault="00067907" w:rsidP="00067907">
            <w:pPr>
              <w:spacing w:line="240" w:lineRule="auto"/>
              <w:contextualSpacing/>
              <w:jc w:val="center"/>
              <w:rPr>
                <w:highlight w:val="yellow"/>
              </w:rPr>
            </w:pPr>
            <w:r w:rsidRPr="007D56EB">
              <w:t>0.6476</w:t>
            </w:r>
          </w:p>
        </w:tc>
      </w:tr>
      <w:tr w:rsidR="00067907" w:rsidRPr="00C42101" w14:paraId="252BDACE" w14:textId="77777777" w:rsidTr="00067907">
        <w:trPr>
          <w:gridAfter w:val="1"/>
          <w:wAfter w:w="39" w:type="dxa"/>
          <w:trHeight w:val="283"/>
        </w:trPr>
        <w:tc>
          <w:tcPr>
            <w:tcW w:w="2324" w:type="dxa"/>
          </w:tcPr>
          <w:p w14:paraId="51675D9D" w14:textId="7091ED94" w:rsidR="00067907" w:rsidRPr="0020742D" w:rsidRDefault="00067907" w:rsidP="00067907">
            <w:pPr>
              <w:spacing w:line="240" w:lineRule="auto"/>
              <w:contextualSpacing/>
              <w:jc w:val="center"/>
              <w:rPr>
                <w:rFonts w:cs="Calibri"/>
                <w:sz w:val="20"/>
                <w:highlight w:val="yellow"/>
              </w:rPr>
            </w:pPr>
            <w:r w:rsidRPr="002104EE">
              <w:t>2022, 2023</w:t>
            </w:r>
          </w:p>
        </w:tc>
        <w:tc>
          <w:tcPr>
            <w:tcW w:w="682" w:type="dxa"/>
          </w:tcPr>
          <w:p w14:paraId="057F2322" w14:textId="77777777" w:rsidR="00067907" w:rsidRPr="0020742D" w:rsidRDefault="00067907" w:rsidP="00067907">
            <w:pPr>
              <w:spacing w:line="240" w:lineRule="auto"/>
              <w:contextualSpacing/>
              <w:jc w:val="center"/>
              <w:rPr>
                <w:sz w:val="20"/>
                <w:highlight w:val="yellow"/>
              </w:rPr>
            </w:pPr>
          </w:p>
        </w:tc>
        <w:tc>
          <w:tcPr>
            <w:tcW w:w="1225" w:type="dxa"/>
          </w:tcPr>
          <w:p w14:paraId="797393AF" w14:textId="492C6EBC" w:rsidR="00067907" w:rsidRPr="0020742D" w:rsidRDefault="00067907" w:rsidP="00067907">
            <w:pPr>
              <w:spacing w:line="240" w:lineRule="auto"/>
              <w:contextualSpacing/>
              <w:jc w:val="center"/>
              <w:rPr>
                <w:highlight w:val="yellow"/>
              </w:rPr>
            </w:pPr>
            <w:r w:rsidRPr="007D56EB">
              <w:t>1.1914</w:t>
            </w:r>
          </w:p>
        </w:tc>
        <w:tc>
          <w:tcPr>
            <w:tcW w:w="2130" w:type="dxa"/>
            <w:gridSpan w:val="2"/>
          </w:tcPr>
          <w:p w14:paraId="61F59396" w14:textId="48A0FD56" w:rsidR="00067907" w:rsidRPr="0020742D" w:rsidRDefault="00067907" w:rsidP="00067907">
            <w:pPr>
              <w:spacing w:line="240" w:lineRule="auto"/>
              <w:contextualSpacing/>
              <w:jc w:val="center"/>
              <w:rPr>
                <w:highlight w:val="yellow"/>
              </w:rPr>
            </w:pPr>
            <w:r w:rsidRPr="007D56EB">
              <w:t>0.3387</w:t>
            </w:r>
          </w:p>
        </w:tc>
      </w:tr>
      <w:tr w:rsidR="00067907" w:rsidRPr="00C42101" w14:paraId="18C3E658" w14:textId="77777777" w:rsidTr="00067907">
        <w:trPr>
          <w:gridAfter w:val="1"/>
          <w:wAfter w:w="39" w:type="dxa"/>
          <w:trHeight w:val="283"/>
        </w:trPr>
        <w:tc>
          <w:tcPr>
            <w:tcW w:w="2324" w:type="dxa"/>
          </w:tcPr>
          <w:p w14:paraId="2F37E986" w14:textId="29543EBA" w:rsidR="00067907" w:rsidRPr="0020742D" w:rsidRDefault="00067907" w:rsidP="00067907">
            <w:pPr>
              <w:spacing w:line="240" w:lineRule="auto"/>
              <w:contextualSpacing/>
              <w:jc w:val="center"/>
              <w:rPr>
                <w:rFonts w:cs="Calibri"/>
                <w:sz w:val="20"/>
                <w:highlight w:val="yellow"/>
              </w:rPr>
            </w:pPr>
            <w:r w:rsidRPr="002104EE">
              <w:t>2022, 2024</w:t>
            </w:r>
          </w:p>
        </w:tc>
        <w:tc>
          <w:tcPr>
            <w:tcW w:w="682" w:type="dxa"/>
          </w:tcPr>
          <w:p w14:paraId="0F067C4B" w14:textId="77777777" w:rsidR="00067907" w:rsidRPr="0020742D" w:rsidRDefault="00067907" w:rsidP="00067907">
            <w:pPr>
              <w:spacing w:line="240" w:lineRule="auto"/>
              <w:contextualSpacing/>
              <w:jc w:val="center"/>
              <w:rPr>
                <w:sz w:val="20"/>
                <w:highlight w:val="yellow"/>
              </w:rPr>
            </w:pPr>
          </w:p>
        </w:tc>
        <w:tc>
          <w:tcPr>
            <w:tcW w:w="1225" w:type="dxa"/>
          </w:tcPr>
          <w:p w14:paraId="06DB0F15" w14:textId="63239A51" w:rsidR="00067907" w:rsidRPr="0020742D" w:rsidRDefault="00067907" w:rsidP="00067907">
            <w:pPr>
              <w:spacing w:line="240" w:lineRule="auto"/>
              <w:contextualSpacing/>
              <w:jc w:val="center"/>
              <w:rPr>
                <w:highlight w:val="yellow"/>
              </w:rPr>
            </w:pPr>
            <w:r w:rsidRPr="007D56EB">
              <w:t>1.0954</w:t>
            </w:r>
          </w:p>
        </w:tc>
        <w:tc>
          <w:tcPr>
            <w:tcW w:w="2130" w:type="dxa"/>
            <w:gridSpan w:val="2"/>
          </w:tcPr>
          <w:p w14:paraId="1CDE5732" w14:textId="67E3F99A" w:rsidR="00067907" w:rsidRPr="0020742D" w:rsidRDefault="00067907" w:rsidP="00067907">
            <w:pPr>
              <w:spacing w:line="240" w:lineRule="auto"/>
              <w:contextualSpacing/>
              <w:jc w:val="center"/>
              <w:rPr>
                <w:highlight w:val="yellow"/>
              </w:rPr>
            </w:pPr>
            <w:r w:rsidRPr="007D56EB">
              <w:t>0.5798</w:t>
            </w:r>
          </w:p>
        </w:tc>
      </w:tr>
      <w:tr w:rsidR="00067907" w:rsidRPr="00C42101" w14:paraId="13DFA845" w14:textId="77777777" w:rsidTr="00067907">
        <w:trPr>
          <w:gridAfter w:val="1"/>
          <w:wAfter w:w="39" w:type="dxa"/>
          <w:trHeight w:val="283"/>
        </w:trPr>
        <w:tc>
          <w:tcPr>
            <w:tcW w:w="2324" w:type="dxa"/>
            <w:tcBorders>
              <w:bottom w:val="single" w:sz="4" w:space="0" w:color="auto"/>
            </w:tcBorders>
          </w:tcPr>
          <w:p w14:paraId="272B868B" w14:textId="1FF73812" w:rsidR="00067907" w:rsidRPr="0020742D" w:rsidRDefault="00067907" w:rsidP="00067907">
            <w:pPr>
              <w:spacing w:line="240" w:lineRule="auto"/>
              <w:contextualSpacing/>
              <w:jc w:val="center"/>
              <w:rPr>
                <w:rFonts w:cs="Calibri"/>
                <w:sz w:val="20"/>
                <w:highlight w:val="yellow"/>
              </w:rPr>
            </w:pPr>
            <w:r w:rsidRPr="002104EE">
              <w:t>2023, 2024</w:t>
            </w:r>
          </w:p>
        </w:tc>
        <w:tc>
          <w:tcPr>
            <w:tcW w:w="682" w:type="dxa"/>
            <w:tcBorders>
              <w:bottom w:val="single" w:sz="4" w:space="0" w:color="auto"/>
            </w:tcBorders>
          </w:tcPr>
          <w:p w14:paraId="4BD55BF6" w14:textId="77777777" w:rsidR="00067907" w:rsidRPr="0020742D" w:rsidRDefault="00067907" w:rsidP="00067907">
            <w:pPr>
              <w:spacing w:line="240" w:lineRule="auto"/>
              <w:contextualSpacing/>
              <w:jc w:val="center"/>
              <w:rPr>
                <w:sz w:val="20"/>
                <w:highlight w:val="yellow"/>
              </w:rPr>
            </w:pPr>
          </w:p>
        </w:tc>
        <w:tc>
          <w:tcPr>
            <w:tcW w:w="1225" w:type="dxa"/>
            <w:tcBorders>
              <w:bottom w:val="single" w:sz="4" w:space="0" w:color="auto"/>
            </w:tcBorders>
          </w:tcPr>
          <w:p w14:paraId="5335C18F" w14:textId="2FEB8388" w:rsidR="00067907" w:rsidRPr="0020742D" w:rsidRDefault="00067907" w:rsidP="00067907">
            <w:pPr>
              <w:spacing w:line="240" w:lineRule="auto"/>
              <w:contextualSpacing/>
              <w:jc w:val="center"/>
              <w:rPr>
                <w:highlight w:val="yellow"/>
              </w:rPr>
            </w:pPr>
            <w:r w:rsidRPr="007D56EB">
              <w:t>0.1641</w:t>
            </w:r>
          </w:p>
        </w:tc>
        <w:tc>
          <w:tcPr>
            <w:tcW w:w="2130" w:type="dxa"/>
            <w:gridSpan w:val="2"/>
            <w:tcBorders>
              <w:bottom w:val="single" w:sz="4" w:space="0" w:color="auto"/>
            </w:tcBorders>
          </w:tcPr>
          <w:p w14:paraId="504F78F1" w14:textId="7921B22C" w:rsidR="00067907" w:rsidRPr="0020742D" w:rsidRDefault="00067907" w:rsidP="00067907">
            <w:pPr>
              <w:spacing w:line="240" w:lineRule="auto"/>
              <w:contextualSpacing/>
              <w:jc w:val="center"/>
              <w:rPr>
                <w:highlight w:val="yellow"/>
              </w:rPr>
            </w:pPr>
            <w:r w:rsidRPr="007D56EB">
              <w:t>0.7743</w:t>
            </w:r>
          </w:p>
        </w:tc>
      </w:tr>
    </w:tbl>
    <w:p w14:paraId="06A4E16D" w14:textId="77777777" w:rsidR="00067907" w:rsidRDefault="00067907" w:rsidP="00605FB2">
      <w:pPr>
        <w:pStyle w:val="Captions"/>
        <w:rPr>
          <w:highlight w:val="yellow"/>
        </w:rPr>
      </w:pPr>
      <w:bookmarkStart w:id="619" w:name="_Ref61350656"/>
    </w:p>
    <w:p w14:paraId="14F69367" w14:textId="77777777" w:rsidR="00067907" w:rsidRPr="00067907" w:rsidRDefault="00067907" w:rsidP="00067907">
      <w:pPr>
        <w:rPr>
          <w:highlight w:val="yellow"/>
          <w:lang w:val="en-US"/>
        </w:rPr>
      </w:pPr>
    </w:p>
    <w:p w14:paraId="529339D3" w14:textId="77777777" w:rsidR="00067907" w:rsidRPr="00067907" w:rsidRDefault="00067907" w:rsidP="00067907">
      <w:pPr>
        <w:rPr>
          <w:highlight w:val="yellow"/>
          <w:lang w:val="en-US"/>
        </w:rPr>
      </w:pPr>
    </w:p>
    <w:p w14:paraId="204E5D43" w14:textId="77777777" w:rsidR="00067907" w:rsidRDefault="00067907" w:rsidP="00605FB2">
      <w:pPr>
        <w:pStyle w:val="Captions"/>
        <w:rPr>
          <w:highlight w:val="yellow"/>
        </w:rPr>
      </w:pPr>
    </w:p>
    <w:p w14:paraId="6D67D4B3" w14:textId="77777777" w:rsidR="00067907" w:rsidRPr="00067907" w:rsidRDefault="00067907" w:rsidP="00067907">
      <w:pPr>
        <w:rPr>
          <w:highlight w:val="yellow"/>
          <w:lang w:val="en-US"/>
        </w:rPr>
      </w:pPr>
    </w:p>
    <w:p w14:paraId="6EE3DDF6" w14:textId="751E23BF" w:rsidR="00656EBF" w:rsidRPr="00424090" w:rsidRDefault="00067907" w:rsidP="00605FB2">
      <w:pPr>
        <w:pStyle w:val="Captions"/>
        <w:rPr>
          <w:highlight w:val="yellow"/>
        </w:rPr>
      </w:pPr>
      <w:r>
        <w:rPr>
          <w:highlight w:val="yellow"/>
        </w:rPr>
        <w:br w:type="textWrapping" w:clear="all"/>
      </w:r>
    </w:p>
    <w:p w14:paraId="0D065011" w14:textId="77777777" w:rsidR="00656EBF" w:rsidRPr="00424090" w:rsidRDefault="00656EBF">
      <w:pPr>
        <w:spacing w:before="0" w:after="160" w:line="259" w:lineRule="auto"/>
        <w:jc w:val="left"/>
        <w:rPr>
          <w:rFonts w:eastAsia="MS Mincho" w:cs="Arial"/>
          <w:b/>
          <w:bCs/>
          <w:color w:val="auto"/>
          <w:kern w:val="0"/>
          <w:sz w:val="20"/>
          <w:highlight w:val="yellow"/>
          <w:lang w:val="en-US"/>
        </w:rPr>
      </w:pPr>
      <w:r w:rsidRPr="00424090">
        <w:rPr>
          <w:highlight w:val="yellow"/>
        </w:rPr>
        <w:br w:type="page"/>
      </w:r>
    </w:p>
    <w:p w14:paraId="1D15E542" w14:textId="468C8752" w:rsidR="009A4875" w:rsidRPr="002509E9" w:rsidRDefault="009A4875" w:rsidP="00605FB2">
      <w:pPr>
        <w:pStyle w:val="Captions"/>
        <w:rPr>
          <w:noProof/>
          <w:lang w:eastAsia="en-AU"/>
        </w:rPr>
      </w:pPr>
      <w:bookmarkStart w:id="620" w:name="_Hlk207969103"/>
      <w:r w:rsidRPr="00402291">
        <w:lastRenderedPageBreak/>
        <w:t>Table</w:t>
      </w:r>
      <w:bookmarkEnd w:id="617"/>
      <w:bookmarkEnd w:id="619"/>
      <w:r w:rsidRPr="00402291">
        <w:t xml:space="preserve"> </w:t>
      </w:r>
      <w:r w:rsidR="00145C00" w:rsidRPr="00402291">
        <w:t>C</w:t>
      </w:r>
      <w:r w:rsidR="008865D1">
        <w:t>2</w:t>
      </w:r>
      <w:r w:rsidR="00FB33C3">
        <w:t>4</w:t>
      </w:r>
      <w:r w:rsidRPr="00402291">
        <w:rPr>
          <w:noProof/>
          <w:lang w:eastAsia="en-AU"/>
        </w:rPr>
        <w:t xml:space="preserve">. PERMANOVA main test and pairwise comparisons of </w:t>
      </w:r>
      <w:r w:rsidR="00EC3D1D" w:rsidRPr="00402291">
        <w:rPr>
          <w:noProof/>
          <w:lang w:eastAsia="en-AU"/>
        </w:rPr>
        <w:t>young-of-year</w:t>
      </w:r>
      <w:r w:rsidR="00C24389" w:rsidRPr="00402291">
        <w:rPr>
          <w:noProof/>
          <w:lang w:eastAsia="en-AU"/>
        </w:rPr>
        <w:t xml:space="preserve"> </w:t>
      </w:r>
      <w:r w:rsidRPr="00402291">
        <w:rPr>
          <w:noProof/>
          <w:lang w:eastAsia="en-AU"/>
        </w:rPr>
        <w:t>Murray cod catch-per-unit-effort (CPUE) between years for targeted electrofishing</w:t>
      </w:r>
      <w:r w:rsidR="00C24389" w:rsidRPr="00402291">
        <w:rPr>
          <w:noProof/>
          <w:lang w:eastAsia="en-AU"/>
        </w:rPr>
        <w:t xml:space="preserve"> downstream of Lock 4</w:t>
      </w:r>
      <w:r w:rsidRPr="00402291">
        <w:rPr>
          <w:noProof/>
          <w:lang w:eastAsia="en-AU"/>
        </w:rPr>
        <w:t>. P-values presented in bold are significant comparisons (α = 0.05).</w:t>
      </w:r>
      <w:r w:rsidR="0074459B" w:rsidRPr="00402291">
        <w:rPr>
          <w:noProof/>
          <w:lang w:eastAsia="en-AU"/>
        </w:rPr>
        <w:t xml:space="preserve"> * = de</w:t>
      </w:r>
      <w:r w:rsidR="00A60F8A">
        <w:rPr>
          <w:noProof/>
          <w:lang w:eastAsia="en-AU"/>
        </w:rPr>
        <w:t>n</w:t>
      </w:r>
      <w:r w:rsidR="0074459B" w:rsidRPr="00402291">
        <w:rPr>
          <w:noProof/>
          <w:lang w:eastAsia="en-AU"/>
        </w:rPr>
        <w:t>o</w:t>
      </w:r>
      <w:r w:rsidR="00A60F8A">
        <w:rPr>
          <w:noProof/>
          <w:lang w:eastAsia="en-AU"/>
        </w:rPr>
        <w:t>m</w:t>
      </w:r>
      <w:r w:rsidR="0074459B" w:rsidRPr="00402291">
        <w:rPr>
          <w:noProof/>
          <w:lang w:eastAsia="en-AU"/>
        </w:rPr>
        <w:t>inator is zero, i.e. CPUE was nil.</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of PERMANOVA main test and pairwise comparisons of young-of-year Murray cod catch-per-unit-effort between years for targeted electrofishing downstream of Lock 4. "/>
      </w:tblPr>
      <w:tblGrid>
        <w:gridCol w:w="2324"/>
        <w:gridCol w:w="660"/>
        <w:gridCol w:w="1325"/>
        <w:gridCol w:w="2130"/>
      </w:tblGrid>
      <w:tr w:rsidR="009A4875" w:rsidRPr="00142EA3" w14:paraId="3D8E70F3" w14:textId="77777777" w:rsidTr="00142EA3">
        <w:trPr>
          <w:trHeight w:val="20"/>
          <w:jc w:val="center"/>
        </w:trPr>
        <w:tc>
          <w:tcPr>
            <w:tcW w:w="2324" w:type="dxa"/>
            <w:tcBorders>
              <w:top w:val="single" w:sz="4" w:space="0" w:color="auto"/>
              <w:bottom w:val="single" w:sz="4" w:space="0" w:color="auto"/>
            </w:tcBorders>
          </w:tcPr>
          <w:bookmarkEnd w:id="620"/>
          <w:p w14:paraId="6C08C527" w14:textId="77777777" w:rsidR="009A4875" w:rsidRPr="00402291" w:rsidRDefault="009A4875" w:rsidP="009F3C4C">
            <w:pPr>
              <w:spacing w:line="240" w:lineRule="auto"/>
              <w:contextualSpacing/>
              <w:jc w:val="left"/>
              <w:rPr>
                <w:b/>
                <w:noProof/>
                <w:sz w:val="20"/>
                <w:lang w:eastAsia="en-AU"/>
              </w:rPr>
            </w:pPr>
            <w:r w:rsidRPr="00402291">
              <w:rPr>
                <w:b/>
                <w:noProof/>
                <w:sz w:val="20"/>
                <w:lang w:eastAsia="en-AU"/>
              </w:rPr>
              <w:t>Factor</w:t>
            </w:r>
          </w:p>
        </w:tc>
        <w:tc>
          <w:tcPr>
            <w:tcW w:w="660" w:type="dxa"/>
            <w:tcBorders>
              <w:top w:val="single" w:sz="4" w:space="0" w:color="auto"/>
              <w:bottom w:val="single" w:sz="4" w:space="0" w:color="auto"/>
            </w:tcBorders>
          </w:tcPr>
          <w:p w14:paraId="27806181" w14:textId="77777777" w:rsidR="009A4875" w:rsidRPr="00402291" w:rsidRDefault="009A4875" w:rsidP="009F3C4C">
            <w:pPr>
              <w:spacing w:line="240" w:lineRule="auto"/>
              <w:contextualSpacing/>
              <w:jc w:val="center"/>
              <w:rPr>
                <w:b/>
                <w:iCs/>
                <w:noProof/>
                <w:sz w:val="20"/>
                <w:lang w:eastAsia="en-AU"/>
              </w:rPr>
            </w:pPr>
            <w:r w:rsidRPr="00402291">
              <w:rPr>
                <w:b/>
                <w:iCs/>
                <w:noProof/>
                <w:sz w:val="20"/>
                <w:lang w:eastAsia="en-AU"/>
              </w:rPr>
              <w:t>df</w:t>
            </w:r>
          </w:p>
        </w:tc>
        <w:tc>
          <w:tcPr>
            <w:tcW w:w="1325" w:type="dxa"/>
            <w:tcBorders>
              <w:top w:val="single" w:sz="4" w:space="0" w:color="auto"/>
              <w:bottom w:val="single" w:sz="4" w:space="0" w:color="auto"/>
            </w:tcBorders>
          </w:tcPr>
          <w:p w14:paraId="032960EB" w14:textId="77777777" w:rsidR="009A4875" w:rsidRPr="00402291" w:rsidRDefault="009A4875" w:rsidP="009F3C4C">
            <w:pPr>
              <w:spacing w:line="240" w:lineRule="auto"/>
              <w:contextualSpacing/>
              <w:jc w:val="center"/>
              <w:rPr>
                <w:b/>
                <w:i/>
                <w:noProof/>
                <w:sz w:val="20"/>
                <w:lang w:eastAsia="en-AU"/>
              </w:rPr>
            </w:pPr>
            <w:r w:rsidRPr="00402291">
              <w:rPr>
                <w:b/>
                <w:i/>
                <w:noProof/>
                <w:sz w:val="20"/>
                <w:lang w:eastAsia="en-AU"/>
              </w:rPr>
              <w:t>Pseudo-F</w:t>
            </w:r>
          </w:p>
        </w:tc>
        <w:tc>
          <w:tcPr>
            <w:tcW w:w="2130" w:type="dxa"/>
            <w:tcBorders>
              <w:top w:val="single" w:sz="4" w:space="0" w:color="auto"/>
              <w:bottom w:val="single" w:sz="4" w:space="0" w:color="auto"/>
            </w:tcBorders>
          </w:tcPr>
          <w:p w14:paraId="6577BCAF" w14:textId="77777777" w:rsidR="009A4875" w:rsidRPr="00402291" w:rsidRDefault="009A4875" w:rsidP="009F3C4C">
            <w:pPr>
              <w:spacing w:line="240" w:lineRule="auto"/>
              <w:contextualSpacing/>
              <w:jc w:val="center"/>
              <w:rPr>
                <w:b/>
                <w:noProof/>
                <w:sz w:val="20"/>
                <w:lang w:eastAsia="en-AU"/>
              </w:rPr>
            </w:pPr>
            <w:r w:rsidRPr="00402291">
              <w:rPr>
                <w:b/>
                <w:i/>
                <w:noProof/>
                <w:sz w:val="20"/>
                <w:lang w:eastAsia="en-AU"/>
              </w:rPr>
              <w:t>p</w:t>
            </w:r>
            <w:r w:rsidRPr="00402291">
              <w:rPr>
                <w:b/>
                <w:noProof/>
                <w:sz w:val="20"/>
                <w:lang w:eastAsia="en-AU"/>
              </w:rPr>
              <w:t xml:space="preserve"> value</w:t>
            </w:r>
          </w:p>
        </w:tc>
      </w:tr>
      <w:tr w:rsidR="004E68C9" w:rsidRPr="00142EA3" w14:paraId="4CA39087" w14:textId="77777777" w:rsidTr="00142EA3">
        <w:trPr>
          <w:trHeight w:val="20"/>
          <w:jc w:val="center"/>
        </w:trPr>
        <w:tc>
          <w:tcPr>
            <w:tcW w:w="2324" w:type="dxa"/>
            <w:tcBorders>
              <w:top w:val="single" w:sz="4" w:space="0" w:color="auto"/>
            </w:tcBorders>
          </w:tcPr>
          <w:p w14:paraId="1C8FEFEC" w14:textId="77777777" w:rsidR="004E68C9" w:rsidRPr="00402291" w:rsidRDefault="004E68C9" w:rsidP="004E68C9">
            <w:pPr>
              <w:spacing w:line="240" w:lineRule="auto"/>
              <w:contextualSpacing/>
              <w:jc w:val="left"/>
              <w:rPr>
                <w:bCs/>
                <w:noProof/>
                <w:sz w:val="20"/>
                <w:lang w:eastAsia="en-AU"/>
              </w:rPr>
            </w:pPr>
            <w:r w:rsidRPr="00402291">
              <w:rPr>
                <w:bCs/>
                <w:noProof/>
                <w:sz w:val="20"/>
                <w:lang w:eastAsia="en-AU"/>
              </w:rPr>
              <w:t>Year</w:t>
            </w:r>
          </w:p>
        </w:tc>
        <w:tc>
          <w:tcPr>
            <w:tcW w:w="660" w:type="dxa"/>
            <w:tcBorders>
              <w:top w:val="single" w:sz="4" w:space="0" w:color="auto"/>
            </w:tcBorders>
          </w:tcPr>
          <w:p w14:paraId="58F3FBD0" w14:textId="0F064A25" w:rsidR="004E68C9" w:rsidRPr="00402291" w:rsidRDefault="00402291" w:rsidP="004E68C9">
            <w:pPr>
              <w:spacing w:line="240" w:lineRule="auto"/>
              <w:contextualSpacing/>
              <w:jc w:val="center"/>
              <w:rPr>
                <w:bCs/>
                <w:noProof/>
                <w:sz w:val="20"/>
                <w:lang w:eastAsia="en-AU"/>
              </w:rPr>
            </w:pPr>
            <w:r w:rsidRPr="00402291">
              <w:rPr>
                <w:bCs/>
                <w:noProof/>
                <w:sz w:val="20"/>
                <w:lang w:eastAsia="en-AU"/>
              </w:rPr>
              <w:t>10</w:t>
            </w:r>
          </w:p>
        </w:tc>
        <w:tc>
          <w:tcPr>
            <w:tcW w:w="1325" w:type="dxa"/>
            <w:tcBorders>
              <w:top w:val="single" w:sz="4" w:space="0" w:color="auto"/>
            </w:tcBorders>
          </w:tcPr>
          <w:p w14:paraId="2310348E" w14:textId="0009F513" w:rsidR="004E68C9" w:rsidRPr="00402291" w:rsidRDefault="00402291" w:rsidP="004E68C9">
            <w:pPr>
              <w:spacing w:line="240" w:lineRule="auto"/>
              <w:contextualSpacing/>
              <w:jc w:val="center"/>
              <w:rPr>
                <w:b/>
                <w:noProof/>
                <w:sz w:val="20"/>
                <w:lang w:eastAsia="en-AU"/>
              </w:rPr>
            </w:pPr>
            <w:r w:rsidRPr="00402291">
              <w:rPr>
                <w:b/>
                <w:noProof/>
                <w:sz w:val="20"/>
                <w:lang w:eastAsia="en-AU"/>
              </w:rPr>
              <w:t>6.4281</w:t>
            </w:r>
          </w:p>
        </w:tc>
        <w:tc>
          <w:tcPr>
            <w:tcW w:w="2130" w:type="dxa"/>
            <w:tcBorders>
              <w:top w:val="single" w:sz="4" w:space="0" w:color="auto"/>
            </w:tcBorders>
          </w:tcPr>
          <w:p w14:paraId="3FBCE4D5" w14:textId="7D97235E" w:rsidR="004E68C9" w:rsidRPr="00402291" w:rsidRDefault="004E68C9" w:rsidP="004E68C9">
            <w:pPr>
              <w:spacing w:line="240" w:lineRule="auto"/>
              <w:contextualSpacing/>
              <w:jc w:val="center"/>
              <w:rPr>
                <w:b/>
                <w:bCs/>
                <w:noProof/>
                <w:sz w:val="20"/>
                <w:lang w:eastAsia="en-AU"/>
              </w:rPr>
            </w:pPr>
            <w:r w:rsidRPr="00402291">
              <w:rPr>
                <w:b/>
                <w:bCs/>
                <w:sz w:val="20"/>
              </w:rPr>
              <w:t>&lt;0.001</w:t>
            </w:r>
          </w:p>
        </w:tc>
      </w:tr>
      <w:tr w:rsidR="004E68C9" w:rsidRPr="00142EA3" w14:paraId="59C74462" w14:textId="77777777" w:rsidTr="00142EA3">
        <w:trPr>
          <w:trHeight w:val="20"/>
          <w:jc w:val="center"/>
        </w:trPr>
        <w:tc>
          <w:tcPr>
            <w:tcW w:w="2324" w:type="dxa"/>
          </w:tcPr>
          <w:p w14:paraId="74593936" w14:textId="77777777" w:rsidR="004E68C9" w:rsidRPr="00402291" w:rsidRDefault="004E68C9" w:rsidP="004E68C9">
            <w:pPr>
              <w:spacing w:line="240" w:lineRule="auto"/>
              <w:contextualSpacing/>
              <w:jc w:val="left"/>
              <w:rPr>
                <w:bCs/>
                <w:noProof/>
                <w:sz w:val="20"/>
                <w:lang w:eastAsia="en-AU"/>
              </w:rPr>
            </w:pPr>
            <w:r w:rsidRPr="00402291">
              <w:rPr>
                <w:bCs/>
                <w:noProof/>
                <w:sz w:val="20"/>
                <w:lang w:eastAsia="en-AU"/>
              </w:rPr>
              <w:t>Residuals</w:t>
            </w:r>
          </w:p>
        </w:tc>
        <w:tc>
          <w:tcPr>
            <w:tcW w:w="660" w:type="dxa"/>
          </w:tcPr>
          <w:p w14:paraId="1DF4C435" w14:textId="021FB663" w:rsidR="004E68C9" w:rsidRPr="00402291" w:rsidRDefault="00402291" w:rsidP="004E68C9">
            <w:pPr>
              <w:spacing w:line="240" w:lineRule="auto"/>
              <w:contextualSpacing/>
              <w:jc w:val="center"/>
              <w:rPr>
                <w:bCs/>
                <w:noProof/>
                <w:sz w:val="20"/>
                <w:lang w:eastAsia="en-AU"/>
              </w:rPr>
            </w:pPr>
            <w:r w:rsidRPr="00402291">
              <w:rPr>
                <w:bCs/>
                <w:noProof/>
                <w:sz w:val="20"/>
                <w:lang w:eastAsia="en-AU"/>
              </w:rPr>
              <w:t>44</w:t>
            </w:r>
          </w:p>
        </w:tc>
        <w:tc>
          <w:tcPr>
            <w:tcW w:w="1325" w:type="dxa"/>
          </w:tcPr>
          <w:p w14:paraId="5217D4D5" w14:textId="246B489E" w:rsidR="004E68C9" w:rsidRPr="00402291" w:rsidRDefault="004E68C9" w:rsidP="004E68C9">
            <w:pPr>
              <w:spacing w:line="240" w:lineRule="auto"/>
              <w:contextualSpacing/>
              <w:jc w:val="center"/>
              <w:rPr>
                <w:b/>
                <w:noProof/>
                <w:sz w:val="20"/>
                <w:lang w:eastAsia="en-AU"/>
              </w:rPr>
            </w:pPr>
            <w:r w:rsidRPr="00402291">
              <w:rPr>
                <w:sz w:val="20"/>
              </w:rPr>
              <w:t xml:space="preserve">        </w:t>
            </w:r>
          </w:p>
        </w:tc>
        <w:tc>
          <w:tcPr>
            <w:tcW w:w="2130" w:type="dxa"/>
          </w:tcPr>
          <w:p w14:paraId="774CD654" w14:textId="42CDADD0" w:rsidR="004E68C9" w:rsidRPr="00402291" w:rsidRDefault="004E68C9" w:rsidP="004E68C9">
            <w:pPr>
              <w:spacing w:line="240" w:lineRule="auto"/>
              <w:contextualSpacing/>
              <w:jc w:val="center"/>
              <w:rPr>
                <w:b/>
                <w:noProof/>
                <w:sz w:val="20"/>
                <w:lang w:eastAsia="en-AU"/>
              </w:rPr>
            </w:pPr>
            <w:r w:rsidRPr="00402291">
              <w:rPr>
                <w:sz w:val="20"/>
              </w:rPr>
              <w:t xml:space="preserve">       </w:t>
            </w:r>
          </w:p>
        </w:tc>
      </w:tr>
      <w:tr w:rsidR="009A4875" w:rsidRPr="00142EA3" w14:paraId="09B8611E" w14:textId="77777777" w:rsidTr="00142EA3">
        <w:trPr>
          <w:trHeight w:val="20"/>
          <w:jc w:val="center"/>
        </w:trPr>
        <w:tc>
          <w:tcPr>
            <w:tcW w:w="2324" w:type="dxa"/>
            <w:tcBorders>
              <w:bottom w:val="single" w:sz="4" w:space="0" w:color="auto"/>
            </w:tcBorders>
          </w:tcPr>
          <w:p w14:paraId="4C9744C8" w14:textId="77777777" w:rsidR="009A4875" w:rsidRPr="00402291" w:rsidRDefault="009A4875" w:rsidP="009F3C4C">
            <w:pPr>
              <w:spacing w:line="240" w:lineRule="auto"/>
              <w:contextualSpacing/>
              <w:jc w:val="left"/>
              <w:rPr>
                <w:b/>
                <w:noProof/>
                <w:sz w:val="20"/>
                <w:lang w:eastAsia="en-AU"/>
              </w:rPr>
            </w:pPr>
          </w:p>
        </w:tc>
        <w:tc>
          <w:tcPr>
            <w:tcW w:w="660" w:type="dxa"/>
            <w:tcBorders>
              <w:bottom w:val="single" w:sz="4" w:space="0" w:color="auto"/>
            </w:tcBorders>
          </w:tcPr>
          <w:p w14:paraId="62369D0C" w14:textId="77777777" w:rsidR="009A4875" w:rsidRPr="00402291" w:rsidRDefault="009A4875" w:rsidP="009F3C4C">
            <w:pPr>
              <w:spacing w:line="240" w:lineRule="auto"/>
              <w:contextualSpacing/>
              <w:jc w:val="center"/>
              <w:rPr>
                <w:b/>
                <w:noProof/>
                <w:sz w:val="20"/>
                <w:lang w:eastAsia="en-AU"/>
              </w:rPr>
            </w:pPr>
          </w:p>
        </w:tc>
        <w:tc>
          <w:tcPr>
            <w:tcW w:w="1325" w:type="dxa"/>
            <w:tcBorders>
              <w:bottom w:val="single" w:sz="4" w:space="0" w:color="auto"/>
            </w:tcBorders>
          </w:tcPr>
          <w:p w14:paraId="6433C0E1" w14:textId="77777777" w:rsidR="009A4875" w:rsidRPr="00402291" w:rsidRDefault="009A4875" w:rsidP="009F3C4C">
            <w:pPr>
              <w:spacing w:line="240" w:lineRule="auto"/>
              <w:contextualSpacing/>
              <w:jc w:val="center"/>
              <w:rPr>
                <w:b/>
                <w:noProof/>
                <w:sz w:val="20"/>
                <w:lang w:eastAsia="en-AU"/>
              </w:rPr>
            </w:pPr>
          </w:p>
        </w:tc>
        <w:tc>
          <w:tcPr>
            <w:tcW w:w="2130" w:type="dxa"/>
            <w:tcBorders>
              <w:bottom w:val="single" w:sz="4" w:space="0" w:color="auto"/>
            </w:tcBorders>
          </w:tcPr>
          <w:p w14:paraId="307B6AAE" w14:textId="77777777" w:rsidR="009A4875" w:rsidRPr="00402291" w:rsidRDefault="009A4875" w:rsidP="009F3C4C">
            <w:pPr>
              <w:spacing w:line="240" w:lineRule="auto"/>
              <w:contextualSpacing/>
              <w:jc w:val="center"/>
              <w:rPr>
                <w:b/>
                <w:noProof/>
                <w:sz w:val="20"/>
                <w:lang w:eastAsia="en-AU"/>
              </w:rPr>
            </w:pPr>
          </w:p>
        </w:tc>
      </w:tr>
      <w:tr w:rsidR="009A4875" w:rsidRPr="00142EA3" w14:paraId="38F7C1F0" w14:textId="77777777" w:rsidTr="00142EA3">
        <w:trPr>
          <w:trHeight w:val="20"/>
          <w:jc w:val="center"/>
        </w:trPr>
        <w:tc>
          <w:tcPr>
            <w:tcW w:w="2324" w:type="dxa"/>
            <w:tcBorders>
              <w:top w:val="single" w:sz="4" w:space="0" w:color="auto"/>
              <w:bottom w:val="single" w:sz="4" w:space="0" w:color="auto"/>
            </w:tcBorders>
          </w:tcPr>
          <w:p w14:paraId="01726F74" w14:textId="77777777" w:rsidR="009A4875" w:rsidRPr="00402291" w:rsidRDefault="009A4875" w:rsidP="009F3C4C">
            <w:pPr>
              <w:spacing w:line="240" w:lineRule="auto"/>
              <w:contextualSpacing/>
              <w:jc w:val="center"/>
              <w:rPr>
                <w:b/>
                <w:noProof/>
                <w:sz w:val="20"/>
                <w:lang w:eastAsia="en-AU"/>
              </w:rPr>
            </w:pPr>
            <w:r w:rsidRPr="00402291">
              <w:rPr>
                <w:b/>
                <w:noProof/>
                <w:sz w:val="20"/>
                <w:lang w:eastAsia="en-AU"/>
              </w:rPr>
              <w:t>Pairwise comparisons</w:t>
            </w:r>
          </w:p>
          <w:p w14:paraId="1E2A676B" w14:textId="77777777" w:rsidR="009A4875" w:rsidRPr="00402291" w:rsidRDefault="009A4875" w:rsidP="009F3C4C">
            <w:pPr>
              <w:spacing w:line="240" w:lineRule="auto"/>
              <w:contextualSpacing/>
              <w:jc w:val="center"/>
              <w:rPr>
                <w:bCs/>
                <w:noProof/>
                <w:sz w:val="20"/>
                <w:lang w:eastAsia="en-AU"/>
              </w:rPr>
            </w:pPr>
            <w:r w:rsidRPr="00402291">
              <w:rPr>
                <w:bCs/>
                <w:noProof/>
                <w:sz w:val="20"/>
                <w:lang w:eastAsia="en-AU"/>
              </w:rPr>
              <w:t>(between years)</w:t>
            </w:r>
          </w:p>
        </w:tc>
        <w:tc>
          <w:tcPr>
            <w:tcW w:w="660" w:type="dxa"/>
            <w:tcBorders>
              <w:top w:val="single" w:sz="4" w:space="0" w:color="auto"/>
              <w:bottom w:val="single" w:sz="4" w:space="0" w:color="auto"/>
            </w:tcBorders>
          </w:tcPr>
          <w:p w14:paraId="5BCE4924" w14:textId="77777777" w:rsidR="009A4875" w:rsidRPr="00402291" w:rsidRDefault="009A4875" w:rsidP="009F3C4C">
            <w:pPr>
              <w:spacing w:line="240" w:lineRule="auto"/>
              <w:contextualSpacing/>
              <w:jc w:val="center"/>
              <w:rPr>
                <w:b/>
                <w:i/>
                <w:noProof/>
                <w:sz w:val="20"/>
                <w:lang w:eastAsia="en-AU"/>
              </w:rPr>
            </w:pPr>
          </w:p>
        </w:tc>
        <w:tc>
          <w:tcPr>
            <w:tcW w:w="1325" w:type="dxa"/>
            <w:tcBorders>
              <w:top w:val="single" w:sz="4" w:space="0" w:color="auto"/>
              <w:bottom w:val="single" w:sz="4" w:space="0" w:color="auto"/>
            </w:tcBorders>
          </w:tcPr>
          <w:p w14:paraId="13D8C42F" w14:textId="77777777" w:rsidR="009A4875" w:rsidRPr="00402291" w:rsidRDefault="009A4875" w:rsidP="009F3C4C">
            <w:pPr>
              <w:spacing w:line="240" w:lineRule="auto"/>
              <w:contextualSpacing/>
              <w:jc w:val="center"/>
              <w:rPr>
                <w:b/>
                <w:noProof/>
                <w:sz w:val="20"/>
                <w:lang w:eastAsia="en-AU"/>
              </w:rPr>
            </w:pPr>
            <w:r w:rsidRPr="00402291">
              <w:rPr>
                <w:b/>
                <w:i/>
                <w:noProof/>
                <w:sz w:val="20"/>
                <w:lang w:eastAsia="en-AU"/>
              </w:rPr>
              <w:t>t</w:t>
            </w:r>
          </w:p>
        </w:tc>
        <w:tc>
          <w:tcPr>
            <w:tcW w:w="2130" w:type="dxa"/>
            <w:tcBorders>
              <w:top w:val="single" w:sz="4" w:space="0" w:color="auto"/>
              <w:bottom w:val="single" w:sz="4" w:space="0" w:color="auto"/>
            </w:tcBorders>
          </w:tcPr>
          <w:p w14:paraId="7DEAEFA0" w14:textId="77777777" w:rsidR="009A4875" w:rsidRPr="00402291" w:rsidRDefault="009A4875" w:rsidP="009F3C4C">
            <w:pPr>
              <w:spacing w:line="240" w:lineRule="auto"/>
              <w:contextualSpacing/>
              <w:jc w:val="center"/>
              <w:rPr>
                <w:b/>
                <w:noProof/>
                <w:sz w:val="20"/>
                <w:lang w:eastAsia="en-AU"/>
              </w:rPr>
            </w:pPr>
            <w:r w:rsidRPr="00402291">
              <w:rPr>
                <w:b/>
                <w:i/>
                <w:noProof/>
                <w:sz w:val="20"/>
                <w:lang w:eastAsia="en-AU"/>
              </w:rPr>
              <w:t>p</w:t>
            </w:r>
            <w:r w:rsidRPr="00402291">
              <w:rPr>
                <w:b/>
                <w:noProof/>
                <w:sz w:val="20"/>
                <w:lang w:eastAsia="en-AU"/>
              </w:rPr>
              <w:t xml:space="preserve"> value</w:t>
            </w:r>
          </w:p>
        </w:tc>
      </w:tr>
      <w:tr w:rsidR="00402291" w:rsidRPr="00142EA3" w14:paraId="028FD95D" w14:textId="77777777" w:rsidTr="00A74F62">
        <w:trPr>
          <w:trHeight w:val="20"/>
          <w:jc w:val="center"/>
        </w:trPr>
        <w:tc>
          <w:tcPr>
            <w:tcW w:w="2324" w:type="dxa"/>
            <w:tcBorders>
              <w:top w:val="single" w:sz="4" w:space="0" w:color="auto"/>
            </w:tcBorders>
          </w:tcPr>
          <w:p w14:paraId="13D7F4EC" w14:textId="39676A4E" w:rsidR="00402291" w:rsidRPr="006C75CD" w:rsidRDefault="00402291" w:rsidP="00402291">
            <w:pPr>
              <w:spacing w:line="240" w:lineRule="auto"/>
              <w:contextualSpacing/>
              <w:jc w:val="center"/>
              <w:rPr>
                <w:sz w:val="20"/>
                <w:highlight w:val="yellow"/>
              </w:rPr>
            </w:pPr>
            <w:r w:rsidRPr="008E1F1E">
              <w:t>2013, 2014</w:t>
            </w:r>
          </w:p>
        </w:tc>
        <w:tc>
          <w:tcPr>
            <w:tcW w:w="660" w:type="dxa"/>
            <w:tcBorders>
              <w:top w:val="single" w:sz="4" w:space="0" w:color="auto"/>
            </w:tcBorders>
          </w:tcPr>
          <w:p w14:paraId="5EDBC851" w14:textId="77777777" w:rsidR="00402291" w:rsidRPr="006C75CD" w:rsidRDefault="00402291" w:rsidP="00402291">
            <w:pPr>
              <w:spacing w:line="240" w:lineRule="auto"/>
              <w:contextualSpacing/>
              <w:jc w:val="center"/>
              <w:rPr>
                <w:sz w:val="20"/>
                <w:highlight w:val="yellow"/>
              </w:rPr>
            </w:pPr>
          </w:p>
        </w:tc>
        <w:tc>
          <w:tcPr>
            <w:tcW w:w="1325" w:type="dxa"/>
            <w:tcBorders>
              <w:top w:val="single" w:sz="4" w:space="0" w:color="auto"/>
            </w:tcBorders>
          </w:tcPr>
          <w:p w14:paraId="30A0A950" w14:textId="2CC78F5F" w:rsidR="00402291" w:rsidRPr="006C75CD" w:rsidRDefault="00402291" w:rsidP="00402291">
            <w:pPr>
              <w:spacing w:line="240" w:lineRule="auto"/>
              <w:contextualSpacing/>
              <w:jc w:val="center"/>
              <w:rPr>
                <w:sz w:val="20"/>
                <w:highlight w:val="yellow"/>
              </w:rPr>
            </w:pPr>
            <w:r w:rsidRPr="00402291">
              <w:t>*</w:t>
            </w:r>
          </w:p>
        </w:tc>
        <w:tc>
          <w:tcPr>
            <w:tcW w:w="2130" w:type="dxa"/>
            <w:tcBorders>
              <w:top w:val="single" w:sz="4" w:space="0" w:color="auto"/>
            </w:tcBorders>
          </w:tcPr>
          <w:p w14:paraId="1E8C2C65" w14:textId="0876EB36" w:rsidR="00402291" w:rsidRPr="006C75CD" w:rsidRDefault="00402291" w:rsidP="00402291">
            <w:pPr>
              <w:spacing w:line="240" w:lineRule="auto"/>
              <w:contextualSpacing/>
              <w:jc w:val="center"/>
              <w:rPr>
                <w:sz w:val="20"/>
                <w:highlight w:val="yellow"/>
              </w:rPr>
            </w:pPr>
            <w:r w:rsidRPr="001B0758">
              <w:t xml:space="preserve">       </w:t>
            </w:r>
          </w:p>
        </w:tc>
      </w:tr>
      <w:tr w:rsidR="00402291" w:rsidRPr="00142EA3" w14:paraId="03DD2E45" w14:textId="77777777" w:rsidTr="00A74F62">
        <w:trPr>
          <w:trHeight w:val="20"/>
          <w:jc w:val="center"/>
        </w:trPr>
        <w:tc>
          <w:tcPr>
            <w:tcW w:w="2324" w:type="dxa"/>
          </w:tcPr>
          <w:p w14:paraId="639280E0" w14:textId="17869C30" w:rsidR="00402291" w:rsidRPr="006C75CD" w:rsidRDefault="00402291" w:rsidP="00402291">
            <w:pPr>
              <w:spacing w:line="240" w:lineRule="auto"/>
              <w:contextualSpacing/>
              <w:jc w:val="center"/>
              <w:rPr>
                <w:b/>
                <w:noProof/>
                <w:sz w:val="20"/>
                <w:highlight w:val="yellow"/>
                <w:lang w:eastAsia="en-AU"/>
              </w:rPr>
            </w:pPr>
            <w:r w:rsidRPr="008E1F1E">
              <w:t>2013, 2015</w:t>
            </w:r>
          </w:p>
        </w:tc>
        <w:tc>
          <w:tcPr>
            <w:tcW w:w="660" w:type="dxa"/>
          </w:tcPr>
          <w:p w14:paraId="06670525" w14:textId="77777777" w:rsidR="00402291" w:rsidRPr="006C75CD" w:rsidRDefault="00402291" w:rsidP="00402291">
            <w:pPr>
              <w:spacing w:line="240" w:lineRule="auto"/>
              <w:contextualSpacing/>
              <w:jc w:val="center"/>
              <w:rPr>
                <w:sz w:val="20"/>
                <w:highlight w:val="yellow"/>
              </w:rPr>
            </w:pPr>
          </w:p>
        </w:tc>
        <w:tc>
          <w:tcPr>
            <w:tcW w:w="1325" w:type="dxa"/>
          </w:tcPr>
          <w:p w14:paraId="393D18E9" w14:textId="4F8C1625" w:rsidR="00402291" w:rsidRPr="006C75CD" w:rsidRDefault="00402291" w:rsidP="00402291">
            <w:pPr>
              <w:spacing w:line="240" w:lineRule="auto"/>
              <w:contextualSpacing/>
              <w:jc w:val="center"/>
              <w:rPr>
                <w:b/>
                <w:noProof/>
                <w:sz w:val="20"/>
                <w:highlight w:val="yellow"/>
                <w:lang w:eastAsia="en-AU"/>
              </w:rPr>
            </w:pPr>
            <w:r w:rsidRPr="001B0758">
              <w:t>0.8452</w:t>
            </w:r>
          </w:p>
        </w:tc>
        <w:tc>
          <w:tcPr>
            <w:tcW w:w="2130" w:type="dxa"/>
          </w:tcPr>
          <w:p w14:paraId="77F16C85" w14:textId="79F0B0F1" w:rsidR="00402291" w:rsidRPr="006C75CD" w:rsidRDefault="00402291" w:rsidP="00402291">
            <w:pPr>
              <w:spacing w:line="240" w:lineRule="auto"/>
              <w:contextualSpacing/>
              <w:jc w:val="center"/>
              <w:rPr>
                <w:noProof/>
                <w:sz w:val="20"/>
                <w:highlight w:val="yellow"/>
                <w:lang w:eastAsia="en-AU"/>
              </w:rPr>
            </w:pPr>
            <w:r w:rsidRPr="001B0758">
              <w:t>1.0000</w:t>
            </w:r>
          </w:p>
        </w:tc>
      </w:tr>
      <w:tr w:rsidR="00402291" w:rsidRPr="00142EA3" w14:paraId="3255FDD4" w14:textId="77777777" w:rsidTr="00A74F62">
        <w:trPr>
          <w:trHeight w:val="20"/>
          <w:jc w:val="center"/>
        </w:trPr>
        <w:tc>
          <w:tcPr>
            <w:tcW w:w="2324" w:type="dxa"/>
          </w:tcPr>
          <w:p w14:paraId="5744BB99" w14:textId="25827723" w:rsidR="00402291" w:rsidRPr="006C75CD" w:rsidRDefault="00402291" w:rsidP="00402291">
            <w:pPr>
              <w:spacing w:line="240" w:lineRule="auto"/>
              <w:contextualSpacing/>
              <w:jc w:val="center"/>
              <w:rPr>
                <w:b/>
                <w:noProof/>
                <w:sz w:val="20"/>
                <w:highlight w:val="yellow"/>
                <w:lang w:eastAsia="en-AU"/>
              </w:rPr>
            </w:pPr>
            <w:r w:rsidRPr="008E1F1E">
              <w:t>2013, 2016</w:t>
            </w:r>
          </w:p>
        </w:tc>
        <w:tc>
          <w:tcPr>
            <w:tcW w:w="660" w:type="dxa"/>
          </w:tcPr>
          <w:p w14:paraId="02DDAEB5" w14:textId="77777777" w:rsidR="00402291" w:rsidRPr="006C75CD" w:rsidRDefault="00402291" w:rsidP="00402291">
            <w:pPr>
              <w:spacing w:line="240" w:lineRule="auto"/>
              <w:contextualSpacing/>
              <w:jc w:val="center"/>
              <w:rPr>
                <w:sz w:val="20"/>
                <w:highlight w:val="yellow"/>
              </w:rPr>
            </w:pPr>
          </w:p>
        </w:tc>
        <w:tc>
          <w:tcPr>
            <w:tcW w:w="1325" w:type="dxa"/>
          </w:tcPr>
          <w:p w14:paraId="0D840C3B" w14:textId="05538136" w:rsidR="00402291" w:rsidRPr="006C75CD" w:rsidRDefault="00402291" w:rsidP="00402291">
            <w:pPr>
              <w:spacing w:line="240" w:lineRule="auto"/>
              <w:contextualSpacing/>
              <w:jc w:val="center"/>
              <w:rPr>
                <w:b/>
                <w:noProof/>
                <w:sz w:val="20"/>
                <w:highlight w:val="yellow"/>
                <w:lang w:eastAsia="en-AU"/>
              </w:rPr>
            </w:pPr>
            <w:r w:rsidRPr="001B0758">
              <w:t>1.4535</w:t>
            </w:r>
          </w:p>
        </w:tc>
        <w:tc>
          <w:tcPr>
            <w:tcW w:w="2130" w:type="dxa"/>
          </w:tcPr>
          <w:p w14:paraId="1DD5E8F0" w14:textId="1A31A20B" w:rsidR="00402291" w:rsidRPr="006C75CD" w:rsidRDefault="00402291" w:rsidP="00402291">
            <w:pPr>
              <w:spacing w:line="240" w:lineRule="auto"/>
              <w:contextualSpacing/>
              <w:jc w:val="center"/>
              <w:rPr>
                <w:noProof/>
                <w:sz w:val="20"/>
                <w:highlight w:val="yellow"/>
                <w:lang w:eastAsia="en-AU"/>
              </w:rPr>
            </w:pPr>
            <w:r w:rsidRPr="001B0758">
              <w:t>0.4383</w:t>
            </w:r>
          </w:p>
        </w:tc>
      </w:tr>
      <w:tr w:rsidR="00402291" w:rsidRPr="00142EA3" w14:paraId="52336572" w14:textId="77777777" w:rsidTr="00A74F62">
        <w:trPr>
          <w:trHeight w:val="20"/>
          <w:jc w:val="center"/>
        </w:trPr>
        <w:tc>
          <w:tcPr>
            <w:tcW w:w="2324" w:type="dxa"/>
          </w:tcPr>
          <w:p w14:paraId="27F78229" w14:textId="296D9B5D" w:rsidR="00402291" w:rsidRPr="006C75CD" w:rsidRDefault="00402291" w:rsidP="00402291">
            <w:pPr>
              <w:spacing w:line="240" w:lineRule="auto"/>
              <w:contextualSpacing/>
              <w:jc w:val="center"/>
              <w:rPr>
                <w:b/>
                <w:noProof/>
                <w:sz w:val="20"/>
                <w:highlight w:val="yellow"/>
                <w:lang w:eastAsia="en-AU"/>
              </w:rPr>
            </w:pPr>
            <w:r w:rsidRPr="008E1F1E">
              <w:t>2013, 2017</w:t>
            </w:r>
          </w:p>
        </w:tc>
        <w:tc>
          <w:tcPr>
            <w:tcW w:w="660" w:type="dxa"/>
          </w:tcPr>
          <w:p w14:paraId="5D49380F" w14:textId="77777777" w:rsidR="00402291" w:rsidRPr="006C75CD" w:rsidRDefault="00402291" w:rsidP="00402291">
            <w:pPr>
              <w:spacing w:line="240" w:lineRule="auto"/>
              <w:contextualSpacing/>
              <w:jc w:val="center"/>
              <w:rPr>
                <w:sz w:val="20"/>
                <w:highlight w:val="yellow"/>
              </w:rPr>
            </w:pPr>
          </w:p>
        </w:tc>
        <w:tc>
          <w:tcPr>
            <w:tcW w:w="1325" w:type="dxa"/>
          </w:tcPr>
          <w:p w14:paraId="5CF87722" w14:textId="23EB3C3C" w:rsidR="00402291" w:rsidRPr="006C75CD" w:rsidRDefault="00402291" w:rsidP="00402291">
            <w:pPr>
              <w:spacing w:line="240" w:lineRule="auto"/>
              <w:contextualSpacing/>
              <w:jc w:val="center"/>
              <w:rPr>
                <w:b/>
                <w:noProof/>
                <w:sz w:val="20"/>
                <w:highlight w:val="yellow"/>
                <w:lang w:eastAsia="en-AU"/>
              </w:rPr>
            </w:pPr>
            <w:r>
              <w:t>*</w:t>
            </w:r>
          </w:p>
        </w:tc>
        <w:tc>
          <w:tcPr>
            <w:tcW w:w="2130" w:type="dxa"/>
          </w:tcPr>
          <w:p w14:paraId="42FF2B78" w14:textId="04FFE3C0" w:rsidR="00402291" w:rsidRPr="006C75CD" w:rsidRDefault="00402291" w:rsidP="00402291">
            <w:pPr>
              <w:spacing w:line="240" w:lineRule="auto"/>
              <w:contextualSpacing/>
              <w:jc w:val="center"/>
              <w:rPr>
                <w:noProof/>
                <w:sz w:val="20"/>
                <w:highlight w:val="yellow"/>
                <w:lang w:eastAsia="en-AU"/>
              </w:rPr>
            </w:pPr>
            <w:r w:rsidRPr="001B0758">
              <w:t xml:space="preserve">       </w:t>
            </w:r>
          </w:p>
        </w:tc>
      </w:tr>
      <w:tr w:rsidR="00402291" w:rsidRPr="00142EA3" w14:paraId="030DFE7B" w14:textId="77777777" w:rsidTr="00A74F62">
        <w:trPr>
          <w:trHeight w:val="20"/>
          <w:jc w:val="center"/>
        </w:trPr>
        <w:tc>
          <w:tcPr>
            <w:tcW w:w="2324" w:type="dxa"/>
          </w:tcPr>
          <w:p w14:paraId="18C7B1DD" w14:textId="7FE9A0B5" w:rsidR="00402291" w:rsidRPr="006C75CD" w:rsidRDefault="00402291" w:rsidP="00402291">
            <w:pPr>
              <w:spacing w:line="240" w:lineRule="auto"/>
              <w:contextualSpacing/>
              <w:jc w:val="center"/>
              <w:rPr>
                <w:b/>
                <w:noProof/>
                <w:sz w:val="20"/>
                <w:highlight w:val="yellow"/>
                <w:lang w:eastAsia="en-AU"/>
              </w:rPr>
            </w:pPr>
            <w:r w:rsidRPr="008E1F1E">
              <w:t>2013, 2019</w:t>
            </w:r>
          </w:p>
        </w:tc>
        <w:tc>
          <w:tcPr>
            <w:tcW w:w="660" w:type="dxa"/>
          </w:tcPr>
          <w:p w14:paraId="3FFF30E5" w14:textId="77777777" w:rsidR="00402291" w:rsidRPr="006C75CD" w:rsidRDefault="00402291" w:rsidP="00402291">
            <w:pPr>
              <w:spacing w:line="240" w:lineRule="auto"/>
              <w:contextualSpacing/>
              <w:jc w:val="center"/>
              <w:rPr>
                <w:sz w:val="20"/>
                <w:highlight w:val="yellow"/>
              </w:rPr>
            </w:pPr>
          </w:p>
        </w:tc>
        <w:tc>
          <w:tcPr>
            <w:tcW w:w="1325" w:type="dxa"/>
          </w:tcPr>
          <w:p w14:paraId="3C039137" w14:textId="56AAE696" w:rsidR="00402291" w:rsidRPr="006C75CD" w:rsidRDefault="00402291" w:rsidP="00402291">
            <w:pPr>
              <w:spacing w:line="240" w:lineRule="auto"/>
              <w:contextualSpacing/>
              <w:jc w:val="center"/>
              <w:rPr>
                <w:b/>
                <w:noProof/>
                <w:sz w:val="20"/>
                <w:highlight w:val="yellow"/>
                <w:lang w:eastAsia="en-AU"/>
              </w:rPr>
            </w:pPr>
            <w:r w:rsidRPr="001B0758">
              <w:t>1.9997</w:t>
            </w:r>
          </w:p>
        </w:tc>
        <w:tc>
          <w:tcPr>
            <w:tcW w:w="2130" w:type="dxa"/>
          </w:tcPr>
          <w:p w14:paraId="6FE6C484" w14:textId="06C2AFCC" w:rsidR="00402291" w:rsidRPr="006C75CD" w:rsidRDefault="00402291" w:rsidP="00402291">
            <w:pPr>
              <w:spacing w:line="240" w:lineRule="auto"/>
              <w:contextualSpacing/>
              <w:jc w:val="center"/>
              <w:rPr>
                <w:b/>
                <w:bCs/>
                <w:noProof/>
                <w:sz w:val="20"/>
                <w:highlight w:val="yellow"/>
                <w:lang w:eastAsia="en-AU"/>
              </w:rPr>
            </w:pPr>
            <w:r w:rsidRPr="001B0758">
              <w:t>0.3940</w:t>
            </w:r>
          </w:p>
        </w:tc>
      </w:tr>
      <w:tr w:rsidR="00402291" w:rsidRPr="00142EA3" w14:paraId="11C08B4F" w14:textId="77777777" w:rsidTr="00A74F62">
        <w:trPr>
          <w:trHeight w:val="20"/>
          <w:jc w:val="center"/>
        </w:trPr>
        <w:tc>
          <w:tcPr>
            <w:tcW w:w="2324" w:type="dxa"/>
          </w:tcPr>
          <w:p w14:paraId="4AE87858" w14:textId="348C072B" w:rsidR="00402291" w:rsidRPr="006C75CD" w:rsidRDefault="00402291" w:rsidP="00402291">
            <w:pPr>
              <w:spacing w:line="240" w:lineRule="auto"/>
              <w:contextualSpacing/>
              <w:jc w:val="center"/>
              <w:rPr>
                <w:b/>
                <w:noProof/>
                <w:sz w:val="20"/>
                <w:highlight w:val="yellow"/>
                <w:lang w:eastAsia="en-AU"/>
              </w:rPr>
            </w:pPr>
            <w:r w:rsidRPr="008E1F1E">
              <w:t>2013, 2020</w:t>
            </w:r>
          </w:p>
        </w:tc>
        <w:tc>
          <w:tcPr>
            <w:tcW w:w="660" w:type="dxa"/>
          </w:tcPr>
          <w:p w14:paraId="535DA2A2" w14:textId="77777777" w:rsidR="00402291" w:rsidRPr="006C75CD" w:rsidRDefault="00402291" w:rsidP="00402291">
            <w:pPr>
              <w:spacing w:line="240" w:lineRule="auto"/>
              <w:contextualSpacing/>
              <w:jc w:val="center"/>
              <w:rPr>
                <w:sz w:val="20"/>
                <w:highlight w:val="yellow"/>
              </w:rPr>
            </w:pPr>
          </w:p>
        </w:tc>
        <w:tc>
          <w:tcPr>
            <w:tcW w:w="1325" w:type="dxa"/>
          </w:tcPr>
          <w:p w14:paraId="4A350973" w14:textId="013343A7" w:rsidR="00402291" w:rsidRPr="006C75CD" w:rsidRDefault="00402291" w:rsidP="00402291">
            <w:pPr>
              <w:spacing w:line="240" w:lineRule="auto"/>
              <w:contextualSpacing/>
              <w:jc w:val="center"/>
              <w:rPr>
                <w:b/>
                <w:noProof/>
                <w:sz w:val="20"/>
                <w:highlight w:val="yellow"/>
                <w:lang w:eastAsia="en-AU"/>
              </w:rPr>
            </w:pPr>
            <w:r w:rsidRPr="001B0758">
              <w:t>8.4074</w:t>
            </w:r>
          </w:p>
        </w:tc>
        <w:tc>
          <w:tcPr>
            <w:tcW w:w="2130" w:type="dxa"/>
          </w:tcPr>
          <w:p w14:paraId="6FB8707E" w14:textId="5595A715" w:rsidR="00402291" w:rsidRPr="006C75CD" w:rsidRDefault="00402291" w:rsidP="00402291">
            <w:pPr>
              <w:spacing w:line="240" w:lineRule="auto"/>
              <w:contextualSpacing/>
              <w:jc w:val="center"/>
              <w:rPr>
                <w:b/>
                <w:bCs/>
                <w:noProof/>
                <w:sz w:val="20"/>
                <w:highlight w:val="yellow"/>
                <w:lang w:eastAsia="en-AU"/>
              </w:rPr>
            </w:pPr>
            <w:r w:rsidRPr="001B0758">
              <w:t>0.0279</w:t>
            </w:r>
          </w:p>
        </w:tc>
      </w:tr>
      <w:tr w:rsidR="00402291" w:rsidRPr="00142EA3" w14:paraId="3F7F3A6E" w14:textId="77777777" w:rsidTr="00A74F62">
        <w:trPr>
          <w:trHeight w:val="20"/>
          <w:jc w:val="center"/>
        </w:trPr>
        <w:tc>
          <w:tcPr>
            <w:tcW w:w="2324" w:type="dxa"/>
          </w:tcPr>
          <w:p w14:paraId="15B681E6" w14:textId="2A0BE24B" w:rsidR="00402291" w:rsidRPr="006C75CD" w:rsidRDefault="00402291" w:rsidP="00402291">
            <w:pPr>
              <w:spacing w:line="240" w:lineRule="auto"/>
              <w:contextualSpacing/>
              <w:jc w:val="center"/>
              <w:rPr>
                <w:rFonts w:cs="Calibri"/>
                <w:sz w:val="20"/>
                <w:highlight w:val="yellow"/>
              </w:rPr>
            </w:pPr>
            <w:r w:rsidRPr="008E1F1E">
              <w:t>2013, 2021</w:t>
            </w:r>
          </w:p>
        </w:tc>
        <w:tc>
          <w:tcPr>
            <w:tcW w:w="660" w:type="dxa"/>
          </w:tcPr>
          <w:p w14:paraId="15A20496" w14:textId="77777777" w:rsidR="00402291" w:rsidRPr="006C75CD" w:rsidRDefault="00402291" w:rsidP="00402291">
            <w:pPr>
              <w:spacing w:line="240" w:lineRule="auto"/>
              <w:contextualSpacing/>
              <w:jc w:val="center"/>
              <w:rPr>
                <w:sz w:val="20"/>
                <w:highlight w:val="yellow"/>
              </w:rPr>
            </w:pPr>
          </w:p>
        </w:tc>
        <w:tc>
          <w:tcPr>
            <w:tcW w:w="1325" w:type="dxa"/>
          </w:tcPr>
          <w:p w14:paraId="0396B288" w14:textId="52A07A06" w:rsidR="00402291" w:rsidRPr="006C75CD" w:rsidRDefault="00402291" w:rsidP="00402291">
            <w:pPr>
              <w:spacing w:line="240" w:lineRule="auto"/>
              <w:contextualSpacing/>
              <w:jc w:val="center"/>
              <w:rPr>
                <w:sz w:val="20"/>
                <w:highlight w:val="yellow"/>
              </w:rPr>
            </w:pPr>
            <w:r>
              <w:t>*</w:t>
            </w:r>
          </w:p>
        </w:tc>
        <w:tc>
          <w:tcPr>
            <w:tcW w:w="2130" w:type="dxa"/>
          </w:tcPr>
          <w:p w14:paraId="474BBC2F" w14:textId="497EC149" w:rsidR="00402291" w:rsidRPr="006C75CD" w:rsidRDefault="00402291" w:rsidP="00402291">
            <w:pPr>
              <w:spacing w:line="240" w:lineRule="auto"/>
              <w:contextualSpacing/>
              <w:jc w:val="center"/>
              <w:rPr>
                <w:sz w:val="20"/>
                <w:highlight w:val="yellow"/>
              </w:rPr>
            </w:pPr>
            <w:r w:rsidRPr="001B0758">
              <w:t xml:space="preserve">       </w:t>
            </w:r>
          </w:p>
        </w:tc>
      </w:tr>
      <w:tr w:rsidR="00402291" w:rsidRPr="00142EA3" w14:paraId="2A96DB63" w14:textId="77777777" w:rsidTr="00A74F62">
        <w:trPr>
          <w:trHeight w:val="20"/>
          <w:jc w:val="center"/>
        </w:trPr>
        <w:tc>
          <w:tcPr>
            <w:tcW w:w="2324" w:type="dxa"/>
          </w:tcPr>
          <w:p w14:paraId="33F91469" w14:textId="684465E5" w:rsidR="00402291" w:rsidRPr="006C75CD" w:rsidRDefault="00402291" w:rsidP="00402291">
            <w:pPr>
              <w:spacing w:line="240" w:lineRule="auto"/>
              <w:contextualSpacing/>
              <w:jc w:val="center"/>
              <w:rPr>
                <w:rFonts w:cs="Calibri"/>
                <w:sz w:val="20"/>
                <w:highlight w:val="yellow"/>
              </w:rPr>
            </w:pPr>
            <w:r w:rsidRPr="008E1F1E">
              <w:t>2013, 2022</w:t>
            </w:r>
          </w:p>
        </w:tc>
        <w:tc>
          <w:tcPr>
            <w:tcW w:w="660" w:type="dxa"/>
          </w:tcPr>
          <w:p w14:paraId="7590DF27" w14:textId="77777777" w:rsidR="00402291" w:rsidRPr="006C75CD" w:rsidRDefault="00402291" w:rsidP="00402291">
            <w:pPr>
              <w:spacing w:line="240" w:lineRule="auto"/>
              <w:contextualSpacing/>
              <w:jc w:val="center"/>
              <w:rPr>
                <w:sz w:val="20"/>
                <w:highlight w:val="yellow"/>
              </w:rPr>
            </w:pPr>
          </w:p>
        </w:tc>
        <w:tc>
          <w:tcPr>
            <w:tcW w:w="1325" w:type="dxa"/>
          </w:tcPr>
          <w:p w14:paraId="51CDC14B" w14:textId="5C10BF4B" w:rsidR="00402291" w:rsidRPr="006C75CD" w:rsidRDefault="00402291" w:rsidP="00402291">
            <w:pPr>
              <w:spacing w:line="240" w:lineRule="auto"/>
              <w:contextualSpacing/>
              <w:jc w:val="center"/>
              <w:rPr>
                <w:sz w:val="20"/>
                <w:highlight w:val="yellow"/>
              </w:rPr>
            </w:pPr>
            <w:r>
              <w:t>*</w:t>
            </w:r>
          </w:p>
        </w:tc>
        <w:tc>
          <w:tcPr>
            <w:tcW w:w="2130" w:type="dxa"/>
          </w:tcPr>
          <w:p w14:paraId="5D7D4A43" w14:textId="3C245106" w:rsidR="00402291" w:rsidRPr="006C75CD" w:rsidRDefault="00402291" w:rsidP="00402291">
            <w:pPr>
              <w:spacing w:line="240" w:lineRule="auto"/>
              <w:contextualSpacing/>
              <w:jc w:val="center"/>
              <w:rPr>
                <w:sz w:val="20"/>
                <w:highlight w:val="yellow"/>
              </w:rPr>
            </w:pPr>
            <w:r w:rsidRPr="001B0758">
              <w:t xml:space="preserve">       </w:t>
            </w:r>
          </w:p>
        </w:tc>
      </w:tr>
      <w:tr w:rsidR="00402291" w:rsidRPr="00142EA3" w14:paraId="74D11EBA" w14:textId="77777777" w:rsidTr="00A74F62">
        <w:trPr>
          <w:trHeight w:val="20"/>
          <w:jc w:val="center"/>
        </w:trPr>
        <w:tc>
          <w:tcPr>
            <w:tcW w:w="2324" w:type="dxa"/>
          </w:tcPr>
          <w:p w14:paraId="0D66277D" w14:textId="33EAE42A" w:rsidR="00402291" w:rsidRPr="006C75CD" w:rsidRDefault="00402291" w:rsidP="00402291">
            <w:pPr>
              <w:spacing w:line="240" w:lineRule="auto"/>
              <w:contextualSpacing/>
              <w:jc w:val="center"/>
              <w:rPr>
                <w:rFonts w:cs="Calibri"/>
                <w:sz w:val="20"/>
                <w:highlight w:val="yellow"/>
              </w:rPr>
            </w:pPr>
            <w:r w:rsidRPr="008E1F1E">
              <w:t>2013, 2023</w:t>
            </w:r>
          </w:p>
        </w:tc>
        <w:tc>
          <w:tcPr>
            <w:tcW w:w="660" w:type="dxa"/>
          </w:tcPr>
          <w:p w14:paraId="230591A5" w14:textId="77777777" w:rsidR="00402291" w:rsidRPr="006C75CD" w:rsidRDefault="00402291" w:rsidP="00402291">
            <w:pPr>
              <w:spacing w:line="240" w:lineRule="auto"/>
              <w:contextualSpacing/>
              <w:jc w:val="center"/>
              <w:rPr>
                <w:sz w:val="20"/>
                <w:highlight w:val="yellow"/>
              </w:rPr>
            </w:pPr>
          </w:p>
        </w:tc>
        <w:tc>
          <w:tcPr>
            <w:tcW w:w="1325" w:type="dxa"/>
          </w:tcPr>
          <w:p w14:paraId="27B1395D" w14:textId="71782381" w:rsidR="00402291" w:rsidRPr="006C75CD" w:rsidRDefault="00402291" w:rsidP="00402291">
            <w:pPr>
              <w:spacing w:line="240" w:lineRule="auto"/>
              <w:contextualSpacing/>
              <w:jc w:val="center"/>
              <w:rPr>
                <w:sz w:val="20"/>
                <w:highlight w:val="yellow"/>
              </w:rPr>
            </w:pPr>
            <w:r w:rsidRPr="001B0758">
              <w:t>1.8154</w:t>
            </w:r>
          </w:p>
        </w:tc>
        <w:tc>
          <w:tcPr>
            <w:tcW w:w="2130" w:type="dxa"/>
          </w:tcPr>
          <w:p w14:paraId="54F27721" w14:textId="23EAEFB9" w:rsidR="00402291" w:rsidRPr="006C75CD" w:rsidRDefault="00402291" w:rsidP="00402291">
            <w:pPr>
              <w:spacing w:line="240" w:lineRule="auto"/>
              <w:contextualSpacing/>
              <w:jc w:val="center"/>
              <w:rPr>
                <w:sz w:val="20"/>
                <w:highlight w:val="yellow"/>
              </w:rPr>
            </w:pPr>
            <w:r w:rsidRPr="001B0758">
              <w:t>0.1979</w:t>
            </w:r>
          </w:p>
        </w:tc>
      </w:tr>
      <w:tr w:rsidR="00402291" w:rsidRPr="00142EA3" w14:paraId="4B771D84" w14:textId="77777777" w:rsidTr="00A74F62">
        <w:trPr>
          <w:trHeight w:val="20"/>
          <w:jc w:val="center"/>
        </w:trPr>
        <w:tc>
          <w:tcPr>
            <w:tcW w:w="2324" w:type="dxa"/>
          </w:tcPr>
          <w:p w14:paraId="22AD2127" w14:textId="1066DB3A" w:rsidR="00402291" w:rsidRPr="006C75CD" w:rsidRDefault="00402291" w:rsidP="00402291">
            <w:pPr>
              <w:spacing w:line="240" w:lineRule="auto"/>
              <w:contextualSpacing/>
              <w:jc w:val="center"/>
              <w:rPr>
                <w:sz w:val="20"/>
                <w:highlight w:val="yellow"/>
              </w:rPr>
            </w:pPr>
            <w:r w:rsidRPr="008E1F1E">
              <w:t>2013, 2024</w:t>
            </w:r>
          </w:p>
        </w:tc>
        <w:tc>
          <w:tcPr>
            <w:tcW w:w="660" w:type="dxa"/>
          </w:tcPr>
          <w:p w14:paraId="66DDABA2" w14:textId="77777777" w:rsidR="00402291" w:rsidRPr="006C75CD" w:rsidRDefault="00402291" w:rsidP="00402291">
            <w:pPr>
              <w:spacing w:line="240" w:lineRule="auto"/>
              <w:contextualSpacing/>
              <w:jc w:val="center"/>
              <w:rPr>
                <w:sz w:val="20"/>
                <w:highlight w:val="yellow"/>
              </w:rPr>
            </w:pPr>
          </w:p>
        </w:tc>
        <w:tc>
          <w:tcPr>
            <w:tcW w:w="1325" w:type="dxa"/>
          </w:tcPr>
          <w:p w14:paraId="610E5737" w14:textId="30AAC9E7" w:rsidR="00402291" w:rsidRPr="006C75CD" w:rsidRDefault="00402291" w:rsidP="00402291">
            <w:pPr>
              <w:spacing w:line="240" w:lineRule="auto"/>
              <w:contextualSpacing/>
              <w:jc w:val="center"/>
              <w:rPr>
                <w:sz w:val="20"/>
                <w:highlight w:val="yellow"/>
              </w:rPr>
            </w:pPr>
            <w:r>
              <w:t>*</w:t>
            </w:r>
          </w:p>
        </w:tc>
        <w:tc>
          <w:tcPr>
            <w:tcW w:w="2130" w:type="dxa"/>
          </w:tcPr>
          <w:p w14:paraId="7E34D25C" w14:textId="1BF0BB09" w:rsidR="00402291" w:rsidRPr="006C75CD" w:rsidRDefault="00402291" w:rsidP="00402291">
            <w:pPr>
              <w:spacing w:line="240" w:lineRule="auto"/>
              <w:contextualSpacing/>
              <w:jc w:val="center"/>
              <w:rPr>
                <w:sz w:val="20"/>
                <w:highlight w:val="yellow"/>
              </w:rPr>
            </w:pPr>
            <w:r w:rsidRPr="001B0758">
              <w:t xml:space="preserve">       </w:t>
            </w:r>
          </w:p>
        </w:tc>
      </w:tr>
      <w:tr w:rsidR="00402291" w:rsidRPr="00142EA3" w14:paraId="7F1DF725" w14:textId="77777777" w:rsidTr="00A74F62">
        <w:trPr>
          <w:trHeight w:val="20"/>
          <w:jc w:val="center"/>
        </w:trPr>
        <w:tc>
          <w:tcPr>
            <w:tcW w:w="2324" w:type="dxa"/>
          </w:tcPr>
          <w:p w14:paraId="33B421CD" w14:textId="53279F6E" w:rsidR="00402291" w:rsidRPr="006C75CD" w:rsidRDefault="00402291" w:rsidP="00402291">
            <w:pPr>
              <w:spacing w:line="240" w:lineRule="auto"/>
              <w:contextualSpacing/>
              <w:jc w:val="center"/>
              <w:rPr>
                <w:sz w:val="20"/>
                <w:highlight w:val="yellow"/>
              </w:rPr>
            </w:pPr>
            <w:r w:rsidRPr="008E1F1E">
              <w:t>2014, 2015</w:t>
            </w:r>
          </w:p>
        </w:tc>
        <w:tc>
          <w:tcPr>
            <w:tcW w:w="660" w:type="dxa"/>
          </w:tcPr>
          <w:p w14:paraId="20818EF0" w14:textId="77777777" w:rsidR="00402291" w:rsidRPr="006C75CD" w:rsidRDefault="00402291" w:rsidP="00402291">
            <w:pPr>
              <w:spacing w:line="240" w:lineRule="auto"/>
              <w:contextualSpacing/>
              <w:jc w:val="center"/>
              <w:rPr>
                <w:sz w:val="20"/>
                <w:highlight w:val="yellow"/>
              </w:rPr>
            </w:pPr>
          </w:p>
        </w:tc>
        <w:tc>
          <w:tcPr>
            <w:tcW w:w="1325" w:type="dxa"/>
          </w:tcPr>
          <w:p w14:paraId="25556262" w14:textId="360929F2" w:rsidR="00402291" w:rsidRPr="006C75CD" w:rsidRDefault="00402291" w:rsidP="00402291">
            <w:pPr>
              <w:spacing w:line="240" w:lineRule="auto"/>
              <w:contextualSpacing/>
              <w:jc w:val="center"/>
              <w:rPr>
                <w:sz w:val="20"/>
                <w:highlight w:val="yellow"/>
              </w:rPr>
            </w:pPr>
            <w:r w:rsidRPr="001B0758">
              <w:t>1.0000</w:t>
            </w:r>
          </w:p>
        </w:tc>
        <w:tc>
          <w:tcPr>
            <w:tcW w:w="2130" w:type="dxa"/>
          </w:tcPr>
          <w:p w14:paraId="57AC113B" w14:textId="0B97D0E1" w:rsidR="00402291" w:rsidRPr="006C75CD" w:rsidRDefault="00402291" w:rsidP="00402291">
            <w:pPr>
              <w:spacing w:line="240" w:lineRule="auto"/>
              <w:contextualSpacing/>
              <w:jc w:val="center"/>
              <w:rPr>
                <w:b/>
                <w:bCs/>
                <w:sz w:val="20"/>
                <w:highlight w:val="yellow"/>
              </w:rPr>
            </w:pPr>
            <w:r w:rsidRPr="001B0758">
              <w:t>1.0000</w:t>
            </w:r>
          </w:p>
        </w:tc>
      </w:tr>
      <w:tr w:rsidR="00402291" w:rsidRPr="00142EA3" w14:paraId="40098927" w14:textId="77777777" w:rsidTr="00A74F62">
        <w:trPr>
          <w:trHeight w:val="20"/>
          <w:jc w:val="center"/>
        </w:trPr>
        <w:tc>
          <w:tcPr>
            <w:tcW w:w="2324" w:type="dxa"/>
          </w:tcPr>
          <w:p w14:paraId="3B9F4A2A" w14:textId="7A328AAD" w:rsidR="00402291" w:rsidRPr="006C75CD" w:rsidRDefault="00402291" w:rsidP="00402291">
            <w:pPr>
              <w:spacing w:line="240" w:lineRule="auto"/>
              <w:contextualSpacing/>
              <w:jc w:val="center"/>
              <w:rPr>
                <w:sz w:val="20"/>
                <w:highlight w:val="yellow"/>
              </w:rPr>
            </w:pPr>
            <w:r w:rsidRPr="008E1F1E">
              <w:t>2014, 2016</w:t>
            </w:r>
          </w:p>
        </w:tc>
        <w:tc>
          <w:tcPr>
            <w:tcW w:w="660" w:type="dxa"/>
          </w:tcPr>
          <w:p w14:paraId="68ED13AF" w14:textId="77777777" w:rsidR="00402291" w:rsidRPr="006C75CD" w:rsidRDefault="00402291" w:rsidP="00402291">
            <w:pPr>
              <w:spacing w:line="240" w:lineRule="auto"/>
              <w:contextualSpacing/>
              <w:jc w:val="center"/>
              <w:rPr>
                <w:sz w:val="20"/>
                <w:highlight w:val="yellow"/>
              </w:rPr>
            </w:pPr>
          </w:p>
        </w:tc>
        <w:tc>
          <w:tcPr>
            <w:tcW w:w="1325" w:type="dxa"/>
          </w:tcPr>
          <w:p w14:paraId="6A190606" w14:textId="3C994A09" w:rsidR="00402291" w:rsidRPr="006C75CD" w:rsidRDefault="00402291" w:rsidP="00402291">
            <w:pPr>
              <w:spacing w:line="240" w:lineRule="auto"/>
              <w:contextualSpacing/>
              <w:jc w:val="center"/>
              <w:rPr>
                <w:sz w:val="20"/>
                <w:highlight w:val="yellow"/>
              </w:rPr>
            </w:pPr>
            <w:r w:rsidRPr="001B0758">
              <w:t>1.7198</w:t>
            </w:r>
          </w:p>
        </w:tc>
        <w:tc>
          <w:tcPr>
            <w:tcW w:w="2130" w:type="dxa"/>
          </w:tcPr>
          <w:p w14:paraId="5D091222" w14:textId="7D9289D4" w:rsidR="00402291" w:rsidRPr="006C75CD" w:rsidRDefault="00402291" w:rsidP="00402291">
            <w:pPr>
              <w:spacing w:line="240" w:lineRule="auto"/>
              <w:contextualSpacing/>
              <w:jc w:val="center"/>
              <w:rPr>
                <w:sz w:val="20"/>
                <w:highlight w:val="yellow"/>
              </w:rPr>
            </w:pPr>
            <w:r w:rsidRPr="001B0758">
              <w:t>0.4297</w:t>
            </w:r>
          </w:p>
        </w:tc>
      </w:tr>
      <w:tr w:rsidR="00402291" w:rsidRPr="00142EA3" w14:paraId="64C1212E" w14:textId="77777777" w:rsidTr="00A74F62">
        <w:trPr>
          <w:trHeight w:val="20"/>
          <w:jc w:val="center"/>
        </w:trPr>
        <w:tc>
          <w:tcPr>
            <w:tcW w:w="2324" w:type="dxa"/>
          </w:tcPr>
          <w:p w14:paraId="48DF7F19" w14:textId="7764324B" w:rsidR="00402291" w:rsidRPr="006C75CD" w:rsidRDefault="00402291" w:rsidP="00402291">
            <w:pPr>
              <w:spacing w:line="240" w:lineRule="auto"/>
              <w:contextualSpacing/>
              <w:jc w:val="center"/>
              <w:rPr>
                <w:sz w:val="20"/>
                <w:highlight w:val="yellow"/>
              </w:rPr>
            </w:pPr>
            <w:r w:rsidRPr="008E1F1E">
              <w:t>2014, 2017</w:t>
            </w:r>
          </w:p>
        </w:tc>
        <w:tc>
          <w:tcPr>
            <w:tcW w:w="660" w:type="dxa"/>
          </w:tcPr>
          <w:p w14:paraId="411BCB6E" w14:textId="77777777" w:rsidR="00402291" w:rsidRPr="006C75CD" w:rsidRDefault="00402291" w:rsidP="00402291">
            <w:pPr>
              <w:spacing w:line="240" w:lineRule="auto"/>
              <w:contextualSpacing/>
              <w:jc w:val="center"/>
              <w:rPr>
                <w:sz w:val="20"/>
                <w:highlight w:val="yellow"/>
              </w:rPr>
            </w:pPr>
          </w:p>
        </w:tc>
        <w:tc>
          <w:tcPr>
            <w:tcW w:w="1325" w:type="dxa"/>
          </w:tcPr>
          <w:p w14:paraId="625823A2" w14:textId="4861493D" w:rsidR="00402291" w:rsidRPr="006C75CD" w:rsidRDefault="00402291" w:rsidP="00402291">
            <w:pPr>
              <w:spacing w:line="240" w:lineRule="auto"/>
              <w:contextualSpacing/>
              <w:jc w:val="center"/>
              <w:rPr>
                <w:sz w:val="20"/>
                <w:highlight w:val="yellow"/>
              </w:rPr>
            </w:pPr>
            <w:r>
              <w:t>*</w:t>
            </w:r>
          </w:p>
        </w:tc>
        <w:tc>
          <w:tcPr>
            <w:tcW w:w="2130" w:type="dxa"/>
          </w:tcPr>
          <w:p w14:paraId="6A5BF489" w14:textId="25349A73" w:rsidR="00402291" w:rsidRPr="006C75CD" w:rsidRDefault="00402291" w:rsidP="00402291">
            <w:pPr>
              <w:spacing w:line="240" w:lineRule="auto"/>
              <w:contextualSpacing/>
              <w:jc w:val="center"/>
              <w:rPr>
                <w:b/>
                <w:bCs/>
                <w:sz w:val="20"/>
                <w:highlight w:val="yellow"/>
              </w:rPr>
            </w:pPr>
            <w:r w:rsidRPr="001B0758">
              <w:t xml:space="preserve">       </w:t>
            </w:r>
          </w:p>
        </w:tc>
      </w:tr>
      <w:tr w:rsidR="00402291" w:rsidRPr="00142EA3" w14:paraId="6334E3FF" w14:textId="77777777" w:rsidTr="00A74F62">
        <w:trPr>
          <w:trHeight w:val="20"/>
          <w:jc w:val="center"/>
        </w:trPr>
        <w:tc>
          <w:tcPr>
            <w:tcW w:w="2324" w:type="dxa"/>
          </w:tcPr>
          <w:p w14:paraId="6022D3C0" w14:textId="0FD780CE" w:rsidR="00402291" w:rsidRPr="006C75CD" w:rsidRDefault="00402291" w:rsidP="00402291">
            <w:pPr>
              <w:spacing w:line="240" w:lineRule="auto"/>
              <w:contextualSpacing/>
              <w:jc w:val="center"/>
              <w:rPr>
                <w:sz w:val="20"/>
                <w:highlight w:val="yellow"/>
              </w:rPr>
            </w:pPr>
            <w:r w:rsidRPr="008E1F1E">
              <w:t>2014, 2019</w:t>
            </w:r>
          </w:p>
        </w:tc>
        <w:tc>
          <w:tcPr>
            <w:tcW w:w="660" w:type="dxa"/>
          </w:tcPr>
          <w:p w14:paraId="33225820" w14:textId="77777777" w:rsidR="00402291" w:rsidRPr="006C75CD" w:rsidRDefault="00402291" w:rsidP="00402291">
            <w:pPr>
              <w:spacing w:line="240" w:lineRule="auto"/>
              <w:contextualSpacing/>
              <w:jc w:val="center"/>
              <w:rPr>
                <w:sz w:val="20"/>
                <w:highlight w:val="yellow"/>
              </w:rPr>
            </w:pPr>
          </w:p>
        </w:tc>
        <w:tc>
          <w:tcPr>
            <w:tcW w:w="1325" w:type="dxa"/>
          </w:tcPr>
          <w:p w14:paraId="479B8244" w14:textId="59218444" w:rsidR="00402291" w:rsidRPr="006C75CD" w:rsidRDefault="00402291" w:rsidP="00402291">
            <w:pPr>
              <w:spacing w:line="240" w:lineRule="auto"/>
              <w:contextualSpacing/>
              <w:jc w:val="center"/>
              <w:rPr>
                <w:sz w:val="20"/>
                <w:highlight w:val="yellow"/>
              </w:rPr>
            </w:pPr>
            <w:r w:rsidRPr="001B0758">
              <w:t>2.3901</w:t>
            </w:r>
          </w:p>
        </w:tc>
        <w:tc>
          <w:tcPr>
            <w:tcW w:w="2130" w:type="dxa"/>
          </w:tcPr>
          <w:p w14:paraId="33E13ED9" w14:textId="15A3D672" w:rsidR="00402291" w:rsidRPr="006C75CD" w:rsidRDefault="00402291" w:rsidP="00402291">
            <w:pPr>
              <w:spacing w:line="240" w:lineRule="auto"/>
              <w:contextualSpacing/>
              <w:jc w:val="center"/>
              <w:rPr>
                <w:b/>
                <w:bCs/>
                <w:sz w:val="20"/>
                <w:highlight w:val="yellow"/>
              </w:rPr>
            </w:pPr>
            <w:r w:rsidRPr="001B0758">
              <w:t>0.1437</w:t>
            </w:r>
          </w:p>
        </w:tc>
      </w:tr>
      <w:tr w:rsidR="00402291" w:rsidRPr="00142EA3" w14:paraId="4283DAB5" w14:textId="77777777" w:rsidTr="00A74F62">
        <w:trPr>
          <w:trHeight w:val="20"/>
          <w:jc w:val="center"/>
        </w:trPr>
        <w:tc>
          <w:tcPr>
            <w:tcW w:w="2324" w:type="dxa"/>
          </w:tcPr>
          <w:p w14:paraId="3CBA916C" w14:textId="7B8E75C2" w:rsidR="00402291" w:rsidRPr="006C75CD" w:rsidRDefault="00402291" w:rsidP="00402291">
            <w:pPr>
              <w:spacing w:line="240" w:lineRule="auto"/>
              <w:contextualSpacing/>
              <w:jc w:val="center"/>
              <w:rPr>
                <w:rFonts w:cs="Calibri"/>
                <w:sz w:val="20"/>
                <w:highlight w:val="yellow"/>
              </w:rPr>
            </w:pPr>
            <w:r w:rsidRPr="008E1F1E">
              <w:t>2014, 2020</w:t>
            </w:r>
          </w:p>
        </w:tc>
        <w:tc>
          <w:tcPr>
            <w:tcW w:w="660" w:type="dxa"/>
          </w:tcPr>
          <w:p w14:paraId="5C69BF37" w14:textId="77777777" w:rsidR="00402291" w:rsidRPr="006C75CD" w:rsidRDefault="00402291" w:rsidP="00402291">
            <w:pPr>
              <w:spacing w:line="240" w:lineRule="auto"/>
              <w:contextualSpacing/>
              <w:jc w:val="center"/>
              <w:rPr>
                <w:sz w:val="20"/>
                <w:highlight w:val="yellow"/>
              </w:rPr>
            </w:pPr>
          </w:p>
        </w:tc>
        <w:tc>
          <w:tcPr>
            <w:tcW w:w="1325" w:type="dxa"/>
          </w:tcPr>
          <w:p w14:paraId="5FD978CB" w14:textId="7D012E1E" w:rsidR="00402291" w:rsidRPr="006C75CD" w:rsidRDefault="00402291" w:rsidP="00402291">
            <w:pPr>
              <w:spacing w:line="240" w:lineRule="auto"/>
              <w:contextualSpacing/>
              <w:jc w:val="center"/>
              <w:rPr>
                <w:sz w:val="20"/>
                <w:highlight w:val="yellow"/>
              </w:rPr>
            </w:pPr>
            <w:r w:rsidRPr="001B0758">
              <w:t>9.9478</w:t>
            </w:r>
          </w:p>
        </w:tc>
        <w:tc>
          <w:tcPr>
            <w:tcW w:w="2130" w:type="dxa"/>
          </w:tcPr>
          <w:p w14:paraId="34FBFF74" w14:textId="60233873" w:rsidR="00402291" w:rsidRPr="00402291" w:rsidRDefault="00402291" w:rsidP="00402291">
            <w:pPr>
              <w:spacing w:line="240" w:lineRule="auto"/>
              <w:contextualSpacing/>
              <w:jc w:val="center"/>
              <w:rPr>
                <w:b/>
                <w:bCs/>
                <w:sz w:val="20"/>
                <w:highlight w:val="yellow"/>
              </w:rPr>
            </w:pPr>
            <w:r w:rsidRPr="00402291">
              <w:rPr>
                <w:b/>
                <w:bCs/>
              </w:rPr>
              <w:t>0.0281</w:t>
            </w:r>
          </w:p>
        </w:tc>
      </w:tr>
      <w:tr w:rsidR="00402291" w:rsidRPr="00142EA3" w14:paraId="07DD73AF" w14:textId="77777777" w:rsidTr="00A74F62">
        <w:trPr>
          <w:trHeight w:val="20"/>
          <w:jc w:val="center"/>
        </w:trPr>
        <w:tc>
          <w:tcPr>
            <w:tcW w:w="2324" w:type="dxa"/>
          </w:tcPr>
          <w:p w14:paraId="6ECB2C1C" w14:textId="2F904BD4" w:rsidR="00402291" w:rsidRPr="006C75CD" w:rsidRDefault="00402291" w:rsidP="00402291">
            <w:pPr>
              <w:spacing w:line="240" w:lineRule="auto"/>
              <w:contextualSpacing/>
              <w:jc w:val="center"/>
              <w:rPr>
                <w:rFonts w:cs="Calibri"/>
                <w:sz w:val="20"/>
                <w:highlight w:val="yellow"/>
              </w:rPr>
            </w:pPr>
            <w:r w:rsidRPr="008E1F1E">
              <w:t>2014, 2021</w:t>
            </w:r>
          </w:p>
        </w:tc>
        <w:tc>
          <w:tcPr>
            <w:tcW w:w="660" w:type="dxa"/>
          </w:tcPr>
          <w:p w14:paraId="03682E74" w14:textId="77777777" w:rsidR="00402291" w:rsidRPr="006C75CD" w:rsidRDefault="00402291" w:rsidP="00402291">
            <w:pPr>
              <w:spacing w:line="240" w:lineRule="auto"/>
              <w:contextualSpacing/>
              <w:jc w:val="center"/>
              <w:rPr>
                <w:sz w:val="20"/>
                <w:highlight w:val="yellow"/>
              </w:rPr>
            </w:pPr>
          </w:p>
        </w:tc>
        <w:tc>
          <w:tcPr>
            <w:tcW w:w="1325" w:type="dxa"/>
          </w:tcPr>
          <w:p w14:paraId="4ECACA6B" w14:textId="5308740D" w:rsidR="00402291" w:rsidRPr="006C75CD" w:rsidRDefault="00402291" w:rsidP="00402291">
            <w:pPr>
              <w:spacing w:line="240" w:lineRule="auto"/>
              <w:contextualSpacing/>
              <w:jc w:val="center"/>
              <w:rPr>
                <w:sz w:val="20"/>
                <w:highlight w:val="yellow"/>
              </w:rPr>
            </w:pPr>
            <w:r>
              <w:t>*</w:t>
            </w:r>
          </w:p>
        </w:tc>
        <w:tc>
          <w:tcPr>
            <w:tcW w:w="2130" w:type="dxa"/>
          </w:tcPr>
          <w:p w14:paraId="54C44023" w14:textId="49E387A1" w:rsidR="00402291" w:rsidRPr="006C75CD" w:rsidRDefault="00402291" w:rsidP="00402291">
            <w:pPr>
              <w:spacing w:line="240" w:lineRule="auto"/>
              <w:contextualSpacing/>
              <w:jc w:val="center"/>
              <w:rPr>
                <w:sz w:val="20"/>
                <w:highlight w:val="yellow"/>
              </w:rPr>
            </w:pPr>
            <w:r w:rsidRPr="001B0758">
              <w:t xml:space="preserve">       </w:t>
            </w:r>
          </w:p>
        </w:tc>
      </w:tr>
      <w:tr w:rsidR="00402291" w:rsidRPr="00142EA3" w14:paraId="6063EDAB" w14:textId="77777777" w:rsidTr="00A74F62">
        <w:trPr>
          <w:trHeight w:val="20"/>
          <w:jc w:val="center"/>
        </w:trPr>
        <w:tc>
          <w:tcPr>
            <w:tcW w:w="2324" w:type="dxa"/>
          </w:tcPr>
          <w:p w14:paraId="45F906F2" w14:textId="6BC0ABEA" w:rsidR="00402291" w:rsidRPr="006C75CD" w:rsidRDefault="00402291" w:rsidP="00402291">
            <w:pPr>
              <w:spacing w:line="240" w:lineRule="auto"/>
              <w:contextualSpacing/>
              <w:jc w:val="center"/>
              <w:rPr>
                <w:rFonts w:cs="Calibri"/>
                <w:sz w:val="20"/>
                <w:highlight w:val="yellow"/>
              </w:rPr>
            </w:pPr>
            <w:r w:rsidRPr="008E1F1E">
              <w:t>2014, 2022</w:t>
            </w:r>
          </w:p>
        </w:tc>
        <w:tc>
          <w:tcPr>
            <w:tcW w:w="660" w:type="dxa"/>
          </w:tcPr>
          <w:p w14:paraId="7D8C575D" w14:textId="77777777" w:rsidR="00402291" w:rsidRPr="006C75CD" w:rsidRDefault="00402291" w:rsidP="00402291">
            <w:pPr>
              <w:spacing w:line="240" w:lineRule="auto"/>
              <w:contextualSpacing/>
              <w:jc w:val="center"/>
              <w:rPr>
                <w:sz w:val="20"/>
                <w:highlight w:val="yellow"/>
              </w:rPr>
            </w:pPr>
          </w:p>
        </w:tc>
        <w:tc>
          <w:tcPr>
            <w:tcW w:w="1325" w:type="dxa"/>
          </w:tcPr>
          <w:p w14:paraId="0C0088BE" w14:textId="1F9B38C2" w:rsidR="00402291" w:rsidRPr="006C75CD" w:rsidRDefault="00402291" w:rsidP="00402291">
            <w:pPr>
              <w:spacing w:line="240" w:lineRule="auto"/>
              <w:contextualSpacing/>
              <w:jc w:val="center"/>
              <w:rPr>
                <w:sz w:val="20"/>
                <w:highlight w:val="yellow"/>
              </w:rPr>
            </w:pPr>
            <w:r>
              <w:t>*</w:t>
            </w:r>
          </w:p>
        </w:tc>
        <w:tc>
          <w:tcPr>
            <w:tcW w:w="2130" w:type="dxa"/>
          </w:tcPr>
          <w:p w14:paraId="0B8AA18A" w14:textId="64D64F6B" w:rsidR="00402291" w:rsidRPr="006C75CD" w:rsidRDefault="00402291" w:rsidP="00402291">
            <w:pPr>
              <w:spacing w:line="240" w:lineRule="auto"/>
              <w:contextualSpacing/>
              <w:jc w:val="center"/>
              <w:rPr>
                <w:sz w:val="20"/>
                <w:highlight w:val="yellow"/>
              </w:rPr>
            </w:pPr>
            <w:r w:rsidRPr="001B0758">
              <w:t xml:space="preserve">       </w:t>
            </w:r>
          </w:p>
        </w:tc>
      </w:tr>
      <w:tr w:rsidR="00402291" w:rsidRPr="00142EA3" w14:paraId="1A919E15" w14:textId="77777777" w:rsidTr="00A74F62">
        <w:trPr>
          <w:trHeight w:val="20"/>
          <w:jc w:val="center"/>
        </w:trPr>
        <w:tc>
          <w:tcPr>
            <w:tcW w:w="2324" w:type="dxa"/>
          </w:tcPr>
          <w:p w14:paraId="7F1B8D51" w14:textId="0799E734" w:rsidR="00402291" w:rsidRPr="006C75CD" w:rsidRDefault="00402291" w:rsidP="00402291">
            <w:pPr>
              <w:spacing w:line="240" w:lineRule="auto"/>
              <w:contextualSpacing/>
              <w:jc w:val="center"/>
              <w:rPr>
                <w:sz w:val="20"/>
                <w:highlight w:val="yellow"/>
              </w:rPr>
            </w:pPr>
            <w:r w:rsidRPr="008E1F1E">
              <w:t>2014, 2023</w:t>
            </w:r>
          </w:p>
        </w:tc>
        <w:tc>
          <w:tcPr>
            <w:tcW w:w="660" w:type="dxa"/>
          </w:tcPr>
          <w:p w14:paraId="5F095AE7" w14:textId="77777777" w:rsidR="00402291" w:rsidRPr="006C75CD" w:rsidRDefault="00402291" w:rsidP="00402291">
            <w:pPr>
              <w:spacing w:line="240" w:lineRule="auto"/>
              <w:contextualSpacing/>
              <w:jc w:val="center"/>
              <w:rPr>
                <w:sz w:val="20"/>
                <w:highlight w:val="yellow"/>
              </w:rPr>
            </w:pPr>
          </w:p>
        </w:tc>
        <w:tc>
          <w:tcPr>
            <w:tcW w:w="1325" w:type="dxa"/>
          </w:tcPr>
          <w:p w14:paraId="04F14123" w14:textId="18134764" w:rsidR="00402291" w:rsidRPr="006C75CD" w:rsidRDefault="00402291" w:rsidP="00402291">
            <w:pPr>
              <w:spacing w:line="240" w:lineRule="auto"/>
              <w:contextualSpacing/>
              <w:jc w:val="center"/>
              <w:rPr>
                <w:sz w:val="20"/>
                <w:highlight w:val="yellow"/>
              </w:rPr>
            </w:pPr>
            <w:r w:rsidRPr="001B0758">
              <w:t>2.1348</w:t>
            </w:r>
          </w:p>
        </w:tc>
        <w:tc>
          <w:tcPr>
            <w:tcW w:w="2130" w:type="dxa"/>
          </w:tcPr>
          <w:p w14:paraId="365CA0CD" w14:textId="2B7D059D" w:rsidR="00402291" w:rsidRPr="006C75CD" w:rsidRDefault="00402291" w:rsidP="00402291">
            <w:pPr>
              <w:spacing w:line="240" w:lineRule="auto"/>
              <w:contextualSpacing/>
              <w:jc w:val="center"/>
              <w:rPr>
                <w:sz w:val="20"/>
                <w:highlight w:val="yellow"/>
              </w:rPr>
            </w:pPr>
            <w:r w:rsidRPr="001B0758">
              <w:t>0.1662</w:t>
            </w:r>
          </w:p>
        </w:tc>
      </w:tr>
      <w:tr w:rsidR="00402291" w:rsidRPr="00142EA3" w14:paraId="1BB63868" w14:textId="77777777" w:rsidTr="00A74F62">
        <w:trPr>
          <w:trHeight w:val="20"/>
          <w:jc w:val="center"/>
        </w:trPr>
        <w:tc>
          <w:tcPr>
            <w:tcW w:w="2324" w:type="dxa"/>
          </w:tcPr>
          <w:p w14:paraId="5F6A5BA7" w14:textId="6D5724AC" w:rsidR="00402291" w:rsidRPr="006C75CD" w:rsidRDefault="00402291" w:rsidP="00402291">
            <w:pPr>
              <w:spacing w:line="240" w:lineRule="auto"/>
              <w:contextualSpacing/>
              <w:jc w:val="center"/>
              <w:rPr>
                <w:b/>
                <w:noProof/>
                <w:sz w:val="20"/>
                <w:highlight w:val="yellow"/>
                <w:lang w:eastAsia="en-AU"/>
              </w:rPr>
            </w:pPr>
            <w:r w:rsidRPr="008E1F1E">
              <w:t>2014, 2024</w:t>
            </w:r>
          </w:p>
        </w:tc>
        <w:tc>
          <w:tcPr>
            <w:tcW w:w="660" w:type="dxa"/>
          </w:tcPr>
          <w:p w14:paraId="0E4AEF36" w14:textId="77777777" w:rsidR="00402291" w:rsidRPr="006C75CD" w:rsidRDefault="00402291" w:rsidP="00402291">
            <w:pPr>
              <w:spacing w:line="240" w:lineRule="auto"/>
              <w:contextualSpacing/>
              <w:jc w:val="center"/>
              <w:rPr>
                <w:sz w:val="20"/>
                <w:highlight w:val="yellow"/>
              </w:rPr>
            </w:pPr>
          </w:p>
        </w:tc>
        <w:tc>
          <w:tcPr>
            <w:tcW w:w="1325" w:type="dxa"/>
          </w:tcPr>
          <w:p w14:paraId="6BC7A06A" w14:textId="61E93C3C" w:rsidR="00402291" w:rsidRPr="006C75CD" w:rsidRDefault="00402291" w:rsidP="00402291">
            <w:pPr>
              <w:spacing w:line="240" w:lineRule="auto"/>
              <w:contextualSpacing/>
              <w:jc w:val="center"/>
              <w:rPr>
                <w:b/>
                <w:noProof/>
                <w:sz w:val="20"/>
                <w:highlight w:val="yellow"/>
                <w:lang w:eastAsia="en-AU"/>
              </w:rPr>
            </w:pPr>
            <w:r>
              <w:t>*</w:t>
            </w:r>
          </w:p>
        </w:tc>
        <w:tc>
          <w:tcPr>
            <w:tcW w:w="2130" w:type="dxa"/>
          </w:tcPr>
          <w:p w14:paraId="6461EC61" w14:textId="3418A7F6" w:rsidR="00402291" w:rsidRPr="006C75CD" w:rsidRDefault="00402291" w:rsidP="00402291">
            <w:pPr>
              <w:spacing w:line="240" w:lineRule="auto"/>
              <w:contextualSpacing/>
              <w:jc w:val="center"/>
              <w:rPr>
                <w:noProof/>
                <w:sz w:val="20"/>
                <w:highlight w:val="yellow"/>
                <w:lang w:eastAsia="en-AU"/>
              </w:rPr>
            </w:pPr>
            <w:r w:rsidRPr="001B0758">
              <w:t xml:space="preserve">       </w:t>
            </w:r>
          </w:p>
        </w:tc>
      </w:tr>
      <w:tr w:rsidR="00402291" w:rsidRPr="00142EA3" w14:paraId="0E65C0E7" w14:textId="77777777" w:rsidTr="00A74F62">
        <w:trPr>
          <w:trHeight w:val="20"/>
          <w:jc w:val="center"/>
        </w:trPr>
        <w:tc>
          <w:tcPr>
            <w:tcW w:w="2324" w:type="dxa"/>
          </w:tcPr>
          <w:p w14:paraId="389EA83A" w14:textId="40257736" w:rsidR="00402291" w:rsidRPr="006C75CD" w:rsidRDefault="00402291" w:rsidP="00402291">
            <w:pPr>
              <w:spacing w:line="240" w:lineRule="auto"/>
              <w:contextualSpacing/>
              <w:jc w:val="center"/>
              <w:rPr>
                <w:b/>
                <w:noProof/>
                <w:sz w:val="20"/>
                <w:highlight w:val="yellow"/>
                <w:lang w:eastAsia="en-AU"/>
              </w:rPr>
            </w:pPr>
            <w:r w:rsidRPr="008E1F1E">
              <w:t>2015, 2016</w:t>
            </w:r>
          </w:p>
        </w:tc>
        <w:tc>
          <w:tcPr>
            <w:tcW w:w="660" w:type="dxa"/>
          </w:tcPr>
          <w:p w14:paraId="39A8869F" w14:textId="77777777" w:rsidR="00402291" w:rsidRPr="006C75CD" w:rsidRDefault="00402291" w:rsidP="00402291">
            <w:pPr>
              <w:spacing w:line="240" w:lineRule="auto"/>
              <w:contextualSpacing/>
              <w:jc w:val="center"/>
              <w:rPr>
                <w:sz w:val="20"/>
                <w:highlight w:val="yellow"/>
              </w:rPr>
            </w:pPr>
          </w:p>
        </w:tc>
        <w:tc>
          <w:tcPr>
            <w:tcW w:w="1325" w:type="dxa"/>
          </w:tcPr>
          <w:p w14:paraId="11415B87" w14:textId="11059C27" w:rsidR="00402291" w:rsidRPr="006C75CD" w:rsidRDefault="00402291" w:rsidP="00402291">
            <w:pPr>
              <w:spacing w:line="240" w:lineRule="auto"/>
              <w:contextualSpacing/>
              <w:jc w:val="center"/>
              <w:rPr>
                <w:b/>
                <w:noProof/>
                <w:sz w:val="20"/>
                <w:highlight w:val="yellow"/>
                <w:lang w:eastAsia="en-AU"/>
              </w:rPr>
            </w:pPr>
            <w:r w:rsidRPr="001B0758">
              <w:t>0.7204</w:t>
            </w:r>
          </w:p>
        </w:tc>
        <w:tc>
          <w:tcPr>
            <w:tcW w:w="2130" w:type="dxa"/>
          </w:tcPr>
          <w:p w14:paraId="136114C0" w14:textId="19116FDB" w:rsidR="00402291" w:rsidRPr="006C75CD" w:rsidRDefault="00402291" w:rsidP="00402291">
            <w:pPr>
              <w:spacing w:line="240" w:lineRule="auto"/>
              <w:contextualSpacing/>
              <w:jc w:val="center"/>
              <w:rPr>
                <w:noProof/>
                <w:sz w:val="20"/>
                <w:highlight w:val="yellow"/>
                <w:lang w:eastAsia="en-AU"/>
              </w:rPr>
            </w:pPr>
            <w:r w:rsidRPr="001B0758">
              <w:t>0.7136</w:t>
            </w:r>
          </w:p>
        </w:tc>
      </w:tr>
      <w:tr w:rsidR="00402291" w:rsidRPr="00142EA3" w14:paraId="780E5DE5" w14:textId="77777777" w:rsidTr="00A74F62">
        <w:trPr>
          <w:trHeight w:val="20"/>
          <w:jc w:val="center"/>
        </w:trPr>
        <w:tc>
          <w:tcPr>
            <w:tcW w:w="2324" w:type="dxa"/>
          </w:tcPr>
          <w:p w14:paraId="70A60567" w14:textId="5BE80022" w:rsidR="00402291" w:rsidRPr="006C75CD" w:rsidRDefault="00402291" w:rsidP="00402291">
            <w:pPr>
              <w:spacing w:line="240" w:lineRule="auto"/>
              <w:contextualSpacing/>
              <w:jc w:val="center"/>
              <w:rPr>
                <w:b/>
                <w:noProof/>
                <w:sz w:val="20"/>
                <w:highlight w:val="yellow"/>
                <w:lang w:eastAsia="en-AU"/>
              </w:rPr>
            </w:pPr>
            <w:r w:rsidRPr="008E1F1E">
              <w:t>2015, 2017</w:t>
            </w:r>
          </w:p>
        </w:tc>
        <w:tc>
          <w:tcPr>
            <w:tcW w:w="660" w:type="dxa"/>
          </w:tcPr>
          <w:p w14:paraId="2C2A360F" w14:textId="77777777" w:rsidR="00402291" w:rsidRPr="006C75CD" w:rsidRDefault="00402291" w:rsidP="00402291">
            <w:pPr>
              <w:spacing w:line="240" w:lineRule="auto"/>
              <w:contextualSpacing/>
              <w:jc w:val="center"/>
              <w:rPr>
                <w:sz w:val="20"/>
                <w:highlight w:val="yellow"/>
              </w:rPr>
            </w:pPr>
          </w:p>
        </w:tc>
        <w:tc>
          <w:tcPr>
            <w:tcW w:w="1325" w:type="dxa"/>
          </w:tcPr>
          <w:p w14:paraId="6A6897D1" w14:textId="1B715D83" w:rsidR="00402291" w:rsidRPr="006C75CD" w:rsidRDefault="00402291" w:rsidP="00402291">
            <w:pPr>
              <w:spacing w:line="240" w:lineRule="auto"/>
              <w:contextualSpacing/>
              <w:jc w:val="center"/>
              <w:rPr>
                <w:b/>
                <w:noProof/>
                <w:sz w:val="20"/>
                <w:highlight w:val="yellow"/>
                <w:lang w:eastAsia="en-AU"/>
              </w:rPr>
            </w:pPr>
            <w:r w:rsidRPr="001B0758">
              <w:t>0.8452</w:t>
            </w:r>
          </w:p>
        </w:tc>
        <w:tc>
          <w:tcPr>
            <w:tcW w:w="2130" w:type="dxa"/>
          </w:tcPr>
          <w:p w14:paraId="499519DF" w14:textId="65D4A44A" w:rsidR="00402291" w:rsidRPr="006C75CD" w:rsidRDefault="00402291" w:rsidP="00402291">
            <w:pPr>
              <w:spacing w:line="240" w:lineRule="auto"/>
              <w:contextualSpacing/>
              <w:jc w:val="center"/>
              <w:rPr>
                <w:b/>
                <w:bCs/>
                <w:noProof/>
                <w:sz w:val="20"/>
                <w:highlight w:val="yellow"/>
                <w:lang w:eastAsia="en-AU"/>
              </w:rPr>
            </w:pPr>
            <w:r w:rsidRPr="001B0758">
              <w:t>1.0000</w:t>
            </w:r>
          </w:p>
        </w:tc>
      </w:tr>
      <w:tr w:rsidR="00402291" w:rsidRPr="00142EA3" w14:paraId="6949B476" w14:textId="77777777" w:rsidTr="00A74F62">
        <w:trPr>
          <w:trHeight w:val="20"/>
          <w:jc w:val="center"/>
        </w:trPr>
        <w:tc>
          <w:tcPr>
            <w:tcW w:w="2324" w:type="dxa"/>
          </w:tcPr>
          <w:p w14:paraId="5EF3CF49" w14:textId="0D2E4225" w:rsidR="00402291" w:rsidRPr="006C75CD" w:rsidRDefault="00402291" w:rsidP="00402291">
            <w:pPr>
              <w:spacing w:line="240" w:lineRule="auto"/>
              <w:contextualSpacing/>
              <w:jc w:val="center"/>
              <w:rPr>
                <w:rFonts w:cs="Calibri"/>
                <w:sz w:val="20"/>
                <w:highlight w:val="yellow"/>
              </w:rPr>
            </w:pPr>
            <w:r w:rsidRPr="008E1F1E">
              <w:t>2015, 2019</w:t>
            </w:r>
          </w:p>
        </w:tc>
        <w:tc>
          <w:tcPr>
            <w:tcW w:w="660" w:type="dxa"/>
          </w:tcPr>
          <w:p w14:paraId="4A63F9B0" w14:textId="77777777" w:rsidR="00402291" w:rsidRPr="006C75CD" w:rsidRDefault="00402291" w:rsidP="00402291">
            <w:pPr>
              <w:spacing w:line="240" w:lineRule="auto"/>
              <w:contextualSpacing/>
              <w:jc w:val="center"/>
              <w:rPr>
                <w:sz w:val="20"/>
                <w:highlight w:val="yellow"/>
              </w:rPr>
            </w:pPr>
          </w:p>
        </w:tc>
        <w:tc>
          <w:tcPr>
            <w:tcW w:w="1325" w:type="dxa"/>
          </w:tcPr>
          <w:p w14:paraId="786EAA6D" w14:textId="51FB8B68" w:rsidR="00402291" w:rsidRPr="006C75CD" w:rsidRDefault="00402291" w:rsidP="00402291">
            <w:pPr>
              <w:spacing w:line="240" w:lineRule="auto"/>
              <w:contextualSpacing/>
              <w:jc w:val="center"/>
              <w:rPr>
                <w:sz w:val="20"/>
                <w:highlight w:val="yellow"/>
              </w:rPr>
            </w:pPr>
            <w:r w:rsidRPr="001B0758">
              <w:t>1.1979</w:t>
            </w:r>
          </w:p>
        </w:tc>
        <w:tc>
          <w:tcPr>
            <w:tcW w:w="2130" w:type="dxa"/>
          </w:tcPr>
          <w:p w14:paraId="488D2177" w14:textId="776B0BE9" w:rsidR="00402291" w:rsidRPr="006C75CD" w:rsidRDefault="00402291" w:rsidP="00402291">
            <w:pPr>
              <w:spacing w:line="240" w:lineRule="auto"/>
              <w:contextualSpacing/>
              <w:jc w:val="center"/>
              <w:rPr>
                <w:sz w:val="20"/>
                <w:highlight w:val="yellow"/>
              </w:rPr>
            </w:pPr>
            <w:r w:rsidRPr="001B0758">
              <w:t>0.2522</w:t>
            </w:r>
          </w:p>
        </w:tc>
      </w:tr>
      <w:tr w:rsidR="00402291" w:rsidRPr="00142EA3" w14:paraId="7D35C5EC" w14:textId="77777777" w:rsidTr="00A74F62">
        <w:trPr>
          <w:trHeight w:val="20"/>
          <w:jc w:val="center"/>
        </w:trPr>
        <w:tc>
          <w:tcPr>
            <w:tcW w:w="2324" w:type="dxa"/>
          </w:tcPr>
          <w:p w14:paraId="516DD499" w14:textId="677A39BA" w:rsidR="00402291" w:rsidRPr="006C75CD" w:rsidRDefault="00402291" w:rsidP="00402291">
            <w:pPr>
              <w:spacing w:line="240" w:lineRule="auto"/>
              <w:contextualSpacing/>
              <w:jc w:val="center"/>
              <w:rPr>
                <w:rFonts w:cs="Calibri"/>
                <w:sz w:val="20"/>
                <w:highlight w:val="yellow"/>
              </w:rPr>
            </w:pPr>
            <w:r w:rsidRPr="008E1F1E">
              <w:t>2015, 2020</w:t>
            </w:r>
          </w:p>
        </w:tc>
        <w:tc>
          <w:tcPr>
            <w:tcW w:w="660" w:type="dxa"/>
          </w:tcPr>
          <w:p w14:paraId="7D81C606" w14:textId="77777777" w:rsidR="00402291" w:rsidRPr="006C75CD" w:rsidRDefault="00402291" w:rsidP="00402291">
            <w:pPr>
              <w:spacing w:line="240" w:lineRule="auto"/>
              <w:contextualSpacing/>
              <w:jc w:val="center"/>
              <w:rPr>
                <w:sz w:val="20"/>
                <w:highlight w:val="yellow"/>
              </w:rPr>
            </w:pPr>
          </w:p>
        </w:tc>
        <w:tc>
          <w:tcPr>
            <w:tcW w:w="1325" w:type="dxa"/>
          </w:tcPr>
          <w:p w14:paraId="7696C937" w14:textId="180BB51E" w:rsidR="00402291" w:rsidRPr="006C75CD" w:rsidRDefault="00402291" w:rsidP="00402291">
            <w:pPr>
              <w:spacing w:line="240" w:lineRule="auto"/>
              <w:contextualSpacing/>
              <w:jc w:val="center"/>
              <w:rPr>
                <w:sz w:val="20"/>
                <w:highlight w:val="yellow"/>
              </w:rPr>
            </w:pPr>
            <w:r w:rsidRPr="001B0758">
              <w:t>4.0759</w:t>
            </w:r>
          </w:p>
        </w:tc>
        <w:tc>
          <w:tcPr>
            <w:tcW w:w="2130" w:type="dxa"/>
          </w:tcPr>
          <w:p w14:paraId="11B238B2" w14:textId="0D7068DF" w:rsidR="00402291" w:rsidRPr="00402291" w:rsidRDefault="00402291" w:rsidP="00402291">
            <w:pPr>
              <w:spacing w:line="240" w:lineRule="auto"/>
              <w:contextualSpacing/>
              <w:jc w:val="center"/>
              <w:rPr>
                <w:b/>
                <w:bCs/>
                <w:sz w:val="20"/>
                <w:highlight w:val="yellow"/>
              </w:rPr>
            </w:pPr>
            <w:r w:rsidRPr="00402291">
              <w:rPr>
                <w:b/>
                <w:bCs/>
              </w:rPr>
              <w:t>0.0278</w:t>
            </w:r>
          </w:p>
        </w:tc>
      </w:tr>
      <w:tr w:rsidR="00402291" w:rsidRPr="00142EA3" w14:paraId="37D1F516" w14:textId="77777777" w:rsidTr="00A74F62">
        <w:trPr>
          <w:trHeight w:val="20"/>
          <w:jc w:val="center"/>
        </w:trPr>
        <w:tc>
          <w:tcPr>
            <w:tcW w:w="2324" w:type="dxa"/>
          </w:tcPr>
          <w:p w14:paraId="16A7A665" w14:textId="08522DD6" w:rsidR="00402291" w:rsidRPr="006C75CD" w:rsidRDefault="00402291" w:rsidP="00402291">
            <w:pPr>
              <w:spacing w:line="240" w:lineRule="auto"/>
              <w:contextualSpacing/>
              <w:jc w:val="center"/>
              <w:rPr>
                <w:rFonts w:cs="Calibri"/>
                <w:sz w:val="20"/>
                <w:highlight w:val="yellow"/>
              </w:rPr>
            </w:pPr>
            <w:r w:rsidRPr="008E1F1E">
              <w:t>2015, 2021</w:t>
            </w:r>
          </w:p>
        </w:tc>
        <w:tc>
          <w:tcPr>
            <w:tcW w:w="660" w:type="dxa"/>
          </w:tcPr>
          <w:p w14:paraId="38A7407E" w14:textId="77777777" w:rsidR="00402291" w:rsidRPr="006C75CD" w:rsidRDefault="00402291" w:rsidP="00402291">
            <w:pPr>
              <w:spacing w:line="240" w:lineRule="auto"/>
              <w:contextualSpacing/>
              <w:jc w:val="center"/>
              <w:rPr>
                <w:sz w:val="20"/>
                <w:highlight w:val="yellow"/>
              </w:rPr>
            </w:pPr>
          </w:p>
        </w:tc>
        <w:tc>
          <w:tcPr>
            <w:tcW w:w="1325" w:type="dxa"/>
          </w:tcPr>
          <w:p w14:paraId="0361E669" w14:textId="75ABB796" w:rsidR="00402291" w:rsidRPr="006C75CD" w:rsidRDefault="00402291" w:rsidP="00402291">
            <w:pPr>
              <w:spacing w:line="240" w:lineRule="auto"/>
              <w:contextualSpacing/>
              <w:jc w:val="center"/>
              <w:rPr>
                <w:sz w:val="20"/>
                <w:highlight w:val="yellow"/>
              </w:rPr>
            </w:pPr>
            <w:r w:rsidRPr="001B0758">
              <w:t>1.1386</w:t>
            </w:r>
          </w:p>
        </w:tc>
        <w:tc>
          <w:tcPr>
            <w:tcW w:w="2130" w:type="dxa"/>
          </w:tcPr>
          <w:p w14:paraId="5DD10C4E" w14:textId="6E95D984" w:rsidR="00402291" w:rsidRPr="006C75CD" w:rsidRDefault="00402291" w:rsidP="00402291">
            <w:pPr>
              <w:spacing w:line="240" w:lineRule="auto"/>
              <w:contextualSpacing/>
              <w:jc w:val="center"/>
              <w:rPr>
                <w:sz w:val="20"/>
                <w:highlight w:val="yellow"/>
              </w:rPr>
            </w:pPr>
            <w:r w:rsidRPr="001B0758">
              <w:t>0.4457</w:t>
            </w:r>
          </w:p>
        </w:tc>
      </w:tr>
      <w:tr w:rsidR="00402291" w:rsidRPr="00142EA3" w14:paraId="3E5F58C6" w14:textId="77777777" w:rsidTr="00A74F62">
        <w:trPr>
          <w:trHeight w:val="20"/>
          <w:jc w:val="center"/>
        </w:trPr>
        <w:tc>
          <w:tcPr>
            <w:tcW w:w="2324" w:type="dxa"/>
          </w:tcPr>
          <w:p w14:paraId="5A350AE2" w14:textId="64C2AE1F" w:rsidR="00402291" w:rsidRPr="006C75CD" w:rsidRDefault="00402291" w:rsidP="00402291">
            <w:pPr>
              <w:spacing w:line="240" w:lineRule="auto"/>
              <w:contextualSpacing/>
              <w:jc w:val="center"/>
              <w:rPr>
                <w:b/>
                <w:noProof/>
                <w:sz w:val="20"/>
                <w:highlight w:val="yellow"/>
                <w:lang w:eastAsia="en-AU"/>
              </w:rPr>
            </w:pPr>
            <w:r w:rsidRPr="008E1F1E">
              <w:t>2015, 2022</w:t>
            </w:r>
          </w:p>
        </w:tc>
        <w:tc>
          <w:tcPr>
            <w:tcW w:w="660" w:type="dxa"/>
          </w:tcPr>
          <w:p w14:paraId="3FEF6122" w14:textId="77777777" w:rsidR="00402291" w:rsidRPr="006C75CD" w:rsidRDefault="00402291" w:rsidP="00402291">
            <w:pPr>
              <w:spacing w:line="240" w:lineRule="auto"/>
              <w:contextualSpacing/>
              <w:jc w:val="center"/>
              <w:rPr>
                <w:sz w:val="20"/>
                <w:highlight w:val="yellow"/>
              </w:rPr>
            </w:pPr>
          </w:p>
        </w:tc>
        <w:tc>
          <w:tcPr>
            <w:tcW w:w="1325" w:type="dxa"/>
          </w:tcPr>
          <w:p w14:paraId="5D6E37CE" w14:textId="2AAB315A" w:rsidR="00402291" w:rsidRPr="006C75CD" w:rsidRDefault="00402291" w:rsidP="00402291">
            <w:pPr>
              <w:spacing w:line="240" w:lineRule="auto"/>
              <w:contextualSpacing/>
              <w:jc w:val="center"/>
              <w:rPr>
                <w:b/>
                <w:noProof/>
                <w:sz w:val="20"/>
                <w:highlight w:val="yellow"/>
                <w:lang w:eastAsia="en-AU"/>
              </w:rPr>
            </w:pPr>
            <w:r w:rsidRPr="001B0758">
              <w:t>1.1386</w:t>
            </w:r>
          </w:p>
        </w:tc>
        <w:tc>
          <w:tcPr>
            <w:tcW w:w="2130" w:type="dxa"/>
          </w:tcPr>
          <w:p w14:paraId="685FCD99" w14:textId="4E46B95D" w:rsidR="00402291" w:rsidRPr="006C75CD" w:rsidRDefault="00402291" w:rsidP="00402291">
            <w:pPr>
              <w:spacing w:line="240" w:lineRule="auto"/>
              <w:contextualSpacing/>
              <w:jc w:val="center"/>
              <w:rPr>
                <w:b/>
                <w:bCs/>
                <w:noProof/>
                <w:sz w:val="20"/>
                <w:highlight w:val="yellow"/>
                <w:lang w:eastAsia="en-AU"/>
              </w:rPr>
            </w:pPr>
            <w:r w:rsidRPr="001B0758">
              <w:t>0.4509</w:t>
            </w:r>
          </w:p>
        </w:tc>
      </w:tr>
      <w:tr w:rsidR="00402291" w:rsidRPr="00142EA3" w14:paraId="0AA1AD5E" w14:textId="77777777" w:rsidTr="00A74F62">
        <w:trPr>
          <w:trHeight w:val="20"/>
          <w:jc w:val="center"/>
        </w:trPr>
        <w:tc>
          <w:tcPr>
            <w:tcW w:w="2324" w:type="dxa"/>
          </w:tcPr>
          <w:p w14:paraId="6ADD76DF" w14:textId="32BEB64F" w:rsidR="00402291" w:rsidRPr="006C75CD" w:rsidRDefault="00402291" w:rsidP="00402291">
            <w:pPr>
              <w:spacing w:line="240" w:lineRule="auto"/>
              <w:contextualSpacing/>
              <w:jc w:val="center"/>
              <w:rPr>
                <w:b/>
                <w:noProof/>
                <w:sz w:val="20"/>
                <w:highlight w:val="yellow"/>
                <w:lang w:eastAsia="en-AU"/>
              </w:rPr>
            </w:pPr>
            <w:r w:rsidRPr="008E1F1E">
              <w:t>2015, 2023</w:t>
            </w:r>
          </w:p>
        </w:tc>
        <w:tc>
          <w:tcPr>
            <w:tcW w:w="660" w:type="dxa"/>
          </w:tcPr>
          <w:p w14:paraId="4D264C23" w14:textId="77777777" w:rsidR="00402291" w:rsidRPr="006C75CD" w:rsidRDefault="00402291" w:rsidP="00402291">
            <w:pPr>
              <w:spacing w:line="240" w:lineRule="auto"/>
              <w:contextualSpacing/>
              <w:jc w:val="center"/>
              <w:rPr>
                <w:sz w:val="20"/>
                <w:highlight w:val="yellow"/>
              </w:rPr>
            </w:pPr>
          </w:p>
        </w:tc>
        <w:tc>
          <w:tcPr>
            <w:tcW w:w="1325" w:type="dxa"/>
          </w:tcPr>
          <w:p w14:paraId="5143AFC2" w14:textId="231F574A" w:rsidR="00402291" w:rsidRPr="006C75CD" w:rsidRDefault="00402291" w:rsidP="00402291">
            <w:pPr>
              <w:spacing w:line="240" w:lineRule="auto"/>
              <w:contextualSpacing/>
              <w:jc w:val="center"/>
              <w:rPr>
                <w:b/>
                <w:noProof/>
                <w:sz w:val="20"/>
                <w:highlight w:val="yellow"/>
                <w:lang w:eastAsia="en-AU"/>
              </w:rPr>
            </w:pPr>
            <w:r w:rsidRPr="001B0758">
              <w:t>1.1436</w:t>
            </w:r>
          </w:p>
        </w:tc>
        <w:tc>
          <w:tcPr>
            <w:tcW w:w="2130" w:type="dxa"/>
          </w:tcPr>
          <w:p w14:paraId="2CBA8589" w14:textId="1A606E4B" w:rsidR="00402291" w:rsidRPr="006C75CD" w:rsidRDefault="00402291" w:rsidP="00402291">
            <w:pPr>
              <w:spacing w:line="240" w:lineRule="auto"/>
              <w:contextualSpacing/>
              <w:jc w:val="center"/>
              <w:rPr>
                <w:noProof/>
                <w:sz w:val="20"/>
                <w:highlight w:val="yellow"/>
                <w:lang w:eastAsia="en-AU"/>
              </w:rPr>
            </w:pPr>
            <w:r w:rsidRPr="001B0758">
              <w:t>0.2874</w:t>
            </w:r>
          </w:p>
        </w:tc>
      </w:tr>
      <w:tr w:rsidR="00402291" w:rsidRPr="00142EA3" w14:paraId="1890FE05" w14:textId="77777777" w:rsidTr="00A74F62">
        <w:trPr>
          <w:trHeight w:val="20"/>
          <w:jc w:val="center"/>
        </w:trPr>
        <w:tc>
          <w:tcPr>
            <w:tcW w:w="2324" w:type="dxa"/>
          </w:tcPr>
          <w:p w14:paraId="7784A565" w14:textId="085D77F3" w:rsidR="00402291" w:rsidRPr="006C75CD" w:rsidRDefault="00402291" w:rsidP="00402291">
            <w:pPr>
              <w:spacing w:line="240" w:lineRule="auto"/>
              <w:contextualSpacing/>
              <w:jc w:val="center"/>
              <w:rPr>
                <w:b/>
                <w:noProof/>
                <w:sz w:val="20"/>
                <w:highlight w:val="yellow"/>
                <w:lang w:eastAsia="en-AU"/>
              </w:rPr>
            </w:pPr>
            <w:r w:rsidRPr="008E1F1E">
              <w:t>2015, 2024</w:t>
            </w:r>
          </w:p>
        </w:tc>
        <w:tc>
          <w:tcPr>
            <w:tcW w:w="660" w:type="dxa"/>
          </w:tcPr>
          <w:p w14:paraId="36CA0103" w14:textId="77777777" w:rsidR="00402291" w:rsidRPr="006C75CD" w:rsidRDefault="00402291" w:rsidP="00402291">
            <w:pPr>
              <w:spacing w:line="240" w:lineRule="auto"/>
              <w:contextualSpacing/>
              <w:jc w:val="center"/>
              <w:rPr>
                <w:sz w:val="20"/>
                <w:highlight w:val="yellow"/>
              </w:rPr>
            </w:pPr>
          </w:p>
        </w:tc>
        <w:tc>
          <w:tcPr>
            <w:tcW w:w="1325" w:type="dxa"/>
          </w:tcPr>
          <w:p w14:paraId="7E95AA86" w14:textId="7E15C2F2" w:rsidR="00402291" w:rsidRPr="006C75CD" w:rsidRDefault="00402291" w:rsidP="00402291">
            <w:pPr>
              <w:spacing w:line="240" w:lineRule="auto"/>
              <w:contextualSpacing/>
              <w:jc w:val="center"/>
              <w:rPr>
                <w:b/>
                <w:noProof/>
                <w:sz w:val="20"/>
                <w:highlight w:val="yellow"/>
                <w:lang w:eastAsia="en-AU"/>
              </w:rPr>
            </w:pPr>
            <w:r w:rsidRPr="001B0758">
              <w:t>1.1386</w:t>
            </w:r>
          </w:p>
        </w:tc>
        <w:tc>
          <w:tcPr>
            <w:tcW w:w="2130" w:type="dxa"/>
          </w:tcPr>
          <w:p w14:paraId="4EBBE019" w14:textId="1A7AF54F" w:rsidR="00402291" w:rsidRPr="006C75CD" w:rsidRDefault="00402291" w:rsidP="00402291">
            <w:pPr>
              <w:spacing w:line="240" w:lineRule="auto"/>
              <w:contextualSpacing/>
              <w:jc w:val="center"/>
              <w:rPr>
                <w:noProof/>
                <w:sz w:val="20"/>
                <w:highlight w:val="yellow"/>
                <w:lang w:eastAsia="en-AU"/>
              </w:rPr>
            </w:pPr>
            <w:r w:rsidRPr="001B0758">
              <w:t>0.4430</w:t>
            </w:r>
          </w:p>
        </w:tc>
      </w:tr>
      <w:tr w:rsidR="00402291" w:rsidRPr="00142EA3" w14:paraId="0E2BD93D" w14:textId="77777777" w:rsidTr="00A74F62">
        <w:trPr>
          <w:trHeight w:val="20"/>
          <w:jc w:val="center"/>
        </w:trPr>
        <w:tc>
          <w:tcPr>
            <w:tcW w:w="2324" w:type="dxa"/>
          </w:tcPr>
          <w:p w14:paraId="7D7901C4" w14:textId="238C5EC4" w:rsidR="00402291" w:rsidRPr="006C75CD" w:rsidRDefault="00402291" w:rsidP="00402291">
            <w:pPr>
              <w:spacing w:line="240" w:lineRule="auto"/>
              <w:contextualSpacing/>
              <w:jc w:val="center"/>
              <w:rPr>
                <w:rFonts w:cs="Calibri"/>
                <w:sz w:val="20"/>
                <w:highlight w:val="yellow"/>
              </w:rPr>
            </w:pPr>
            <w:r w:rsidRPr="008E1F1E">
              <w:t>2016, 2017</w:t>
            </w:r>
          </w:p>
        </w:tc>
        <w:tc>
          <w:tcPr>
            <w:tcW w:w="660" w:type="dxa"/>
          </w:tcPr>
          <w:p w14:paraId="2645CA58" w14:textId="77777777" w:rsidR="00402291" w:rsidRPr="006C75CD" w:rsidRDefault="00402291" w:rsidP="00402291">
            <w:pPr>
              <w:spacing w:line="240" w:lineRule="auto"/>
              <w:contextualSpacing/>
              <w:jc w:val="center"/>
              <w:rPr>
                <w:sz w:val="20"/>
                <w:highlight w:val="yellow"/>
              </w:rPr>
            </w:pPr>
          </w:p>
        </w:tc>
        <w:tc>
          <w:tcPr>
            <w:tcW w:w="1325" w:type="dxa"/>
          </w:tcPr>
          <w:p w14:paraId="5E705B79" w14:textId="75C5196B" w:rsidR="00402291" w:rsidRPr="006C75CD" w:rsidRDefault="00402291" w:rsidP="00402291">
            <w:pPr>
              <w:spacing w:line="240" w:lineRule="auto"/>
              <w:contextualSpacing/>
              <w:jc w:val="center"/>
              <w:rPr>
                <w:sz w:val="20"/>
                <w:highlight w:val="yellow"/>
              </w:rPr>
            </w:pPr>
            <w:r w:rsidRPr="001B0758">
              <w:t>1.4535</w:t>
            </w:r>
          </w:p>
        </w:tc>
        <w:tc>
          <w:tcPr>
            <w:tcW w:w="2130" w:type="dxa"/>
          </w:tcPr>
          <w:p w14:paraId="17721211" w14:textId="66724D49" w:rsidR="00402291" w:rsidRPr="006C75CD" w:rsidRDefault="00402291" w:rsidP="00402291">
            <w:pPr>
              <w:spacing w:line="240" w:lineRule="auto"/>
              <w:contextualSpacing/>
              <w:jc w:val="center"/>
              <w:rPr>
                <w:sz w:val="20"/>
                <w:highlight w:val="yellow"/>
              </w:rPr>
            </w:pPr>
            <w:r w:rsidRPr="001B0758">
              <w:t>0.4402</w:t>
            </w:r>
          </w:p>
        </w:tc>
      </w:tr>
      <w:tr w:rsidR="00402291" w:rsidRPr="00142EA3" w14:paraId="1B54EF94" w14:textId="77777777" w:rsidTr="00A74F62">
        <w:trPr>
          <w:trHeight w:val="20"/>
          <w:jc w:val="center"/>
        </w:trPr>
        <w:tc>
          <w:tcPr>
            <w:tcW w:w="2324" w:type="dxa"/>
          </w:tcPr>
          <w:p w14:paraId="17E29587" w14:textId="69B38376" w:rsidR="00402291" w:rsidRPr="006C75CD" w:rsidRDefault="00402291" w:rsidP="00402291">
            <w:pPr>
              <w:spacing w:line="240" w:lineRule="auto"/>
              <w:contextualSpacing/>
              <w:jc w:val="center"/>
              <w:rPr>
                <w:rFonts w:cs="Calibri"/>
                <w:sz w:val="20"/>
                <w:highlight w:val="yellow"/>
              </w:rPr>
            </w:pPr>
            <w:r w:rsidRPr="008E1F1E">
              <w:t>2016, 2019</w:t>
            </w:r>
          </w:p>
        </w:tc>
        <w:tc>
          <w:tcPr>
            <w:tcW w:w="660" w:type="dxa"/>
          </w:tcPr>
          <w:p w14:paraId="6A8F0EEB" w14:textId="77777777" w:rsidR="00402291" w:rsidRPr="006C75CD" w:rsidRDefault="00402291" w:rsidP="00402291">
            <w:pPr>
              <w:spacing w:line="240" w:lineRule="auto"/>
              <w:contextualSpacing/>
              <w:jc w:val="center"/>
              <w:rPr>
                <w:sz w:val="20"/>
                <w:highlight w:val="yellow"/>
              </w:rPr>
            </w:pPr>
          </w:p>
        </w:tc>
        <w:tc>
          <w:tcPr>
            <w:tcW w:w="1325" w:type="dxa"/>
          </w:tcPr>
          <w:p w14:paraId="0D3C3407" w14:textId="427D3922" w:rsidR="00402291" w:rsidRPr="006C75CD" w:rsidRDefault="00402291" w:rsidP="00402291">
            <w:pPr>
              <w:spacing w:line="240" w:lineRule="auto"/>
              <w:contextualSpacing/>
              <w:jc w:val="center"/>
              <w:rPr>
                <w:sz w:val="20"/>
                <w:highlight w:val="yellow"/>
              </w:rPr>
            </w:pPr>
            <w:r w:rsidRPr="001B0758">
              <w:t>0.4820</w:t>
            </w:r>
          </w:p>
        </w:tc>
        <w:tc>
          <w:tcPr>
            <w:tcW w:w="2130" w:type="dxa"/>
          </w:tcPr>
          <w:p w14:paraId="59A49E2C" w14:textId="4A646388" w:rsidR="00402291" w:rsidRPr="006C75CD" w:rsidRDefault="00402291" w:rsidP="00402291">
            <w:pPr>
              <w:spacing w:line="240" w:lineRule="auto"/>
              <w:contextualSpacing/>
              <w:jc w:val="center"/>
              <w:rPr>
                <w:sz w:val="20"/>
                <w:highlight w:val="yellow"/>
              </w:rPr>
            </w:pPr>
            <w:r w:rsidRPr="001B0758">
              <w:t>0.6470</w:t>
            </w:r>
          </w:p>
        </w:tc>
      </w:tr>
      <w:tr w:rsidR="00402291" w:rsidRPr="00142EA3" w14:paraId="1F6609FC" w14:textId="77777777" w:rsidTr="00A74F62">
        <w:trPr>
          <w:trHeight w:val="20"/>
          <w:jc w:val="center"/>
        </w:trPr>
        <w:tc>
          <w:tcPr>
            <w:tcW w:w="2324" w:type="dxa"/>
          </w:tcPr>
          <w:p w14:paraId="751E43F5" w14:textId="41C76107" w:rsidR="00402291" w:rsidRPr="006C75CD" w:rsidRDefault="00402291" w:rsidP="00402291">
            <w:pPr>
              <w:spacing w:line="240" w:lineRule="auto"/>
              <w:contextualSpacing/>
              <w:jc w:val="center"/>
              <w:rPr>
                <w:rFonts w:cs="Calibri"/>
                <w:sz w:val="20"/>
                <w:highlight w:val="yellow"/>
              </w:rPr>
            </w:pPr>
            <w:r w:rsidRPr="008E1F1E">
              <w:t>2016, 2020</w:t>
            </w:r>
          </w:p>
        </w:tc>
        <w:tc>
          <w:tcPr>
            <w:tcW w:w="660" w:type="dxa"/>
          </w:tcPr>
          <w:p w14:paraId="25220A50" w14:textId="77777777" w:rsidR="00402291" w:rsidRPr="006C75CD" w:rsidRDefault="00402291" w:rsidP="00402291">
            <w:pPr>
              <w:spacing w:line="240" w:lineRule="auto"/>
              <w:contextualSpacing/>
              <w:jc w:val="center"/>
              <w:rPr>
                <w:sz w:val="20"/>
                <w:highlight w:val="yellow"/>
              </w:rPr>
            </w:pPr>
          </w:p>
        </w:tc>
        <w:tc>
          <w:tcPr>
            <w:tcW w:w="1325" w:type="dxa"/>
          </w:tcPr>
          <w:p w14:paraId="25F25FBA" w14:textId="4757D21F" w:rsidR="00402291" w:rsidRPr="006C75CD" w:rsidRDefault="00402291" w:rsidP="00402291">
            <w:pPr>
              <w:spacing w:line="240" w:lineRule="auto"/>
              <w:contextualSpacing/>
              <w:jc w:val="center"/>
              <w:rPr>
                <w:sz w:val="20"/>
                <w:highlight w:val="yellow"/>
              </w:rPr>
            </w:pPr>
            <w:r w:rsidRPr="001B0758">
              <w:t>2.5711</w:t>
            </w:r>
          </w:p>
        </w:tc>
        <w:tc>
          <w:tcPr>
            <w:tcW w:w="2130" w:type="dxa"/>
          </w:tcPr>
          <w:p w14:paraId="5E4F330B" w14:textId="0F01F61D" w:rsidR="00402291" w:rsidRPr="006C75CD" w:rsidRDefault="00402291" w:rsidP="00402291">
            <w:pPr>
              <w:spacing w:line="240" w:lineRule="auto"/>
              <w:contextualSpacing/>
              <w:jc w:val="center"/>
              <w:rPr>
                <w:sz w:val="20"/>
                <w:highlight w:val="yellow"/>
              </w:rPr>
            </w:pPr>
            <w:r w:rsidRPr="001B0758">
              <w:t>0.0595</w:t>
            </w:r>
          </w:p>
        </w:tc>
      </w:tr>
      <w:tr w:rsidR="00402291" w:rsidRPr="00142EA3" w14:paraId="69F17D20" w14:textId="77777777" w:rsidTr="00A74F62">
        <w:trPr>
          <w:trHeight w:val="20"/>
          <w:jc w:val="center"/>
        </w:trPr>
        <w:tc>
          <w:tcPr>
            <w:tcW w:w="2324" w:type="dxa"/>
          </w:tcPr>
          <w:p w14:paraId="0D6DBE9E" w14:textId="35BC408D" w:rsidR="00402291" w:rsidRPr="006C75CD" w:rsidRDefault="00402291" w:rsidP="00402291">
            <w:pPr>
              <w:spacing w:line="240" w:lineRule="auto"/>
              <w:contextualSpacing/>
              <w:jc w:val="center"/>
              <w:rPr>
                <w:b/>
                <w:noProof/>
                <w:sz w:val="20"/>
                <w:highlight w:val="yellow"/>
                <w:lang w:eastAsia="en-AU"/>
              </w:rPr>
            </w:pPr>
            <w:r w:rsidRPr="008E1F1E">
              <w:t>2016, 2021</w:t>
            </w:r>
          </w:p>
        </w:tc>
        <w:tc>
          <w:tcPr>
            <w:tcW w:w="660" w:type="dxa"/>
          </w:tcPr>
          <w:p w14:paraId="46365ABC" w14:textId="77777777" w:rsidR="00402291" w:rsidRPr="006C75CD" w:rsidRDefault="00402291" w:rsidP="00402291">
            <w:pPr>
              <w:spacing w:line="240" w:lineRule="auto"/>
              <w:contextualSpacing/>
              <w:jc w:val="center"/>
              <w:rPr>
                <w:sz w:val="20"/>
                <w:highlight w:val="yellow"/>
              </w:rPr>
            </w:pPr>
          </w:p>
        </w:tc>
        <w:tc>
          <w:tcPr>
            <w:tcW w:w="1325" w:type="dxa"/>
          </w:tcPr>
          <w:p w14:paraId="2E43C600" w14:textId="4084805A" w:rsidR="00402291" w:rsidRPr="006C75CD" w:rsidRDefault="00402291" w:rsidP="00402291">
            <w:pPr>
              <w:spacing w:line="240" w:lineRule="auto"/>
              <w:contextualSpacing/>
              <w:jc w:val="center"/>
              <w:rPr>
                <w:b/>
                <w:noProof/>
                <w:sz w:val="20"/>
                <w:highlight w:val="yellow"/>
                <w:lang w:eastAsia="en-AU"/>
              </w:rPr>
            </w:pPr>
            <w:r w:rsidRPr="001B0758">
              <w:t>1.9581</w:t>
            </w:r>
          </w:p>
        </w:tc>
        <w:tc>
          <w:tcPr>
            <w:tcW w:w="2130" w:type="dxa"/>
          </w:tcPr>
          <w:p w14:paraId="790FB075" w14:textId="577AB1E1" w:rsidR="00402291" w:rsidRPr="006C75CD" w:rsidRDefault="00402291" w:rsidP="00402291">
            <w:pPr>
              <w:spacing w:line="240" w:lineRule="auto"/>
              <w:contextualSpacing/>
              <w:jc w:val="center"/>
              <w:rPr>
                <w:b/>
                <w:bCs/>
                <w:noProof/>
                <w:sz w:val="20"/>
                <w:highlight w:val="yellow"/>
                <w:lang w:eastAsia="en-AU"/>
              </w:rPr>
            </w:pPr>
            <w:r w:rsidRPr="001B0758">
              <w:t>0.1734</w:t>
            </w:r>
          </w:p>
        </w:tc>
      </w:tr>
      <w:tr w:rsidR="00402291" w:rsidRPr="00142EA3" w14:paraId="5FF38E92" w14:textId="77777777" w:rsidTr="00A74F62">
        <w:trPr>
          <w:trHeight w:val="20"/>
          <w:jc w:val="center"/>
        </w:trPr>
        <w:tc>
          <w:tcPr>
            <w:tcW w:w="2324" w:type="dxa"/>
          </w:tcPr>
          <w:p w14:paraId="705A21F1" w14:textId="6CEE6F89" w:rsidR="00402291" w:rsidRPr="006C75CD" w:rsidRDefault="00402291" w:rsidP="00402291">
            <w:pPr>
              <w:spacing w:line="240" w:lineRule="auto"/>
              <w:contextualSpacing/>
              <w:jc w:val="center"/>
              <w:rPr>
                <w:b/>
                <w:noProof/>
                <w:sz w:val="20"/>
                <w:highlight w:val="yellow"/>
                <w:lang w:eastAsia="en-AU"/>
              </w:rPr>
            </w:pPr>
            <w:r w:rsidRPr="008E1F1E">
              <w:t>2016, 2022</w:t>
            </w:r>
          </w:p>
        </w:tc>
        <w:tc>
          <w:tcPr>
            <w:tcW w:w="660" w:type="dxa"/>
          </w:tcPr>
          <w:p w14:paraId="4CD51B47" w14:textId="77777777" w:rsidR="00402291" w:rsidRPr="006C75CD" w:rsidRDefault="00402291" w:rsidP="00402291">
            <w:pPr>
              <w:spacing w:line="240" w:lineRule="auto"/>
              <w:contextualSpacing/>
              <w:jc w:val="center"/>
              <w:rPr>
                <w:sz w:val="20"/>
                <w:highlight w:val="yellow"/>
              </w:rPr>
            </w:pPr>
          </w:p>
        </w:tc>
        <w:tc>
          <w:tcPr>
            <w:tcW w:w="1325" w:type="dxa"/>
          </w:tcPr>
          <w:p w14:paraId="26844F08" w14:textId="39B4ECFF" w:rsidR="00402291" w:rsidRPr="006C75CD" w:rsidRDefault="00402291" w:rsidP="00402291">
            <w:pPr>
              <w:spacing w:line="240" w:lineRule="auto"/>
              <w:contextualSpacing/>
              <w:jc w:val="center"/>
              <w:rPr>
                <w:b/>
                <w:noProof/>
                <w:sz w:val="20"/>
                <w:highlight w:val="yellow"/>
                <w:lang w:eastAsia="en-AU"/>
              </w:rPr>
            </w:pPr>
            <w:r w:rsidRPr="001B0758">
              <w:t>1.9581</w:t>
            </w:r>
          </w:p>
        </w:tc>
        <w:tc>
          <w:tcPr>
            <w:tcW w:w="2130" w:type="dxa"/>
          </w:tcPr>
          <w:p w14:paraId="3CD8B063" w14:textId="04866AD1" w:rsidR="00402291" w:rsidRPr="006C75CD" w:rsidRDefault="00402291" w:rsidP="00402291">
            <w:pPr>
              <w:spacing w:line="240" w:lineRule="auto"/>
              <w:contextualSpacing/>
              <w:jc w:val="center"/>
              <w:rPr>
                <w:b/>
                <w:bCs/>
                <w:noProof/>
                <w:sz w:val="20"/>
                <w:highlight w:val="yellow"/>
                <w:lang w:eastAsia="en-AU"/>
              </w:rPr>
            </w:pPr>
            <w:r w:rsidRPr="001B0758">
              <w:t>0.1712</w:t>
            </w:r>
          </w:p>
        </w:tc>
      </w:tr>
      <w:tr w:rsidR="00402291" w:rsidRPr="00142EA3" w14:paraId="4D4BDD1F" w14:textId="77777777" w:rsidTr="00A74F62">
        <w:trPr>
          <w:trHeight w:val="20"/>
          <w:jc w:val="center"/>
        </w:trPr>
        <w:tc>
          <w:tcPr>
            <w:tcW w:w="2324" w:type="dxa"/>
          </w:tcPr>
          <w:p w14:paraId="18B2A8A5" w14:textId="4DBDF4CB" w:rsidR="00402291" w:rsidRPr="006C75CD" w:rsidRDefault="00402291" w:rsidP="00402291">
            <w:pPr>
              <w:spacing w:line="240" w:lineRule="auto"/>
              <w:contextualSpacing/>
              <w:jc w:val="center"/>
              <w:rPr>
                <w:rFonts w:cs="Calibri"/>
                <w:sz w:val="20"/>
                <w:highlight w:val="yellow"/>
              </w:rPr>
            </w:pPr>
            <w:r w:rsidRPr="008E1F1E">
              <w:t>2016, 2023</w:t>
            </w:r>
          </w:p>
        </w:tc>
        <w:tc>
          <w:tcPr>
            <w:tcW w:w="660" w:type="dxa"/>
          </w:tcPr>
          <w:p w14:paraId="18FC8694" w14:textId="77777777" w:rsidR="00402291" w:rsidRPr="006C75CD" w:rsidRDefault="00402291" w:rsidP="00402291">
            <w:pPr>
              <w:spacing w:line="240" w:lineRule="auto"/>
              <w:contextualSpacing/>
              <w:jc w:val="center"/>
              <w:rPr>
                <w:sz w:val="20"/>
                <w:highlight w:val="yellow"/>
              </w:rPr>
            </w:pPr>
          </w:p>
        </w:tc>
        <w:tc>
          <w:tcPr>
            <w:tcW w:w="1325" w:type="dxa"/>
          </w:tcPr>
          <w:p w14:paraId="2AC39DEE" w14:textId="6446F935" w:rsidR="00402291" w:rsidRPr="006C75CD" w:rsidRDefault="00402291" w:rsidP="00402291">
            <w:pPr>
              <w:spacing w:line="240" w:lineRule="auto"/>
              <w:contextualSpacing/>
              <w:jc w:val="center"/>
              <w:rPr>
                <w:sz w:val="20"/>
                <w:highlight w:val="yellow"/>
              </w:rPr>
            </w:pPr>
            <w:r w:rsidRPr="001B0758">
              <w:t>0.3815</w:t>
            </w:r>
          </w:p>
        </w:tc>
        <w:tc>
          <w:tcPr>
            <w:tcW w:w="2130" w:type="dxa"/>
          </w:tcPr>
          <w:p w14:paraId="2D8E75D9" w14:textId="720F1637" w:rsidR="00402291" w:rsidRPr="006C75CD" w:rsidRDefault="00402291" w:rsidP="00402291">
            <w:pPr>
              <w:spacing w:line="240" w:lineRule="auto"/>
              <w:contextualSpacing/>
              <w:jc w:val="center"/>
              <w:rPr>
                <w:b/>
                <w:bCs/>
                <w:sz w:val="20"/>
                <w:highlight w:val="yellow"/>
              </w:rPr>
            </w:pPr>
            <w:r w:rsidRPr="001B0758">
              <w:t>0.6735</w:t>
            </w:r>
          </w:p>
        </w:tc>
      </w:tr>
      <w:tr w:rsidR="00402291" w:rsidRPr="00142EA3" w14:paraId="7080416D" w14:textId="77777777" w:rsidTr="00A74F62">
        <w:trPr>
          <w:trHeight w:val="20"/>
          <w:jc w:val="center"/>
        </w:trPr>
        <w:tc>
          <w:tcPr>
            <w:tcW w:w="2324" w:type="dxa"/>
          </w:tcPr>
          <w:p w14:paraId="647190AF" w14:textId="3AC38142" w:rsidR="00402291" w:rsidRPr="006C75CD" w:rsidRDefault="00402291" w:rsidP="00402291">
            <w:pPr>
              <w:spacing w:line="240" w:lineRule="auto"/>
              <w:contextualSpacing/>
              <w:jc w:val="center"/>
              <w:rPr>
                <w:rFonts w:cs="Calibri"/>
                <w:sz w:val="20"/>
                <w:highlight w:val="yellow"/>
              </w:rPr>
            </w:pPr>
            <w:r w:rsidRPr="008E1F1E">
              <w:t>2016, 2024</w:t>
            </w:r>
          </w:p>
        </w:tc>
        <w:tc>
          <w:tcPr>
            <w:tcW w:w="660" w:type="dxa"/>
          </w:tcPr>
          <w:p w14:paraId="73C87CE3" w14:textId="77777777" w:rsidR="00402291" w:rsidRPr="006C75CD" w:rsidRDefault="00402291" w:rsidP="00402291">
            <w:pPr>
              <w:spacing w:line="240" w:lineRule="auto"/>
              <w:contextualSpacing/>
              <w:jc w:val="center"/>
              <w:rPr>
                <w:sz w:val="20"/>
                <w:highlight w:val="yellow"/>
              </w:rPr>
            </w:pPr>
          </w:p>
        </w:tc>
        <w:tc>
          <w:tcPr>
            <w:tcW w:w="1325" w:type="dxa"/>
          </w:tcPr>
          <w:p w14:paraId="6D6BFF35" w14:textId="2FA91BC7" w:rsidR="00402291" w:rsidRPr="006C75CD" w:rsidRDefault="00402291" w:rsidP="00402291">
            <w:pPr>
              <w:spacing w:line="240" w:lineRule="auto"/>
              <w:contextualSpacing/>
              <w:jc w:val="center"/>
              <w:rPr>
                <w:sz w:val="20"/>
                <w:highlight w:val="yellow"/>
              </w:rPr>
            </w:pPr>
            <w:r w:rsidRPr="001B0758">
              <w:t>1.9581</w:t>
            </w:r>
          </w:p>
        </w:tc>
        <w:tc>
          <w:tcPr>
            <w:tcW w:w="2130" w:type="dxa"/>
          </w:tcPr>
          <w:p w14:paraId="632A8013" w14:textId="35E71A85" w:rsidR="00402291" w:rsidRPr="006C75CD" w:rsidRDefault="00402291" w:rsidP="00402291">
            <w:pPr>
              <w:spacing w:line="240" w:lineRule="auto"/>
              <w:contextualSpacing/>
              <w:jc w:val="center"/>
              <w:rPr>
                <w:sz w:val="20"/>
                <w:highlight w:val="yellow"/>
              </w:rPr>
            </w:pPr>
            <w:r w:rsidRPr="001B0758">
              <w:t>0.1615</w:t>
            </w:r>
          </w:p>
        </w:tc>
      </w:tr>
      <w:tr w:rsidR="00402291" w:rsidRPr="00142EA3" w14:paraId="0AA05E94" w14:textId="77777777" w:rsidTr="00A74F62">
        <w:trPr>
          <w:trHeight w:val="20"/>
          <w:jc w:val="center"/>
        </w:trPr>
        <w:tc>
          <w:tcPr>
            <w:tcW w:w="2324" w:type="dxa"/>
          </w:tcPr>
          <w:p w14:paraId="7F5D05A0" w14:textId="09EF8479" w:rsidR="00402291" w:rsidRPr="006C75CD" w:rsidRDefault="00402291" w:rsidP="00402291">
            <w:pPr>
              <w:spacing w:line="240" w:lineRule="auto"/>
              <w:contextualSpacing/>
              <w:jc w:val="center"/>
              <w:rPr>
                <w:rFonts w:cs="Calibri"/>
                <w:sz w:val="20"/>
                <w:highlight w:val="yellow"/>
              </w:rPr>
            </w:pPr>
            <w:r w:rsidRPr="008E1F1E">
              <w:t>2017, 2019</w:t>
            </w:r>
          </w:p>
        </w:tc>
        <w:tc>
          <w:tcPr>
            <w:tcW w:w="660" w:type="dxa"/>
          </w:tcPr>
          <w:p w14:paraId="2EADD751" w14:textId="77777777" w:rsidR="00402291" w:rsidRPr="006C75CD" w:rsidRDefault="00402291" w:rsidP="00402291">
            <w:pPr>
              <w:spacing w:line="240" w:lineRule="auto"/>
              <w:contextualSpacing/>
              <w:jc w:val="center"/>
              <w:rPr>
                <w:sz w:val="20"/>
                <w:highlight w:val="yellow"/>
              </w:rPr>
            </w:pPr>
          </w:p>
        </w:tc>
        <w:tc>
          <w:tcPr>
            <w:tcW w:w="1325" w:type="dxa"/>
          </w:tcPr>
          <w:p w14:paraId="5E2A1292" w14:textId="293A0EC0" w:rsidR="00402291" w:rsidRPr="006C75CD" w:rsidRDefault="00402291" w:rsidP="00402291">
            <w:pPr>
              <w:spacing w:line="240" w:lineRule="auto"/>
              <w:contextualSpacing/>
              <w:jc w:val="center"/>
              <w:rPr>
                <w:sz w:val="20"/>
                <w:highlight w:val="yellow"/>
              </w:rPr>
            </w:pPr>
            <w:r w:rsidRPr="001B0758">
              <w:t>1.9997</w:t>
            </w:r>
          </w:p>
        </w:tc>
        <w:tc>
          <w:tcPr>
            <w:tcW w:w="2130" w:type="dxa"/>
          </w:tcPr>
          <w:p w14:paraId="0F174435" w14:textId="50631A95" w:rsidR="00402291" w:rsidRPr="006C75CD" w:rsidRDefault="00402291" w:rsidP="00402291">
            <w:pPr>
              <w:spacing w:line="240" w:lineRule="auto"/>
              <w:contextualSpacing/>
              <w:jc w:val="center"/>
              <w:rPr>
                <w:sz w:val="20"/>
                <w:highlight w:val="yellow"/>
              </w:rPr>
            </w:pPr>
            <w:r w:rsidRPr="001B0758">
              <w:t>0.4006</w:t>
            </w:r>
          </w:p>
        </w:tc>
      </w:tr>
      <w:tr w:rsidR="00402291" w:rsidRPr="00142EA3" w14:paraId="7B66124E" w14:textId="77777777" w:rsidTr="00A74F62">
        <w:trPr>
          <w:trHeight w:val="20"/>
          <w:jc w:val="center"/>
        </w:trPr>
        <w:tc>
          <w:tcPr>
            <w:tcW w:w="2324" w:type="dxa"/>
          </w:tcPr>
          <w:p w14:paraId="1DB15141" w14:textId="286B623D" w:rsidR="00402291" w:rsidRPr="006C75CD" w:rsidRDefault="00402291" w:rsidP="00402291">
            <w:pPr>
              <w:spacing w:line="240" w:lineRule="auto"/>
              <w:contextualSpacing/>
              <w:jc w:val="center"/>
              <w:rPr>
                <w:b/>
                <w:noProof/>
                <w:sz w:val="20"/>
                <w:highlight w:val="yellow"/>
                <w:lang w:eastAsia="en-AU"/>
              </w:rPr>
            </w:pPr>
            <w:r w:rsidRPr="008E1F1E">
              <w:t>2017, 2020</w:t>
            </w:r>
          </w:p>
        </w:tc>
        <w:tc>
          <w:tcPr>
            <w:tcW w:w="660" w:type="dxa"/>
          </w:tcPr>
          <w:p w14:paraId="3686F8C4" w14:textId="77777777" w:rsidR="00402291" w:rsidRPr="006C75CD" w:rsidRDefault="00402291" w:rsidP="00402291">
            <w:pPr>
              <w:spacing w:line="240" w:lineRule="auto"/>
              <w:contextualSpacing/>
              <w:jc w:val="center"/>
              <w:rPr>
                <w:sz w:val="20"/>
                <w:highlight w:val="yellow"/>
              </w:rPr>
            </w:pPr>
          </w:p>
        </w:tc>
        <w:tc>
          <w:tcPr>
            <w:tcW w:w="1325" w:type="dxa"/>
          </w:tcPr>
          <w:p w14:paraId="73023BFC" w14:textId="60212250" w:rsidR="00402291" w:rsidRPr="006C75CD" w:rsidRDefault="00402291" w:rsidP="00402291">
            <w:pPr>
              <w:spacing w:line="240" w:lineRule="auto"/>
              <w:contextualSpacing/>
              <w:jc w:val="center"/>
              <w:rPr>
                <w:b/>
                <w:noProof/>
                <w:sz w:val="20"/>
                <w:highlight w:val="yellow"/>
                <w:lang w:eastAsia="en-AU"/>
              </w:rPr>
            </w:pPr>
            <w:r w:rsidRPr="001B0758">
              <w:t>8.4074</w:t>
            </w:r>
          </w:p>
        </w:tc>
        <w:tc>
          <w:tcPr>
            <w:tcW w:w="2130" w:type="dxa"/>
          </w:tcPr>
          <w:p w14:paraId="37C42902" w14:textId="7322080D" w:rsidR="00402291" w:rsidRPr="00402291" w:rsidRDefault="00402291" w:rsidP="00402291">
            <w:pPr>
              <w:spacing w:line="240" w:lineRule="auto"/>
              <w:contextualSpacing/>
              <w:jc w:val="center"/>
              <w:rPr>
                <w:b/>
                <w:bCs/>
                <w:noProof/>
                <w:sz w:val="20"/>
                <w:highlight w:val="yellow"/>
                <w:lang w:eastAsia="en-AU"/>
              </w:rPr>
            </w:pPr>
            <w:r w:rsidRPr="00402291">
              <w:rPr>
                <w:b/>
                <w:bCs/>
              </w:rPr>
              <w:t>0.0314</w:t>
            </w:r>
          </w:p>
        </w:tc>
      </w:tr>
      <w:tr w:rsidR="00402291" w:rsidRPr="00142EA3" w14:paraId="1272B954" w14:textId="77777777" w:rsidTr="00A74F62">
        <w:trPr>
          <w:trHeight w:val="20"/>
          <w:jc w:val="center"/>
        </w:trPr>
        <w:tc>
          <w:tcPr>
            <w:tcW w:w="2324" w:type="dxa"/>
          </w:tcPr>
          <w:p w14:paraId="11B9FE19" w14:textId="52210674" w:rsidR="00402291" w:rsidRPr="006C75CD" w:rsidRDefault="00402291" w:rsidP="00402291">
            <w:pPr>
              <w:spacing w:line="240" w:lineRule="auto"/>
              <w:contextualSpacing/>
              <w:jc w:val="center"/>
              <w:rPr>
                <w:rFonts w:cs="Calibri"/>
                <w:sz w:val="20"/>
                <w:highlight w:val="yellow"/>
              </w:rPr>
            </w:pPr>
            <w:r w:rsidRPr="008E1F1E">
              <w:t>2017, 2021</w:t>
            </w:r>
          </w:p>
        </w:tc>
        <w:tc>
          <w:tcPr>
            <w:tcW w:w="660" w:type="dxa"/>
          </w:tcPr>
          <w:p w14:paraId="2755B6B0" w14:textId="77777777" w:rsidR="00402291" w:rsidRPr="006C75CD" w:rsidRDefault="00402291" w:rsidP="00402291">
            <w:pPr>
              <w:spacing w:line="240" w:lineRule="auto"/>
              <w:contextualSpacing/>
              <w:jc w:val="center"/>
              <w:rPr>
                <w:sz w:val="20"/>
                <w:highlight w:val="yellow"/>
              </w:rPr>
            </w:pPr>
          </w:p>
        </w:tc>
        <w:tc>
          <w:tcPr>
            <w:tcW w:w="1325" w:type="dxa"/>
          </w:tcPr>
          <w:p w14:paraId="1E4E3ADB" w14:textId="0A837B2D" w:rsidR="00402291" w:rsidRPr="006C75CD" w:rsidRDefault="00402291" w:rsidP="00402291">
            <w:pPr>
              <w:spacing w:line="240" w:lineRule="auto"/>
              <w:contextualSpacing/>
              <w:jc w:val="center"/>
              <w:rPr>
                <w:sz w:val="20"/>
                <w:highlight w:val="yellow"/>
              </w:rPr>
            </w:pPr>
            <w:r>
              <w:t>*</w:t>
            </w:r>
          </w:p>
        </w:tc>
        <w:tc>
          <w:tcPr>
            <w:tcW w:w="2130" w:type="dxa"/>
          </w:tcPr>
          <w:p w14:paraId="3A34B0E3" w14:textId="4907B998" w:rsidR="00402291" w:rsidRPr="006C75CD" w:rsidRDefault="00402291" w:rsidP="00402291">
            <w:pPr>
              <w:spacing w:line="240" w:lineRule="auto"/>
              <w:contextualSpacing/>
              <w:jc w:val="center"/>
              <w:rPr>
                <w:sz w:val="20"/>
                <w:highlight w:val="yellow"/>
              </w:rPr>
            </w:pPr>
            <w:r w:rsidRPr="001B0758">
              <w:t xml:space="preserve">       </w:t>
            </w:r>
          </w:p>
        </w:tc>
      </w:tr>
      <w:tr w:rsidR="00402291" w:rsidRPr="00142EA3" w14:paraId="568AA9D8" w14:textId="77777777" w:rsidTr="00A74F62">
        <w:trPr>
          <w:trHeight w:val="20"/>
          <w:jc w:val="center"/>
        </w:trPr>
        <w:tc>
          <w:tcPr>
            <w:tcW w:w="2324" w:type="dxa"/>
          </w:tcPr>
          <w:p w14:paraId="5956510B" w14:textId="4C08F44D" w:rsidR="00402291" w:rsidRPr="006C75CD" w:rsidRDefault="00402291" w:rsidP="00402291">
            <w:pPr>
              <w:spacing w:line="240" w:lineRule="auto"/>
              <w:contextualSpacing/>
              <w:jc w:val="center"/>
              <w:rPr>
                <w:rFonts w:cs="Calibri"/>
                <w:sz w:val="20"/>
                <w:highlight w:val="yellow"/>
              </w:rPr>
            </w:pPr>
            <w:r w:rsidRPr="008E1F1E">
              <w:t>2017, 2022</w:t>
            </w:r>
          </w:p>
        </w:tc>
        <w:tc>
          <w:tcPr>
            <w:tcW w:w="660" w:type="dxa"/>
          </w:tcPr>
          <w:p w14:paraId="5F7009AE" w14:textId="77777777" w:rsidR="00402291" w:rsidRPr="006C75CD" w:rsidRDefault="00402291" w:rsidP="00402291">
            <w:pPr>
              <w:spacing w:line="240" w:lineRule="auto"/>
              <w:contextualSpacing/>
              <w:jc w:val="center"/>
              <w:rPr>
                <w:sz w:val="20"/>
                <w:highlight w:val="yellow"/>
              </w:rPr>
            </w:pPr>
          </w:p>
        </w:tc>
        <w:tc>
          <w:tcPr>
            <w:tcW w:w="1325" w:type="dxa"/>
          </w:tcPr>
          <w:p w14:paraId="68304D9F" w14:textId="6D4F01D6" w:rsidR="00402291" w:rsidRPr="006C75CD" w:rsidRDefault="00402291" w:rsidP="00402291">
            <w:pPr>
              <w:spacing w:line="240" w:lineRule="auto"/>
              <w:contextualSpacing/>
              <w:jc w:val="center"/>
              <w:rPr>
                <w:sz w:val="20"/>
                <w:highlight w:val="yellow"/>
              </w:rPr>
            </w:pPr>
            <w:r>
              <w:t>*</w:t>
            </w:r>
          </w:p>
        </w:tc>
        <w:tc>
          <w:tcPr>
            <w:tcW w:w="2130" w:type="dxa"/>
          </w:tcPr>
          <w:p w14:paraId="201EBECE" w14:textId="53A0BF0E" w:rsidR="00402291" w:rsidRPr="006C75CD" w:rsidRDefault="00402291" w:rsidP="00402291">
            <w:pPr>
              <w:spacing w:line="240" w:lineRule="auto"/>
              <w:contextualSpacing/>
              <w:jc w:val="center"/>
              <w:rPr>
                <w:sz w:val="20"/>
                <w:highlight w:val="yellow"/>
              </w:rPr>
            </w:pPr>
            <w:r w:rsidRPr="001B0758">
              <w:t xml:space="preserve">       </w:t>
            </w:r>
          </w:p>
        </w:tc>
      </w:tr>
      <w:tr w:rsidR="00402291" w:rsidRPr="00142EA3" w14:paraId="12FFA97B" w14:textId="77777777" w:rsidTr="00A74F62">
        <w:trPr>
          <w:trHeight w:val="20"/>
          <w:jc w:val="center"/>
        </w:trPr>
        <w:tc>
          <w:tcPr>
            <w:tcW w:w="2324" w:type="dxa"/>
          </w:tcPr>
          <w:p w14:paraId="76CB9AF4" w14:textId="6B9DD6FA" w:rsidR="00402291" w:rsidRPr="006C75CD" w:rsidRDefault="00402291" w:rsidP="00402291">
            <w:pPr>
              <w:spacing w:line="240" w:lineRule="auto"/>
              <w:contextualSpacing/>
              <w:jc w:val="center"/>
              <w:rPr>
                <w:rFonts w:cs="Calibri"/>
                <w:sz w:val="20"/>
                <w:highlight w:val="yellow"/>
              </w:rPr>
            </w:pPr>
            <w:r w:rsidRPr="008E1F1E">
              <w:t>2017, 2023</w:t>
            </w:r>
          </w:p>
        </w:tc>
        <w:tc>
          <w:tcPr>
            <w:tcW w:w="660" w:type="dxa"/>
          </w:tcPr>
          <w:p w14:paraId="7C048AEF" w14:textId="77777777" w:rsidR="00402291" w:rsidRPr="006C75CD" w:rsidRDefault="00402291" w:rsidP="00402291">
            <w:pPr>
              <w:spacing w:line="240" w:lineRule="auto"/>
              <w:contextualSpacing/>
              <w:jc w:val="center"/>
              <w:rPr>
                <w:sz w:val="20"/>
                <w:highlight w:val="yellow"/>
              </w:rPr>
            </w:pPr>
          </w:p>
        </w:tc>
        <w:tc>
          <w:tcPr>
            <w:tcW w:w="1325" w:type="dxa"/>
          </w:tcPr>
          <w:p w14:paraId="5552DC3F" w14:textId="7E4A7C33" w:rsidR="00402291" w:rsidRPr="006C75CD" w:rsidRDefault="00402291" w:rsidP="00402291">
            <w:pPr>
              <w:spacing w:line="240" w:lineRule="auto"/>
              <w:contextualSpacing/>
              <w:jc w:val="center"/>
              <w:rPr>
                <w:sz w:val="20"/>
                <w:highlight w:val="yellow"/>
              </w:rPr>
            </w:pPr>
            <w:r w:rsidRPr="001B0758">
              <w:t>1.8154</w:t>
            </w:r>
          </w:p>
        </w:tc>
        <w:tc>
          <w:tcPr>
            <w:tcW w:w="2130" w:type="dxa"/>
          </w:tcPr>
          <w:p w14:paraId="66D84C9A" w14:textId="2927E8CA" w:rsidR="00402291" w:rsidRPr="006C75CD" w:rsidRDefault="00402291" w:rsidP="00402291">
            <w:pPr>
              <w:spacing w:line="240" w:lineRule="auto"/>
              <w:contextualSpacing/>
              <w:jc w:val="center"/>
              <w:rPr>
                <w:sz w:val="20"/>
                <w:highlight w:val="yellow"/>
              </w:rPr>
            </w:pPr>
            <w:r w:rsidRPr="001B0758">
              <w:t>0.2036</w:t>
            </w:r>
          </w:p>
        </w:tc>
      </w:tr>
      <w:tr w:rsidR="00402291" w:rsidRPr="00142EA3" w14:paraId="3492810E" w14:textId="77777777" w:rsidTr="00A74F62">
        <w:trPr>
          <w:trHeight w:val="20"/>
          <w:jc w:val="center"/>
        </w:trPr>
        <w:tc>
          <w:tcPr>
            <w:tcW w:w="2324" w:type="dxa"/>
          </w:tcPr>
          <w:p w14:paraId="7B0C8038" w14:textId="25912BA0" w:rsidR="00402291" w:rsidRPr="006C75CD" w:rsidRDefault="00402291" w:rsidP="00402291">
            <w:pPr>
              <w:spacing w:line="240" w:lineRule="auto"/>
              <w:contextualSpacing/>
              <w:jc w:val="center"/>
              <w:rPr>
                <w:rFonts w:cs="Calibri"/>
                <w:sz w:val="20"/>
                <w:highlight w:val="yellow"/>
              </w:rPr>
            </w:pPr>
            <w:r w:rsidRPr="008E1F1E">
              <w:t>2017, 2024</w:t>
            </w:r>
          </w:p>
        </w:tc>
        <w:tc>
          <w:tcPr>
            <w:tcW w:w="660" w:type="dxa"/>
          </w:tcPr>
          <w:p w14:paraId="299FDA82" w14:textId="77777777" w:rsidR="00402291" w:rsidRPr="006C75CD" w:rsidRDefault="00402291" w:rsidP="00402291">
            <w:pPr>
              <w:spacing w:line="240" w:lineRule="auto"/>
              <w:contextualSpacing/>
              <w:jc w:val="center"/>
              <w:rPr>
                <w:sz w:val="20"/>
                <w:highlight w:val="yellow"/>
              </w:rPr>
            </w:pPr>
          </w:p>
        </w:tc>
        <w:tc>
          <w:tcPr>
            <w:tcW w:w="1325" w:type="dxa"/>
          </w:tcPr>
          <w:p w14:paraId="748E71EF" w14:textId="10A18E40" w:rsidR="00402291" w:rsidRPr="006C75CD" w:rsidRDefault="00402291" w:rsidP="00402291">
            <w:pPr>
              <w:spacing w:line="240" w:lineRule="auto"/>
              <w:contextualSpacing/>
              <w:jc w:val="center"/>
              <w:rPr>
                <w:sz w:val="20"/>
                <w:highlight w:val="yellow"/>
              </w:rPr>
            </w:pPr>
            <w:r>
              <w:t>*</w:t>
            </w:r>
          </w:p>
        </w:tc>
        <w:tc>
          <w:tcPr>
            <w:tcW w:w="2130" w:type="dxa"/>
          </w:tcPr>
          <w:p w14:paraId="17B5CD52" w14:textId="70F2B550" w:rsidR="00402291" w:rsidRPr="006C75CD" w:rsidRDefault="00402291" w:rsidP="00402291">
            <w:pPr>
              <w:spacing w:line="240" w:lineRule="auto"/>
              <w:contextualSpacing/>
              <w:jc w:val="center"/>
              <w:rPr>
                <w:b/>
                <w:bCs/>
                <w:sz w:val="20"/>
                <w:highlight w:val="yellow"/>
              </w:rPr>
            </w:pPr>
            <w:r w:rsidRPr="001B0758">
              <w:t xml:space="preserve">       </w:t>
            </w:r>
          </w:p>
        </w:tc>
      </w:tr>
      <w:tr w:rsidR="00402291" w:rsidRPr="00142EA3" w14:paraId="05E66280" w14:textId="77777777" w:rsidTr="00A74F62">
        <w:trPr>
          <w:trHeight w:val="20"/>
          <w:jc w:val="center"/>
        </w:trPr>
        <w:tc>
          <w:tcPr>
            <w:tcW w:w="2324" w:type="dxa"/>
          </w:tcPr>
          <w:p w14:paraId="309D560C" w14:textId="2B798F20" w:rsidR="00402291" w:rsidRPr="006C75CD" w:rsidRDefault="00402291" w:rsidP="00402291">
            <w:pPr>
              <w:spacing w:line="240" w:lineRule="auto"/>
              <w:contextualSpacing/>
              <w:jc w:val="center"/>
              <w:rPr>
                <w:rFonts w:cs="Calibri"/>
                <w:sz w:val="20"/>
                <w:highlight w:val="yellow"/>
              </w:rPr>
            </w:pPr>
            <w:r w:rsidRPr="008E1F1E">
              <w:t>2019, 2020</w:t>
            </w:r>
          </w:p>
        </w:tc>
        <w:tc>
          <w:tcPr>
            <w:tcW w:w="660" w:type="dxa"/>
          </w:tcPr>
          <w:p w14:paraId="1EFADC09" w14:textId="77777777" w:rsidR="00402291" w:rsidRPr="006C75CD" w:rsidRDefault="00402291" w:rsidP="00402291">
            <w:pPr>
              <w:spacing w:line="240" w:lineRule="auto"/>
              <w:contextualSpacing/>
              <w:jc w:val="center"/>
              <w:rPr>
                <w:sz w:val="20"/>
                <w:highlight w:val="yellow"/>
              </w:rPr>
            </w:pPr>
          </w:p>
        </w:tc>
        <w:tc>
          <w:tcPr>
            <w:tcW w:w="1325" w:type="dxa"/>
          </w:tcPr>
          <w:p w14:paraId="18D7F84C" w14:textId="122385DE" w:rsidR="00402291" w:rsidRPr="006C75CD" w:rsidRDefault="00402291" w:rsidP="00402291">
            <w:pPr>
              <w:spacing w:line="240" w:lineRule="auto"/>
              <w:contextualSpacing/>
              <w:jc w:val="center"/>
              <w:rPr>
                <w:sz w:val="20"/>
                <w:highlight w:val="yellow"/>
              </w:rPr>
            </w:pPr>
            <w:r w:rsidRPr="001B0758">
              <w:t>1.7689</w:t>
            </w:r>
          </w:p>
        </w:tc>
        <w:tc>
          <w:tcPr>
            <w:tcW w:w="2130" w:type="dxa"/>
          </w:tcPr>
          <w:p w14:paraId="305D49D6" w14:textId="7FC8C0DF" w:rsidR="00402291" w:rsidRPr="006C75CD" w:rsidRDefault="00402291" w:rsidP="00402291">
            <w:pPr>
              <w:spacing w:line="240" w:lineRule="auto"/>
              <w:contextualSpacing/>
              <w:jc w:val="center"/>
              <w:rPr>
                <w:b/>
                <w:bCs/>
                <w:sz w:val="20"/>
                <w:highlight w:val="yellow"/>
              </w:rPr>
            </w:pPr>
            <w:r w:rsidRPr="001B0758">
              <w:t>0.1142</w:t>
            </w:r>
          </w:p>
        </w:tc>
      </w:tr>
      <w:tr w:rsidR="00402291" w:rsidRPr="00142EA3" w14:paraId="392E351F" w14:textId="77777777" w:rsidTr="00A74F62">
        <w:trPr>
          <w:trHeight w:val="20"/>
          <w:jc w:val="center"/>
        </w:trPr>
        <w:tc>
          <w:tcPr>
            <w:tcW w:w="2324" w:type="dxa"/>
          </w:tcPr>
          <w:p w14:paraId="143E543B" w14:textId="1EE4D79B" w:rsidR="00402291" w:rsidRPr="006C75CD" w:rsidRDefault="00402291" w:rsidP="00402291">
            <w:pPr>
              <w:spacing w:line="240" w:lineRule="auto"/>
              <w:contextualSpacing/>
              <w:jc w:val="center"/>
              <w:rPr>
                <w:rFonts w:cs="Calibri"/>
                <w:sz w:val="20"/>
                <w:highlight w:val="yellow"/>
              </w:rPr>
            </w:pPr>
            <w:r w:rsidRPr="008E1F1E">
              <w:t>2019, 2021</w:t>
            </w:r>
          </w:p>
        </w:tc>
        <w:tc>
          <w:tcPr>
            <w:tcW w:w="660" w:type="dxa"/>
          </w:tcPr>
          <w:p w14:paraId="36322923" w14:textId="77777777" w:rsidR="00402291" w:rsidRPr="006C75CD" w:rsidRDefault="00402291" w:rsidP="00402291">
            <w:pPr>
              <w:spacing w:line="240" w:lineRule="auto"/>
              <w:contextualSpacing/>
              <w:jc w:val="center"/>
              <w:rPr>
                <w:sz w:val="20"/>
                <w:highlight w:val="yellow"/>
              </w:rPr>
            </w:pPr>
          </w:p>
        </w:tc>
        <w:tc>
          <w:tcPr>
            <w:tcW w:w="1325" w:type="dxa"/>
          </w:tcPr>
          <w:p w14:paraId="3D60E50E" w14:textId="2818FB67" w:rsidR="00402291" w:rsidRPr="006C75CD" w:rsidRDefault="00402291" w:rsidP="00402291">
            <w:pPr>
              <w:spacing w:line="240" w:lineRule="auto"/>
              <w:contextualSpacing/>
              <w:jc w:val="center"/>
              <w:rPr>
                <w:sz w:val="20"/>
                <w:highlight w:val="yellow"/>
              </w:rPr>
            </w:pPr>
            <w:r w:rsidRPr="001B0758">
              <w:t>2.7381</w:t>
            </w:r>
          </w:p>
        </w:tc>
        <w:tc>
          <w:tcPr>
            <w:tcW w:w="2130" w:type="dxa"/>
          </w:tcPr>
          <w:p w14:paraId="49400C8C" w14:textId="5761C1B1" w:rsidR="00402291" w:rsidRPr="006C75CD" w:rsidRDefault="00402291" w:rsidP="00402291">
            <w:pPr>
              <w:spacing w:line="240" w:lineRule="auto"/>
              <w:contextualSpacing/>
              <w:jc w:val="center"/>
              <w:rPr>
                <w:b/>
                <w:bCs/>
                <w:sz w:val="20"/>
                <w:highlight w:val="yellow"/>
              </w:rPr>
            </w:pPr>
            <w:r w:rsidRPr="001B0758">
              <w:t>0.1074</w:t>
            </w:r>
          </w:p>
        </w:tc>
      </w:tr>
      <w:tr w:rsidR="00402291" w:rsidRPr="00142EA3" w14:paraId="18931AFD" w14:textId="77777777" w:rsidTr="00A74F62">
        <w:trPr>
          <w:trHeight w:val="20"/>
          <w:jc w:val="center"/>
        </w:trPr>
        <w:tc>
          <w:tcPr>
            <w:tcW w:w="2324" w:type="dxa"/>
          </w:tcPr>
          <w:p w14:paraId="475EDF2D" w14:textId="6CB93710" w:rsidR="00402291" w:rsidRPr="006C75CD" w:rsidRDefault="00402291" w:rsidP="00402291">
            <w:pPr>
              <w:spacing w:line="240" w:lineRule="auto"/>
              <w:contextualSpacing/>
              <w:jc w:val="center"/>
              <w:rPr>
                <w:rFonts w:cs="Calibri"/>
                <w:sz w:val="20"/>
                <w:highlight w:val="yellow"/>
              </w:rPr>
            </w:pPr>
            <w:r w:rsidRPr="008E1F1E">
              <w:t>2019, 2022</w:t>
            </w:r>
          </w:p>
        </w:tc>
        <w:tc>
          <w:tcPr>
            <w:tcW w:w="660" w:type="dxa"/>
          </w:tcPr>
          <w:p w14:paraId="1DA48C34" w14:textId="77777777" w:rsidR="00402291" w:rsidRPr="006C75CD" w:rsidRDefault="00402291" w:rsidP="00402291">
            <w:pPr>
              <w:spacing w:line="240" w:lineRule="auto"/>
              <w:contextualSpacing/>
              <w:jc w:val="center"/>
              <w:rPr>
                <w:sz w:val="20"/>
                <w:highlight w:val="yellow"/>
              </w:rPr>
            </w:pPr>
          </w:p>
        </w:tc>
        <w:tc>
          <w:tcPr>
            <w:tcW w:w="1325" w:type="dxa"/>
          </w:tcPr>
          <w:p w14:paraId="4CA36BF9" w14:textId="1A899577" w:rsidR="00402291" w:rsidRPr="006C75CD" w:rsidRDefault="00402291" w:rsidP="00402291">
            <w:pPr>
              <w:spacing w:line="240" w:lineRule="auto"/>
              <w:contextualSpacing/>
              <w:jc w:val="center"/>
              <w:rPr>
                <w:sz w:val="20"/>
                <w:highlight w:val="yellow"/>
              </w:rPr>
            </w:pPr>
            <w:r w:rsidRPr="001B0758">
              <w:t>2.7381</w:t>
            </w:r>
          </w:p>
        </w:tc>
        <w:tc>
          <w:tcPr>
            <w:tcW w:w="2130" w:type="dxa"/>
          </w:tcPr>
          <w:p w14:paraId="34721B6E" w14:textId="10AA3F9C" w:rsidR="00402291" w:rsidRPr="006C75CD" w:rsidRDefault="00402291" w:rsidP="00402291">
            <w:pPr>
              <w:spacing w:line="240" w:lineRule="auto"/>
              <w:contextualSpacing/>
              <w:jc w:val="center"/>
              <w:rPr>
                <w:b/>
                <w:bCs/>
                <w:sz w:val="20"/>
                <w:highlight w:val="yellow"/>
              </w:rPr>
            </w:pPr>
            <w:r w:rsidRPr="001B0758">
              <w:t>0.1071</w:t>
            </w:r>
          </w:p>
        </w:tc>
      </w:tr>
      <w:tr w:rsidR="00402291" w:rsidRPr="00142EA3" w14:paraId="7EC1B9E4" w14:textId="77777777" w:rsidTr="00A74F62">
        <w:trPr>
          <w:trHeight w:val="20"/>
          <w:jc w:val="center"/>
        </w:trPr>
        <w:tc>
          <w:tcPr>
            <w:tcW w:w="2324" w:type="dxa"/>
          </w:tcPr>
          <w:p w14:paraId="42237774" w14:textId="5D26E452" w:rsidR="00402291" w:rsidRPr="006C75CD" w:rsidRDefault="00402291" w:rsidP="00402291">
            <w:pPr>
              <w:spacing w:line="240" w:lineRule="auto"/>
              <w:contextualSpacing/>
              <w:jc w:val="center"/>
              <w:rPr>
                <w:rFonts w:cs="Calibri"/>
                <w:sz w:val="20"/>
                <w:highlight w:val="yellow"/>
              </w:rPr>
            </w:pPr>
            <w:r w:rsidRPr="008E1F1E">
              <w:lastRenderedPageBreak/>
              <w:t>2019, 2023</w:t>
            </w:r>
          </w:p>
        </w:tc>
        <w:tc>
          <w:tcPr>
            <w:tcW w:w="660" w:type="dxa"/>
          </w:tcPr>
          <w:p w14:paraId="65AA667E" w14:textId="77777777" w:rsidR="00402291" w:rsidRPr="006C75CD" w:rsidRDefault="00402291" w:rsidP="00402291">
            <w:pPr>
              <w:spacing w:line="240" w:lineRule="auto"/>
              <w:contextualSpacing/>
              <w:jc w:val="center"/>
              <w:rPr>
                <w:sz w:val="20"/>
                <w:highlight w:val="yellow"/>
              </w:rPr>
            </w:pPr>
          </w:p>
        </w:tc>
        <w:tc>
          <w:tcPr>
            <w:tcW w:w="1325" w:type="dxa"/>
          </w:tcPr>
          <w:p w14:paraId="552AE94E" w14:textId="1CDDB5BE" w:rsidR="00402291" w:rsidRPr="006C75CD" w:rsidRDefault="00402291" w:rsidP="00402291">
            <w:pPr>
              <w:spacing w:line="240" w:lineRule="auto"/>
              <w:contextualSpacing/>
              <w:jc w:val="center"/>
              <w:rPr>
                <w:sz w:val="20"/>
                <w:highlight w:val="yellow"/>
              </w:rPr>
            </w:pPr>
            <w:r w:rsidRPr="001B0758">
              <w:t>0.1542</w:t>
            </w:r>
          </w:p>
        </w:tc>
        <w:tc>
          <w:tcPr>
            <w:tcW w:w="2130" w:type="dxa"/>
          </w:tcPr>
          <w:p w14:paraId="6A454700" w14:textId="7A314F15" w:rsidR="00402291" w:rsidRPr="006C75CD" w:rsidRDefault="00402291" w:rsidP="00402291">
            <w:pPr>
              <w:spacing w:line="240" w:lineRule="auto"/>
              <w:contextualSpacing/>
              <w:jc w:val="center"/>
              <w:rPr>
                <w:sz w:val="20"/>
                <w:highlight w:val="yellow"/>
              </w:rPr>
            </w:pPr>
            <w:r w:rsidRPr="001B0758">
              <w:t>0.7386</w:t>
            </w:r>
          </w:p>
        </w:tc>
      </w:tr>
      <w:tr w:rsidR="00402291" w:rsidRPr="00142EA3" w14:paraId="39F557F8" w14:textId="77777777" w:rsidTr="00A74F62">
        <w:trPr>
          <w:trHeight w:val="20"/>
          <w:jc w:val="center"/>
        </w:trPr>
        <w:tc>
          <w:tcPr>
            <w:tcW w:w="2324" w:type="dxa"/>
          </w:tcPr>
          <w:p w14:paraId="239CE6A2" w14:textId="240810A7" w:rsidR="00402291" w:rsidRPr="006C75CD" w:rsidRDefault="00402291" w:rsidP="00402291">
            <w:pPr>
              <w:spacing w:line="240" w:lineRule="auto"/>
              <w:contextualSpacing/>
              <w:jc w:val="center"/>
              <w:rPr>
                <w:rFonts w:cs="Calibri"/>
                <w:sz w:val="20"/>
                <w:highlight w:val="yellow"/>
              </w:rPr>
            </w:pPr>
            <w:r w:rsidRPr="008E1F1E">
              <w:t>2019, 2024</w:t>
            </w:r>
          </w:p>
        </w:tc>
        <w:tc>
          <w:tcPr>
            <w:tcW w:w="660" w:type="dxa"/>
          </w:tcPr>
          <w:p w14:paraId="5548A6E6" w14:textId="77777777" w:rsidR="00402291" w:rsidRPr="006C75CD" w:rsidRDefault="00402291" w:rsidP="00402291">
            <w:pPr>
              <w:spacing w:line="240" w:lineRule="auto"/>
              <w:contextualSpacing/>
              <w:jc w:val="center"/>
              <w:rPr>
                <w:sz w:val="20"/>
                <w:highlight w:val="yellow"/>
              </w:rPr>
            </w:pPr>
          </w:p>
        </w:tc>
        <w:tc>
          <w:tcPr>
            <w:tcW w:w="1325" w:type="dxa"/>
          </w:tcPr>
          <w:p w14:paraId="5F379B6C" w14:textId="1C535A88" w:rsidR="00402291" w:rsidRPr="006C75CD" w:rsidRDefault="00402291" w:rsidP="00402291">
            <w:pPr>
              <w:spacing w:line="240" w:lineRule="auto"/>
              <w:contextualSpacing/>
              <w:jc w:val="center"/>
              <w:rPr>
                <w:sz w:val="20"/>
                <w:highlight w:val="yellow"/>
              </w:rPr>
            </w:pPr>
            <w:r w:rsidRPr="001B0758">
              <w:t>2.7381</w:t>
            </w:r>
          </w:p>
        </w:tc>
        <w:tc>
          <w:tcPr>
            <w:tcW w:w="2130" w:type="dxa"/>
          </w:tcPr>
          <w:p w14:paraId="73525E37" w14:textId="4FA95442" w:rsidR="00402291" w:rsidRPr="006C75CD" w:rsidRDefault="00402291" w:rsidP="00402291">
            <w:pPr>
              <w:spacing w:line="240" w:lineRule="auto"/>
              <w:contextualSpacing/>
              <w:jc w:val="center"/>
              <w:rPr>
                <w:sz w:val="20"/>
                <w:highlight w:val="yellow"/>
              </w:rPr>
            </w:pPr>
            <w:r w:rsidRPr="001B0758">
              <w:t>0.1062</w:t>
            </w:r>
          </w:p>
        </w:tc>
      </w:tr>
      <w:tr w:rsidR="00402291" w:rsidRPr="00142EA3" w14:paraId="16FD121A" w14:textId="77777777" w:rsidTr="00A74F62">
        <w:trPr>
          <w:trHeight w:val="20"/>
          <w:jc w:val="center"/>
        </w:trPr>
        <w:tc>
          <w:tcPr>
            <w:tcW w:w="2324" w:type="dxa"/>
          </w:tcPr>
          <w:p w14:paraId="459F0AB0" w14:textId="6473AC3C" w:rsidR="00402291" w:rsidRPr="006C75CD" w:rsidRDefault="00402291" w:rsidP="00402291">
            <w:pPr>
              <w:spacing w:line="240" w:lineRule="auto"/>
              <w:contextualSpacing/>
              <w:jc w:val="center"/>
              <w:rPr>
                <w:rFonts w:cs="Calibri"/>
                <w:sz w:val="20"/>
                <w:highlight w:val="yellow"/>
              </w:rPr>
            </w:pPr>
            <w:r w:rsidRPr="008E1F1E">
              <w:t>2020, 2021</w:t>
            </w:r>
          </w:p>
        </w:tc>
        <w:tc>
          <w:tcPr>
            <w:tcW w:w="660" w:type="dxa"/>
          </w:tcPr>
          <w:p w14:paraId="0169EA9E" w14:textId="77777777" w:rsidR="00402291" w:rsidRPr="006C75CD" w:rsidRDefault="00402291" w:rsidP="00402291">
            <w:pPr>
              <w:spacing w:line="240" w:lineRule="auto"/>
              <w:contextualSpacing/>
              <w:jc w:val="center"/>
              <w:rPr>
                <w:sz w:val="20"/>
                <w:highlight w:val="yellow"/>
              </w:rPr>
            </w:pPr>
          </w:p>
        </w:tc>
        <w:tc>
          <w:tcPr>
            <w:tcW w:w="1325" w:type="dxa"/>
          </w:tcPr>
          <w:p w14:paraId="575A595B" w14:textId="2E125539" w:rsidR="00402291" w:rsidRPr="006C75CD" w:rsidRDefault="00402291" w:rsidP="00402291">
            <w:pPr>
              <w:spacing w:line="240" w:lineRule="auto"/>
              <w:contextualSpacing/>
              <w:jc w:val="center"/>
              <w:rPr>
                <w:sz w:val="20"/>
                <w:highlight w:val="yellow"/>
              </w:rPr>
            </w:pPr>
            <w:r w:rsidRPr="001B0758">
              <w:t>11.3260</w:t>
            </w:r>
          </w:p>
        </w:tc>
        <w:tc>
          <w:tcPr>
            <w:tcW w:w="2130" w:type="dxa"/>
          </w:tcPr>
          <w:p w14:paraId="4022ED79" w14:textId="105C3F1B" w:rsidR="00402291" w:rsidRPr="00402291" w:rsidRDefault="00402291" w:rsidP="00402291">
            <w:pPr>
              <w:spacing w:line="240" w:lineRule="auto"/>
              <w:contextualSpacing/>
              <w:jc w:val="center"/>
              <w:rPr>
                <w:b/>
                <w:bCs/>
                <w:sz w:val="20"/>
                <w:highlight w:val="yellow"/>
              </w:rPr>
            </w:pPr>
            <w:r w:rsidRPr="00402291">
              <w:rPr>
                <w:b/>
                <w:bCs/>
              </w:rPr>
              <w:t>0.0082</w:t>
            </w:r>
          </w:p>
        </w:tc>
      </w:tr>
      <w:tr w:rsidR="00402291" w:rsidRPr="00142EA3" w14:paraId="1F6267F5" w14:textId="77777777" w:rsidTr="00A74F62">
        <w:trPr>
          <w:trHeight w:val="20"/>
          <w:jc w:val="center"/>
        </w:trPr>
        <w:tc>
          <w:tcPr>
            <w:tcW w:w="2324" w:type="dxa"/>
          </w:tcPr>
          <w:p w14:paraId="2C6522A6" w14:textId="44A36445" w:rsidR="00402291" w:rsidRPr="006C75CD" w:rsidRDefault="00402291" w:rsidP="00402291">
            <w:pPr>
              <w:spacing w:line="240" w:lineRule="auto"/>
              <w:contextualSpacing/>
              <w:jc w:val="center"/>
              <w:rPr>
                <w:rFonts w:cs="Calibri"/>
                <w:sz w:val="20"/>
                <w:highlight w:val="yellow"/>
              </w:rPr>
            </w:pPr>
            <w:r w:rsidRPr="008E1F1E">
              <w:t>2020, 2022</w:t>
            </w:r>
          </w:p>
        </w:tc>
        <w:tc>
          <w:tcPr>
            <w:tcW w:w="660" w:type="dxa"/>
          </w:tcPr>
          <w:p w14:paraId="3EEF0828" w14:textId="77777777" w:rsidR="00402291" w:rsidRPr="006C75CD" w:rsidRDefault="00402291" w:rsidP="00402291">
            <w:pPr>
              <w:spacing w:line="240" w:lineRule="auto"/>
              <w:contextualSpacing/>
              <w:jc w:val="center"/>
              <w:rPr>
                <w:sz w:val="20"/>
                <w:highlight w:val="yellow"/>
              </w:rPr>
            </w:pPr>
          </w:p>
        </w:tc>
        <w:tc>
          <w:tcPr>
            <w:tcW w:w="1325" w:type="dxa"/>
          </w:tcPr>
          <w:p w14:paraId="7318B5CD" w14:textId="3DEDA8A7" w:rsidR="00402291" w:rsidRPr="006C75CD" w:rsidRDefault="00402291" w:rsidP="00402291">
            <w:pPr>
              <w:spacing w:line="240" w:lineRule="auto"/>
              <w:contextualSpacing/>
              <w:jc w:val="center"/>
              <w:rPr>
                <w:sz w:val="20"/>
                <w:highlight w:val="yellow"/>
              </w:rPr>
            </w:pPr>
            <w:r w:rsidRPr="001B0758">
              <w:t>11.3260</w:t>
            </w:r>
          </w:p>
        </w:tc>
        <w:tc>
          <w:tcPr>
            <w:tcW w:w="2130" w:type="dxa"/>
          </w:tcPr>
          <w:p w14:paraId="1603806C" w14:textId="616BF132" w:rsidR="00402291" w:rsidRPr="00402291" w:rsidRDefault="00402291" w:rsidP="00402291">
            <w:pPr>
              <w:spacing w:line="240" w:lineRule="auto"/>
              <w:contextualSpacing/>
              <w:jc w:val="center"/>
              <w:rPr>
                <w:b/>
                <w:bCs/>
                <w:sz w:val="20"/>
                <w:highlight w:val="yellow"/>
              </w:rPr>
            </w:pPr>
            <w:r w:rsidRPr="00402291">
              <w:rPr>
                <w:b/>
                <w:bCs/>
              </w:rPr>
              <w:t>0.0080</w:t>
            </w:r>
          </w:p>
        </w:tc>
      </w:tr>
      <w:tr w:rsidR="00402291" w:rsidRPr="00142EA3" w14:paraId="65E8A927" w14:textId="77777777" w:rsidTr="00A74F62">
        <w:trPr>
          <w:trHeight w:val="20"/>
          <w:jc w:val="center"/>
        </w:trPr>
        <w:tc>
          <w:tcPr>
            <w:tcW w:w="2324" w:type="dxa"/>
          </w:tcPr>
          <w:p w14:paraId="18ECD14A" w14:textId="4B4A892D" w:rsidR="00402291" w:rsidRPr="006C75CD" w:rsidRDefault="00402291" w:rsidP="00402291">
            <w:pPr>
              <w:spacing w:line="240" w:lineRule="auto"/>
              <w:contextualSpacing/>
              <w:jc w:val="center"/>
              <w:rPr>
                <w:rFonts w:cs="Calibri"/>
                <w:sz w:val="20"/>
                <w:highlight w:val="yellow"/>
              </w:rPr>
            </w:pPr>
            <w:r w:rsidRPr="008E1F1E">
              <w:t>2020, 2023</w:t>
            </w:r>
          </w:p>
        </w:tc>
        <w:tc>
          <w:tcPr>
            <w:tcW w:w="660" w:type="dxa"/>
          </w:tcPr>
          <w:p w14:paraId="5025C66B" w14:textId="77777777" w:rsidR="00402291" w:rsidRPr="006C75CD" w:rsidRDefault="00402291" w:rsidP="00402291">
            <w:pPr>
              <w:spacing w:line="240" w:lineRule="auto"/>
              <w:contextualSpacing/>
              <w:jc w:val="center"/>
              <w:rPr>
                <w:sz w:val="20"/>
                <w:highlight w:val="yellow"/>
              </w:rPr>
            </w:pPr>
          </w:p>
        </w:tc>
        <w:tc>
          <w:tcPr>
            <w:tcW w:w="1325" w:type="dxa"/>
          </w:tcPr>
          <w:p w14:paraId="5439DC19" w14:textId="051105E7" w:rsidR="00402291" w:rsidRPr="006C75CD" w:rsidRDefault="00402291" w:rsidP="00402291">
            <w:pPr>
              <w:spacing w:line="240" w:lineRule="auto"/>
              <w:contextualSpacing/>
              <w:jc w:val="center"/>
              <w:rPr>
                <w:sz w:val="20"/>
                <w:highlight w:val="yellow"/>
              </w:rPr>
            </w:pPr>
            <w:r w:rsidRPr="001B0758">
              <w:t>2.0497</w:t>
            </w:r>
          </w:p>
        </w:tc>
        <w:tc>
          <w:tcPr>
            <w:tcW w:w="2130" w:type="dxa"/>
          </w:tcPr>
          <w:p w14:paraId="4ABD9422" w14:textId="791C1042" w:rsidR="00402291" w:rsidRPr="006C75CD" w:rsidRDefault="00402291" w:rsidP="00402291">
            <w:pPr>
              <w:spacing w:line="240" w:lineRule="auto"/>
              <w:contextualSpacing/>
              <w:jc w:val="center"/>
              <w:rPr>
                <w:sz w:val="20"/>
                <w:highlight w:val="yellow"/>
              </w:rPr>
            </w:pPr>
            <w:r w:rsidRPr="001B0758">
              <w:t>0.0889</w:t>
            </w:r>
          </w:p>
        </w:tc>
      </w:tr>
      <w:tr w:rsidR="00402291" w:rsidRPr="00142EA3" w14:paraId="61BC4E6F" w14:textId="77777777" w:rsidTr="00A74F62">
        <w:trPr>
          <w:trHeight w:val="20"/>
          <w:jc w:val="center"/>
        </w:trPr>
        <w:tc>
          <w:tcPr>
            <w:tcW w:w="2324" w:type="dxa"/>
          </w:tcPr>
          <w:p w14:paraId="2970CB49" w14:textId="057D6296" w:rsidR="00402291" w:rsidRPr="006C75CD" w:rsidRDefault="00402291" w:rsidP="00402291">
            <w:pPr>
              <w:spacing w:line="240" w:lineRule="auto"/>
              <w:contextualSpacing/>
              <w:jc w:val="center"/>
              <w:rPr>
                <w:rFonts w:cs="Calibri"/>
                <w:sz w:val="20"/>
                <w:highlight w:val="yellow"/>
              </w:rPr>
            </w:pPr>
            <w:r w:rsidRPr="008E1F1E">
              <w:t>2020, 2024</w:t>
            </w:r>
          </w:p>
        </w:tc>
        <w:tc>
          <w:tcPr>
            <w:tcW w:w="660" w:type="dxa"/>
          </w:tcPr>
          <w:p w14:paraId="673384F0" w14:textId="77777777" w:rsidR="00402291" w:rsidRPr="006C75CD" w:rsidRDefault="00402291" w:rsidP="00402291">
            <w:pPr>
              <w:spacing w:line="240" w:lineRule="auto"/>
              <w:contextualSpacing/>
              <w:jc w:val="center"/>
              <w:rPr>
                <w:sz w:val="20"/>
                <w:highlight w:val="yellow"/>
              </w:rPr>
            </w:pPr>
          </w:p>
        </w:tc>
        <w:tc>
          <w:tcPr>
            <w:tcW w:w="1325" w:type="dxa"/>
          </w:tcPr>
          <w:p w14:paraId="3E7FC7B9" w14:textId="44A8ADA9" w:rsidR="00402291" w:rsidRPr="006C75CD" w:rsidRDefault="00402291" w:rsidP="00402291">
            <w:pPr>
              <w:spacing w:line="240" w:lineRule="auto"/>
              <w:contextualSpacing/>
              <w:jc w:val="center"/>
              <w:rPr>
                <w:sz w:val="20"/>
                <w:highlight w:val="yellow"/>
              </w:rPr>
            </w:pPr>
            <w:r w:rsidRPr="001B0758">
              <w:t>11.3260</w:t>
            </w:r>
          </w:p>
        </w:tc>
        <w:tc>
          <w:tcPr>
            <w:tcW w:w="2130" w:type="dxa"/>
          </w:tcPr>
          <w:p w14:paraId="471DEA8F" w14:textId="161B05A3" w:rsidR="00402291" w:rsidRPr="00402291" w:rsidRDefault="00402291" w:rsidP="00402291">
            <w:pPr>
              <w:spacing w:line="240" w:lineRule="auto"/>
              <w:contextualSpacing/>
              <w:jc w:val="center"/>
              <w:rPr>
                <w:sz w:val="20"/>
                <w:highlight w:val="yellow"/>
              </w:rPr>
            </w:pPr>
            <w:r w:rsidRPr="00402291">
              <w:t>0.0094</w:t>
            </w:r>
          </w:p>
        </w:tc>
      </w:tr>
      <w:tr w:rsidR="00402291" w:rsidRPr="00142EA3" w14:paraId="29F847A4" w14:textId="77777777" w:rsidTr="00A74F62">
        <w:trPr>
          <w:trHeight w:val="20"/>
          <w:jc w:val="center"/>
        </w:trPr>
        <w:tc>
          <w:tcPr>
            <w:tcW w:w="2324" w:type="dxa"/>
          </w:tcPr>
          <w:p w14:paraId="213076A3" w14:textId="363BC2CC" w:rsidR="00402291" w:rsidRPr="006C75CD" w:rsidRDefault="00402291" w:rsidP="00402291">
            <w:pPr>
              <w:spacing w:line="240" w:lineRule="auto"/>
              <w:contextualSpacing/>
              <w:jc w:val="center"/>
              <w:rPr>
                <w:rFonts w:cs="Calibri"/>
                <w:sz w:val="20"/>
                <w:highlight w:val="yellow"/>
              </w:rPr>
            </w:pPr>
            <w:r w:rsidRPr="008E1F1E">
              <w:t>2021, 2022</w:t>
            </w:r>
          </w:p>
        </w:tc>
        <w:tc>
          <w:tcPr>
            <w:tcW w:w="660" w:type="dxa"/>
          </w:tcPr>
          <w:p w14:paraId="5B440E6D" w14:textId="77777777" w:rsidR="00402291" w:rsidRPr="006C75CD" w:rsidRDefault="00402291" w:rsidP="00402291">
            <w:pPr>
              <w:spacing w:line="240" w:lineRule="auto"/>
              <w:contextualSpacing/>
              <w:jc w:val="center"/>
              <w:rPr>
                <w:sz w:val="20"/>
                <w:highlight w:val="yellow"/>
              </w:rPr>
            </w:pPr>
          </w:p>
        </w:tc>
        <w:tc>
          <w:tcPr>
            <w:tcW w:w="1325" w:type="dxa"/>
          </w:tcPr>
          <w:p w14:paraId="5CEA42D0" w14:textId="09C09C2A" w:rsidR="00402291" w:rsidRPr="006C75CD" w:rsidRDefault="00402291" w:rsidP="00402291">
            <w:pPr>
              <w:spacing w:line="240" w:lineRule="auto"/>
              <w:contextualSpacing/>
              <w:jc w:val="center"/>
              <w:rPr>
                <w:sz w:val="20"/>
                <w:highlight w:val="yellow"/>
              </w:rPr>
            </w:pPr>
            <w:r>
              <w:t>*</w:t>
            </w:r>
          </w:p>
        </w:tc>
        <w:tc>
          <w:tcPr>
            <w:tcW w:w="2130" w:type="dxa"/>
          </w:tcPr>
          <w:p w14:paraId="22120FE3" w14:textId="05376EDD" w:rsidR="00402291" w:rsidRPr="006C75CD" w:rsidRDefault="00402291" w:rsidP="00402291">
            <w:pPr>
              <w:spacing w:line="240" w:lineRule="auto"/>
              <w:contextualSpacing/>
              <w:jc w:val="center"/>
              <w:rPr>
                <w:sz w:val="20"/>
                <w:highlight w:val="yellow"/>
              </w:rPr>
            </w:pPr>
            <w:r w:rsidRPr="001B0758">
              <w:t xml:space="preserve">       </w:t>
            </w:r>
          </w:p>
        </w:tc>
      </w:tr>
      <w:tr w:rsidR="00402291" w:rsidRPr="00142EA3" w14:paraId="4ECBDCB7" w14:textId="77777777" w:rsidTr="00A74F62">
        <w:trPr>
          <w:trHeight w:val="20"/>
          <w:jc w:val="center"/>
        </w:trPr>
        <w:tc>
          <w:tcPr>
            <w:tcW w:w="2324" w:type="dxa"/>
          </w:tcPr>
          <w:p w14:paraId="355C5B8A" w14:textId="2DACEFB1" w:rsidR="00402291" w:rsidRPr="006C75CD" w:rsidRDefault="00402291" w:rsidP="00402291">
            <w:pPr>
              <w:spacing w:line="240" w:lineRule="auto"/>
              <w:contextualSpacing/>
              <w:jc w:val="center"/>
              <w:rPr>
                <w:rFonts w:cs="Calibri"/>
                <w:sz w:val="20"/>
                <w:highlight w:val="yellow"/>
              </w:rPr>
            </w:pPr>
            <w:r w:rsidRPr="008E1F1E">
              <w:t>2021, 2023</w:t>
            </w:r>
          </w:p>
        </w:tc>
        <w:tc>
          <w:tcPr>
            <w:tcW w:w="660" w:type="dxa"/>
          </w:tcPr>
          <w:p w14:paraId="33309F24" w14:textId="77777777" w:rsidR="00402291" w:rsidRPr="006C75CD" w:rsidRDefault="00402291" w:rsidP="00402291">
            <w:pPr>
              <w:spacing w:line="240" w:lineRule="auto"/>
              <w:contextualSpacing/>
              <w:jc w:val="center"/>
              <w:rPr>
                <w:sz w:val="20"/>
                <w:highlight w:val="yellow"/>
              </w:rPr>
            </w:pPr>
          </w:p>
        </w:tc>
        <w:tc>
          <w:tcPr>
            <w:tcW w:w="1325" w:type="dxa"/>
          </w:tcPr>
          <w:p w14:paraId="6B55F208" w14:textId="3AA4B927" w:rsidR="00402291" w:rsidRPr="006C75CD" w:rsidRDefault="00402291" w:rsidP="00402291">
            <w:pPr>
              <w:spacing w:line="240" w:lineRule="auto"/>
              <w:contextualSpacing/>
              <w:jc w:val="center"/>
              <w:rPr>
                <w:sz w:val="20"/>
                <w:highlight w:val="yellow"/>
              </w:rPr>
            </w:pPr>
            <w:r w:rsidRPr="001B0758">
              <w:t>2.4206</w:t>
            </w:r>
          </w:p>
        </w:tc>
        <w:tc>
          <w:tcPr>
            <w:tcW w:w="2130" w:type="dxa"/>
          </w:tcPr>
          <w:p w14:paraId="5B330175" w14:textId="5C5FCEBB" w:rsidR="00402291" w:rsidRPr="006C75CD" w:rsidRDefault="00402291" w:rsidP="00402291">
            <w:pPr>
              <w:spacing w:line="240" w:lineRule="auto"/>
              <w:contextualSpacing/>
              <w:jc w:val="center"/>
              <w:rPr>
                <w:sz w:val="20"/>
                <w:highlight w:val="yellow"/>
              </w:rPr>
            </w:pPr>
            <w:r w:rsidRPr="001B0758">
              <w:t>0.1708</w:t>
            </w:r>
          </w:p>
        </w:tc>
      </w:tr>
      <w:tr w:rsidR="00402291" w:rsidRPr="00142EA3" w14:paraId="67F13613" w14:textId="77777777" w:rsidTr="00A74F62">
        <w:trPr>
          <w:trHeight w:val="20"/>
          <w:jc w:val="center"/>
        </w:trPr>
        <w:tc>
          <w:tcPr>
            <w:tcW w:w="2324" w:type="dxa"/>
          </w:tcPr>
          <w:p w14:paraId="143B7FD5" w14:textId="5E741C23" w:rsidR="00402291" w:rsidRPr="006C75CD" w:rsidRDefault="00402291" w:rsidP="00402291">
            <w:pPr>
              <w:spacing w:line="240" w:lineRule="auto"/>
              <w:contextualSpacing/>
              <w:jc w:val="center"/>
              <w:rPr>
                <w:rFonts w:cs="Calibri"/>
                <w:sz w:val="20"/>
                <w:highlight w:val="yellow"/>
              </w:rPr>
            </w:pPr>
            <w:r w:rsidRPr="008E1F1E">
              <w:t>2021, 2024</w:t>
            </w:r>
          </w:p>
        </w:tc>
        <w:tc>
          <w:tcPr>
            <w:tcW w:w="660" w:type="dxa"/>
          </w:tcPr>
          <w:p w14:paraId="49A3DCE7" w14:textId="77777777" w:rsidR="00402291" w:rsidRPr="006C75CD" w:rsidRDefault="00402291" w:rsidP="00402291">
            <w:pPr>
              <w:spacing w:line="240" w:lineRule="auto"/>
              <w:contextualSpacing/>
              <w:jc w:val="center"/>
              <w:rPr>
                <w:sz w:val="20"/>
                <w:highlight w:val="yellow"/>
              </w:rPr>
            </w:pPr>
          </w:p>
        </w:tc>
        <w:tc>
          <w:tcPr>
            <w:tcW w:w="1325" w:type="dxa"/>
          </w:tcPr>
          <w:p w14:paraId="2E5E718C" w14:textId="04EA004A" w:rsidR="00402291" w:rsidRPr="006C75CD" w:rsidRDefault="00402291" w:rsidP="00402291">
            <w:pPr>
              <w:spacing w:line="240" w:lineRule="auto"/>
              <w:contextualSpacing/>
              <w:jc w:val="center"/>
              <w:rPr>
                <w:sz w:val="20"/>
                <w:highlight w:val="yellow"/>
              </w:rPr>
            </w:pPr>
            <w:r>
              <w:t>*</w:t>
            </w:r>
          </w:p>
        </w:tc>
        <w:tc>
          <w:tcPr>
            <w:tcW w:w="2130" w:type="dxa"/>
          </w:tcPr>
          <w:p w14:paraId="7836C359" w14:textId="7E0D62DE" w:rsidR="00402291" w:rsidRPr="006C75CD" w:rsidRDefault="00402291" w:rsidP="00402291">
            <w:pPr>
              <w:spacing w:line="240" w:lineRule="auto"/>
              <w:contextualSpacing/>
              <w:jc w:val="center"/>
              <w:rPr>
                <w:sz w:val="20"/>
                <w:highlight w:val="yellow"/>
              </w:rPr>
            </w:pPr>
            <w:r w:rsidRPr="001B0758">
              <w:t xml:space="preserve">       </w:t>
            </w:r>
          </w:p>
        </w:tc>
      </w:tr>
      <w:tr w:rsidR="00402291" w:rsidRPr="00142EA3" w14:paraId="02BDDDED" w14:textId="77777777" w:rsidTr="00A74F62">
        <w:trPr>
          <w:trHeight w:val="20"/>
          <w:jc w:val="center"/>
        </w:trPr>
        <w:tc>
          <w:tcPr>
            <w:tcW w:w="2324" w:type="dxa"/>
          </w:tcPr>
          <w:p w14:paraId="0734802F" w14:textId="27684574" w:rsidR="00402291" w:rsidRPr="006C75CD" w:rsidRDefault="00402291" w:rsidP="00402291">
            <w:pPr>
              <w:spacing w:line="240" w:lineRule="auto"/>
              <w:contextualSpacing/>
              <w:jc w:val="center"/>
              <w:rPr>
                <w:rFonts w:cs="Calibri"/>
                <w:sz w:val="20"/>
                <w:highlight w:val="yellow"/>
              </w:rPr>
            </w:pPr>
            <w:r w:rsidRPr="008E1F1E">
              <w:t>2022, 2023</w:t>
            </w:r>
          </w:p>
        </w:tc>
        <w:tc>
          <w:tcPr>
            <w:tcW w:w="660" w:type="dxa"/>
          </w:tcPr>
          <w:p w14:paraId="04262D65" w14:textId="77777777" w:rsidR="00402291" w:rsidRPr="006C75CD" w:rsidRDefault="00402291" w:rsidP="00402291">
            <w:pPr>
              <w:spacing w:line="240" w:lineRule="auto"/>
              <w:contextualSpacing/>
              <w:jc w:val="center"/>
              <w:rPr>
                <w:sz w:val="20"/>
                <w:highlight w:val="yellow"/>
              </w:rPr>
            </w:pPr>
          </w:p>
        </w:tc>
        <w:tc>
          <w:tcPr>
            <w:tcW w:w="1325" w:type="dxa"/>
          </w:tcPr>
          <w:p w14:paraId="47A83683" w14:textId="6296CCF1" w:rsidR="00402291" w:rsidRPr="006C75CD" w:rsidRDefault="00402291" w:rsidP="00402291">
            <w:pPr>
              <w:spacing w:line="240" w:lineRule="auto"/>
              <w:contextualSpacing/>
              <w:jc w:val="center"/>
              <w:rPr>
                <w:sz w:val="20"/>
                <w:highlight w:val="yellow"/>
              </w:rPr>
            </w:pPr>
            <w:r w:rsidRPr="001B0758">
              <w:t>2.4206</w:t>
            </w:r>
          </w:p>
        </w:tc>
        <w:tc>
          <w:tcPr>
            <w:tcW w:w="2130" w:type="dxa"/>
          </w:tcPr>
          <w:p w14:paraId="1B40099F" w14:textId="4E4121C7" w:rsidR="00402291" w:rsidRPr="006C75CD" w:rsidRDefault="00402291" w:rsidP="00402291">
            <w:pPr>
              <w:spacing w:line="240" w:lineRule="auto"/>
              <w:contextualSpacing/>
              <w:jc w:val="center"/>
              <w:rPr>
                <w:sz w:val="20"/>
                <w:highlight w:val="yellow"/>
              </w:rPr>
            </w:pPr>
            <w:r w:rsidRPr="001B0758">
              <w:t>0.1672</w:t>
            </w:r>
          </w:p>
        </w:tc>
      </w:tr>
      <w:tr w:rsidR="00402291" w:rsidRPr="00142EA3" w14:paraId="45D15D88" w14:textId="77777777" w:rsidTr="00A74F62">
        <w:trPr>
          <w:trHeight w:val="20"/>
          <w:jc w:val="center"/>
        </w:trPr>
        <w:tc>
          <w:tcPr>
            <w:tcW w:w="2324" w:type="dxa"/>
          </w:tcPr>
          <w:p w14:paraId="663684BE" w14:textId="663D4BB4" w:rsidR="00402291" w:rsidRPr="006C75CD" w:rsidRDefault="00402291" w:rsidP="00402291">
            <w:pPr>
              <w:spacing w:line="240" w:lineRule="auto"/>
              <w:contextualSpacing/>
              <w:jc w:val="center"/>
              <w:rPr>
                <w:rFonts w:cs="Calibri"/>
                <w:sz w:val="20"/>
                <w:highlight w:val="yellow"/>
              </w:rPr>
            </w:pPr>
            <w:r w:rsidRPr="008E1F1E">
              <w:t>2022, 2024</w:t>
            </w:r>
          </w:p>
        </w:tc>
        <w:tc>
          <w:tcPr>
            <w:tcW w:w="660" w:type="dxa"/>
          </w:tcPr>
          <w:p w14:paraId="548F6D26" w14:textId="77777777" w:rsidR="00402291" w:rsidRPr="006C75CD" w:rsidRDefault="00402291" w:rsidP="00402291">
            <w:pPr>
              <w:spacing w:line="240" w:lineRule="auto"/>
              <w:contextualSpacing/>
              <w:jc w:val="center"/>
              <w:rPr>
                <w:sz w:val="20"/>
                <w:highlight w:val="yellow"/>
              </w:rPr>
            </w:pPr>
          </w:p>
        </w:tc>
        <w:tc>
          <w:tcPr>
            <w:tcW w:w="1325" w:type="dxa"/>
          </w:tcPr>
          <w:p w14:paraId="1D5B3BE0" w14:textId="168F32F4" w:rsidR="00402291" w:rsidRPr="006C75CD" w:rsidRDefault="00402291" w:rsidP="00402291">
            <w:pPr>
              <w:spacing w:line="240" w:lineRule="auto"/>
              <w:contextualSpacing/>
              <w:jc w:val="center"/>
              <w:rPr>
                <w:sz w:val="20"/>
                <w:highlight w:val="yellow"/>
              </w:rPr>
            </w:pPr>
            <w:r>
              <w:t>*</w:t>
            </w:r>
          </w:p>
        </w:tc>
        <w:tc>
          <w:tcPr>
            <w:tcW w:w="2130" w:type="dxa"/>
          </w:tcPr>
          <w:p w14:paraId="5014B786" w14:textId="72A90565" w:rsidR="00402291" w:rsidRPr="006C75CD" w:rsidRDefault="00402291" w:rsidP="00402291">
            <w:pPr>
              <w:spacing w:line="240" w:lineRule="auto"/>
              <w:contextualSpacing/>
              <w:jc w:val="center"/>
              <w:rPr>
                <w:sz w:val="20"/>
                <w:highlight w:val="yellow"/>
              </w:rPr>
            </w:pPr>
            <w:r w:rsidRPr="001B0758">
              <w:t xml:space="preserve">       </w:t>
            </w:r>
          </w:p>
        </w:tc>
      </w:tr>
      <w:tr w:rsidR="00402291" w:rsidRPr="00142EA3" w14:paraId="0951CBFB" w14:textId="77777777" w:rsidTr="00A74F62">
        <w:trPr>
          <w:trHeight w:val="20"/>
          <w:jc w:val="center"/>
        </w:trPr>
        <w:tc>
          <w:tcPr>
            <w:tcW w:w="2324" w:type="dxa"/>
            <w:tcBorders>
              <w:bottom w:val="single" w:sz="4" w:space="0" w:color="auto"/>
            </w:tcBorders>
          </w:tcPr>
          <w:p w14:paraId="57F67DFD" w14:textId="588E2D0E" w:rsidR="00402291" w:rsidRPr="006C75CD" w:rsidRDefault="00402291" w:rsidP="00402291">
            <w:pPr>
              <w:spacing w:line="240" w:lineRule="auto"/>
              <w:contextualSpacing/>
              <w:jc w:val="center"/>
              <w:rPr>
                <w:rFonts w:cs="Calibri"/>
                <w:sz w:val="20"/>
                <w:highlight w:val="yellow"/>
              </w:rPr>
            </w:pPr>
            <w:r w:rsidRPr="008E1F1E">
              <w:t>2023, 2024</w:t>
            </w:r>
          </w:p>
        </w:tc>
        <w:tc>
          <w:tcPr>
            <w:tcW w:w="660" w:type="dxa"/>
            <w:tcBorders>
              <w:bottom w:val="single" w:sz="4" w:space="0" w:color="auto"/>
            </w:tcBorders>
          </w:tcPr>
          <w:p w14:paraId="264C32E5" w14:textId="77777777" w:rsidR="00402291" w:rsidRPr="006C75CD" w:rsidRDefault="00402291" w:rsidP="00402291">
            <w:pPr>
              <w:spacing w:line="240" w:lineRule="auto"/>
              <w:contextualSpacing/>
              <w:jc w:val="center"/>
              <w:rPr>
                <w:sz w:val="20"/>
                <w:highlight w:val="yellow"/>
              </w:rPr>
            </w:pPr>
          </w:p>
        </w:tc>
        <w:tc>
          <w:tcPr>
            <w:tcW w:w="1325" w:type="dxa"/>
            <w:tcBorders>
              <w:bottom w:val="single" w:sz="4" w:space="0" w:color="auto"/>
            </w:tcBorders>
          </w:tcPr>
          <w:p w14:paraId="544948D1" w14:textId="5940E37C" w:rsidR="00402291" w:rsidRPr="006C75CD" w:rsidRDefault="00402291" w:rsidP="00402291">
            <w:pPr>
              <w:spacing w:line="240" w:lineRule="auto"/>
              <w:contextualSpacing/>
              <w:jc w:val="center"/>
              <w:rPr>
                <w:sz w:val="20"/>
                <w:highlight w:val="yellow"/>
              </w:rPr>
            </w:pPr>
            <w:r w:rsidRPr="001B0758">
              <w:t>2.4206</w:t>
            </w:r>
          </w:p>
        </w:tc>
        <w:tc>
          <w:tcPr>
            <w:tcW w:w="2130" w:type="dxa"/>
            <w:tcBorders>
              <w:bottom w:val="single" w:sz="4" w:space="0" w:color="auto"/>
            </w:tcBorders>
          </w:tcPr>
          <w:p w14:paraId="1A7B5AA9" w14:textId="2963E630" w:rsidR="00402291" w:rsidRPr="006C75CD" w:rsidRDefault="00402291" w:rsidP="00402291">
            <w:pPr>
              <w:spacing w:line="240" w:lineRule="auto"/>
              <w:contextualSpacing/>
              <w:jc w:val="center"/>
              <w:rPr>
                <w:sz w:val="20"/>
                <w:highlight w:val="yellow"/>
              </w:rPr>
            </w:pPr>
            <w:r w:rsidRPr="001B0758">
              <w:t>0.1659</w:t>
            </w:r>
          </w:p>
        </w:tc>
      </w:tr>
    </w:tbl>
    <w:p w14:paraId="6808F710" w14:textId="77777777" w:rsidR="00975915" w:rsidRDefault="00975915" w:rsidP="00002263">
      <w:pPr>
        <w:pStyle w:val="Caption"/>
        <w:sectPr w:rsidR="00975915" w:rsidSect="008D628A">
          <w:pgSz w:w="11906" w:h="16838"/>
          <w:pgMar w:top="1440" w:right="1440" w:bottom="1440" w:left="1440" w:header="708" w:footer="708" w:gutter="0"/>
          <w:cols w:space="708"/>
          <w:docGrid w:linePitch="360"/>
        </w:sectPr>
      </w:pPr>
      <w:bookmarkStart w:id="621" w:name="_Ref876903"/>
      <w:bookmarkStart w:id="622" w:name="_Toc3558398"/>
    </w:p>
    <w:p w14:paraId="07229765" w14:textId="6858D965" w:rsidR="00002263" w:rsidRPr="0098654A" w:rsidRDefault="00002263" w:rsidP="00002263">
      <w:pPr>
        <w:pStyle w:val="Caption"/>
      </w:pPr>
      <w:bookmarkStart w:id="623" w:name="_Hlk207969121"/>
      <w:r w:rsidRPr="006C75CD">
        <w:lastRenderedPageBreak/>
        <w:t>Table</w:t>
      </w:r>
      <w:bookmarkEnd w:id="621"/>
      <w:r w:rsidRPr="006C75CD">
        <w:rPr>
          <w:noProof/>
        </w:rPr>
        <w:t xml:space="preserve"> </w:t>
      </w:r>
      <w:r w:rsidR="00145C00" w:rsidRPr="006C75CD">
        <w:rPr>
          <w:noProof/>
        </w:rPr>
        <w:t>C</w:t>
      </w:r>
      <w:r w:rsidR="008865D1">
        <w:rPr>
          <w:noProof/>
        </w:rPr>
        <w:t>2</w:t>
      </w:r>
      <w:r w:rsidR="00FB33C3">
        <w:rPr>
          <w:noProof/>
        </w:rPr>
        <w:t>5</w:t>
      </w:r>
      <w:r w:rsidRPr="006C75CD">
        <w:t>. PERMANOVA pairwise comparison test results for large- and small-bodied fish assemblages in the gorge geomorphic zone of the Lower Murray River from autumn 2015</w:t>
      </w:r>
      <w:r w:rsidR="00954442" w:rsidRPr="006C75CD">
        <w:t>–202</w:t>
      </w:r>
      <w:r w:rsidR="00BB1486">
        <w:t>4</w:t>
      </w:r>
      <w:r w:rsidRPr="006C75CD">
        <w:t>.</w:t>
      </w:r>
      <w:bookmarkEnd w:id="622"/>
      <w:r w:rsidRPr="006C75CD">
        <w:t xml:space="preserve"> </w:t>
      </w:r>
      <w:r w:rsidRPr="006C75CD">
        <w:rPr>
          <w:i/>
        </w:rPr>
        <w:t>P</w:t>
      </w:r>
      <w:r w:rsidRPr="006C75CD">
        <w:t xml:space="preserve">-values presented in bold </w:t>
      </w:r>
      <w:r w:rsidRPr="00F14B84">
        <w:t xml:space="preserve">are significant comparisons, using Bonferroni corrected α (Narum 2006) for comparisons between years </w:t>
      </w:r>
      <w:r w:rsidR="00BB1486" w:rsidRPr="00F14B84">
        <w:t xml:space="preserve">for large-bodied </w:t>
      </w:r>
      <w:r w:rsidRPr="00F14B84">
        <w:t>(</w:t>
      </w:r>
      <w:r w:rsidR="00BB1486" w:rsidRPr="00F14B84">
        <w:t xml:space="preserve">a = 0.0014, </w:t>
      </w:r>
      <w:r w:rsidR="00485F9B" w:rsidRPr="00F14B84">
        <w:t>thirty</w:t>
      </w:r>
      <w:r w:rsidR="00301D26" w:rsidRPr="00F14B84">
        <w:t>-</w:t>
      </w:r>
      <w:r w:rsidR="00485F9B" w:rsidRPr="00F14B84">
        <w:t>six</w:t>
      </w:r>
      <w:r w:rsidR="00251538" w:rsidRPr="00F14B84">
        <w:t xml:space="preserve"> </w:t>
      </w:r>
      <w:r w:rsidRPr="00F14B84">
        <w:t>comparisons)</w:t>
      </w:r>
      <w:r w:rsidR="00BB1486" w:rsidRPr="00F14B84">
        <w:t xml:space="preserve"> and small-bodied species (a = 0.001</w:t>
      </w:r>
      <w:r w:rsidR="00F14B84" w:rsidRPr="00F14B84">
        <w:t>1</w:t>
      </w:r>
      <w:r w:rsidR="00BB1486" w:rsidRPr="00F14B84">
        <w:t>, forty-five</w:t>
      </w:r>
      <w:r w:rsidR="00BB1486" w:rsidRPr="006C75CD">
        <w:t xml:space="preserve"> comparisons</w:t>
      </w:r>
      <w:r w:rsidR="00BB1486">
        <w:t>)</w:t>
      </w:r>
      <w:r w:rsidRPr="006C75CD">
        <w:t>.</w:t>
      </w:r>
      <w:r w:rsidRPr="0098654A">
        <w:t xml:space="preserve">  </w:t>
      </w:r>
    </w:p>
    <w:tbl>
      <w:tblPr>
        <w:tblW w:w="0" w:type="auto"/>
        <w:jc w:val="center"/>
        <w:tblLook w:val="04A0" w:firstRow="1" w:lastRow="0" w:firstColumn="1" w:lastColumn="0" w:noHBand="0" w:noVBand="1"/>
        <w:tblDescription w:val="Table of PERMANOVA pairwise comparison test results for large- and small-bodied fish assemblages in the gorge geomorphic zone of the Lower Murray River from autumn 2015–2024. "/>
      </w:tblPr>
      <w:tblGrid>
        <w:gridCol w:w="2252"/>
        <w:gridCol w:w="887"/>
        <w:gridCol w:w="1073"/>
        <w:gridCol w:w="1073"/>
        <w:gridCol w:w="1073"/>
      </w:tblGrid>
      <w:tr w:rsidR="00002263" w:rsidRPr="0098654A" w14:paraId="0FDF7EDD" w14:textId="77777777" w:rsidTr="00142EA3">
        <w:trPr>
          <w:trHeight w:val="312"/>
          <w:jc w:val="center"/>
        </w:trPr>
        <w:tc>
          <w:tcPr>
            <w:tcW w:w="2252" w:type="dxa"/>
            <w:vMerge w:val="restart"/>
            <w:tcBorders>
              <w:top w:val="single" w:sz="4" w:space="0" w:color="auto"/>
              <w:bottom w:val="single" w:sz="4" w:space="0" w:color="auto"/>
            </w:tcBorders>
            <w:vAlign w:val="center"/>
          </w:tcPr>
          <w:bookmarkEnd w:id="623"/>
          <w:p w14:paraId="5516A16E" w14:textId="2EBDA59D" w:rsidR="00002263" w:rsidRPr="0098654A" w:rsidRDefault="00002263" w:rsidP="00142EA3">
            <w:pPr>
              <w:spacing w:before="0" w:after="0" w:line="240" w:lineRule="auto"/>
              <w:jc w:val="left"/>
              <w:rPr>
                <w:b/>
                <w:sz w:val="20"/>
              </w:rPr>
            </w:pPr>
            <w:r w:rsidRPr="0098654A">
              <w:rPr>
                <w:b/>
                <w:sz w:val="20"/>
              </w:rPr>
              <w:t>Comparison</w:t>
            </w:r>
          </w:p>
        </w:tc>
        <w:tc>
          <w:tcPr>
            <w:tcW w:w="1960" w:type="dxa"/>
            <w:gridSpan w:val="2"/>
            <w:tcBorders>
              <w:top w:val="single" w:sz="4" w:space="0" w:color="auto"/>
            </w:tcBorders>
          </w:tcPr>
          <w:p w14:paraId="603BEB73" w14:textId="77777777" w:rsidR="00002263" w:rsidRPr="0098654A" w:rsidRDefault="00002263" w:rsidP="00142EA3">
            <w:pPr>
              <w:spacing w:before="0" w:after="0" w:line="240" w:lineRule="auto"/>
              <w:jc w:val="center"/>
              <w:rPr>
                <w:b/>
                <w:sz w:val="20"/>
              </w:rPr>
            </w:pPr>
            <w:r w:rsidRPr="0098654A">
              <w:rPr>
                <w:b/>
                <w:sz w:val="20"/>
              </w:rPr>
              <w:t>Large-bodied</w:t>
            </w:r>
          </w:p>
        </w:tc>
        <w:tc>
          <w:tcPr>
            <w:tcW w:w="2146" w:type="dxa"/>
            <w:gridSpan w:val="2"/>
            <w:tcBorders>
              <w:top w:val="single" w:sz="4" w:space="0" w:color="auto"/>
            </w:tcBorders>
          </w:tcPr>
          <w:p w14:paraId="75C48998" w14:textId="77777777" w:rsidR="00002263" w:rsidRPr="0098654A" w:rsidRDefault="00002263" w:rsidP="00142EA3">
            <w:pPr>
              <w:spacing w:before="0" w:after="0" w:line="240" w:lineRule="auto"/>
              <w:jc w:val="center"/>
              <w:rPr>
                <w:b/>
                <w:sz w:val="20"/>
              </w:rPr>
            </w:pPr>
            <w:r w:rsidRPr="0098654A">
              <w:rPr>
                <w:b/>
                <w:sz w:val="20"/>
              </w:rPr>
              <w:t>Small-bodied</w:t>
            </w:r>
          </w:p>
        </w:tc>
      </w:tr>
      <w:tr w:rsidR="00002263" w:rsidRPr="0098654A" w14:paraId="69FC28A5" w14:textId="77777777" w:rsidTr="00142EA3">
        <w:trPr>
          <w:trHeight w:val="312"/>
          <w:jc w:val="center"/>
        </w:trPr>
        <w:tc>
          <w:tcPr>
            <w:tcW w:w="2252" w:type="dxa"/>
            <w:vMerge/>
            <w:tcBorders>
              <w:bottom w:val="single" w:sz="4" w:space="0" w:color="auto"/>
            </w:tcBorders>
          </w:tcPr>
          <w:p w14:paraId="0C129478" w14:textId="77777777" w:rsidR="00002263" w:rsidRPr="0098654A" w:rsidRDefault="00002263" w:rsidP="00142EA3">
            <w:pPr>
              <w:spacing w:before="0" w:after="0" w:line="240" w:lineRule="auto"/>
              <w:rPr>
                <w:sz w:val="20"/>
              </w:rPr>
            </w:pPr>
          </w:p>
        </w:tc>
        <w:tc>
          <w:tcPr>
            <w:tcW w:w="887" w:type="dxa"/>
            <w:tcBorders>
              <w:bottom w:val="single" w:sz="4" w:space="0" w:color="auto"/>
            </w:tcBorders>
          </w:tcPr>
          <w:p w14:paraId="3FD66B34" w14:textId="77777777" w:rsidR="00002263" w:rsidRPr="0098654A" w:rsidRDefault="00002263" w:rsidP="00142EA3">
            <w:pPr>
              <w:spacing w:before="0" w:after="0" w:line="240" w:lineRule="auto"/>
              <w:rPr>
                <w:i/>
                <w:sz w:val="20"/>
              </w:rPr>
            </w:pPr>
            <w:r w:rsidRPr="0098654A">
              <w:rPr>
                <w:i/>
                <w:sz w:val="20"/>
              </w:rPr>
              <w:t>t</w:t>
            </w:r>
          </w:p>
        </w:tc>
        <w:tc>
          <w:tcPr>
            <w:tcW w:w="1073" w:type="dxa"/>
            <w:tcBorders>
              <w:bottom w:val="single" w:sz="4" w:space="0" w:color="auto"/>
            </w:tcBorders>
          </w:tcPr>
          <w:p w14:paraId="1FDB78CB" w14:textId="77777777" w:rsidR="00002263" w:rsidRPr="0098654A" w:rsidRDefault="00002263" w:rsidP="00142EA3">
            <w:pPr>
              <w:spacing w:before="0" w:after="0" w:line="240" w:lineRule="auto"/>
              <w:rPr>
                <w:i/>
                <w:sz w:val="20"/>
              </w:rPr>
            </w:pPr>
            <w:r w:rsidRPr="0098654A">
              <w:rPr>
                <w:i/>
                <w:sz w:val="20"/>
              </w:rPr>
              <w:t>P (perm)</w:t>
            </w:r>
          </w:p>
        </w:tc>
        <w:tc>
          <w:tcPr>
            <w:tcW w:w="1073" w:type="dxa"/>
            <w:tcBorders>
              <w:bottom w:val="single" w:sz="4" w:space="0" w:color="auto"/>
            </w:tcBorders>
          </w:tcPr>
          <w:p w14:paraId="41B5C17D" w14:textId="77777777" w:rsidR="00002263" w:rsidRPr="0098654A" w:rsidRDefault="00002263" w:rsidP="00142EA3">
            <w:pPr>
              <w:spacing w:before="0" w:after="0" w:line="240" w:lineRule="auto"/>
              <w:rPr>
                <w:i/>
                <w:sz w:val="20"/>
              </w:rPr>
            </w:pPr>
            <w:r w:rsidRPr="0098654A">
              <w:rPr>
                <w:i/>
                <w:sz w:val="20"/>
              </w:rPr>
              <w:t>t</w:t>
            </w:r>
          </w:p>
        </w:tc>
        <w:tc>
          <w:tcPr>
            <w:tcW w:w="1073" w:type="dxa"/>
            <w:tcBorders>
              <w:bottom w:val="single" w:sz="4" w:space="0" w:color="auto"/>
            </w:tcBorders>
          </w:tcPr>
          <w:p w14:paraId="74CCA5A9" w14:textId="77777777" w:rsidR="00002263" w:rsidRPr="0098654A" w:rsidRDefault="00002263" w:rsidP="00142EA3">
            <w:pPr>
              <w:spacing w:before="0" w:after="0" w:line="240" w:lineRule="auto"/>
              <w:rPr>
                <w:i/>
                <w:sz w:val="20"/>
              </w:rPr>
            </w:pPr>
            <w:r w:rsidRPr="0098654A">
              <w:rPr>
                <w:i/>
                <w:sz w:val="20"/>
              </w:rPr>
              <w:t>P (perm)</w:t>
            </w:r>
          </w:p>
        </w:tc>
      </w:tr>
      <w:tr w:rsidR="00BB1486" w:rsidRPr="0098654A" w14:paraId="483F9763" w14:textId="77777777" w:rsidTr="00142EA3">
        <w:trPr>
          <w:trHeight w:val="312"/>
          <w:jc w:val="center"/>
        </w:trPr>
        <w:tc>
          <w:tcPr>
            <w:tcW w:w="2252" w:type="dxa"/>
            <w:tcBorders>
              <w:top w:val="single" w:sz="4" w:space="0" w:color="auto"/>
            </w:tcBorders>
          </w:tcPr>
          <w:p w14:paraId="09B043A5" w14:textId="77777777" w:rsidR="00BB1486" w:rsidRPr="0098654A" w:rsidRDefault="00BB1486" w:rsidP="00BB1486">
            <w:pPr>
              <w:spacing w:before="0" w:after="0" w:line="240" w:lineRule="auto"/>
              <w:rPr>
                <w:sz w:val="20"/>
              </w:rPr>
            </w:pPr>
            <w:r w:rsidRPr="0098654A">
              <w:rPr>
                <w:sz w:val="20"/>
              </w:rPr>
              <w:t>2015 vs. 2016</w:t>
            </w:r>
          </w:p>
        </w:tc>
        <w:tc>
          <w:tcPr>
            <w:tcW w:w="887" w:type="dxa"/>
            <w:tcBorders>
              <w:top w:val="single" w:sz="4" w:space="0" w:color="auto"/>
            </w:tcBorders>
          </w:tcPr>
          <w:p w14:paraId="4A1FD487" w14:textId="0E34212E" w:rsidR="00BB1486" w:rsidRPr="00485F9B" w:rsidRDefault="00BB1486" w:rsidP="00BB1486">
            <w:pPr>
              <w:spacing w:before="0" w:after="0" w:line="240" w:lineRule="auto"/>
              <w:rPr>
                <w:sz w:val="20"/>
              </w:rPr>
            </w:pPr>
            <w:r w:rsidRPr="00485F9B">
              <w:rPr>
                <w:sz w:val="20"/>
              </w:rPr>
              <w:t>2.0305</w:t>
            </w:r>
          </w:p>
        </w:tc>
        <w:tc>
          <w:tcPr>
            <w:tcW w:w="1073" w:type="dxa"/>
            <w:tcBorders>
              <w:top w:val="single" w:sz="4" w:space="0" w:color="auto"/>
            </w:tcBorders>
          </w:tcPr>
          <w:p w14:paraId="422912BD" w14:textId="00E98861" w:rsidR="00BB1486" w:rsidRPr="00485F9B" w:rsidRDefault="00BB1486" w:rsidP="00BB1486">
            <w:pPr>
              <w:spacing w:before="0" w:after="0" w:line="240" w:lineRule="auto"/>
              <w:rPr>
                <w:sz w:val="20"/>
              </w:rPr>
            </w:pPr>
            <w:r w:rsidRPr="00485F9B">
              <w:rPr>
                <w:sz w:val="20"/>
              </w:rPr>
              <w:t>0.0073</w:t>
            </w:r>
          </w:p>
        </w:tc>
        <w:tc>
          <w:tcPr>
            <w:tcW w:w="1073" w:type="dxa"/>
            <w:tcBorders>
              <w:top w:val="single" w:sz="4" w:space="0" w:color="auto"/>
            </w:tcBorders>
          </w:tcPr>
          <w:p w14:paraId="3CC0B261" w14:textId="2A6BDD7F" w:rsidR="00BB1486" w:rsidRPr="00BB1486" w:rsidRDefault="00BB1486" w:rsidP="00BB1486">
            <w:pPr>
              <w:spacing w:before="0" w:after="0" w:line="240" w:lineRule="auto"/>
              <w:rPr>
                <w:sz w:val="20"/>
              </w:rPr>
            </w:pPr>
            <w:r w:rsidRPr="00BB1486">
              <w:rPr>
                <w:sz w:val="20"/>
              </w:rPr>
              <w:t>1.1526</w:t>
            </w:r>
          </w:p>
        </w:tc>
        <w:tc>
          <w:tcPr>
            <w:tcW w:w="1073" w:type="dxa"/>
            <w:tcBorders>
              <w:top w:val="single" w:sz="4" w:space="0" w:color="auto"/>
            </w:tcBorders>
          </w:tcPr>
          <w:p w14:paraId="47880549" w14:textId="04E40C0C" w:rsidR="00BB1486" w:rsidRPr="00BB1486" w:rsidRDefault="00BB1486" w:rsidP="00BB1486">
            <w:pPr>
              <w:spacing w:before="0" w:after="0" w:line="240" w:lineRule="auto"/>
              <w:rPr>
                <w:sz w:val="20"/>
              </w:rPr>
            </w:pPr>
            <w:r w:rsidRPr="00BB1486">
              <w:rPr>
                <w:sz w:val="20"/>
              </w:rPr>
              <w:t>0.2561</w:t>
            </w:r>
          </w:p>
        </w:tc>
      </w:tr>
      <w:tr w:rsidR="00BB1486" w:rsidRPr="0098654A" w14:paraId="73C42C0A" w14:textId="77777777" w:rsidTr="00142EA3">
        <w:trPr>
          <w:trHeight w:val="312"/>
          <w:jc w:val="center"/>
        </w:trPr>
        <w:tc>
          <w:tcPr>
            <w:tcW w:w="2252" w:type="dxa"/>
          </w:tcPr>
          <w:p w14:paraId="4A9F90F3" w14:textId="77777777" w:rsidR="00BB1486" w:rsidRPr="0098654A" w:rsidRDefault="00BB1486" w:rsidP="00BB1486">
            <w:pPr>
              <w:spacing w:before="0" w:after="0" w:line="240" w:lineRule="auto"/>
              <w:rPr>
                <w:sz w:val="20"/>
              </w:rPr>
            </w:pPr>
            <w:r w:rsidRPr="0098654A">
              <w:rPr>
                <w:sz w:val="20"/>
              </w:rPr>
              <w:t>2015 vs. 2017</w:t>
            </w:r>
          </w:p>
        </w:tc>
        <w:tc>
          <w:tcPr>
            <w:tcW w:w="887" w:type="dxa"/>
          </w:tcPr>
          <w:p w14:paraId="668887E7" w14:textId="1A219A3A" w:rsidR="00BB1486" w:rsidRPr="00485F9B" w:rsidRDefault="00BB1486" w:rsidP="00BB1486">
            <w:pPr>
              <w:spacing w:before="0" w:after="0" w:line="240" w:lineRule="auto"/>
              <w:rPr>
                <w:sz w:val="20"/>
              </w:rPr>
            </w:pPr>
            <w:r w:rsidRPr="00485F9B">
              <w:rPr>
                <w:sz w:val="20"/>
              </w:rPr>
              <w:t>3.5839</w:t>
            </w:r>
          </w:p>
        </w:tc>
        <w:tc>
          <w:tcPr>
            <w:tcW w:w="1073" w:type="dxa"/>
          </w:tcPr>
          <w:p w14:paraId="1ED289A7" w14:textId="16266443" w:rsidR="00BB1486" w:rsidRPr="00A851DB" w:rsidRDefault="00BB1486" w:rsidP="00BB1486">
            <w:pPr>
              <w:spacing w:before="0" w:after="0" w:line="240" w:lineRule="auto"/>
              <w:rPr>
                <w:b/>
                <w:bCs/>
                <w:sz w:val="20"/>
              </w:rPr>
            </w:pPr>
            <w:r w:rsidRPr="00A851DB">
              <w:rPr>
                <w:b/>
                <w:bCs/>
                <w:sz w:val="20"/>
              </w:rPr>
              <w:t>0.0002</w:t>
            </w:r>
          </w:p>
        </w:tc>
        <w:tc>
          <w:tcPr>
            <w:tcW w:w="1073" w:type="dxa"/>
          </w:tcPr>
          <w:p w14:paraId="0DF79241" w14:textId="3FCCA00D" w:rsidR="00BB1486" w:rsidRPr="00BB1486" w:rsidRDefault="00BB1486" w:rsidP="00BB1486">
            <w:pPr>
              <w:spacing w:before="0" w:after="0" w:line="240" w:lineRule="auto"/>
              <w:rPr>
                <w:sz w:val="20"/>
              </w:rPr>
            </w:pPr>
            <w:r w:rsidRPr="00BB1486">
              <w:rPr>
                <w:sz w:val="20"/>
              </w:rPr>
              <w:t>2.0765</w:t>
            </w:r>
          </w:p>
        </w:tc>
        <w:tc>
          <w:tcPr>
            <w:tcW w:w="1073" w:type="dxa"/>
          </w:tcPr>
          <w:p w14:paraId="6DB27F22" w14:textId="2A0D3393" w:rsidR="00BB1486" w:rsidRPr="00BB1486" w:rsidRDefault="00BB1486" w:rsidP="00BB1486">
            <w:pPr>
              <w:spacing w:before="0" w:after="0" w:line="240" w:lineRule="auto"/>
              <w:rPr>
                <w:sz w:val="20"/>
              </w:rPr>
            </w:pPr>
            <w:r w:rsidRPr="00BB1486">
              <w:rPr>
                <w:sz w:val="20"/>
              </w:rPr>
              <w:t>0.0115</w:t>
            </w:r>
          </w:p>
        </w:tc>
      </w:tr>
      <w:tr w:rsidR="00BB1486" w:rsidRPr="0098654A" w14:paraId="04029062" w14:textId="77777777" w:rsidTr="00142EA3">
        <w:trPr>
          <w:trHeight w:val="312"/>
          <w:jc w:val="center"/>
        </w:trPr>
        <w:tc>
          <w:tcPr>
            <w:tcW w:w="2252" w:type="dxa"/>
          </w:tcPr>
          <w:p w14:paraId="47DA8307" w14:textId="77777777" w:rsidR="00BB1486" w:rsidRPr="0098654A" w:rsidRDefault="00BB1486" w:rsidP="00BB1486">
            <w:pPr>
              <w:spacing w:before="0" w:after="0" w:line="240" w:lineRule="auto"/>
              <w:rPr>
                <w:sz w:val="20"/>
              </w:rPr>
            </w:pPr>
            <w:r w:rsidRPr="0098654A">
              <w:rPr>
                <w:sz w:val="20"/>
              </w:rPr>
              <w:t>2015 vs. 2018</w:t>
            </w:r>
          </w:p>
        </w:tc>
        <w:tc>
          <w:tcPr>
            <w:tcW w:w="887" w:type="dxa"/>
          </w:tcPr>
          <w:p w14:paraId="24E18613" w14:textId="59E11E5D" w:rsidR="00BB1486" w:rsidRPr="00485F9B" w:rsidRDefault="00BB1486" w:rsidP="00BB1486">
            <w:pPr>
              <w:spacing w:before="0" w:after="0" w:line="240" w:lineRule="auto"/>
              <w:rPr>
                <w:sz w:val="20"/>
              </w:rPr>
            </w:pPr>
            <w:r w:rsidRPr="00485F9B">
              <w:rPr>
                <w:sz w:val="20"/>
              </w:rPr>
              <w:t>1.7638</w:t>
            </w:r>
          </w:p>
        </w:tc>
        <w:tc>
          <w:tcPr>
            <w:tcW w:w="1073" w:type="dxa"/>
          </w:tcPr>
          <w:p w14:paraId="7AE15B45" w14:textId="2C56CAF0" w:rsidR="00BB1486" w:rsidRPr="00485F9B" w:rsidRDefault="00BB1486" w:rsidP="00BB1486">
            <w:pPr>
              <w:spacing w:before="0" w:after="0" w:line="240" w:lineRule="auto"/>
              <w:rPr>
                <w:sz w:val="20"/>
              </w:rPr>
            </w:pPr>
            <w:r w:rsidRPr="00485F9B">
              <w:rPr>
                <w:sz w:val="20"/>
              </w:rPr>
              <w:t>0.0383</w:t>
            </w:r>
          </w:p>
        </w:tc>
        <w:tc>
          <w:tcPr>
            <w:tcW w:w="1073" w:type="dxa"/>
          </w:tcPr>
          <w:p w14:paraId="32775423" w14:textId="71DBBED5" w:rsidR="00BB1486" w:rsidRPr="00BB1486" w:rsidRDefault="00BB1486" w:rsidP="00BB1486">
            <w:pPr>
              <w:spacing w:before="0" w:after="0" w:line="240" w:lineRule="auto"/>
              <w:rPr>
                <w:sz w:val="20"/>
              </w:rPr>
            </w:pPr>
            <w:r w:rsidRPr="00BB1486">
              <w:rPr>
                <w:sz w:val="20"/>
              </w:rPr>
              <w:t>1.2070</w:t>
            </w:r>
          </w:p>
        </w:tc>
        <w:tc>
          <w:tcPr>
            <w:tcW w:w="1073" w:type="dxa"/>
          </w:tcPr>
          <w:p w14:paraId="26E3961D" w14:textId="08D12B1F" w:rsidR="00BB1486" w:rsidRPr="00BB1486" w:rsidRDefault="00BB1486" w:rsidP="00BB1486">
            <w:pPr>
              <w:spacing w:before="0" w:after="0" w:line="240" w:lineRule="auto"/>
              <w:rPr>
                <w:sz w:val="20"/>
              </w:rPr>
            </w:pPr>
            <w:r w:rsidRPr="00BB1486">
              <w:rPr>
                <w:sz w:val="20"/>
              </w:rPr>
              <w:t>0.2077</w:t>
            </w:r>
          </w:p>
        </w:tc>
      </w:tr>
      <w:tr w:rsidR="00BB1486" w:rsidRPr="0098654A" w14:paraId="1E68473F" w14:textId="77777777" w:rsidTr="00142EA3">
        <w:trPr>
          <w:trHeight w:val="312"/>
          <w:jc w:val="center"/>
        </w:trPr>
        <w:tc>
          <w:tcPr>
            <w:tcW w:w="2252" w:type="dxa"/>
          </w:tcPr>
          <w:p w14:paraId="7169BBC4" w14:textId="77777777" w:rsidR="00BB1486" w:rsidRPr="0098654A" w:rsidRDefault="00BB1486" w:rsidP="00BB1486">
            <w:pPr>
              <w:spacing w:before="0" w:after="0" w:line="240" w:lineRule="auto"/>
              <w:rPr>
                <w:sz w:val="20"/>
              </w:rPr>
            </w:pPr>
            <w:r w:rsidRPr="0098654A">
              <w:rPr>
                <w:sz w:val="20"/>
              </w:rPr>
              <w:t>2015 vs. 2019</w:t>
            </w:r>
          </w:p>
        </w:tc>
        <w:tc>
          <w:tcPr>
            <w:tcW w:w="887" w:type="dxa"/>
          </w:tcPr>
          <w:p w14:paraId="005548F1" w14:textId="18B41F9F" w:rsidR="00BB1486" w:rsidRPr="00485F9B" w:rsidRDefault="00BB1486" w:rsidP="00BB1486">
            <w:pPr>
              <w:spacing w:before="0" w:after="0" w:line="240" w:lineRule="auto"/>
              <w:rPr>
                <w:sz w:val="20"/>
              </w:rPr>
            </w:pPr>
            <w:r w:rsidRPr="00485F9B">
              <w:rPr>
                <w:sz w:val="20"/>
              </w:rPr>
              <w:t>1.2874</w:t>
            </w:r>
          </w:p>
        </w:tc>
        <w:tc>
          <w:tcPr>
            <w:tcW w:w="1073" w:type="dxa"/>
          </w:tcPr>
          <w:p w14:paraId="62DBE70B" w14:textId="512DE6B6" w:rsidR="00BB1486" w:rsidRPr="00485F9B" w:rsidRDefault="00BB1486" w:rsidP="00BB1486">
            <w:pPr>
              <w:spacing w:before="0" w:after="0" w:line="240" w:lineRule="auto"/>
              <w:rPr>
                <w:sz w:val="20"/>
              </w:rPr>
            </w:pPr>
            <w:r w:rsidRPr="00485F9B">
              <w:rPr>
                <w:sz w:val="20"/>
              </w:rPr>
              <w:t>0.1793</w:t>
            </w:r>
          </w:p>
        </w:tc>
        <w:tc>
          <w:tcPr>
            <w:tcW w:w="1073" w:type="dxa"/>
          </w:tcPr>
          <w:p w14:paraId="293B7242" w14:textId="6FEA9190" w:rsidR="00BB1486" w:rsidRPr="00BB1486" w:rsidRDefault="00BB1486" w:rsidP="00BB1486">
            <w:pPr>
              <w:spacing w:before="0" w:after="0" w:line="240" w:lineRule="auto"/>
              <w:rPr>
                <w:sz w:val="20"/>
              </w:rPr>
            </w:pPr>
            <w:r w:rsidRPr="00BB1486">
              <w:rPr>
                <w:sz w:val="20"/>
              </w:rPr>
              <w:t>1.0302</w:t>
            </w:r>
          </w:p>
        </w:tc>
        <w:tc>
          <w:tcPr>
            <w:tcW w:w="1073" w:type="dxa"/>
          </w:tcPr>
          <w:p w14:paraId="689B06FF" w14:textId="54A78DB3" w:rsidR="00BB1486" w:rsidRPr="00BB1486" w:rsidRDefault="00BB1486" w:rsidP="00BB1486">
            <w:pPr>
              <w:spacing w:before="0" w:after="0" w:line="240" w:lineRule="auto"/>
              <w:rPr>
                <w:sz w:val="20"/>
              </w:rPr>
            </w:pPr>
            <w:r w:rsidRPr="00BB1486">
              <w:rPr>
                <w:sz w:val="20"/>
              </w:rPr>
              <w:t>0.3243</w:t>
            </w:r>
          </w:p>
        </w:tc>
      </w:tr>
      <w:tr w:rsidR="00BB1486" w:rsidRPr="0098654A" w14:paraId="44A2143B" w14:textId="77777777" w:rsidTr="00142EA3">
        <w:trPr>
          <w:trHeight w:val="312"/>
          <w:jc w:val="center"/>
        </w:trPr>
        <w:tc>
          <w:tcPr>
            <w:tcW w:w="2252" w:type="dxa"/>
          </w:tcPr>
          <w:p w14:paraId="2181F0DD" w14:textId="77777777" w:rsidR="00BB1486" w:rsidRPr="0098654A" w:rsidRDefault="00BB1486" w:rsidP="00BB1486">
            <w:pPr>
              <w:spacing w:before="0" w:after="0" w:line="240" w:lineRule="auto"/>
              <w:rPr>
                <w:sz w:val="20"/>
              </w:rPr>
            </w:pPr>
            <w:r w:rsidRPr="0098654A">
              <w:rPr>
                <w:sz w:val="20"/>
              </w:rPr>
              <w:t>2015 vs. 2020</w:t>
            </w:r>
          </w:p>
        </w:tc>
        <w:tc>
          <w:tcPr>
            <w:tcW w:w="887" w:type="dxa"/>
          </w:tcPr>
          <w:p w14:paraId="110211E0" w14:textId="68F8A6B0" w:rsidR="00BB1486" w:rsidRPr="00485F9B" w:rsidRDefault="00BB1486" w:rsidP="00BB1486">
            <w:pPr>
              <w:spacing w:before="0" w:after="0" w:line="240" w:lineRule="auto"/>
              <w:rPr>
                <w:sz w:val="20"/>
              </w:rPr>
            </w:pPr>
            <w:r w:rsidRPr="00485F9B">
              <w:rPr>
                <w:sz w:val="20"/>
              </w:rPr>
              <w:t>1.4718</w:t>
            </w:r>
          </w:p>
        </w:tc>
        <w:tc>
          <w:tcPr>
            <w:tcW w:w="1073" w:type="dxa"/>
          </w:tcPr>
          <w:p w14:paraId="17746BB6" w14:textId="261F8E39" w:rsidR="00BB1486" w:rsidRPr="00485F9B" w:rsidRDefault="00BB1486" w:rsidP="00BB1486">
            <w:pPr>
              <w:spacing w:before="0" w:after="0" w:line="240" w:lineRule="auto"/>
              <w:rPr>
                <w:sz w:val="20"/>
              </w:rPr>
            </w:pPr>
            <w:r w:rsidRPr="00485F9B">
              <w:rPr>
                <w:sz w:val="20"/>
              </w:rPr>
              <w:t>0.1022</w:t>
            </w:r>
          </w:p>
        </w:tc>
        <w:tc>
          <w:tcPr>
            <w:tcW w:w="1073" w:type="dxa"/>
          </w:tcPr>
          <w:p w14:paraId="6854D478" w14:textId="3D16412B" w:rsidR="00BB1486" w:rsidRPr="00BB1486" w:rsidRDefault="00BB1486" w:rsidP="00BB1486">
            <w:pPr>
              <w:spacing w:before="0" w:after="0" w:line="240" w:lineRule="auto"/>
              <w:rPr>
                <w:sz w:val="20"/>
              </w:rPr>
            </w:pPr>
            <w:r w:rsidRPr="00BB1486">
              <w:rPr>
                <w:sz w:val="20"/>
              </w:rPr>
              <w:t>1.2146</w:t>
            </w:r>
          </w:p>
        </w:tc>
        <w:tc>
          <w:tcPr>
            <w:tcW w:w="1073" w:type="dxa"/>
          </w:tcPr>
          <w:p w14:paraId="1967F802" w14:textId="337094C1" w:rsidR="00BB1486" w:rsidRPr="00BB1486" w:rsidRDefault="00BB1486" w:rsidP="00BB1486">
            <w:pPr>
              <w:spacing w:before="0" w:after="0" w:line="240" w:lineRule="auto"/>
              <w:rPr>
                <w:sz w:val="20"/>
              </w:rPr>
            </w:pPr>
            <w:r w:rsidRPr="00BB1486">
              <w:rPr>
                <w:sz w:val="20"/>
              </w:rPr>
              <w:t>0.2109</w:t>
            </w:r>
          </w:p>
        </w:tc>
      </w:tr>
      <w:tr w:rsidR="00BB1486" w:rsidRPr="0098654A" w14:paraId="48D40FEB" w14:textId="77777777" w:rsidTr="00142EA3">
        <w:trPr>
          <w:trHeight w:val="312"/>
          <w:jc w:val="center"/>
        </w:trPr>
        <w:tc>
          <w:tcPr>
            <w:tcW w:w="2252" w:type="dxa"/>
          </w:tcPr>
          <w:p w14:paraId="54C50D27" w14:textId="35F6C416" w:rsidR="00BB1486" w:rsidRPr="0098654A" w:rsidRDefault="00BB1486" w:rsidP="00BB1486">
            <w:pPr>
              <w:spacing w:before="0" w:after="0" w:line="240" w:lineRule="auto"/>
              <w:rPr>
                <w:sz w:val="20"/>
              </w:rPr>
            </w:pPr>
            <w:r w:rsidRPr="0098654A">
              <w:rPr>
                <w:sz w:val="20"/>
              </w:rPr>
              <w:t>2015 vs. 202</w:t>
            </w:r>
            <w:r>
              <w:rPr>
                <w:sz w:val="20"/>
              </w:rPr>
              <w:t>1</w:t>
            </w:r>
          </w:p>
        </w:tc>
        <w:tc>
          <w:tcPr>
            <w:tcW w:w="887" w:type="dxa"/>
          </w:tcPr>
          <w:p w14:paraId="26966850" w14:textId="239FE3D8" w:rsidR="00BB1486" w:rsidRPr="00485F9B" w:rsidRDefault="00BB1486" w:rsidP="00BB1486">
            <w:pPr>
              <w:spacing w:before="0" w:after="0" w:line="240" w:lineRule="auto"/>
              <w:rPr>
                <w:sz w:val="20"/>
              </w:rPr>
            </w:pPr>
            <w:r w:rsidRPr="00485F9B">
              <w:rPr>
                <w:sz w:val="20"/>
              </w:rPr>
              <w:t>3.4391</w:t>
            </w:r>
          </w:p>
        </w:tc>
        <w:tc>
          <w:tcPr>
            <w:tcW w:w="1073" w:type="dxa"/>
          </w:tcPr>
          <w:p w14:paraId="732C820D" w14:textId="47F4A5B7" w:rsidR="00BB1486" w:rsidRPr="00A851DB" w:rsidRDefault="00BB1486" w:rsidP="00BB1486">
            <w:pPr>
              <w:spacing w:before="0" w:after="0" w:line="240" w:lineRule="auto"/>
              <w:rPr>
                <w:b/>
                <w:bCs/>
                <w:sz w:val="20"/>
              </w:rPr>
            </w:pPr>
            <w:r w:rsidRPr="00A851DB">
              <w:rPr>
                <w:b/>
                <w:bCs/>
                <w:sz w:val="20"/>
              </w:rPr>
              <w:t>0.0001</w:t>
            </w:r>
          </w:p>
        </w:tc>
        <w:tc>
          <w:tcPr>
            <w:tcW w:w="1073" w:type="dxa"/>
          </w:tcPr>
          <w:p w14:paraId="0D862762" w14:textId="16B1E4EE" w:rsidR="00BB1486" w:rsidRPr="00BB1486" w:rsidRDefault="00BB1486" w:rsidP="00BB1486">
            <w:pPr>
              <w:spacing w:before="0" w:after="0" w:line="240" w:lineRule="auto"/>
              <w:rPr>
                <w:sz w:val="20"/>
              </w:rPr>
            </w:pPr>
            <w:r w:rsidRPr="00BB1486">
              <w:rPr>
                <w:sz w:val="20"/>
              </w:rPr>
              <w:t>1.2215</w:t>
            </w:r>
          </w:p>
        </w:tc>
        <w:tc>
          <w:tcPr>
            <w:tcW w:w="1073" w:type="dxa"/>
          </w:tcPr>
          <w:p w14:paraId="6EA19B69" w14:textId="6FF1DA6E" w:rsidR="00BB1486" w:rsidRPr="00BB1486" w:rsidRDefault="00BB1486" w:rsidP="00BB1486">
            <w:pPr>
              <w:spacing w:before="0" w:after="0" w:line="240" w:lineRule="auto"/>
              <w:rPr>
                <w:sz w:val="20"/>
              </w:rPr>
            </w:pPr>
            <w:r w:rsidRPr="00BB1486">
              <w:rPr>
                <w:sz w:val="20"/>
              </w:rPr>
              <w:t>0.1976</w:t>
            </w:r>
          </w:p>
        </w:tc>
      </w:tr>
      <w:tr w:rsidR="00BB1486" w:rsidRPr="0098654A" w14:paraId="3ED81FE7" w14:textId="77777777" w:rsidTr="00142EA3">
        <w:trPr>
          <w:trHeight w:val="312"/>
          <w:jc w:val="center"/>
        </w:trPr>
        <w:tc>
          <w:tcPr>
            <w:tcW w:w="2252" w:type="dxa"/>
          </w:tcPr>
          <w:p w14:paraId="0C3713A6" w14:textId="6382AA99" w:rsidR="00BB1486" w:rsidRPr="0098654A" w:rsidRDefault="00BB1486" w:rsidP="00BB1486">
            <w:pPr>
              <w:spacing w:before="0" w:after="0" w:line="240" w:lineRule="auto"/>
              <w:rPr>
                <w:sz w:val="20"/>
              </w:rPr>
            </w:pPr>
            <w:r>
              <w:rPr>
                <w:sz w:val="20"/>
              </w:rPr>
              <w:t>2015 vs. 2022</w:t>
            </w:r>
          </w:p>
        </w:tc>
        <w:tc>
          <w:tcPr>
            <w:tcW w:w="887" w:type="dxa"/>
          </w:tcPr>
          <w:p w14:paraId="37F970D1" w14:textId="0F864BEE" w:rsidR="00BB1486" w:rsidRPr="00485F9B" w:rsidRDefault="00BB1486" w:rsidP="00BB1486">
            <w:pPr>
              <w:spacing w:before="0" w:after="0" w:line="240" w:lineRule="auto"/>
              <w:rPr>
                <w:sz w:val="20"/>
              </w:rPr>
            </w:pPr>
            <w:r w:rsidRPr="00485F9B">
              <w:rPr>
                <w:sz w:val="20"/>
              </w:rPr>
              <w:t>6.6678</w:t>
            </w:r>
          </w:p>
        </w:tc>
        <w:tc>
          <w:tcPr>
            <w:tcW w:w="1073" w:type="dxa"/>
          </w:tcPr>
          <w:p w14:paraId="7769CD86" w14:textId="2E1B92E6" w:rsidR="00BB1486" w:rsidRPr="00A851DB" w:rsidRDefault="00BB1486" w:rsidP="00BB1486">
            <w:pPr>
              <w:spacing w:before="0" w:after="0" w:line="240" w:lineRule="auto"/>
              <w:rPr>
                <w:b/>
                <w:bCs/>
                <w:sz w:val="20"/>
              </w:rPr>
            </w:pPr>
            <w:r w:rsidRPr="00A851DB">
              <w:rPr>
                <w:b/>
                <w:bCs/>
                <w:sz w:val="20"/>
              </w:rPr>
              <w:t>0.0001</w:t>
            </w:r>
          </w:p>
        </w:tc>
        <w:tc>
          <w:tcPr>
            <w:tcW w:w="1073" w:type="dxa"/>
          </w:tcPr>
          <w:p w14:paraId="30FE9873" w14:textId="6E3DF09F" w:rsidR="00BB1486" w:rsidRPr="00BB1486" w:rsidRDefault="00BB1486" w:rsidP="00BB1486">
            <w:pPr>
              <w:spacing w:before="0" w:after="0" w:line="240" w:lineRule="auto"/>
              <w:rPr>
                <w:sz w:val="20"/>
              </w:rPr>
            </w:pPr>
            <w:r w:rsidRPr="00BB1486">
              <w:rPr>
                <w:sz w:val="20"/>
              </w:rPr>
              <w:t>4.9582</w:t>
            </w:r>
          </w:p>
        </w:tc>
        <w:tc>
          <w:tcPr>
            <w:tcW w:w="1073" w:type="dxa"/>
          </w:tcPr>
          <w:p w14:paraId="322B368A" w14:textId="43BF3A34" w:rsidR="00BB1486" w:rsidRPr="00F14B84" w:rsidRDefault="00BB1486" w:rsidP="00BB1486">
            <w:pPr>
              <w:spacing w:before="0" w:after="0" w:line="240" w:lineRule="auto"/>
              <w:rPr>
                <w:b/>
                <w:bCs/>
                <w:sz w:val="20"/>
              </w:rPr>
            </w:pPr>
            <w:r w:rsidRPr="00F14B84">
              <w:rPr>
                <w:b/>
                <w:bCs/>
                <w:sz w:val="20"/>
              </w:rPr>
              <w:t>0.0001</w:t>
            </w:r>
          </w:p>
        </w:tc>
      </w:tr>
      <w:tr w:rsidR="00BB1486" w:rsidRPr="0098654A" w14:paraId="30DC4182" w14:textId="77777777" w:rsidTr="00142EA3">
        <w:trPr>
          <w:trHeight w:val="312"/>
          <w:jc w:val="center"/>
        </w:trPr>
        <w:tc>
          <w:tcPr>
            <w:tcW w:w="2252" w:type="dxa"/>
          </w:tcPr>
          <w:p w14:paraId="4E94839E" w14:textId="4A9A3B58" w:rsidR="00BB1486" w:rsidRDefault="00BB1486" w:rsidP="00BB1486">
            <w:pPr>
              <w:spacing w:before="0" w:after="0" w:line="240" w:lineRule="auto"/>
              <w:rPr>
                <w:sz w:val="20"/>
              </w:rPr>
            </w:pPr>
            <w:r>
              <w:rPr>
                <w:sz w:val="20"/>
              </w:rPr>
              <w:t>2015 vs. 2023</w:t>
            </w:r>
          </w:p>
        </w:tc>
        <w:tc>
          <w:tcPr>
            <w:tcW w:w="887" w:type="dxa"/>
          </w:tcPr>
          <w:p w14:paraId="328A25CE" w14:textId="72DF4630" w:rsidR="00BB1486" w:rsidRPr="00485F9B" w:rsidRDefault="00BB1486" w:rsidP="00BB1486">
            <w:pPr>
              <w:spacing w:before="0" w:after="0" w:line="240" w:lineRule="auto"/>
              <w:rPr>
                <w:sz w:val="20"/>
              </w:rPr>
            </w:pPr>
            <w:r w:rsidRPr="00485F9B">
              <w:rPr>
                <w:sz w:val="20"/>
              </w:rPr>
              <w:t>7.9687</w:t>
            </w:r>
          </w:p>
        </w:tc>
        <w:tc>
          <w:tcPr>
            <w:tcW w:w="1073" w:type="dxa"/>
          </w:tcPr>
          <w:p w14:paraId="78D92EC4" w14:textId="7A9487F6" w:rsidR="00BB1486" w:rsidRPr="00A851DB" w:rsidRDefault="00BB1486" w:rsidP="00BB1486">
            <w:pPr>
              <w:spacing w:before="0" w:after="0" w:line="240" w:lineRule="auto"/>
              <w:rPr>
                <w:b/>
                <w:bCs/>
                <w:sz w:val="20"/>
              </w:rPr>
            </w:pPr>
            <w:r w:rsidRPr="00A851DB">
              <w:rPr>
                <w:b/>
                <w:bCs/>
                <w:sz w:val="20"/>
              </w:rPr>
              <w:t>0.0002</w:t>
            </w:r>
          </w:p>
        </w:tc>
        <w:tc>
          <w:tcPr>
            <w:tcW w:w="1073" w:type="dxa"/>
          </w:tcPr>
          <w:p w14:paraId="3EE41ABA" w14:textId="288683A2" w:rsidR="00BB1486" w:rsidRPr="00BB1486" w:rsidRDefault="00BB1486" w:rsidP="00BB1486">
            <w:pPr>
              <w:spacing w:before="0" w:after="0" w:line="240" w:lineRule="auto"/>
              <w:rPr>
                <w:sz w:val="20"/>
              </w:rPr>
            </w:pPr>
            <w:r w:rsidRPr="00BB1486">
              <w:rPr>
                <w:sz w:val="20"/>
              </w:rPr>
              <w:t>4.5121</w:t>
            </w:r>
          </w:p>
        </w:tc>
        <w:tc>
          <w:tcPr>
            <w:tcW w:w="1073" w:type="dxa"/>
          </w:tcPr>
          <w:p w14:paraId="4FE21F6C" w14:textId="524B7170" w:rsidR="00BB1486" w:rsidRPr="00F14B84" w:rsidRDefault="00BB1486" w:rsidP="00BB1486">
            <w:pPr>
              <w:spacing w:before="0" w:after="0" w:line="240" w:lineRule="auto"/>
              <w:rPr>
                <w:b/>
                <w:bCs/>
                <w:sz w:val="20"/>
              </w:rPr>
            </w:pPr>
            <w:r w:rsidRPr="00F14B84">
              <w:rPr>
                <w:b/>
                <w:bCs/>
                <w:sz w:val="20"/>
              </w:rPr>
              <w:t>0.0001</w:t>
            </w:r>
          </w:p>
        </w:tc>
      </w:tr>
      <w:tr w:rsidR="00BB1486" w:rsidRPr="0098654A" w14:paraId="378A4955" w14:textId="77777777" w:rsidTr="00142EA3">
        <w:trPr>
          <w:trHeight w:val="312"/>
          <w:jc w:val="center"/>
        </w:trPr>
        <w:tc>
          <w:tcPr>
            <w:tcW w:w="2252" w:type="dxa"/>
          </w:tcPr>
          <w:p w14:paraId="0F3A2FF5" w14:textId="56DE8E13" w:rsidR="00BB1486" w:rsidRDefault="00BB1486" w:rsidP="00BB1486">
            <w:pPr>
              <w:spacing w:before="0" w:after="0" w:line="240" w:lineRule="auto"/>
              <w:rPr>
                <w:sz w:val="20"/>
              </w:rPr>
            </w:pPr>
            <w:r>
              <w:rPr>
                <w:sz w:val="20"/>
              </w:rPr>
              <w:t>2015 vs. 2024</w:t>
            </w:r>
          </w:p>
        </w:tc>
        <w:tc>
          <w:tcPr>
            <w:tcW w:w="887" w:type="dxa"/>
          </w:tcPr>
          <w:p w14:paraId="464E7DEE" w14:textId="77777777" w:rsidR="00BB1486" w:rsidRPr="00485F9B" w:rsidRDefault="00BB1486" w:rsidP="00BB1486">
            <w:pPr>
              <w:spacing w:before="0" w:after="0" w:line="240" w:lineRule="auto"/>
              <w:rPr>
                <w:sz w:val="20"/>
              </w:rPr>
            </w:pPr>
          </w:p>
        </w:tc>
        <w:tc>
          <w:tcPr>
            <w:tcW w:w="1073" w:type="dxa"/>
          </w:tcPr>
          <w:p w14:paraId="4C41E894" w14:textId="77777777" w:rsidR="00BB1486" w:rsidRPr="00A851DB" w:rsidRDefault="00BB1486" w:rsidP="00BB1486">
            <w:pPr>
              <w:spacing w:before="0" w:after="0" w:line="240" w:lineRule="auto"/>
              <w:rPr>
                <w:b/>
                <w:bCs/>
                <w:sz w:val="20"/>
              </w:rPr>
            </w:pPr>
          </w:p>
        </w:tc>
        <w:tc>
          <w:tcPr>
            <w:tcW w:w="1073" w:type="dxa"/>
          </w:tcPr>
          <w:p w14:paraId="17845CCB" w14:textId="334BAAA8" w:rsidR="00BB1486" w:rsidRPr="00BB1486" w:rsidRDefault="00BB1486" w:rsidP="00BB1486">
            <w:pPr>
              <w:spacing w:before="0" w:after="0" w:line="240" w:lineRule="auto"/>
              <w:rPr>
                <w:sz w:val="20"/>
              </w:rPr>
            </w:pPr>
            <w:r w:rsidRPr="00BB1486">
              <w:rPr>
                <w:sz w:val="20"/>
              </w:rPr>
              <w:t>3.1317</w:t>
            </w:r>
          </w:p>
        </w:tc>
        <w:tc>
          <w:tcPr>
            <w:tcW w:w="1073" w:type="dxa"/>
          </w:tcPr>
          <w:p w14:paraId="4BE8A838" w14:textId="78DEC81E" w:rsidR="00BB1486" w:rsidRPr="00F14B84" w:rsidRDefault="00BB1486" w:rsidP="00BB1486">
            <w:pPr>
              <w:spacing w:before="0" w:after="0" w:line="240" w:lineRule="auto"/>
              <w:rPr>
                <w:b/>
                <w:bCs/>
                <w:sz w:val="20"/>
              </w:rPr>
            </w:pPr>
            <w:r w:rsidRPr="00F14B84">
              <w:rPr>
                <w:b/>
                <w:bCs/>
                <w:sz w:val="20"/>
              </w:rPr>
              <w:t>0.0001</w:t>
            </w:r>
          </w:p>
        </w:tc>
      </w:tr>
      <w:tr w:rsidR="00BB1486" w:rsidRPr="0098654A" w14:paraId="1B09DD24" w14:textId="77777777" w:rsidTr="00142EA3">
        <w:trPr>
          <w:trHeight w:val="312"/>
          <w:jc w:val="center"/>
        </w:trPr>
        <w:tc>
          <w:tcPr>
            <w:tcW w:w="2252" w:type="dxa"/>
          </w:tcPr>
          <w:p w14:paraId="18EEFB6B" w14:textId="77777777" w:rsidR="00BB1486" w:rsidRPr="0098654A" w:rsidRDefault="00BB1486" w:rsidP="00BB1486">
            <w:pPr>
              <w:spacing w:before="0" w:after="0" w:line="240" w:lineRule="auto"/>
              <w:rPr>
                <w:sz w:val="20"/>
              </w:rPr>
            </w:pPr>
            <w:r w:rsidRPr="0098654A">
              <w:rPr>
                <w:sz w:val="20"/>
              </w:rPr>
              <w:t>2016 vs. 2017</w:t>
            </w:r>
          </w:p>
        </w:tc>
        <w:tc>
          <w:tcPr>
            <w:tcW w:w="887" w:type="dxa"/>
          </w:tcPr>
          <w:p w14:paraId="23300580" w14:textId="2F30D131" w:rsidR="00BB1486" w:rsidRPr="00485F9B" w:rsidRDefault="00BB1486" w:rsidP="00BB1486">
            <w:pPr>
              <w:spacing w:before="0" w:after="0" w:line="240" w:lineRule="auto"/>
              <w:rPr>
                <w:sz w:val="20"/>
              </w:rPr>
            </w:pPr>
            <w:r w:rsidRPr="00485F9B">
              <w:rPr>
                <w:sz w:val="20"/>
              </w:rPr>
              <w:t>2.2942</w:t>
            </w:r>
          </w:p>
        </w:tc>
        <w:tc>
          <w:tcPr>
            <w:tcW w:w="1073" w:type="dxa"/>
          </w:tcPr>
          <w:p w14:paraId="044FB9E0" w14:textId="7ED62322" w:rsidR="00BB1486" w:rsidRPr="00485F9B" w:rsidRDefault="00BB1486" w:rsidP="00BB1486">
            <w:pPr>
              <w:spacing w:before="0" w:after="0" w:line="240" w:lineRule="auto"/>
              <w:rPr>
                <w:sz w:val="20"/>
              </w:rPr>
            </w:pPr>
            <w:r w:rsidRPr="00485F9B">
              <w:rPr>
                <w:sz w:val="20"/>
              </w:rPr>
              <w:t>0.0030</w:t>
            </w:r>
          </w:p>
        </w:tc>
        <w:tc>
          <w:tcPr>
            <w:tcW w:w="1073" w:type="dxa"/>
          </w:tcPr>
          <w:p w14:paraId="019A6699" w14:textId="21ADC40F" w:rsidR="00BB1486" w:rsidRPr="00BB1486" w:rsidRDefault="00BB1486" w:rsidP="00BB1486">
            <w:pPr>
              <w:spacing w:before="0" w:after="0" w:line="240" w:lineRule="auto"/>
              <w:rPr>
                <w:sz w:val="20"/>
              </w:rPr>
            </w:pPr>
            <w:r w:rsidRPr="00BB1486">
              <w:rPr>
                <w:sz w:val="20"/>
              </w:rPr>
              <w:t>3.7883</w:t>
            </w:r>
          </w:p>
        </w:tc>
        <w:tc>
          <w:tcPr>
            <w:tcW w:w="1073" w:type="dxa"/>
          </w:tcPr>
          <w:p w14:paraId="1B5EB31B" w14:textId="221F9C12" w:rsidR="00BB1486" w:rsidRPr="00F14B84" w:rsidRDefault="00BB1486" w:rsidP="00BB1486">
            <w:pPr>
              <w:spacing w:before="0" w:after="0" w:line="240" w:lineRule="auto"/>
              <w:rPr>
                <w:b/>
                <w:bCs/>
                <w:sz w:val="20"/>
              </w:rPr>
            </w:pPr>
            <w:r w:rsidRPr="00F14B84">
              <w:rPr>
                <w:b/>
                <w:bCs/>
                <w:sz w:val="20"/>
              </w:rPr>
              <w:t>0.0002</w:t>
            </w:r>
          </w:p>
        </w:tc>
      </w:tr>
      <w:tr w:rsidR="00BB1486" w:rsidRPr="0098654A" w14:paraId="3C339A86" w14:textId="77777777" w:rsidTr="00142EA3">
        <w:trPr>
          <w:trHeight w:val="312"/>
          <w:jc w:val="center"/>
        </w:trPr>
        <w:tc>
          <w:tcPr>
            <w:tcW w:w="2252" w:type="dxa"/>
          </w:tcPr>
          <w:p w14:paraId="6475743F" w14:textId="77777777" w:rsidR="00BB1486" w:rsidRPr="0098654A" w:rsidRDefault="00BB1486" w:rsidP="00BB1486">
            <w:pPr>
              <w:spacing w:before="0" w:after="0" w:line="240" w:lineRule="auto"/>
              <w:rPr>
                <w:sz w:val="20"/>
              </w:rPr>
            </w:pPr>
            <w:r w:rsidRPr="0098654A">
              <w:rPr>
                <w:sz w:val="20"/>
              </w:rPr>
              <w:t>2016 vs. 2018</w:t>
            </w:r>
          </w:p>
        </w:tc>
        <w:tc>
          <w:tcPr>
            <w:tcW w:w="887" w:type="dxa"/>
          </w:tcPr>
          <w:p w14:paraId="08F985FF" w14:textId="780EC37D" w:rsidR="00BB1486" w:rsidRPr="00485F9B" w:rsidRDefault="00BB1486" w:rsidP="00BB1486">
            <w:pPr>
              <w:spacing w:before="0" w:after="0" w:line="240" w:lineRule="auto"/>
              <w:rPr>
                <w:sz w:val="20"/>
              </w:rPr>
            </w:pPr>
            <w:r w:rsidRPr="00485F9B">
              <w:rPr>
                <w:sz w:val="20"/>
              </w:rPr>
              <w:t>1.7945</w:t>
            </w:r>
          </w:p>
        </w:tc>
        <w:tc>
          <w:tcPr>
            <w:tcW w:w="1073" w:type="dxa"/>
          </w:tcPr>
          <w:p w14:paraId="67962F0C" w14:textId="696E813A" w:rsidR="00BB1486" w:rsidRPr="00485F9B" w:rsidRDefault="00BB1486" w:rsidP="00BB1486">
            <w:pPr>
              <w:spacing w:before="0" w:after="0" w:line="240" w:lineRule="auto"/>
              <w:rPr>
                <w:sz w:val="20"/>
              </w:rPr>
            </w:pPr>
            <w:r w:rsidRPr="00485F9B">
              <w:rPr>
                <w:sz w:val="20"/>
              </w:rPr>
              <w:t>0.0291</w:t>
            </w:r>
          </w:p>
        </w:tc>
        <w:tc>
          <w:tcPr>
            <w:tcW w:w="1073" w:type="dxa"/>
          </w:tcPr>
          <w:p w14:paraId="0797CE08" w14:textId="3DD5547B" w:rsidR="00BB1486" w:rsidRPr="00BB1486" w:rsidRDefault="00BB1486" w:rsidP="00BB1486">
            <w:pPr>
              <w:spacing w:before="0" w:after="0" w:line="240" w:lineRule="auto"/>
              <w:rPr>
                <w:sz w:val="20"/>
              </w:rPr>
            </w:pPr>
            <w:r w:rsidRPr="00BB1486">
              <w:rPr>
                <w:sz w:val="20"/>
              </w:rPr>
              <w:t>0.8127</w:t>
            </w:r>
          </w:p>
        </w:tc>
        <w:tc>
          <w:tcPr>
            <w:tcW w:w="1073" w:type="dxa"/>
          </w:tcPr>
          <w:p w14:paraId="65C7C73F" w14:textId="4E8946B1" w:rsidR="00BB1486" w:rsidRPr="00BB1486" w:rsidRDefault="00BB1486" w:rsidP="00BB1486">
            <w:pPr>
              <w:spacing w:before="0" w:after="0" w:line="240" w:lineRule="auto"/>
              <w:rPr>
                <w:sz w:val="20"/>
              </w:rPr>
            </w:pPr>
            <w:r w:rsidRPr="00BB1486">
              <w:rPr>
                <w:sz w:val="20"/>
              </w:rPr>
              <w:t>0.5851</w:t>
            </w:r>
          </w:p>
        </w:tc>
      </w:tr>
      <w:tr w:rsidR="00BB1486" w:rsidRPr="0098654A" w14:paraId="3D55D14C" w14:textId="77777777" w:rsidTr="00142EA3">
        <w:trPr>
          <w:trHeight w:val="312"/>
          <w:jc w:val="center"/>
        </w:trPr>
        <w:tc>
          <w:tcPr>
            <w:tcW w:w="2252" w:type="dxa"/>
          </w:tcPr>
          <w:p w14:paraId="22BBC9F8" w14:textId="77777777" w:rsidR="00BB1486" w:rsidRPr="0098654A" w:rsidRDefault="00BB1486" w:rsidP="00BB1486">
            <w:pPr>
              <w:spacing w:before="0" w:after="0" w:line="240" w:lineRule="auto"/>
              <w:rPr>
                <w:sz w:val="20"/>
              </w:rPr>
            </w:pPr>
            <w:r w:rsidRPr="0098654A">
              <w:rPr>
                <w:sz w:val="20"/>
              </w:rPr>
              <w:t>2016 vs. 2019</w:t>
            </w:r>
          </w:p>
        </w:tc>
        <w:tc>
          <w:tcPr>
            <w:tcW w:w="887" w:type="dxa"/>
          </w:tcPr>
          <w:p w14:paraId="193FE6EB" w14:textId="4F6080C9" w:rsidR="00BB1486" w:rsidRPr="00485F9B" w:rsidRDefault="00BB1486" w:rsidP="00BB1486">
            <w:pPr>
              <w:spacing w:before="0" w:after="0" w:line="240" w:lineRule="auto"/>
              <w:rPr>
                <w:sz w:val="20"/>
              </w:rPr>
            </w:pPr>
            <w:r w:rsidRPr="00485F9B">
              <w:rPr>
                <w:sz w:val="20"/>
              </w:rPr>
              <w:t>1.6992</w:t>
            </w:r>
          </w:p>
        </w:tc>
        <w:tc>
          <w:tcPr>
            <w:tcW w:w="1073" w:type="dxa"/>
          </w:tcPr>
          <w:p w14:paraId="438A8536" w14:textId="44397C61" w:rsidR="00BB1486" w:rsidRPr="00485F9B" w:rsidRDefault="00BB1486" w:rsidP="00BB1486">
            <w:pPr>
              <w:spacing w:before="0" w:after="0" w:line="240" w:lineRule="auto"/>
              <w:rPr>
                <w:sz w:val="20"/>
              </w:rPr>
            </w:pPr>
            <w:r w:rsidRPr="00485F9B">
              <w:rPr>
                <w:sz w:val="20"/>
              </w:rPr>
              <w:t>0.0422</w:t>
            </w:r>
          </w:p>
        </w:tc>
        <w:tc>
          <w:tcPr>
            <w:tcW w:w="1073" w:type="dxa"/>
          </w:tcPr>
          <w:p w14:paraId="3425392B" w14:textId="0E15E13E" w:rsidR="00BB1486" w:rsidRPr="00BB1486" w:rsidRDefault="00BB1486" w:rsidP="00BB1486">
            <w:pPr>
              <w:spacing w:before="0" w:after="0" w:line="240" w:lineRule="auto"/>
              <w:rPr>
                <w:sz w:val="20"/>
              </w:rPr>
            </w:pPr>
            <w:r w:rsidRPr="00BB1486">
              <w:rPr>
                <w:sz w:val="20"/>
              </w:rPr>
              <w:t>1.7025</w:t>
            </w:r>
          </w:p>
        </w:tc>
        <w:tc>
          <w:tcPr>
            <w:tcW w:w="1073" w:type="dxa"/>
          </w:tcPr>
          <w:p w14:paraId="130EE437" w14:textId="4D7E4459" w:rsidR="00BB1486" w:rsidRPr="00BB1486" w:rsidRDefault="00BB1486" w:rsidP="00BB1486">
            <w:pPr>
              <w:spacing w:before="0" w:after="0" w:line="240" w:lineRule="auto"/>
              <w:rPr>
                <w:sz w:val="20"/>
              </w:rPr>
            </w:pPr>
            <w:r w:rsidRPr="00BB1486">
              <w:rPr>
                <w:sz w:val="20"/>
              </w:rPr>
              <w:t>0.0441</w:t>
            </w:r>
          </w:p>
        </w:tc>
      </w:tr>
      <w:tr w:rsidR="00BB1486" w:rsidRPr="0098654A" w14:paraId="7EC6CCDA" w14:textId="77777777" w:rsidTr="00142EA3">
        <w:trPr>
          <w:trHeight w:val="312"/>
          <w:jc w:val="center"/>
        </w:trPr>
        <w:tc>
          <w:tcPr>
            <w:tcW w:w="2252" w:type="dxa"/>
          </w:tcPr>
          <w:p w14:paraId="204B16BF" w14:textId="77777777" w:rsidR="00BB1486" w:rsidRPr="0098654A" w:rsidRDefault="00BB1486" w:rsidP="00BB1486">
            <w:pPr>
              <w:spacing w:before="0" w:after="0" w:line="240" w:lineRule="auto"/>
              <w:rPr>
                <w:sz w:val="20"/>
              </w:rPr>
            </w:pPr>
            <w:r w:rsidRPr="0098654A">
              <w:rPr>
                <w:sz w:val="20"/>
              </w:rPr>
              <w:t>2016 vs. 2020</w:t>
            </w:r>
          </w:p>
        </w:tc>
        <w:tc>
          <w:tcPr>
            <w:tcW w:w="887" w:type="dxa"/>
          </w:tcPr>
          <w:p w14:paraId="7BB45175" w14:textId="6C657B83" w:rsidR="00BB1486" w:rsidRPr="00485F9B" w:rsidRDefault="00BB1486" w:rsidP="00BB1486">
            <w:pPr>
              <w:spacing w:before="0" w:after="0" w:line="240" w:lineRule="auto"/>
              <w:rPr>
                <w:sz w:val="20"/>
              </w:rPr>
            </w:pPr>
            <w:r w:rsidRPr="00485F9B">
              <w:rPr>
                <w:sz w:val="20"/>
              </w:rPr>
              <w:t>2.6474</w:t>
            </w:r>
          </w:p>
        </w:tc>
        <w:tc>
          <w:tcPr>
            <w:tcW w:w="1073" w:type="dxa"/>
          </w:tcPr>
          <w:p w14:paraId="4FA5FEEC" w14:textId="0C404E79" w:rsidR="00BB1486" w:rsidRPr="00485F9B" w:rsidRDefault="00BB1486" w:rsidP="00BB1486">
            <w:pPr>
              <w:spacing w:before="0" w:after="0" w:line="240" w:lineRule="auto"/>
              <w:rPr>
                <w:b/>
                <w:bCs/>
                <w:sz w:val="20"/>
              </w:rPr>
            </w:pPr>
            <w:r w:rsidRPr="00485F9B">
              <w:rPr>
                <w:sz w:val="20"/>
              </w:rPr>
              <w:t>0.0024</w:t>
            </w:r>
          </w:p>
        </w:tc>
        <w:tc>
          <w:tcPr>
            <w:tcW w:w="1073" w:type="dxa"/>
          </w:tcPr>
          <w:p w14:paraId="2E3182AC" w14:textId="25BA5EE1" w:rsidR="00BB1486" w:rsidRPr="00BB1486" w:rsidRDefault="00BB1486" w:rsidP="00BB1486">
            <w:pPr>
              <w:spacing w:before="0" w:after="0" w:line="240" w:lineRule="auto"/>
              <w:rPr>
                <w:sz w:val="20"/>
              </w:rPr>
            </w:pPr>
            <w:r w:rsidRPr="00BB1486">
              <w:rPr>
                <w:sz w:val="20"/>
              </w:rPr>
              <w:t>2.2132</w:t>
            </w:r>
          </w:p>
        </w:tc>
        <w:tc>
          <w:tcPr>
            <w:tcW w:w="1073" w:type="dxa"/>
          </w:tcPr>
          <w:p w14:paraId="3C6EB948" w14:textId="39FAAE5B" w:rsidR="00BB1486" w:rsidRPr="00BB1486" w:rsidRDefault="00BB1486" w:rsidP="00BB1486">
            <w:pPr>
              <w:spacing w:before="0" w:after="0" w:line="240" w:lineRule="auto"/>
              <w:rPr>
                <w:sz w:val="20"/>
              </w:rPr>
            </w:pPr>
            <w:r w:rsidRPr="00BB1486">
              <w:rPr>
                <w:sz w:val="20"/>
              </w:rPr>
              <w:t>0.0103</w:t>
            </w:r>
          </w:p>
        </w:tc>
      </w:tr>
      <w:tr w:rsidR="00BB1486" w:rsidRPr="0098654A" w14:paraId="7CF02291" w14:textId="77777777" w:rsidTr="00142EA3">
        <w:trPr>
          <w:trHeight w:val="312"/>
          <w:jc w:val="center"/>
        </w:trPr>
        <w:tc>
          <w:tcPr>
            <w:tcW w:w="2252" w:type="dxa"/>
          </w:tcPr>
          <w:p w14:paraId="36EF3D5C" w14:textId="68F2128E" w:rsidR="00BB1486" w:rsidRPr="0098654A" w:rsidRDefault="00BB1486" w:rsidP="00BB1486">
            <w:pPr>
              <w:spacing w:before="0" w:after="0" w:line="240" w:lineRule="auto"/>
              <w:rPr>
                <w:sz w:val="20"/>
              </w:rPr>
            </w:pPr>
            <w:r w:rsidRPr="0098654A">
              <w:rPr>
                <w:sz w:val="20"/>
              </w:rPr>
              <w:t>201</w:t>
            </w:r>
            <w:r>
              <w:rPr>
                <w:sz w:val="20"/>
              </w:rPr>
              <w:t>6</w:t>
            </w:r>
            <w:r w:rsidRPr="0098654A">
              <w:rPr>
                <w:sz w:val="20"/>
              </w:rPr>
              <w:t xml:space="preserve"> vs. 202</w:t>
            </w:r>
            <w:r>
              <w:rPr>
                <w:sz w:val="20"/>
              </w:rPr>
              <w:t>1</w:t>
            </w:r>
          </w:p>
        </w:tc>
        <w:tc>
          <w:tcPr>
            <w:tcW w:w="887" w:type="dxa"/>
          </w:tcPr>
          <w:p w14:paraId="1311C705" w14:textId="1A0F316E" w:rsidR="00BB1486" w:rsidRPr="00485F9B" w:rsidRDefault="00BB1486" w:rsidP="00BB1486">
            <w:pPr>
              <w:spacing w:before="0" w:after="0" w:line="240" w:lineRule="auto"/>
              <w:rPr>
                <w:sz w:val="20"/>
              </w:rPr>
            </w:pPr>
            <w:r w:rsidRPr="00485F9B">
              <w:rPr>
                <w:sz w:val="20"/>
              </w:rPr>
              <w:t>1.4695</w:t>
            </w:r>
          </w:p>
        </w:tc>
        <w:tc>
          <w:tcPr>
            <w:tcW w:w="1073" w:type="dxa"/>
          </w:tcPr>
          <w:p w14:paraId="2C0CC111" w14:textId="53E808A6" w:rsidR="00BB1486" w:rsidRPr="00485F9B" w:rsidRDefault="00BB1486" w:rsidP="00BB1486">
            <w:pPr>
              <w:spacing w:before="0" w:after="0" w:line="240" w:lineRule="auto"/>
              <w:rPr>
                <w:sz w:val="20"/>
              </w:rPr>
            </w:pPr>
            <w:r w:rsidRPr="00485F9B">
              <w:rPr>
                <w:sz w:val="20"/>
              </w:rPr>
              <w:t>0.0865</w:t>
            </w:r>
          </w:p>
        </w:tc>
        <w:tc>
          <w:tcPr>
            <w:tcW w:w="1073" w:type="dxa"/>
          </w:tcPr>
          <w:p w14:paraId="00577023" w14:textId="4B98FD92" w:rsidR="00BB1486" w:rsidRPr="00BB1486" w:rsidRDefault="00BB1486" w:rsidP="00BB1486">
            <w:pPr>
              <w:spacing w:before="0" w:after="0" w:line="240" w:lineRule="auto"/>
              <w:rPr>
                <w:sz w:val="20"/>
              </w:rPr>
            </w:pPr>
            <w:r w:rsidRPr="00BB1486">
              <w:rPr>
                <w:sz w:val="20"/>
              </w:rPr>
              <w:t>1.7320</w:t>
            </w:r>
          </w:p>
        </w:tc>
        <w:tc>
          <w:tcPr>
            <w:tcW w:w="1073" w:type="dxa"/>
          </w:tcPr>
          <w:p w14:paraId="3575A2B7" w14:textId="32A859DF" w:rsidR="00BB1486" w:rsidRPr="00BB1486" w:rsidRDefault="00BB1486" w:rsidP="00BB1486">
            <w:pPr>
              <w:spacing w:before="0" w:after="0" w:line="240" w:lineRule="auto"/>
              <w:rPr>
                <w:sz w:val="20"/>
              </w:rPr>
            </w:pPr>
            <w:r w:rsidRPr="00BB1486">
              <w:rPr>
                <w:sz w:val="20"/>
              </w:rPr>
              <w:t>0.0456</w:t>
            </w:r>
          </w:p>
        </w:tc>
      </w:tr>
      <w:tr w:rsidR="00BB1486" w:rsidRPr="0098654A" w14:paraId="2731B30D" w14:textId="77777777" w:rsidTr="00142EA3">
        <w:trPr>
          <w:trHeight w:val="312"/>
          <w:jc w:val="center"/>
        </w:trPr>
        <w:tc>
          <w:tcPr>
            <w:tcW w:w="2252" w:type="dxa"/>
          </w:tcPr>
          <w:p w14:paraId="1B84C60C" w14:textId="3F896539" w:rsidR="00BB1486" w:rsidRPr="0098654A" w:rsidRDefault="00BB1486" w:rsidP="00BB1486">
            <w:pPr>
              <w:spacing w:before="0" w:after="0" w:line="240" w:lineRule="auto"/>
              <w:rPr>
                <w:sz w:val="20"/>
              </w:rPr>
            </w:pPr>
            <w:r>
              <w:rPr>
                <w:sz w:val="20"/>
              </w:rPr>
              <w:t>2016 vs. 2022</w:t>
            </w:r>
          </w:p>
        </w:tc>
        <w:tc>
          <w:tcPr>
            <w:tcW w:w="887" w:type="dxa"/>
          </w:tcPr>
          <w:p w14:paraId="4FAE684A" w14:textId="07A0B148" w:rsidR="00BB1486" w:rsidRPr="00485F9B" w:rsidRDefault="00BB1486" w:rsidP="00BB1486">
            <w:pPr>
              <w:spacing w:before="0" w:after="0" w:line="240" w:lineRule="auto"/>
              <w:rPr>
                <w:sz w:val="20"/>
              </w:rPr>
            </w:pPr>
            <w:r w:rsidRPr="00485F9B">
              <w:rPr>
                <w:sz w:val="20"/>
              </w:rPr>
              <w:t>4.9623</w:t>
            </w:r>
          </w:p>
        </w:tc>
        <w:tc>
          <w:tcPr>
            <w:tcW w:w="1073" w:type="dxa"/>
          </w:tcPr>
          <w:p w14:paraId="70E3C5FB" w14:textId="3ABDDCFD" w:rsidR="00BB1486" w:rsidRPr="00A851DB" w:rsidRDefault="00BB1486" w:rsidP="00BB1486">
            <w:pPr>
              <w:spacing w:before="0" w:after="0" w:line="240" w:lineRule="auto"/>
              <w:rPr>
                <w:b/>
                <w:bCs/>
                <w:sz w:val="20"/>
              </w:rPr>
            </w:pPr>
            <w:r w:rsidRPr="00A851DB">
              <w:rPr>
                <w:b/>
                <w:bCs/>
                <w:sz w:val="20"/>
              </w:rPr>
              <w:t>0.0002</w:t>
            </w:r>
          </w:p>
        </w:tc>
        <w:tc>
          <w:tcPr>
            <w:tcW w:w="1073" w:type="dxa"/>
          </w:tcPr>
          <w:p w14:paraId="6D2F2BFC" w14:textId="4FD4936B" w:rsidR="00BB1486" w:rsidRPr="00BB1486" w:rsidRDefault="00BB1486" w:rsidP="00BB1486">
            <w:pPr>
              <w:spacing w:before="0" w:after="0" w:line="240" w:lineRule="auto"/>
              <w:rPr>
                <w:sz w:val="20"/>
              </w:rPr>
            </w:pPr>
            <w:r w:rsidRPr="00BB1486">
              <w:rPr>
                <w:sz w:val="20"/>
              </w:rPr>
              <w:t>6.3011</w:t>
            </w:r>
          </w:p>
        </w:tc>
        <w:tc>
          <w:tcPr>
            <w:tcW w:w="1073" w:type="dxa"/>
          </w:tcPr>
          <w:p w14:paraId="45B761DA" w14:textId="0B3E8A2B" w:rsidR="00BB1486" w:rsidRPr="00F14B84" w:rsidRDefault="00BB1486" w:rsidP="00BB1486">
            <w:pPr>
              <w:spacing w:before="0" w:after="0" w:line="240" w:lineRule="auto"/>
              <w:rPr>
                <w:b/>
                <w:bCs/>
                <w:sz w:val="20"/>
              </w:rPr>
            </w:pPr>
            <w:r w:rsidRPr="00F14B84">
              <w:rPr>
                <w:b/>
                <w:bCs/>
                <w:sz w:val="20"/>
              </w:rPr>
              <w:t>0.0001</w:t>
            </w:r>
          </w:p>
        </w:tc>
      </w:tr>
      <w:tr w:rsidR="00BB1486" w:rsidRPr="0098654A" w14:paraId="46F031CC" w14:textId="77777777" w:rsidTr="00142EA3">
        <w:trPr>
          <w:trHeight w:val="312"/>
          <w:jc w:val="center"/>
        </w:trPr>
        <w:tc>
          <w:tcPr>
            <w:tcW w:w="2252" w:type="dxa"/>
          </w:tcPr>
          <w:p w14:paraId="5AEE0665" w14:textId="00B44C79" w:rsidR="00BB1486" w:rsidRDefault="00BB1486" w:rsidP="00BB1486">
            <w:pPr>
              <w:spacing w:before="0" w:after="0" w:line="240" w:lineRule="auto"/>
              <w:rPr>
                <w:sz w:val="20"/>
              </w:rPr>
            </w:pPr>
            <w:r>
              <w:rPr>
                <w:sz w:val="20"/>
              </w:rPr>
              <w:t>2016 vs. 2023</w:t>
            </w:r>
          </w:p>
        </w:tc>
        <w:tc>
          <w:tcPr>
            <w:tcW w:w="887" w:type="dxa"/>
          </w:tcPr>
          <w:p w14:paraId="787826EE" w14:textId="20D3BAD7" w:rsidR="00BB1486" w:rsidRPr="00485F9B" w:rsidRDefault="00BB1486" w:rsidP="00BB1486">
            <w:pPr>
              <w:spacing w:before="0" w:after="0" w:line="240" w:lineRule="auto"/>
              <w:rPr>
                <w:sz w:val="20"/>
              </w:rPr>
            </w:pPr>
            <w:r w:rsidRPr="00485F9B">
              <w:rPr>
                <w:sz w:val="20"/>
              </w:rPr>
              <w:t>6.3974</w:t>
            </w:r>
          </w:p>
        </w:tc>
        <w:tc>
          <w:tcPr>
            <w:tcW w:w="1073" w:type="dxa"/>
          </w:tcPr>
          <w:p w14:paraId="347A7B49" w14:textId="75B39747" w:rsidR="00BB1486" w:rsidRPr="00A851DB" w:rsidRDefault="00BB1486" w:rsidP="00BB1486">
            <w:pPr>
              <w:spacing w:before="0" w:after="0" w:line="240" w:lineRule="auto"/>
              <w:rPr>
                <w:b/>
                <w:bCs/>
                <w:sz w:val="20"/>
              </w:rPr>
            </w:pPr>
            <w:r w:rsidRPr="00A851DB">
              <w:rPr>
                <w:b/>
                <w:bCs/>
                <w:sz w:val="20"/>
              </w:rPr>
              <w:t>0.0001</w:t>
            </w:r>
          </w:p>
        </w:tc>
        <w:tc>
          <w:tcPr>
            <w:tcW w:w="1073" w:type="dxa"/>
          </w:tcPr>
          <w:p w14:paraId="59D87F0D" w14:textId="417BF95A" w:rsidR="00BB1486" w:rsidRPr="00BB1486" w:rsidRDefault="00BB1486" w:rsidP="00BB1486">
            <w:pPr>
              <w:spacing w:before="0" w:after="0" w:line="240" w:lineRule="auto"/>
              <w:rPr>
                <w:sz w:val="20"/>
              </w:rPr>
            </w:pPr>
            <w:r w:rsidRPr="00BB1486">
              <w:rPr>
                <w:sz w:val="20"/>
              </w:rPr>
              <w:t>5.7958</w:t>
            </w:r>
          </w:p>
        </w:tc>
        <w:tc>
          <w:tcPr>
            <w:tcW w:w="1073" w:type="dxa"/>
          </w:tcPr>
          <w:p w14:paraId="618F0643" w14:textId="17037D07" w:rsidR="00BB1486" w:rsidRPr="00F14B84" w:rsidRDefault="00BB1486" w:rsidP="00BB1486">
            <w:pPr>
              <w:spacing w:before="0" w:after="0" w:line="240" w:lineRule="auto"/>
              <w:rPr>
                <w:b/>
                <w:bCs/>
                <w:sz w:val="20"/>
              </w:rPr>
            </w:pPr>
            <w:r w:rsidRPr="00F14B84">
              <w:rPr>
                <w:b/>
                <w:bCs/>
                <w:sz w:val="20"/>
              </w:rPr>
              <w:t>0.0001</w:t>
            </w:r>
          </w:p>
        </w:tc>
      </w:tr>
      <w:tr w:rsidR="00BB1486" w:rsidRPr="0098654A" w14:paraId="6BC3D4C3" w14:textId="77777777" w:rsidTr="00142EA3">
        <w:trPr>
          <w:trHeight w:val="312"/>
          <w:jc w:val="center"/>
        </w:trPr>
        <w:tc>
          <w:tcPr>
            <w:tcW w:w="2252" w:type="dxa"/>
          </w:tcPr>
          <w:p w14:paraId="0D2C9953" w14:textId="164F66C3" w:rsidR="00BB1486" w:rsidRDefault="00BB1486" w:rsidP="00BB1486">
            <w:pPr>
              <w:spacing w:before="0" w:after="0" w:line="240" w:lineRule="auto"/>
              <w:rPr>
                <w:sz w:val="20"/>
              </w:rPr>
            </w:pPr>
            <w:r>
              <w:rPr>
                <w:sz w:val="20"/>
              </w:rPr>
              <w:t>2016 vs. 2024</w:t>
            </w:r>
          </w:p>
        </w:tc>
        <w:tc>
          <w:tcPr>
            <w:tcW w:w="887" w:type="dxa"/>
          </w:tcPr>
          <w:p w14:paraId="0302CF09" w14:textId="77777777" w:rsidR="00BB1486" w:rsidRPr="00485F9B" w:rsidRDefault="00BB1486" w:rsidP="00BB1486">
            <w:pPr>
              <w:spacing w:before="0" w:after="0" w:line="240" w:lineRule="auto"/>
              <w:rPr>
                <w:sz w:val="20"/>
              </w:rPr>
            </w:pPr>
          </w:p>
        </w:tc>
        <w:tc>
          <w:tcPr>
            <w:tcW w:w="1073" w:type="dxa"/>
          </w:tcPr>
          <w:p w14:paraId="1DCD437E" w14:textId="77777777" w:rsidR="00BB1486" w:rsidRPr="00A851DB" w:rsidRDefault="00BB1486" w:rsidP="00BB1486">
            <w:pPr>
              <w:spacing w:before="0" w:after="0" w:line="240" w:lineRule="auto"/>
              <w:rPr>
                <w:b/>
                <w:bCs/>
                <w:sz w:val="20"/>
              </w:rPr>
            </w:pPr>
          </w:p>
        </w:tc>
        <w:tc>
          <w:tcPr>
            <w:tcW w:w="1073" w:type="dxa"/>
          </w:tcPr>
          <w:p w14:paraId="66A30D98" w14:textId="7BE03142" w:rsidR="00BB1486" w:rsidRPr="00BB1486" w:rsidRDefault="00BB1486" w:rsidP="00BB1486">
            <w:pPr>
              <w:spacing w:before="0" w:after="0" w:line="240" w:lineRule="auto"/>
              <w:rPr>
                <w:sz w:val="20"/>
              </w:rPr>
            </w:pPr>
            <w:r w:rsidRPr="00BB1486">
              <w:rPr>
                <w:sz w:val="20"/>
              </w:rPr>
              <w:t>5.0610</w:t>
            </w:r>
          </w:p>
        </w:tc>
        <w:tc>
          <w:tcPr>
            <w:tcW w:w="1073" w:type="dxa"/>
          </w:tcPr>
          <w:p w14:paraId="184D6261" w14:textId="62CEA843" w:rsidR="00BB1486" w:rsidRPr="00F14B84" w:rsidRDefault="00BB1486" w:rsidP="00BB1486">
            <w:pPr>
              <w:spacing w:before="0" w:after="0" w:line="240" w:lineRule="auto"/>
              <w:rPr>
                <w:b/>
                <w:bCs/>
                <w:sz w:val="20"/>
              </w:rPr>
            </w:pPr>
            <w:r w:rsidRPr="00F14B84">
              <w:rPr>
                <w:b/>
                <w:bCs/>
                <w:sz w:val="20"/>
              </w:rPr>
              <w:t>0.0001</w:t>
            </w:r>
          </w:p>
        </w:tc>
      </w:tr>
      <w:tr w:rsidR="00BB1486" w:rsidRPr="0098654A" w14:paraId="2AE6D021" w14:textId="77777777" w:rsidTr="00142EA3">
        <w:trPr>
          <w:trHeight w:val="312"/>
          <w:jc w:val="center"/>
        </w:trPr>
        <w:tc>
          <w:tcPr>
            <w:tcW w:w="2252" w:type="dxa"/>
          </w:tcPr>
          <w:p w14:paraId="2BADD543" w14:textId="77777777" w:rsidR="00BB1486" w:rsidRPr="0098654A" w:rsidRDefault="00BB1486" w:rsidP="00BB1486">
            <w:pPr>
              <w:spacing w:before="0" w:after="0" w:line="240" w:lineRule="auto"/>
              <w:rPr>
                <w:sz w:val="20"/>
              </w:rPr>
            </w:pPr>
            <w:r w:rsidRPr="0098654A">
              <w:rPr>
                <w:sz w:val="20"/>
              </w:rPr>
              <w:t>2017 vs. 2018</w:t>
            </w:r>
          </w:p>
        </w:tc>
        <w:tc>
          <w:tcPr>
            <w:tcW w:w="887" w:type="dxa"/>
          </w:tcPr>
          <w:p w14:paraId="46DB2DCD" w14:textId="05BF8272" w:rsidR="00BB1486" w:rsidRPr="00485F9B" w:rsidRDefault="00BB1486" w:rsidP="00BB1486">
            <w:pPr>
              <w:spacing w:before="0" w:after="0" w:line="240" w:lineRule="auto"/>
              <w:rPr>
                <w:sz w:val="20"/>
              </w:rPr>
            </w:pPr>
            <w:r w:rsidRPr="00485F9B">
              <w:rPr>
                <w:sz w:val="20"/>
              </w:rPr>
              <w:t>2.6821</w:t>
            </w:r>
          </w:p>
        </w:tc>
        <w:tc>
          <w:tcPr>
            <w:tcW w:w="1073" w:type="dxa"/>
          </w:tcPr>
          <w:p w14:paraId="6178EFBB" w14:textId="1EFC0870" w:rsidR="00BB1486" w:rsidRPr="00A851DB" w:rsidRDefault="00BB1486" w:rsidP="00BB1486">
            <w:pPr>
              <w:spacing w:before="0" w:after="0" w:line="240" w:lineRule="auto"/>
              <w:rPr>
                <w:b/>
                <w:bCs/>
                <w:sz w:val="20"/>
              </w:rPr>
            </w:pPr>
            <w:r w:rsidRPr="00A851DB">
              <w:rPr>
                <w:b/>
                <w:bCs/>
                <w:sz w:val="20"/>
              </w:rPr>
              <w:t>0.0010</w:t>
            </w:r>
          </w:p>
        </w:tc>
        <w:tc>
          <w:tcPr>
            <w:tcW w:w="1073" w:type="dxa"/>
          </w:tcPr>
          <w:p w14:paraId="7791C61A" w14:textId="57836700" w:rsidR="00BB1486" w:rsidRPr="00BB1486" w:rsidRDefault="00BB1486" w:rsidP="00BB1486">
            <w:pPr>
              <w:spacing w:before="0" w:after="0" w:line="240" w:lineRule="auto"/>
              <w:rPr>
                <w:sz w:val="20"/>
              </w:rPr>
            </w:pPr>
            <w:r w:rsidRPr="00BB1486">
              <w:rPr>
                <w:sz w:val="20"/>
              </w:rPr>
              <w:t>3.1583</w:t>
            </w:r>
          </w:p>
        </w:tc>
        <w:tc>
          <w:tcPr>
            <w:tcW w:w="1073" w:type="dxa"/>
          </w:tcPr>
          <w:p w14:paraId="2E69C63D" w14:textId="6C585A57" w:rsidR="00BB1486" w:rsidRPr="00F14B84" w:rsidRDefault="00BB1486" w:rsidP="00BB1486">
            <w:pPr>
              <w:spacing w:before="0" w:after="0" w:line="240" w:lineRule="auto"/>
              <w:rPr>
                <w:b/>
                <w:bCs/>
                <w:sz w:val="20"/>
              </w:rPr>
            </w:pPr>
            <w:r w:rsidRPr="00F14B84">
              <w:rPr>
                <w:b/>
                <w:bCs/>
                <w:sz w:val="20"/>
              </w:rPr>
              <w:t>0.0005</w:t>
            </w:r>
          </w:p>
        </w:tc>
      </w:tr>
      <w:tr w:rsidR="00BB1486" w:rsidRPr="0098654A" w14:paraId="41452B11" w14:textId="77777777" w:rsidTr="00142EA3">
        <w:trPr>
          <w:trHeight w:val="312"/>
          <w:jc w:val="center"/>
        </w:trPr>
        <w:tc>
          <w:tcPr>
            <w:tcW w:w="2252" w:type="dxa"/>
          </w:tcPr>
          <w:p w14:paraId="73CB3DC7" w14:textId="77777777" w:rsidR="00BB1486" w:rsidRPr="0098654A" w:rsidRDefault="00BB1486" w:rsidP="00BB1486">
            <w:pPr>
              <w:spacing w:before="0" w:after="0" w:line="240" w:lineRule="auto"/>
              <w:rPr>
                <w:sz w:val="20"/>
              </w:rPr>
            </w:pPr>
            <w:r w:rsidRPr="0098654A">
              <w:rPr>
                <w:sz w:val="20"/>
              </w:rPr>
              <w:t>2017 vs. 2019</w:t>
            </w:r>
          </w:p>
        </w:tc>
        <w:tc>
          <w:tcPr>
            <w:tcW w:w="887" w:type="dxa"/>
          </w:tcPr>
          <w:p w14:paraId="570DF98C" w14:textId="45DC6CEE" w:rsidR="00BB1486" w:rsidRPr="00485F9B" w:rsidRDefault="00BB1486" w:rsidP="00BB1486">
            <w:pPr>
              <w:spacing w:before="0" w:after="0" w:line="240" w:lineRule="auto"/>
              <w:rPr>
                <w:sz w:val="20"/>
              </w:rPr>
            </w:pPr>
            <w:r w:rsidRPr="00485F9B">
              <w:rPr>
                <w:sz w:val="20"/>
              </w:rPr>
              <w:t>3.1843</w:t>
            </w:r>
          </w:p>
        </w:tc>
        <w:tc>
          <w:tcPr>
            <w:tcW w:w="1073" w:type="dxa"/>
          </w:tcPr>
          <w:p w14:paraId="4E2B4C3F" w14:textId="344BC1CD" w:rsidR="00BB1486" w:rsidRPr="00A851DB" w:rsidRDefault="00BB1486" w:rsidP="00BB1486">
            <w:pPr>
              <w:spacing w:before="0" w:after="0" w:line="240" w:lineRule="auto"/>
              <w:rPr>
                <w:b/>
                <w:bCs/>
                <w:sz w:val="20"/>
              </w:rPr>
            </w:pPr>
            <w:r w:rsidRPr="00A851DB">
              <w:rPr>
                <w:b/>
                <w:bCs/>
                <w:sz w:val="20"/>
              </w:rPr>
              <w:t>0.0008</w:t>
            </w:r>
          </w:p>
        </w:tc>
        <w:tc>
          <w:tcPr>
            <w:tcW w:w="1073" w:type="dxa"/>
          </w:tcPr>
          <w:p w14:paraId="6E18E54D" w14:textId="4038636F" w:rsidR="00BB1486" w:rsidRPr="00BB1486" w:rsidRDefault="00BB1486" w:rsidP="00BB1486">
            <w:pPr>
              <w:spacing w:before="0" w:after="0" w:line="240" w:lineRule="auto"/>
              <w:rPr>
                <w:sz w:val="20"/>
              </w:rPr>
            </w:pPr>
            <w:r w:rsidRPr="00BB1486">
              <w:rPr>
                <w:sz w:val="20"/>
              </w:rPr>
              <w:t>1.9555</w:t>
            </w:r>
          </w:p>
        </w:tc>
        <w:tc>
          <w:tcPr>
            <w:tcW w:w="1073" w:type="dxa"/>
          </w:tcPr>
          <w:p w14:paraId="4C21A1B3" w14:textId="3D9C9A4E" w:rsidR="00BB1486" w:rsidRPr="00BB1486" w:rsidRDefault="00BB1486" w:rsidP="00BB1486">
            <w:pPr>
              <w:spacing w:before="0" w:after="0" w:line="240" w:lineRule="auto"/>
              <w:rPr>
                <w:sz w:val="20"/>
              </w:rPr>
            </w:pPr>
            <w:r w:rsidRPr="00BB1486">
              <w:rPr>
                <w:sz w:val="20"/>
              </w:rPr>
              <w:t>0.0219</w:t>
            </w:r>
          </w:p>
        </w:tc>
      </w:tr>
      <w:tr w:rsidR="00BB1486" w:rsidRPr="0098654A" w14:paraId="173A8166" w14:textId="77777777" w:rsidTr="00142EA3">
        <w:trPr>
          <w:trHeight w:val="312"/>
          <w:jc w:val="center"/>
        </w:trPr>
        <w:tc>
          <w:tcPr>
            <w:tcW w:w="2252" w:type="dxa"/>
          </w:tcPr>
          <w:p w14:paraId="1591F941" w14:textId="77777777" w:rsidR="00BB1486" w:rsidRPr="0098654A" w:rsidRDefault="00BB1486" w:rsidP="00BB1486">
            <w:pPr>
              <w:spacing w:before="0" w:after="0" w:line="240" w:lineRule="auto"/>
              <w:rPr>
                <w:sz w:val="20"/>
              </w:rPr>
            </w:pPr>
            <w:r w:rsidRPr="0098654A">
              <w:rPr>
                <w:sz w:val="20"/>
              </w:rPr>
              <w:t>2017 vs. 2020</w:t>
            </w:r>
          </w:p>
        </w:tc>
        <w:tc>
          <w:tcPr>
            <w:tcW w:w="887" w:type="dxa"/>
          </w:tcPr>
          <w:p w14:paraId="1C13F06F" w14:textId="5956990F" w:rsidR="00BB1486" w:rsidRPr="00485F9B" w:rsidRDefault="00BB1486" w:rsidP="00BB1486">
            <w:pPr>
              <w:spacing w:before="0" w:after="0" w:line="240" w:lineRule="auto"/>
              <w:rPr>
                <w:sz w:val="20"/>
              </w:rPr>
            </w:pPr>
            <w:r w:rsidRPr="00485F9B">
              <w:rPr>
                <w:sz w:val="20"/>
              </w:rPr>
              <w:t>3.2180</w:t>
            </w:r>
          </w:p>
        </w:tc>
        <w:tc>
          <w:tcPr>
            <w:tcW w:w="1073" w:type="dxa"/>
          </w:tcPr>
          <w:p w14:paraId="43FB802E" w14:textId="6A3AA824" w:rsidR="00BB1486" w:rsidRPr="00A851DB" w:rsidRDefault="00BB1486" w:rsidP="00BB1486">
            <w:pPr>
              <w:spacing w:before="0" w:after="0" w:line="240" w:lineRule="auto"/>
              <w:rPr>
                <w:b/>
                <w:bCs/>
                <w:sz w:val="20"/>
              </w:rPr>
            </w:pPr>
            <w:r w:rsidRPr="00A851DB">
              <w:rPr>
                <w:b/>
                <w:bCs/>
                <w:sz w:val="20"/>
              </w:rPr>
              <w:t>0.0005</w:t>
            </w:r>
          </w:p>
        </w:tc>
        <w:tc>
          <w:tcPr>
            <w:tcW w:w="1073" w:type="dxa"/>
          </w:tcPr>
          <w:p w14:paraId="227144D9" w14:textId="78AB1857" w:rsidR="00BB1486" w:rsidRPr="00BB1486" w:rsidRDefault="00BB1486" w:rsidP="00BB1486">
            <w:pPr>
              <w:spacing w:before="0" w:after="0" w:line="240" w:lineRule="auto"/>
              <w:rPr>
                <w:sz w:val="20"/>
              </w:rPr>
            </w:pPr>
            <w:r w:rsidRPr="00BB1486">
              <w:rPr>
                <w:sz w:val="20"/>
              </w:rPr>
              <w:t>2.8131</w:t>
            </w:r>
          </w:p>
        </w:tc>
        <w:tc>
          <w:tcPr>
            <w:tcW w:w="1073" w:type="dxa"/>
          </w:tcPr>
          <w:p w14:paraId="6E6AEE07" w14:textId="45393439" w:rsidR="00BB1486" w:rsidRPr="00F14B84" w:rsidRDefault="00BB1486" w:rsidP="00BB1486">
            <w:pPr>
              <w:spacing w:before="0" w:after="0" w:line="240" w:lineRule="auto"/>
              <w:rPr>
                <w:b/>
                <w:bCs/>
                <w:sz w:val="20"/>
              </w:rPr>
            </w:pPr>
            <w:r w:rsidRPr="00F14B84">
              <w:rPr>
                <w:b/>
                <w:bCs/>
                <w:sz w:val="20"/>
              </w:rPr>
              <w:t>0.0004</w:t>
            </w:r>
          </w:p>
        </w:tc>
      </w:tr>
      <w:tr w:rsidR="00BB1486" w:rsidRPr="0098654A" w14:paraId="4725DDED" w14:textId="77777777" w:rsidTr="00142EA3">
        <w:trPr>
          <w:trHeight w:val="312"/>
          <w:jc w:val="center"/>
        </w:trPr>
        <w:tc>
          <w:tcPr>
            <w:tcW w:w="2252" w:type="dxa"/>
          </w:tcPr>
          <w:p w14:paraId="554662CB" w14:textId="7921C5AD" w:rsidR="00BB1486" w:rsidRPr="0098654A" w:rsidRDefault="00BB1486" w:rsidP="00BB1486">
            <w:pPr>
              <w:spacing w:before="0" w:after="0" w:line="240" w:lineRule="auto"/>
              <w:rPr>
                <w:sz w:val="20"/>
              </w:rPr>
            </w:pPr>
            <w:r w:rsidRPr="0098654A">
              <w:rPr>
                <w:sz w:val="20"/>
              </w:rPr>
              <w:t>201</w:t>
            </w:r>
            <w:r>
              <w:rPr>
                <w:sz w:val="20"/>
              </w:rPr>
              <w:t>7</w:t>
            </w:r>
            <w:r w:rsidRPr="0098654A">
              <w:rPr>
                <w:sz w:val="20"/>
              </w:rPr>
              <w:t xml:space="preserve"> vs. 202</w:t>
            </w:r>
            <w:r>
              <w:rPr>
                <w:sz w:val="20"/>
              </w:rPr>
              <w:t>1</w:t>
            </w:r>
          </w:p>
        </w:tc>
        <w:tc>
          <w:tcPr>
            <w:tcW w:w="887" w:type="dxa"/>
          </w:tcPr>
          <w:p w14:paraId="0848ED60" w14:textId="67516928" w:rsidR="00BB1486" w:rsidRPr="00485F9B" w:rsidRDefault="00BB1486" w:rsidP="00BB1486">
            <w:pPr>
              <w:spacing w:before="0" w:after="0" w:line="240" w:lineRule="auto"/>
              <w:rPr>
                <w:sz w:val="20"/>
              </w:rPr>
            </w:pPr>
            <w:r w:rsidRPr="00485F9B">
              <w:rPr>
                <w:sz w:val="20"/>
              </w:rPr>
              <w:t>3.0598</w:t>
            </w:r>
          </w:p>
        </w:tc>
        <w:tc>
          <w:tcPr>
            <w:tcW w:w="1073" w:type="dxa"/>
          </w:tcPr>
          <w:p w14:paraId="70C7375E" w14:textId="393C1BF1" w:rsidR="00BB1486" w:rsidRPr="00485F9B" w:rsidRDefault="00BB1486" w:rsidP="00BB1486">
            <w:pPr>
              <w:spacing w:before="0" w:after="0" w:line="240" w:lineRule="auto"/>
              <w:rPr>
                <w:b/>
                <w:bCs/>
                <w:sz w:val="20"/>
              </w:rPr>
            </w:pPr>
            <w:r w:rsidRPr="00485F9B">
              <w:rPr>
                <w:sz w:val="20"/>
              </w:rPr>
              <w:t>0.0026</w:t>
            </w:r>
          </w:p>
        </w:tc>
        <w:tc>
          <w:tcPr>
            <w:tcW w:w="1073" w:type="dxa"/>
          </w:tcPr>
          <w:p w14:paraId="25A3F388" w14:textId="009F8DF1" w:rsidR="00BB1486" w:rsidRPr="00BB1486" w:rsidRDefault="00BB1486" w:rsidP="00BB1486">
            <w:pPr>
              <w:spacing w:before="0" w:after="0" w:line="240" w:lineRule="auto"/>
              <w:rPr>
                <w:sz w:val="20"/>
              </w:rPr>
            </w:pPr>
            <w:r w:rsidRPr="00BB1486">
              <w:rPr>
                <w:sz w:val="20"/>
              </w:rPr>
              <w:t>3.2642</w:t>
            </w:r>
          </w:p>
        </w:tc>
        <w:tc>
          <w:tcPr>
            <w:tcW w:w="1073" w:type="dxa"/>
          </w:tcPr>
          <w:p w14:paraId="1DC26EEB" w14:textId="335D00AE" w:rsidR="00BB1486" w:rsidRPr="00F14B84" w:rsidRDefault="00BB1486" w:rsidP="00BB1486">
            <w:pPr>
              <w:spacing w:before="0" w:after="0" w:line="240" w:lineRule="auto"/>
              <w:rPr>
                <w:b/>
                <w:bCs/>
                <w:sz w:val="20"/>
              </w:rPr>
            </w:pPr>
            <w:r w:rsidRPr="00F14B84">
              <w:rPr>
                <w:b/>
                <w:bCs/>
                <w:sz w:val="20"/>
              </w:rPr>
              <w:t>0.0002</w:t>
            </w:r>
          </w:p>
        </w:tc>
      </w:tr>
      <w:tr w:rsidR="00BB1486" w:rsidRPr="0098654A" w14:paraId="7637A13B" w14:textId="77777777" w:rsidTr="00142EA3">
        <w:trPr>
          <w:trHeight w:val="312"/>
          <w:jc w:val="center"/>
        </w:trPr>
        <w:tc>
          <w:tcPr>
            <w:tcW w:w="2252" w:type="dxa"/>
          </w:tcPr>
          <w:p w14:paraId="370AABFD" w14:textId="2E21F99E" w:rsidR="00BB1486" w:rsidRPr="0098654A" w:rsidRDefault="00BB1486" w:rsidP="00BB1486">
            <w:pPr>
              <w:spacing w:before="0" w:after="0" w:line="240" w:lineRule="auto"/>
              <w:rPr>
                <w:sz w:val="20"/>
              </w:rPr>
            </w:pPr>
            <w:r>
              <w:rPr>
                <w:sz w:val="20"/>
              </w:rPr>
              <w:t>2017 vs. 2022</w:t>
            </w:r>
          </w:p>
        </w:tc>
        <w:tc>
          <w:tcPr>
            <w:tcW w:w="887" w:type="dxa"/>
          </w:tcPr>
          <w:p w14:paraId="2F74E24D" w14:textId="5208C26B" w:rsidR="00BB1486" w:rsidRPr="00485F9B" w:rsidRDefault="00BB1486" w:rsidP="00BB1486">
            <w:pPr>
              <w:spacing w:before="0" w:after="0" w:line="240" w:lineRule="auto"/>
              <w:rPr>
                <w:sz w:val="20"/>
              </w:rPr>
            </w:pPr>
            <w:r w:rsidRPr="00485F9B">
              <w:rPr>
                <w:sz w:val="20"/>
              </w:rPr>
              <w:t>2.2904</w:t>
            </w:r>
          </w:p>
        </w:tc>
        <w:tc>
          <w:tcPr>
            <w:tcW w:w="1073" w:type="dxa"/>
          </w:tcPr>
          <w:p w14:paraId="321A7233" w14:textId="351762DB" w:rsidR="00BB1486" w:rsidRPr="00485F9B" w:rsidRDefault="00BB1486" w:rsidP="00BB1486">
            <w:pPr>
              <w:spacing w:before="0" w:after="0" w:line="240" w:lineRule="auto"/>
              <w:rPr>
                <w:sz w:val="20"/>
              </w:rPr>
            </w:pPr>
            <w:r w:rsidRPr="00485F9B">
              <w:rPr>
                <w:sz w:val="20"/>
              </w:rPr>
              <w:t>0.0026</w:t>
            </w:r>
          </w:p>
        </w:tc>
        <w:tc>
          <w:tcPr>
            <w:tcW w:w="1073" w:type="dxa"/>
          </w:tcPr>
          <w:p w14:paraId="3B9BDA48" w14:textId="381750FC" w:rsidR="00BB1486" w:rsidRPr="00BB1486" w:rsidRDefault="00BB1486" w:rsidP="00BB1486">
            <w:pPr>
              <w:spacing w:before="0" w:after="0" w:line="240" w:lineRule="auto"/>
              <w:rPr>
                <w:sz w:val="20"/>
              </w:rPr>
            </w:pPr>
            <w:r w:rsidRPr="00BB1486">
              <w:rPr>
                <w:sz w:val="20"/>
              </w:rPr>
              <w:t>5.2524</w:t>
            </w:r>
          </w:p>
        </w:tc>
        <w:tc>
          <w:tcPr>
            <w:tcW w:w="1073" w:type="dxa"/>
          </w:tcPr>
          <w:p w14:paraId="6511C822" w14:textId="7111E630" w:rsidR="00BB1486" w:rsidRPr="00F14B84" w:rsidRDefault="00BB1486" w:rsidP="00BB1486">
            <w:pPr>
              <w:spacing w:before="0" w:after="0" w:line="240" w:lineRule="auto"/>
              <w:rPr>
                <w:b/>
                <w:bCs/>
                <w:sz w:val="20"/>
              </w:rPr>
            </w:pPr>
            <w:r w:rsidRPr="00F14B84">
              <w:rPr>
                <w:b/>
                <w:bCs/>
                <w:sz w:val="20"/>
              </w:rPr>
              <w:t>0.0002</w:t>
            </w:r>
          </w:p>
        </w:tc>
      </w:tr>
      <w:tr w:rsidR="00BB1486" w:rsidRPr="0098654A" w14:paraId="01784B91" w14:textId="77777777" w:rsidTr="00142EA3">
        <w:trPr>
          <w:trHeight w:val="312"/>
          <w:jc w:val="center"/>
        </w:trPr>
        <w:tc>
          <w:tcPr>
            <w:tcW w:w="2252" w:type="dxa"/>
          </w:tcPr>
          <w:p w14:paraId="2041F25F" w14:textId="7FB57CA3" w:rsidR="00BB1486" w:rsidRDefault="00BB1486" w:rsidP="00BB1486">
            <w:pPr>
              <w:spacing w:before="0" w:after="0" w:line="240" w:lineRule="auto"/>
              <w:rPr>
                <w:sz w:val="20"/>
              </w:rPr>
            </w:pPr>
            <w:r>
              <w:rPr>
                <w:sz w:val="20"/>
              </w:rPr>
              <w:t>2017 vs. 2023</w:t>
            </w:r>
          </w:p>
        </w:tc>
        <w:tc>
          <w:tcPr>
            <w:tcW w:w="887" w:type="dxa"/>
          </w:tcPr>
          <w:p w14:paraId="1CFBF544" w14:textId="5D38392F" w:rsidR="00BB1486" w:rsidRPr="00485F9B" w:rsidRDefault="00BB1486" w:rsidP="00BB1486">
            <w:pPr>
              <w:spacing w:before="0" w:after="0" w:line="240" w:lineRule="auto"/>
              <w:rPr>
                <w:sz w:val="20"/>
              </w:rPr>
            </w:pPr>
            <w:r w:rsidRPr="00485F9B">
              <w:rPr>
                <w:sz w:val="20"/>
              </w:rPr>
              <w:t>3.4730</w:t>
            </w:r>
          </w:p>
        </w:tc>
        <w:tc>
          <w:tcPr>
            <w:tcW w:w="1073" w:type="dxa"/>
          </w:tcPr>
          <w:p w14:paraId="08FCE183" w14:textId="50F6A0CE" w:rsidR="00BB1486" w:rsidRPr="00A851DB" w:rsidRDefault="00BB1486" w:rsidP="00BB1486">
            <w:pPr>
              <w:spacing w:before="0" w:after="0" w:line="240" w:lineRule="auto"/>
              <w:rPr>
                <w:b/>
                <w:bCs/>
                <w:sz w:val="20"/>
              </w:rPr>
            </w:pPr>
            <w:r w:rsidRPr="00A851DB">
              <w:rPr>
                <w:b/>
                <w:bCs/>
                <w:sz w:val="20"/>
              </w:rPr>
              <w:t>0.0005</w:t>
            </w:r>
          </w:p>
        </w:tc>
        <w:tc>
          <w:tcPr>
            <w:tcW w:w="1073" w:type="dxa"/>
          </w:tcPr>
          <w:p w14:paraId="68640DB8" w14:textId="044CF9FD" w:rsidR="00BB1486" w:rsidRPr="00BB1486" w:rsidRDefault="00BB1486" w:rsidP="00BB1486">
            <w:pPr>
              <w:spacing w:before="0" w:after="0" w:line="240" w:lineRule="auto"/>
              <w:rPr>
                <w:sz w:val="20"/>
              </w:rPr>
            </w:pPr>
            <w:r w:rsidRPr="00BB1486">
              <w:rPr>
                <w:sz w:val="20"/>
              </w:rPr>
              <w:t>4.2054</w:t>
            </w:r>
          </w:p>
        </w:tc>
        <w:tc>
          <w:tcPr>
            <w:tcW w:w="1073" w:type="dxa"/>
          </w:tcPr>
          <w:p w14:paraId="616F2F59" w14:textId="7D7B35D4" w:rsidR="00BB1486" w:rsidRPr="00F14B84" w:rsidRDefault="00BB1486" w:rsidP="00BB1486">
            <w:pPr>
              <w:spacing w:before="0" w:after="0" w:line="240" w:lineRule="auto"/>
              <w:rPr>
                <w:b/>
                <w:bCs/>
                <w:sz w:val="20"/>
              </w:rPr>
            </w:pPr>
            <w:r w:rsidRPr="00F14B84">
              <w:rPr>
                <w:b/>
                <w:bCs/>
                <w:sz w:val="20"/>
              </w:rPr>
              <w:t>0.0001</w:t>
            </w:r>
          </w:p>
        </w:tc>
      </w:tr>
      <w:tr w:rsidR="00BB1486" w:rsidRPr="0098654A" w14:paraId="1E46658F" w14:textId="77777777" w:rsidTr="00142EA3">
        <w:trPr>
          <w:trHeight w:val="312"/>
          <w:jc w:val="center"/>
        </w:trPr>
        <w:tc>
          <w:tcPr>
            <w:tcW w:w="2252" w:type="dxa"/>
          </w:tcPr>
          <w:p w14:paraId="315F2C1A" w14:textId="255726F2" w:rsidR="00BB1486" w:rsidRDefault="00BB1486" w:rsidP="00BB1486">
            <w:pPr>
              <w:spacing w:before="0" w:after="0" w:line="240" w:lineRule="auto"/>
              <w:rPr>
                <w:sz w:val="20"/>
              </w:rPr>
            </w:pPr>
            <w:r>
              <w:rPr>
                <w:sz w:val="20"/>
              </w:rPr>
              <w:t>2017 vs. 2024</w:t>
            </w:r>
          </w:p>
        </w:tc>
        <w:tc>
          <w:tcPr>
            <w:tcW w:w="887" w:type="dxa"/>
          </w:tcPr>
          <w:p w14:paraId="2B2BB36C" w14:textId="77777777" w:rsidR="00BB1486" w:rsidRPr="00485F9B" w:rsidRDefault="00BB1486" w:rsidP="00BB1486">
            <w:pPr>
              <w:spacing w:before="0" w:after="0" w:line="240" w:lineRule="auto"/>
              <w:rPr>
                <w:sz w:val="20"/>
              </w:rPr>
            </w:pPr>
          </w:p>
        </w:tc>
        <w:tc>
          <w:tcPr>
            <w:tcW w:w="1073" w:type="dxa"/>
          </w:tcPr>
          <w:p w14:paraId="468EED28" w14:textId="77777777" w:rsidR="00BB1486" w:rsidRPr="00A851DB" w:rsidRDefault="00BB1486" w:rsidP="00BB1486">
            <w:pPr>
              <w:spacing w:before="0" w:after="0" w:line="240" w:lineRule="auto"/>
              <w:rPr>
                <w:b/>
                <w:bCs/>
                <w:sz w:val="20"/>
              </w:rPr>
            </w:pPr>
          </w:p>
        </w:tc>
        <w:tc>
          <w:tcPr>
            <w:tcW w:w="1073" w:type="dxa"/>
          </w:tcPr>
          <w:p w14:paraId="742CF6D6" w14:textId="7ACD0218" w:rsidR="00BB1486" w:rsidRPr="00BB1486" w:rsidRDefault="00BB1486" w:rsidP="00BB1486">
            <w:pPr>
              <w:spacing w:before="0" w:after="0" w:line="240" w:lineRule="auto"/>
              <w:rPr>
                <w:sz w:val="20"/>
              </w:rPr>
            </w:pPr>
            <w:r w:rsidRPr="00BB1486">
              <w:rPr>
                <w:sz w:val="20"/>
              </w:rPr>
              <w:t>2.0698</w:t>
            </w:r>
          </w:p>
        </w:tc>
        <w:tc>
          <w:tcPr>
            <w:tcW w:w="1073" w:type="dxa"/>
          </w:tcPr>
          <w:p w14:paraId="7C0671BD" w14:textId="25D64B21" w:rsidR="00BB1486" w:rsidRPr="00BB1486" w:rsidRDefault="00BB1486" w:rsidP="00BB1486">
            <w:pPr>
              <w:spacing w:before="0" w:after="0" w:line="240" w:lineRule="auto"/>
              <w:rPr>
                <w:b/>
                <w:bCs/>
                <w:sz w:val="20"/>
              </w:rPr>
            </w:pPr>
            <w:r w:rsidRPr="00BB1486">
              <w:rPr>
                <w:sz w:val="20"/>
              </w:rPr>
              <w:t>0.0079</w:t>
            </w:r>
          </w:p>
        </w:tc>
      </w:tr>
      <w:tr w:rsidR="00BB1486" w:rsidRPr="0098654A" w14:paraId="3CF67CC4" w14:textId="77777777" w:rsidTr="00142EA3">
        <w:trPr>
          <w:trHeight w:val="312"/>
          <w:jc w:val="center"/>
        </w:trPr>
        <w:tc>
          <w:tcPr>
            <w:tcW w:w="2252" w:type="dxa"/>
          </w:tcPr>
          <w:p w14:paraId="3A82ED76" w14:textId="77777777" w:rsidR="00BB1486" w:rsidRPr="0098654A" w:rsidRDefault="00BB1486" w:rsidP="00BB1486">
            <w:pPr>
              <w:spacing w:before="0" w:after="0" w:line="240" w:lineRule="auto"/>
              <w:rPr>
                <w:sz w:val="20"/>
              </w:rPr>
            </w:pPr>
            <w:r w:rsidRPr="0098654A">
              <w:rPr>
                <w:sz w:val="20"/>
              </w:rPr>
              <w:t>2018 vs. 2019</w:t>
            </w:r>
          </w:p>
        </w:tc>
        <w:tc>
          <w:tcPr>
            <w:tcW w:w="887" w:type="dxa"/>
          </w:tcPr>
          <w:p w14:paraId="4BDCA5AD" w14:textId="2083EBC9" w:rsidR="00BB1486" w:rsidRPr="00485F9B" w:rsidRDefault="00BB1486" w:rsidP="00BB1486">
            <w:pPr>
              <w:spacing w:before="0" w:after="0" w:line="240" w:lineRule="auto"/>
              <w:rPr>
                <w:sz w:val="20"/>
              </w:rPr>
            </w:pPr>
            <w:r w:rsidRPr="00485F9B">
              <w:rPr>
                <w:sz w:val="20"/>
              </w:rPr>
              <w:t>1.7619</w:t>
            </w:r>
          </w:p>
        </w:tc>
        <w:tc>
          <w:tcPr>
            <w:tcW w:w="1073" w:type="dxa"/>
          </w:tcPr>
          <w:p w14:paraId="6ACCC792" w14:textId="7FF9358A" w:rsidR="00BB1486" w:rsidRPr="00485F9B" w:rsidRDefault="00BB1486" w:rsidP="00BB1486">
            <w:pPr>
              <w:spacing w:before="0" w:after="0" w:line="240" w:lineRule="auto"/>
              <w:rPr>
                <w:sz w:val="20"/>
              </w:rPr>
            </w:pPr>
            <w:r w:rsidRPr="00485F9B">
              <w:rPr>
                <w:sz w:val="20"/>
              </w:rPr>
              <w:t>0.0411</w:t>
            </w:r>
          </w:p>
        </w:tc>
        <w:tc>
          <w:tcPr>
            <w:tcW w:w="1073" w:type="dxa"/>
          </w:tcPr>
          <w:p w14:paraId="4D111131" w14:textId="73CFBF69" w:rsidR="00BB1486" w:rsidRPr="00BB1486" w:rsidRDefault="00BB1486" w:rsidP="00BB1486">
            <w:pPr>
              <w:spacing w:before="0" w:after="0" w:line="240" w:lineRule="auto"/>
              <w:rPr>
                <w:sz w:val="20"/>
              </w:rPr>
            </w:pPr>
            <w:r w:rsidRPr="00BB1486">
              <w:rPr>
                <w:sz w:val="20"/>
              </w:rPr>
              <w:t>1.4932</w:t>
            </w:r>
          </w:p>
        </w:tc>
        <w:tc>
          <w:tcPr>
            <w:tcW w:w="1073" w:type="dxa"/>
          </w:tcPr>
          <w:p w14:paraId="22CD6709" w14:textId="051FC747" w:rsidR="00BB1486" w:rsidRPr="00BB1486" w:rsidRDefault="00BB1486" w:rsidP="00BB1486">
            <w:pPr>
              <w:spacing w:before="0" w:after="0" w:line="240" w:lineRule="auto"/>
              <w:rPr>
                <w:sz w:val="20"/>
              </w:rPr>
            </w:pPr>
            <w:r w:rsidRPr="00BB1486">
              <w:rPr>
                <w:sz w:val="20"/>
              </w:rPr>
              <w:t>0.0982</w:t>
            </w:r>
          </w:p>
        </w:tc>
      </w:tr>
      <w:tr w:rsidR="00BB1486" w:rsidRPr="0098654A" w14:paraId="01D93440" w14:textId="77777777" w:rsidTr="00142EA3">
        <w:trPr>
          <w:trHeight w:val="312"/>
          <w:jc w:val="center"/>
        </w:trPr>
        <w:tc>
          <w:tcPr>
            <w:tcW w:w="2252" w:type="dxa"/>
          </w:tcPr>
          <w:p w14:paraId="571D4365" w14:textId="77777777" w:rsidR="00BB1486" w:rsidRPr="0098654A" w:rsidRDefault="00BB1486" w:rsidP="00BB1486">
            <w:pPr>
              <w:spacing w:before="0" w:after="0" w:line="240" w:lineRule="auto"/>
              <w:rPr>
                <w:sz w:val="20"/>
              </w:rPr>
            </w:pPr>
            <w:r w:rsidRPr="0098654A">
              <w:rPr>
                <w:sz w:val="20"/>
              </w:rPr>
              <w:t>2018 vs. 2020</w:t>
            </w:r>
          </w:p>
        </w:tc>
        <w:tc>
          <w:tcPr>
            <w:tcW w:w="887" w:type="dxa"/>
          </w:tcPr>
          <w:p w14:paraId="18AF4B84" w14:textId="1687DFD4" w:rsidR="00BB1486" w:rsidRPr="00485F9B" w:rsidRDefault="00BB1486" w:rsidP="00BB1486">
            <w:pPr>
              <w:spacing w:before="0" w:after="0" w:line="240" w:lineRule="auto"/>
              <w:rPr>
                <w:sz w:val="20"/>
              </w:rPr>
            </w:pPr>
            <w:r w:rsidRPr="00485F9B">
              <w:rPr>
                <w:sz w:val="20"/>
              </w:rPr>
              <w:t>1.9635</w:t>
            </w:r>
          </w:p>
        </w:tc>
        <w:tc>
          <w:tcPr>
            <w:tcW w:w="1073" w:type="dxa"/>
          </w:tcPr>
          <w:p w14:paraId="17F0C7EB" w14:textId="75A282AE" w:rsidR="00BB1486" w:rsidRPr="00485F9B" w:rsidRDefault="00BB1486" w:rsidP="00BB1486">
            <w:pPr>
              <w:spacing w:before="0" w:after="0" w:line="240" w:lineRule="auto"/>
              <w:rPr>
                <w:sz w:val="20"/>
              </w:rPr>
            </w:pPr>
            <w:r w:rsidRPr="00485F9B">
              <w:rPr>
                <w:sz w:val="20"/>
              </w:rPr>
              <w:t>0.0207</w:t>
            </w:r>
          </w:p>
        </w:tc>
        <w:tc>
          <w:tcPr>
            <w:tcW w:w="1073" w:type="dxa"/>
          </w:tcPr>
          <w:p w14:paraId="0B32485C" w14:textId="5BFB7E06" w:rsidR="00BB1486" w:rsidRPr="00BB1486" w:rsidRDefault="00BB1486" w:rsidP="00BB1486">
            <w:pPr>
              <w:spacing w:before="0" w:after="0" w:line="240" w:lineRule="auto"/>
              <w:rPr>
                <w:sz w:val="20"/>
              </w:rPr>
            </w:pPr>
            <w:r w:rsidRPr="00BB1486">
              <w:rPr>
                <w:sz w:val="20"/>
              </w:rPr>
              <w:t>2.1635</w:t>
            </w:r>
          </w:p>
        </w:tc>
        <w:tc>
          <w:tcPr>
            <w:tcW w:w="1073" w:type="dxa"/>
          </w:tcPr>
          <w:p w14:paraId="230E9790" w14:textId="63CB342A" w:rsidR="00BB1486" w:rsidRPr="00BB1486" w:rsidRDefault="00BB1486" w:rsidP="00BB1486">
            <w:pPr>
              <w:spacing w:before="0" w:after="0" w:line="240" w:lineRule="auto"/>
              <w:rPr>
                <w:sz w:val="20"/>
              </w:rPr>
            </w:pPr>
            <w:r w:rsidRPr="00BB1486">
              <w:rPr>
                <w:sz w:val="20"/>
              </w:rPr>
              <w:t>0.0132</w:t>
            </w:r>
          </w:p>
        </w:tc>
      </w:tr>
      <w:tr w:rsidR="00BB1486" w:rsidRPr="0098654A" w14:paraId="6DF96913" w14:textId="77777777" w:rsidTr="00142EA3">
        <w:trPr>
          <w:trHeight w:val="312"/>
          <w:jc w:val="center"/>
        </w:trPr>
        <w:tc>
          <w:tcPr>
            <w:tcW w:w="2252" w:type="dxa"/>
          </w:tcPr>
          <w:p w14:paraId="61CA0769" w14:textId="37889DDF" w:rsidR="00BB1486" w:rsidRPr="0098654A" w:rsidRDefault="00BB1486" w:rsidP="00BB1486">
            <w:pPr>
              <w:spacing w:before="0" w:after="0" w:line="240" w:lineRule="auto"/>
              <w:rPr>
                <w:sz w:val="20"/>
              </w:rPr>
            </w:pPr>
            <w:r w:rsidRPr="0098654A">
              <w:rPr>
                <w:sz w:val="20"/>
              </w:rPr>
              <w:t>201</w:t>
            </w:r>
            <w:r>
              <w:rPr>
                <w:sz w:val="20"/>
              </w:rPr>
              <w:t>8</w:t>
            </w:r>
            <w:r w:rsidRPr="0098654A">
              <w:rPr>
                <w:sz w:val="20"/>
              </w:rPr>
              <w:t xml:space="preserve"> vs. 202</w:t>
            </w:r>
            <w:r>
              <w:rPr>
                <w:sz w:val="20"/>
              </w:rPr>
              <w:t>1</w:t>
            </w:r>
          </w:p>
        </w:tc>
        <w:tc>
          <w:tcPr>
            <w:tcW w:w="887" w:type="dxa"/>
          </w:tcPr>
          <w:p w14:paraId="1E8B3E5C" w14:textId="767C5607" w:rsidR="00BB1486" w:rsidRPr="00485F9B" w:rsidRDefault="00BB1486" w:rsidP="00BB1486">
            <w:pPr>
              <w:spacing w:before="0" w:after="0" w:line="240" w:lineRule="auto"/>
              <w:rPr>
                <w:sz w:val="20"/>
              </w:rPr>
            </w:pPr>
            <w:r w:rsidRPr="00485F9B">
              <w:rPr>
                <w:sz w:val="20"/>
              </w:rPr>
              <w:t>2.3149</w:t>
            </w:r>
          </w:p>
        </w:tc>
        <w:tc>
          <w:tcPr>
            <w:tcW w:w="1073" w:type="dxa"/>
          </w:tcPr>
          <w:p w14:paraId="5EE40285" w14:textId="1AFD3E76" w:rsidR="00BB1486" w:rsidRPr="00485F9B" w:rsidRDefault="00BB1486" w:rsidP="00BB1486">
            <w:pPr>
              <w:spacing w:before="0" w:after="0" w:line="240" w:lineRule="auto"/>
              <w:rPr>
                <w:sz w:val="20"/>
              </w:rPr>
            </w:pPr>
            <w:r w:rsidRPr="00485F9B">
              <w:rPr>
                <w:sz w:val="20"/>
              </w:rPr>
              <w:t>0.0101</w:t>
            </w:r>
          </w:p>
        </w:tc>
        <w:tc>
          <w:tcPr>
            <w:tcW w:w="1073" w:type="dxa"/>
          </w:tcPr>
          <w:p w14:paraId="6C41A3DF" w14:textId="7475B59F" w:rsidR="00BB1486" w:rsidRPr="00BB1486" w:rsidRDefault="00BB1486" w:rsidP="00BB1486">
            <w:pPr>
              <w:spacing w:before="0" w:after="0" w:line="240" w:lineRule="auto"/>
              <w:rPr>
                <w:sz w:val="20"/>
              </w:rPr>
            </w:pPr>
            <w:r w:rsidRPr="00BB1486">
              <w:rPr>
                <w:sz w:val="20"/>
              </w:rPr>
              <w:t>1.7722</w:t>
            </w:r>
          </w:p>
        </w:tc>
        <w:tc>
          <w:tcPr>
            <w:tcW w:w="1073" w:type="dxa"/>
          </w:tcPr>
          <w:p w14:paraId="2D389002" w14:textId="50414171" w:rsidR="00BB1486" w:rsidRPr="00BB1486" w:rsidRDefault="00BB1486" w:rsidP="00BB1486">
            <w:pPr>
              <w:spacing w:before="0" w:after="0" w:line="240" w:lineRule="auto"/>
              <w:rPr>
                <w:sz w:val="20"/>
              </w:rPr>
            </w:pPr>
            <w:r w:rsidRPr="00BB1486">
              <w:rPr>
                <w:sz w:val="20"/>
              </w:rPr>
              <w:t>0.0382</w:t>
            </w:r>
          </w:p>
        </w:tc>
      </w:tr>
      <w:tr w:rsidR="00BB1486" w:rsidRPr="0098654A" w14:paraId="4F3D652D" w14:textId="77777777" w:rsidTr="00142EA3">
        <w:trPr>
          <w:trHeight w:val="312"/>
          <w:jc w:val="center"/>
        </w:trPr>
        <w:tc>
          <w:tcPr>
            <w:tcW w:w="2252" w:type="dxa"/>
          </w:tcPr>
          <w:p w14:paraId="6E31615F" w14:textId="53513CDC" w:rsidR="00BB1486" w:rsidRPr="0098654A" w:rsidRDefault="00BB1486" w:rsidP="00BB1486">
            <w:pPr>
              <w:spacing w:before="0" w:after="0" w:line="240" w:lineRule="auto"/>
              <w:rPr>
                <w:sz w:val="20"/>
              </w:rPr>
            </w:pPr>
            <w:r>
              <w:rPr>
                <w:sz w:val="20"/>
              </w:rPr>
              <w:t>2018 vs. 2022</w:t>
            </w:r>
          </w:p>
        </w:tc>
        <w:tc>
          <w:tcPr>
            <w:tcW w:w="887" w:type="dxa"/>
          </w:tcPr>
          <w:p w14:paraId="77717092" w14:textId="0051E859" w:rsidR="00BB1486" w:rsidRPr="00485F9B" w:rsidRDefault="00BB1486" w:rsidP="00BB1486">
            <w:pPr>
              <w:spacing w:before="0" w:after="0" w:line="240" w:lineRule="auto"/>
              <w:rPr>
                <w:sz w:val="20"/>
              </w:rPr>
            </w:pPr>
            <w:r w:rsidRPr="00485F9B">
              <w:rPr>
                <w:sz w:val="20"/>
              </w:rPr>
              <w:t>5.8862</w:t>
            </w:r>
          </w:p>
        </w:tc>
        <w:tc>
          <w:tcPr>
            <w:tcW w:w="1073" w:type="dxa"/>
          </w:tcPr>
          <w:p w14:paraId="55F88301" w14:textId="614B49A4" w:rsidR="00BB1486" w:rsidRPr="00A851DB" w:rsidRDefault="00BB1486" w:rsidP="00BB1486">
            <w:pPr>
              <w:spacing w:before="0" w:after="0" w:line="240" w:lineRule="auto"/>
              <w:rPr>
                <w:b/>
                <w:bCs/>
                <w:sz w:val="20"/>
              </w:rPr>
            </w:pPr>
            <w:r w:rsidRPr="00A851DB">
              <w:rPr>
                <w:b/>
                <w:bCs/>
                <w:sz w:val="20"/>
              </w:rPr>
              <w:t>0.0001</w:t>
            </w:r>
          </w:p>
        </w:tc>
        <w:tc>
          <w:tcPr>
            <w:tcW w:w="1073" w:type="dxa"/>
          </w:tcPr>
          <w:p w14:paraId="39C6A1D8" w14:textId="0F5CD3D7" w:rsidR="00BB1486" w:rsidRPr="00BB1486" w:rsidRDefault="00BB1486" w:rsidP="00BB1486">
            <w:pPr>
              <w:spacing w:before="0" w:after="0" w:line="240" w:lineRule="auto"/>
              <w:rPr>
                <w:sz w:val="20"/>
              </w:rPr>
            </w:pPr>
            <w:r w:rsidRPr="00BB1486">
              <w:rPr>
                <w:sz w:val="20"/>
              </w:rPr>
              <w:t>5.8626</w:t>
            </w:r>
          </w:p>
        </w:tc>
        <w:tc>
          <w:tcPr>
            <w:tcW w:w="1073" w:type="dxa"/>
          </w:tcPr>
          <w:p w14:paraId="143BA534" w14:textId="2B74DEFD" w:rsidR="00BB1486" w:rsidRPr="00F14B84" w:rsidRDefault="00BB1486" w:rsidP="00BB1486">
            <w:pPr>
              <w:spacing w:before="0" w:after="0" w:line="240" w:lineRule="auto"/>
              <w:rPr>
                <w:b/>
                <w:bCs/>
                <w:sz w:val="20"/>
              </w:rPr>
            </w:pPr>
            <w:r w:rsidRPr="00F14B84">
              <w:rPr>
                <w:b/>
                <w:bCs/>
                <w:sz w:val="20"/>
              </w:rPr>
              <w:t>0.0001</w:t>
            </w:r>
          </w:p>
        </w:tc>
      </w:tr>
      <w:tr w:rsidR="00BB1486" w:rsidRPr="0098654A" w14:paraId="782FE7AD" w14:textId="77777777" w:rsidTr="00142EA3">
        <w:trPr>
          <w:trHeight w:val="312"/>
          <w:jc w:val="center"/>
        </w:trPr>
        <w:tc>
          <w:tcPr>
            <w:tcW w:w="2252" w:type="dxa"/>
          </w:tcPr>
          <w:p w14:paraId="65A0AA13" w14:textId="2260A569" w:rsidR="00BB1486" w:rsidRDefault="00BB1486" w:rsidP="00BB1486">
            <w:pPr>
              <w:spacing w:before="0" w:after="0" w:line="240" w:lineRule="auto"/>
              <w:rPr>
                <w:sz w:val="20"/>
              </w:rPr>
            </w:pPr>
            <w:r>
              <w:rPr>
                <w:sz w:val="20"/>
              </w:rPr>
              <w:t>2018 vs. 2023</w:t>
            </w:r>
          </w:p>
        </w:tc>
        <w:tc>
          <w:tcPr>
            <w:tcW w:w="887" w:type="dxa"/>
          </w:tcPr>
          <w:p w14:paraId="5FA97E41" w14:textId="2054F1F9" w:rsidR="00BB1486" w:rsidRPr="00485F9B" w:rsidRDefault="00BB1486" w:rsidP="00BB1486">
            <w:pPr>
              <w:spacing w:before="0" w:after="0" w:line="240" w:lineRule="auto"/>
              <w:rPr>
                <w:sz w:val="20"/>
              </w:rPr>
            </w:pPr>
            <w:r w:rsidRPr="00485F9B">
              <w:rPr>
                <w:sz w:val="20"/>
              </w:rPr>
              <w:t>7.2781</w:t>
            </w:r>
          </w:p>
        </w:tc>
        <w:tc>
          <w:tcPr>
            <w:tcW w:w="1073" w:type="dxa"/>
          </w:tcPr>
          <w:p w14:paraId="045D7E46" w14:textId="75D393B4" w:rsidR="00BB1486" w:rsidRPr="00A851DB" w:rsidRDefault="00BB1486" w:rsidP="00BB1486">
            <w:pPr>
              <w:spacing w:before="0" w:after="0" w:line="240" w:lineRule="auto"/>
              <w:rPr>
                <w:b/>
                <w:bCs/>
                <w:sz w:val="20"/>
              </w:rPr>
            </w:pPr>
            <w:r w:rsidRPr="00A851DB">
              <w:rPr>
                <w:b/>
                <w:bCs/>
                <w:sz w:val="20"/>
              </w:rPr>
              <w:t>0.0001</w:t>
            </w:r>
          </w:p>
        </w:tc>
        <w:tc>
          <w:tcPr>
            <w:tcW w:w="1073" w:type="dxa"/>
          </w:tcPr>
          <w:p w14:paraId="11C2042C" w14:textId="0E573AE0" w:rsidR="00BB1486" w:rsidRPr="00BB1486" w:rsidRDefault="00BB1486" w:rsidP="00BB1486">
            <w:pPr>
              <w:spacing w:before="0" w:after="0" w:line="240" w:lineRule="auto"/>
              <w:rPr>
                <w:sz w:val="20"/>
              </w:rPr>
            </w:pPr>
            <w:r w:rsidRPr="00BB1486">
              <w:rPr>
                <w:sz w:val="20"/>
              </w:rPr>
              <w:t>5.3050</w:t>
            </w:r>
          </w:p>
        </w:tc>
        <w:tc>
          <w:tcPr>
            <w:tcW w:w="1073" w:type="dxa"/>
          </w:tcPr>
          <w:p w14:paraId="5B26BD10" w14:textId="45A80EC9" w:rsidR="00BB1486" w:rsidRPr="00F14B84" w:rsidRDefault="00BB1486" w:rsidP="00BB1486">
            <w:pPr>
              <w:spacing w:before="0" w:after="0" w:line="240" w:lineRule="auto"/>
              <w:rPr>
                <w:b/>
                <w:bCs/>
                <w:sz w:val="20"/>
              </w:rPr>
            </w:pPr>
            <w:r w:rsidRPr="00F14B84">
              <w:rPr>
                <w:b/>
                <w:bCs/>
                <w:sz w:val="20"/>
              </w:rPr>
              <w:t>0.0001</w:t>
            </w:r>
          </w:p>
        </w:tc>
      </w:tr>
      <w:tr w:rsidR="00BB1486" w:rsidRPr="0098654A" w14:paraId="216DA249" w14:textId="77777777" w:rsidTr="00142EA3">
        <w:trPr>
          <w:trHeight w:val="312"/>
          <w:jc w:val="center"/>
        </w:trPr>
        <w:tc>
          <w:tcPr>
            <w:tcW w:w="2252" w:type="dxa"/>
          </w:tcPr>
          <w:p w14:paraId="0AF6437A" w14:textId="28D4FA96" w:rsidR="00BB1486" w:rsidRDefault="00BB1486" w:rsidP="00BB1486">
            <w:pPr>
              <w:spacing w:before="0" w:after="0" w:line="240" w:lineRule="auto"/>
              <w:rPr>
                <w:sz w:val="20"/>
              </w:rPr>
            </w:pPr>
            <w:r>
              <w:rPr>
                <w:sz w:val="20"/>
              </w:rPr>
              <w:t>2018 vs. 2024</w:t>
            </w:r>
          </w:p>
        </w:tc>
        <w:tc>
          <w:tcPr>
            <w:tcW w:w="887" w:type="dxa"/>
          </w:tcPr>
          <w:p w14:paraId="248753D9" w14:textId="77777777" w:rsidR="00BB1486" w:rsidRPr="00485F9B" w:rsidRDefault="00BB1486" w:rsidP="00BB1486">
            <w:pPr>
              <w:spacing w:before="0" w:after="0" w:line="240" w:lineRule="auto"/>
              <w:rPr>
                <w:sz w:val="20"/>
              </w:rPr>
            </w:pPr>
          </w:p>
        </w:tc>
        <w:tc>
          <w:tcPr>
            <w:tcW w:w="1073" w:type="dxa"/>
          </w:tcPr>
          <w:p w14:paraId="76A86BF8" w14:textId="77777777" w:rsidR="00BB1486" w:rsidRPr="00A851DB" w:rsidRDefault="00BB1486" w:rsidP="00BB1486">
            <w:pPr>
              <w:spacing w:before="0" w:after="0" w:line="240" w:lineRule="auto"/>
              <w:rPr>
                <w:b/>
                <w:bCs/>
                <w:sz w:val="20"/>
              </w:rPr>
            </w:pPr>
          </w:p>
        </w:tc>
        <w:tc>
          <w:tcPr>
            <w:tcW w:w="1073" w:type="dxa"/>
          </w:tcPr>
          <w:p w14:paraId="3642F584" w14:textId="5B4BFCE0" w:rsidR="00BB1486" w:rsidRPr="00BB1486" w:rsidRDefault="00BB1486" w:rsidP="00BB1486">
            <w:pPr>
              <w:spacing w:before="0" w:after="0" w:line="240" w:lineRule="auto"/>
              <w:rPr>
                <w:sz w:val="20"/>
              </w:rPr>
            </w:pPr>
            <w:r w:rsidRPr="00BB1486">
              <w:rPr>
                <w:sz w:val="20"/>
              </w:rPr>
              <w:t>4.3408</w:t>
            </w:r>
          </w:p>
        </w:tc>
        <w:tc>
          <w:tcPr>
            <w:tcW w:w="1073" w:type="dxa"/>
          </w:tcPr>
          <w:p w14:paraId="41D19C80" w14:textId="0D30FEA3" w:rsidR="00BB1486" w:rsidRPr="00F14B84" w:rsidRDefault="00BB1486" w:rsidP="00BB1486">
            <w:pPr>
              <w:spacing w:before="0" w:after="0" w:line="240" w:lineRule="auto"/>
              <w:rPr>
                <w:b/>
                <w:bCs/>
                <w:sz w:val="20"/>
              </w:rPr>
            </w:pPr>
            <w:r w:rsidRPr="00F14B84">
              <w:rPr>
                <w:b/>
                <w:bCs/>
                <w:sz w:val="20"/>
              </w:rPr>
              <w:t>0.0001</w:t>
            </w:r>
          </w:p>
        </w:tc>
      </w:tr>
      <w:tr w:rsidR="00BB1486" w:rsidRPr="00C01B82" w14:paraId="51E0AE7A" w14:textId="77777777" w:rsidTr="00142EA3">
        <w:trPr>
          <w:trHeight w:val="312"/>
          <w:jc w:val="center"/>
        </w:trPr>
        <w:tc>
          <w:tcPr>
            <w:tcW w:w="2252" w:type="dxa"/>
          </w:tcPr>
          <w:p w14:paraId="04B632ED" w14:textId="77777777" w:rsidR="00BB1486" w:rsidRPr="0098654A" w:rsidRDefault="00BB1486" w:rsidP="00BB1486">
            <w:pPr>
              <w:spacing w:before="0" w:after="0" w:line="240" w:lineRule="auto"/>
              <w:rPr>
                <w:sz w:val="20"/>
              </w:rPr>
            </w:pPr>
            <w:r w:rsidRPr="0098654A">
              <w:rPr>
                <w:sz w:val="20"/>
              </w:rPr>
              <w:t>2019 vs. 2020</w:t>
            </w:r>
          </w:p>
        </w:tc>
        <w:tc>
          <w:tcPr>
            <w:tcW w:w="887" w:type="dxa"/>
          </w:tcPr>
          <w:p w14:paraId="5CCC6000" w14:textId="50D64DB6" w:rsidR="00BB1486" w:rsidRPr="00485F9B" w:rsidRDefault="00BB1486" w:rsidP="00BB1486">
            <w:pPr>
              <w:spacing w:before="0" w:after="0" w:line="240" w:lineRule="auto"/>
              <w:rPr>
                <w:sz w:val="20"/>
              </w:rPr>
            </w:pPr>
            <w:r w:rsidRPr="00485F9B">
              <w:rPr>
                <w:sz w:val="20"/>
              </w:rPr>
              <w:t>1.6608</w:t>
            </w:r>
          </w:p>
        </w:tc>
        <w:tc>
          <w:tcPr>
            <w:tcW w:w="1073" w:type="dxa"/>
          </w:tcPr>
          <w:p w14:paraId="278BCFC9" w14:textId="4870198E" w:rsidR="00BB1486" w:rsidRPr="00485F9B" w:rsidRDefault="00BB1486" w:rsidP="00BB1486">
            <w:pPr>
              <w:spacing w:before="0" w:after="0" w:line="240" w:lineRule="auto"/>
              <w:rPr>
                <w:sz w:val="20"/>
              </w:rPr>
            </w:pPr>
            <w:r w:rsidRPr="00485F9B">
              <w:rPr>
                <w:sz w:val="20"/>
              </w:rPr>
              <w:t>0.0704</w:t>
            </w:r>
          </w:p>
        </w:tc>
        <w:tc>
          <w:tcPr>
            <w:tcW w:w="1073" w:type="dxa"/>
          </w:tcPr>
          <w:p w14:paraId="39AF1CE0" w14:textId="020E353D" w:rsidR="00BB1486" w:rsidRPr="00BB1486" w:rsidRDefault="00BB1486" w:rsidP="00BB1486">
            <w:pPr>
              <w:spacing w:before="0" w:after="0" w:line="240" w:lineRule="auto"/>
              <w:rPr>
                <w:sz w:val="20"/>
              </w:rPr>
            </w:pPr>
            <w:r w:rsidRPr="00BB1486">
              <w:rPr>
                <w:sz w:val="20"/>
              </w:rPr>
              <w:t>2.0557</w:t>
            </w:r>
          </w:p>
        </w:tc>
        <w:tc>
          <w:tcPr>
            <w:tcW w:w="1073" w:type="dxa"/>
          </w:tcPr>
          <w:p w14:paraId="0DF38276" w14:textId="53588D22" w:rsidR="00BB1486" w:rsidRPr="00BB1486" w:rsidRDefault="00BB1486" w:rsidP="00BB1486">
            <w:pPr>
              <w:spacing w:before="0" w:after="0" w:line="240" w:lineRule="auto"/>
              <w:rPr>
                <w:sz w:val="20"/>
              </w:rPr>
            </w:pPr>
            <w:r w:rsidRPr="00BB1486">
              <w:rPr>
                <w:sz w:val="20"/>
              </w:rPr>
              <w:t>0.0153</w:t>
            </w:r>
          </w:p>
        </w:tc>
      </w:tr>
      <w:tr w:rsidR="00BB1486" w:rsidRPr="00C01B82" w14:paraId="03AC1527" w14:textId="77777777" w:rsidTr="00142EA3">
        <w:trPr>
          <w:trHeight w:val="312"/>
          <w:jc w:val="center"/>
        </w:trPr>
        <w:tc>
          <w:tcPr>
            <w:tcW w:w="2252" w:type="dxa"/>
          </w:tcPr>
          <w:p w14:paraId="4184FF57" w14:textId="32F2FE23" w:rsidR="00BB1486" w:rsidRPr="0098654A" w:rsidRDefault="00BB1486" w:rsidP="00BB1486">
            <w:pPr>
              <w:spacing w:before="0" w:after="0" w:line="240" w:lineRule="auto"/>
              <w:rPr>
                <w:sz w:val="20"/>
              </w:rPr>
            </w:pPr>
            <w:r w:rsidRPr="0098654A">
              <w:rPr>
                <w:sz w:val="20"/>
              </w:rPr>
              <w:t>201</w:t>
            </w:r>
            <w:r>
              <w:rPr>
                <w:sz w:val="20"/>
              </w:rPr>
              <w:t>9</w:t>
            </w:r>
            <w:r w:rsidRPr="0098654A">
              <w:rPr>
                <w:sz w:val="20"/>
              </w:rPr>
              <w:t xml:space="preserve"> vs. 202</w:t>
            </w:r>
            <w:r>
              <w:rPr>
                <w:sz w:val="20"/>
              </w:rPr>
              <w:t>1</w:t>
            </w:r>
          </w:p>
        </w:tc>
        <w:tc>
          <w:tcPr>
            <w:tcW w:w="887" w:type="dxa"/>
          </w:tcPr>
          <w:p w14:paraId="264495F5" w14:textId="0F913FA5" w:rsidR="00BB1486" w:rsidRPr="00485F9B" w:rsidRDefault="00BB1486" w:rsidP="00BB1486">
            <w:pPr>
              <w:spacing w:before="0" w:after="0" w:line="240" w:lineRule="auto"/>
              <w:rPr>
                <w:sz w:val="20"/>
              </w:rPr>
            </w:pPr>
            <w:r w:rsidRPr="00485F9B">
              <w:rPr>
                <w:sz w:val="20"/>
              </w:rPr>
              <w:t>2.2504</w:t>
            </w:r>
          </w:p>
        </w:tc>
        <w:tc>
          <w:tcPr>
            <w:tcW w:w="1073" w:type="dxa"/>
          </w:tcPr>
          <w:p w14:paraId="30399A51" w14:textId="5243555D" w:rsidR="00BB1486" w:rsidRPr="00485F9B" w:rsidRDefault="00BB1486" w:rsidP="00BB1486">
            <w:pPr>
              <w:spacing w:before="0" w:after="0" w:line="240" w:lineRule="auto"/>
              <w:rPr>
                <w:sz w:val="20"/>
              </w:rPr>
            </w:pPr>
            <w:r w:rsidRPr="00485F9B">
              <w:rPr>
                <w:sz w:val="20"/>
              </w:rPr>
              <w:t>0.0072</w:t>
            </w:r>
          </w:p>
        </w:tc>
        <w:tc>
          <w:tcPr>
            <w:tcW w:w="1073" w:type="dxa"/>
          </w:tcPr>
          <w:p w14:paraId="2CE1E5C0" w14:textId="1E868414" w:rsidR="00BB1486" w:rsidRPr="00BB1486" w:rsidRDefault="00BB1486" w:rsidP="00BB1486">
            <w:pPr>
              <w:spacing w:before="0" w:after="0" w:line="240" w:lineRule="auto"/>
              <w:rPr>
                <w:sz w:val="20"/>
              </w:rPr>
            </w:pPr>
            <w:r w:rsidRPr="00BB1486">
              <w:rPr>
                <w:sz w:val="20"/>
              </w:rPr>
              <w:t>2.0570</w:t>
            </w:r>
          </w:p>
        </w:tc>
        <w:tc>
          <w:tcPr>
            <w:tcW w:w="1073" w:type="dxa"/>
          </w:tcPr>
          <w:p w14:paraId="7137C5CC" w14:textId="09490274" w:rsidR="00BB1486" w:rsidRPr="00BB1486" w:rsidRDefault="00BB1486" w:rsidP="00BB1486">
            <w:pPr>
              <w:spacing w:before="0" w:after="0" w:line="240" w:lineRule="auto"/>
              <w:rPr>
                <w:sz w:val="20"/>
              </w:rPr>
            </w:pPr>
            <w:r w:rsidRPr="00BB1486">
              <w:rPr>
                <w:sz w:val="20"/>
              </w:rPr>
              <w:t>0.0144</w:t>
            </w:r>
          </w:p>
        </w:tc>
      </w:tr>
      <w:tr w:rsidR="00BB1486" w:rsidRPr="00C01B82" w14:paraId="5E8005CA" w14:textId="77777777" w:rsidTr="00142EA3">
        <w:trPr>
          <w:trHeight w:val="312"/>
          <w:jc w:val="center"/>
        </w:trPr>
        <w:tc>
          <w:tcPr>
            <w:tcW w:w="2252" w:type="dxa"/>
          </w:tcPr>
          <w:p w14:paraId="31A8352F" w14:textId="724D57F6" w:rsidR="00BB1486" w:rsidRPr="0098654A" w:rsidRDefault="00BB1486" w:rsidP="00BB1486">
            <w:pPr>
              <w:spacing w:before="0" w:after="0" w:line="240" w:lineRule="auto"/>
              <w:rPr>
                <w:sz w:val="20"/>
              </w:rPr>
            </w:pPr>
            <w:r>
              <w:rPr>
                <w:sz w:val="20"/>
              </w:rPr>
              <w:t>2019 vs. 2022</w:t>
            </w:r>
          </w:p>
        </w:tc>
        <w:tc>
          <w:tcPr>
            <w:tcW w:w="887" w:type="dxa"/>
          </w:tcPr>
          <w:p w14:paraId="1D0D0AB7" w14:textId="7C2EA201" w:rsidR="00BB1486" w:rsidRPr="00485F9B" w:rsidRDefault="00BB1486" w:rsidP="00BB1486">
            <w:pPr>
              <w:spacing w:before="0" w:after="0" w:line="240" w:lineRule="auto"/>
              <w:rPr>
                <w:sz w:val="20"/>
              </w:rPr>
            </w:pPr>
            <w:r w:rsidRPr="00485F9B">
              <w:rPr>
                <w:sz w:val="20"/>
              </w:rPr>
              <w:t>6.3609</w:t>
            </w:r>
          </w:p>
        </w:tc>
        <w:tc>
          <w:tcPr>
            <w:tcW w:w="1073" w:type="dxa"/>
          </w:tcPr>
          <w:p w14:paraId="1860E2A1" w14:textId="2409FCAC" w:rsidR="00BB1486" w:rsidRPr="00A851DB" w:rsidRDefault="00BB1486" w:rsidP="00BB1486">
            <w:pPr>
              <w:spacing w:before="0" w:after="0" w:line="240" w:lineRule="auto"/>
              <w:rPr>
                <w:b/>
                <w:bCs/>
                <w:sz w:val="20"/>
              </w:rPr>
            </w:pPr>
            <w:r w:rsidRPr="00A851DB">
              <w:rPr>
                <w:b/>
                <w:bCs/>
                <w:sz w:val="20"/>
              </w:rPr>
              <w:t>0.0001</w:t>
            </w:r>
          </w:p>
        </w:tc>
        <w:tc>
          <w:tcPr>
            <w:tcW w:w="1073" w:type="dxa"/>
          </w:tcPr>
          <w:p w14:paraId="57E2ED4A" w14:textId="1DEDD030" w:rsidR="00BB1486" w:rsidRPr="00BB1486" w:rsidRDefault="00BB1486" w:rsidP="00BB1486">
            <w:pPr>
              <w:spacing w:before="0" w:after="0" w:line="240" w:lineRule="auto"/>
              <w:rPr>
                <w:sz w:val="20"/>
              </w:rPr>
            </w:pPr>
            <w:r w:rsidRPr="00BB1486">
              <w:rPr>
                <w:sz w:val="20"/>
              </w:rPr>
              <w:t>4.8373</w:t>
            </w:r>
          </w:p>
        </w:tc>
        <w:tc>
          <w:tcPr>
            <w:tcW w:w="1073" w:type="dxa"/>
          </w:tcPr>
          <w:p w14:paraId="37B60F91" w14:textId="2C63CED0" w:rsidR="00BB1486" w:rsidRPr="00F14B84" w:rsidRDefault="00BB1486" w:rsidP="00BB1486">
            <w:pPr>
              <w:spacing w:before="0" w:after="0" w:line="240" w:lineRule="auto"/>
              <w:rPr>
                <w:b/>
                <w:bCs/>
                <w:sz w:val="20"/>
              </w:rPr>
            </w:pPr>
            <w:r w:rsidRPr="00F14B84">
              <w:rPr>
                <w:b/>
                <w:bCs/>
                <w:sz w:val="20"/>
              </w:rPr>
              <w:t>0.0001</w:t>
            </w:r>
          </w:p>
        </w:tc>
      </w:tr>
      <w:tr w:rsidR="00BB1486" w:rsidRPr="00C01B82" w14:paraId="70D3BB5E" w14:textId="77777777" w:rsidTr="00142EA3">
        <w:trPr>
          <w:trHeight w:val="312"/>
          <w:jc w:val="center"/>
        </w:trPr>
        <w:tc>
          <w:tcPr>
            <w:tcW w:w="2252" w:type="dxa"/>
          </w:tcPr>
          <w:p w14:paraId="4F56C534" w14:textId="17DA8BBE" w:rsidR="00BB1486" w:rsidRDefault="00BB1486" w:rsidP="00BB1486">
            <w:pPr>
              <w:spacing w:before="0" w:after="0" w:line="240" w:lineRule="auto"/>
              <w:rPr>
                <w:sz w:val="20"/>
              </w:rPr>
            </w:pPr>
            <w:r>
              <w:rPr>
                <w:sz w:val="20"/>
              </w:rPr>
              <w:t>2019 vs. 2023</w:t>
            </w:r>
          </w:p>
        </w:tc>
        <w:tc>
          <w:tcPr>
            <w:tcW w:w="887" w:type="dxa"/>
          </w:tcPr>
          <w:p w14:paraId="4ED843BE" w14:textId="2E2F1326" w:rsidR="00BB1486" w:rsidRPr="00485F9B" w:rsidRDefault="00BB1486" w:rsidP="00BB1486">
            <w:pPr>
              <w:spacing w:before="0" w:after="0" w:line="240" w:lineRule="auto"/>
              <w:rPr>
                <w:sz w:val="20"/>
              </w:rPr>
            </w:pPr>
            <w:r w:rsidRPr="00485F9B">
              <w:rPr>
                <w:sz w:val="20"/>
              </w:rPr>
              <w:t>7.3982</w:t>
            </w:r>
          </w:p>
        </w:tc>
        <w:tc>
          <w:tcPr>
            <w:tcW w:w="1073" w:type="dxa"/>
          </w:tcPr>
          <w:p w14:paraId="59ABA06C" w14:textId="5EFE6947" w:rsidR="00BB1486" w:rsidRPr="00A851DB" w:rsidRDefault="00BB1486" w:rsidP="00BB1486">
            <w:pPr>
              <w:spacing w:before="0" w:after="0" w:line="240" w:lineRule="auto"/>
              <w:rPr>
                <w:b/>
                <w:bCs/>
                <w:sz w:val="20"/>
              </w:rPr>
            </w:pPr>
            <w:r w:rsidRPr="00A851DB">
              <w:rPr>
                <w:b/>
                <w:bCs/>
                <w:sz w:val="20"/>
              </w:rPr>
              <w:t>0.0001</w:t>
            </w:r>
          </w:p>
        </w:tc>
        <w:tc>
          <w:tcPr>
            <w:tcW w:w="1073" w:type="dxa"/>
          </w:tcPr>
          <w:p w14:paraId="28362541" w14:textId="3BE3ABC4" w:rsidR="00BB1486" w:rsidRPr="00BB1486" w:rsidRDefault="00BB1486" w:rsidP="00BB1486">
            <w:pPr>
              <w:spacing w:before="0" w:after="0" w:line="240" w:lineRule="auto"/>
              <w:rPr>
                <w:sz w:val="20"/>
              </w:rPr>
            </w:pPr>
            <w:r w:rsidRPr="00BB1486">
              <w:rPr>
                <w:sz w:val="20"/>
              </w:rPr>
              <w:t>4.5441</w:t>
            </w:r>
          </w:p>
        </w:tc>
        <w:tc>
          <w:tcPr>
            <w:tcW w:w="1073" w:type="dxa"/>
          </w:tcPr>
          <w:p w14:paraId="403FF62C" w14:textId="6DB8F138" w:rsidR="00BB1486" w:rsidRPr="00F14B84" w:rsidRDefault="00BB1486" w:rsidP="00BB1486">
            <w:pPr>
              <w:spacing w:before="0" w:after="0" w:line="240" w:lineRule="auto"/>
              <w:rPr>
                <w:b/>
                <w:bCs/>
                <w:sz w:val="20"/>
              </w:rPr>
            </w:pPr>
            <w:r w:rsidRPr="00F14B84">
              <w:rPr>
                <w:b/>
                <w:bCs/>
                <w:sz w:val="20"/>
              </w:rPr>
              <w:t>0.0001</w:t>
            </w:r>
          </w:p>
        </w:tc>
      </w:tr>
      <w:tr w:rsidR="00BB1486" w:rsidRPr="00C01B82" w14:paraId="593D8AE1" w14:textId="77777777" w:rsidTr="00142EA3">
        <w:trPr>
          <w:trHeight w:val="312"/>
          <w:jc w:val="center"/>
        </w:trPr>
        <w:tc>
          <w:tcPr>
            <w:tcW w:w="2252" w:type="dxa"/>
          </w:tcPr>
          <w:p w14:paraId="3C2CE7D1" w14:textId="79FED080" w:rsidR="00BB1486" w:rsidRDefault="00BB1486" w:rsidP="00BB1486">
            <w:pPr>
              <w:spacing w:before="0" w:after="0" w:line="240" w:lineRule="auto"/>
              <w:rPr>
                <w:sz w:val="20"/>
              </w:rPr>
            </w:pPr>
            <w:r>
              <w:rPr>
                <w:sz w:val="20"/>
              </w:rPr>
              <w:t>2019 vs. 2024</w:t>
            </w:r>
          </w:p>
        </w:tc>
        <w:tc>
          <w:tcPr>
            <w:tcW w:w="887" w:type="dxa"/>
          </w:tcPr>
          <w:p w14:paraId="21C60383" w14:textId="77777777" w:rsidR="00BB1486" w:rsidRPr="00485F9B" w:rsidRDefault="00BB1486" w:rsidP="00BB1486">
            <w:pPr>
              <w:spacing w:before="0" w:after="0" w:line="240" w:lineRule="auto"/>
              <w:rPr>
                <w:sz w:val="20"/>
              </w:rPr>
            </w:pPr>
          </w:p>
        </w:tc>
        <w:tc>
          <w:tcPr>
            <w:tcW w:w="1073" w:type="dxa"/>
          </w:tcPr>
          <w:p w14:paraId="4481701D" w14:textId="77777777" w:rsidR="00BB1486" w:rsidRPr="00A851DB" w:rsidRDefault="00BB1486" w:rsidP="00BB1486">
            <w:pPr>
              <w:spacing w:before="0" w:after="0" w:line="240" w:lineRule="auto"/>
              <w:rPr>
                <w:b/>
                <w:bCs/>
                <w:sz w:val="20"/>
              </w:rPr>
            </w:pPr>
          </w:p>
        </w:tc>
        <w:tc>
          <w:tcPr>
            <w:tcW w:w="1073" w:type="dxa"/>
          </w:tcPr>
          <w:p w14:paraId="34B6D2DD" w14:textId="6B0AD5D2" w:rsidR="00BB1486" w:rsidRPr="00BB1486" w:rsidRDefault="00BB1486" w:rsidP="00BB1486">
            <w:pPr>
              <w:spacing w:before="0" w:after="0" w:line="240" w:lineRule="auto"/>
              <w:rPr>
                <w:sz w:val="20"/>
              </w:rPr>
            </w:pPr>
            <w:r w:rsidRPr="00BB1486">
              <w:rPr>
                <w:sz w:val="20"/>
              </w:rPr>
              <w:t>3.3645</w:t>
            </w:r>
          </w:p>
        </w:tc>
        <w:tc>
          <w:tcPr>
            <w:tcW w:w="1073" w:type="dxa"/>
          </w:tcPr>
          <w:p w14:paraId="64C44951" w14:textId="19B9C976" w:rsidR="00BB1486" w:rsidRPr="00F14B84" w:rsidRDefault="00BB1486" w:rsidP="00BB1486">
            <w:pPr>
              <w:spacing w:before="0" w:after="0" w:line="240" w:lineRule="auto"/>
              <w:rPr>
                <w:b/>
                <w:bCs/>
                <w:sz w:val="20"/>
              </w:rPr>
            </w:pPr>
            <w:r w:rsidRPr="00F14B84">
              <w:rPr>
                <w:b/>
                <w:bCs/>
                <w:sz w:val="20"/>
              </w:rPr>
              <w:t>0.0001</w:t>
            </w:r>
          </w:p>
        </w:tc>
      </w:tr>
      <w:tr w:rsidR="00BB1486" w:rsidRPr="00C01B82" w14:paraId="5E36D158" w14:textId="77777777" w:rsidTr="00142EA3">
        <w:trPr>
          <w:trHeight w:val="312"/>
          <w:jc w:val="center"/>
        </w:trPr>
        <w:tc>
          <w:tcPr>
            <w:tcW w:w="2252" w:type="dxa"/>
          </w:tcPr>
          <w:p w14:paraId="131E12DA" w14:textId="1EE03F5D" w:rsidR="00BB1486" w:rsidRPr="0098654A" w:rsidRDefault="00BB1486" w:rsidP="00BB1486">
            <w:pPr>
              <w:spacing w:before="0" w:after="0" w:line="240" w:lineRule="auto"/>
              <w:rPr>
                <w:sz w:val="20"/>
              </w:rPr>
            </w:pPr>
            <w:r>
              <w:rPr>
                <w:sz w:val="20"/>
              </w:rPr>
              <w:t>2020 vs. 2021</w:t>
            </w:r>
          </w:p>
        </w:tc>
        <w:tc>
          <w:tcPr>
            <w:tcW w:w="887" w:type="dxa"/>
          </w:tcPr>
          <w:p w14:paraId="03C5F88F" w14:textId="6119A5C7" w:rsidR="00BB1486" w:rsidRPr="00485F9B" w:rsidRDefault="00BB1486" w:rsidP="00BB1486">
            <w:pPr>
              <w:spacing w:before="0" w:after="0" w:line="240" w:lineRule="auto"/>
              <w:rPr>
                <w:sz w:val="20"/>
              </w:rPr>
            </w:pPr>
            <w:r w:rsidRPr="00485F9B">
              <w:rPr>
                <w:sz w:val="20"/>
              </w:rPr>
              <w:t>3.6386</w:t>
            </w:r>
          </w:p>
        </w:tc>
        <w:tc>
          <w:tcPr>
            <w:tcW w:w="1073" w:type="dxa"/>
          </w:tcPr>
          <w:p w14:paraId="5CDD44BD" w14:textId="2FF9AD18" w:rsidR="00BB1486" w:rsidRPr="00A851DB" w:rsidRDefault="00BB1486" w:rsidP="00BB1486">
            <w:pPr>
              <w:spacing w:before="0" w:after="0" w:line="240" w:lineRule="auto"/>
              <w:rPr>
                <w:b/>
                <w:bCs/>
                <w:sz w:val="20"/>
              </w:rPr>
            </w:pPr>
            <w:r w:rsidRPr="00A851DB">
              <w:rPr>
                <w:b/>
                <w:bCs/>
                <w:sz w:val="20"/>
              </w:rPr>
              <w:t>0.0007</w:t>
            </w:r>
          </w:p>
        </w:tc>
        <w:tc>
          <w:tcPr>
            <w:tcW w:w="1073" w:type="dxa"/>
          </w:tcPr>
          <w:p w14:paraId="2FA2E8BE" w14:textId="4A7AB212" w:rsidR="00BB1486" w:rsidRPr="00BB1486" w:rsidRDefault="00BB1486" w:rsidP="00BB1486">
            <w:pPr>
              <w:spacing w:before="0" w:after="0" w:line="240" w:lineRule="auto"/>
              <w:rPr>
                <w:sz w:val="20"/>
              </w:rPr>
            </w:pPr>
            <w:r w:rsidRPr="00BB1486">
              <w:rPr>
                <w:sz w:val="20"/>
              </w:rPr>
              <w:t>1.1674</w:t>
            </w:r>
          </w:p>
        </w:tc>
        <w:tc>
          <w:tcPr>
            <w:tcW w:w="1073" w:type="dxa"/>
          </w:tcPr>
          <w:p w14:paraId="17C791F3" w14:textId="1F28D7CE" w:rsidR="00BB1486" w:rsidRPr="00BB1486" w:rsidRDefault="00BB1486" w:rsidP="00BB1486">
            <w:pPr>
              <w:spacing w:before="0" w:after="0" w:line="240" w:lineRule="auto"/>
              <w:rPr>
                <w:sz w:val="20"/>
              </w:rPr>
            </w:pPr>
            <w:r w:rsidRPr="00BB1486">
              <w:rPr>
                <w:sz w:val="20"/>
              </w:rPr>
              <w:t>0.2414</w:t>
            </w:r>
          </w:p>
        </w:tc>
      </w:tr>
      <w:tr w:rsidR="00BB1486" w:rsidRPr="00C01B82" w14:paraId="68629989" w14:textId="77777777" w:rsidTr="00142EA3">
        <w:trPr>
          <w:trHeight w:val="312"/>
          <w:jc w:val="center"/>
        </w:trPr>
        <w:tc>
          <w:tcPr>
            <w:tcW w:w="2252" w:type="dxa"/>
          </w:tcPr>
          <w:p w14:paraId="64B6464C" w14:textId="56431488" w:rsidR="00BB1486" w:rsidRDefault="00BB1486" w:rsidP="00BB1486">
            <w:pPr>
              <w:spacing w:before="0" w:after="0" w:line="240" w:lineRule="auto"/>
              <w:rPr>
                <w:sz w:val="20"/>
              </w:rPr>
            </w:pPr>
            <w:r>
              <w:rPr>
                <w:sz w:val="20"/>
              </w:rPr>
              <w:t>2020 vs. 2022</w:t>
            </w:r>
          </w:p>
        </w:tc>
        <w:tc>
          <w:tcPr>
            <w:tcW w:w="887" w:type="dxa"/>
          </w:tcPr>
          <w:p w14:paraId="3FB3BA0F" w14:textId="1872377B" w:rsidR="00BB1486" w:rsidRPr="00485F9B" w:rsidRDefault="00BB1486" w:rsidP="00BB1486">
            <w:pPr>
              <w:spacing w:before="0" w:after="0" w:line="240" w:lineRule="auto"/>
              <w:rPr>
                <w:sz w:val="20"/>
              </w:rPr>
            </w:pPr>
            <w:r w:rsidRPr="00485F9B">
              <w:rPr>
                <w:sz w:val="20"/>
              </w:rPr>
              <w:t>5.9153</w:t>
            </w:r>
          </w:p>
        </w:tc>
        <w:tc>
          <w:tcPr>
            <w:tcW w:w="1073" w:type="dxa"/>
          </w:tcPr>
          <w:p w14:paraId="6CF5B33A" w14:textId="70C72147" w:rsidR="00BB1486" w:rsidRPr="00A851DB" w:rsidRDefault="00BB1486" w:rsidP="00BB1486">
            <w:pPr>
              <w:spacing w:before="0" w:after="0" w:line="240" w:lineRule="auto"/>
              <w:rPr>
                <w:b/>
                <w:bCs/>
                <w:sz w:val="20"/>
              </w:rPr>
            </w:pPr>
            <w:r w:rsidRPr="00A851DB">
              <w:rPr>
                <w:b/>
                <w:bCs/>
                <w:sz w:val="20"/>
              </w:rPr>
              <w:t>0.0001</w:t>
            </w:r>
          </w:p>
        </w:tc>
        <w:tc>
          <w:tcPr>
            <w:tcW w:w="1073" w:type="dxa"/>
          </w:tcPr>
          <w:p w14:paraId="28E9B9D9" w14:textId="7B334766" w:rsidR="00BB1486" w:rsidRPr="00BB1486" w:rsidRDefault="00BB1486" w:rsidP="00BB1486">
            <w:pPr>
              <w:spacing w:before="0" w:after="0" w:line="240" w:lineRule="auto"/>
              <w:rPr>
                <w:sz w:val="20"/>
              </w:rPr>
            </w:pPr>
            <w:r w:rsidRPr="00BB1486">
              <w:rPr>
                <w:sz w:val="20"/>
              </w:rPr>
              <w:t>4.8493</w:t>
            </w:r>
          </w:p>
        </w:tc>
        <w:tc>
          <w:tcPr>
            <w:tcW w:w="1073" w:type="dxa"/>
          </w:tcPr>
          <w:p w14:paraId="298B8463" w14:textId="37A470EE" w:rsidR="00BB1486" w:rsidRPr="00F14B84" w:rsidRDefault="00BB1486" w:rsidP="00BB1486">
            <w:pPr>
              <w:spacing w:before="0" w:after="0" w:line="240" w:lineRule="auto"/>
              <w:rPr>
                <w:b/>
                <w:bCs/>
                <w:sz w:val="20"/>
              </w:rPr>
            </w:pPr>
            <w:r w:rsidRPr="00F14B84">
              <w:rPr>
                <w:b/>
                <w:bCs/>
                <w:sz w:val="20"/>
              </w:rPr>
              <w:t>0.0001</w:t>
            </w:r>
          </w:p>
        </w:tc>
      </w:tr>
      <w:tr w:rsidR="00BB1486" w:rsidRPr="00C01B82" w14:paraId="6BA39D5F" w14:textId="77777777" w:rsidTr="00142EA3">
        <w:trPr>
          <w:trHeight w:val="312"/>
          <w:jc w:val="center"/>
        </w:trPr>
        <w:tc>
          <w:tcPr>
            <w:tcW w:w="2252" w:type="dxa"/>
          </w:tcPr>
          <w:p w14:paraId="2F6351A4" w14:textId="084ABB89" w:rsidR="00BB1486" w:rsidRDefault="00BB1486" w:rsidP="00BB1486">
            <w:pPr>
              <w:spacing w:before="0" w:after="0" w:line="240" w:lineRule="auto"/>
              <w:rPr>
                <w:sz w:val="20"/>
              </w:rPr>
            </w:pPr>
            <w:r>
              <w:rPr>
                <w:sz w:val="20"/>
              </w:rPr>
              <w:t>2020 vs. 2023</w:t>
            </w:r>
          </w:p>
        </w:tc>
        <w:tc>
          <w:tcPr>
            <w:tcW w:w="887" w:type="dxa"/>
          </w:tcPr>
          <w:p w14:paraId="103FDE2B" w14:textId="22549875" w:rsidR="00BB1486" w:rsidRPr="00485F9B" w:rsidRDefault="00BB1486" w:rsidP="00BB1486">
            <w:pPr>
              <w:spacing w:before="0" w:after="0" w:line="240" w:lineRule="auto"/>
              <w:rPr>
                <w:sz w:val="20"/>
              </w:rPr>
            </w:pPr>
            <w:r w:rsidRPr="00485F9B">
              <w:rPr>
                <w:sz w:val="20"/>
              </w:rPr>
              <w:t>7.1131</w:t>
            </w:r>
          </w:p>
        </w:tc>
        <w:tc>
          <w:tcPr>
            <w:tcW w:w="1073" w:type="dxa"/>
          </w:tcPr>
          <w:p w14:paraId="7D3AC613" w14:textId="22697721" w:rsidR="00BB1486" w:rsidRPr="00A851DB" w:rsidRDefault="00BB1486" w:rsidP="00BB1486">
            <w:pPr>
              <w:spacing w:before="0" w:after="0" w:line="240" w:lineRule="auto"/>
              <w:rPr>
                <w:b/>
                <w:bCs/>
                <w:sz w:val="20"/>
              </w:rPr>
            </w:pPr>
            <w:r w:rsidRPr="00A851DB">
              <w:rPr>
                <w:b/>
                <w:bCs/>
                <w:sz w:val="20"/>
              </w:rPr>
              <w:t>0.0001</w:t>
            </w:r>
          </w:p>
        </w:tc>
        <w:tc>
          <w:tcPr>
            <w:tcW w:w="1073" w:type="dxa"/>
          </w:tcPr>
          <w:p w14:paraId="52CDB86B" w14:textId="5558C870" w:rsidR="00BB1486" w:rsidRPr="00BB1486" w:rsidRDefault="00BB1486" w:rsidP="00BB1486">
            <w:pPr>
              <w:spacing w:before="0" w:after="0" w:line="240" w:lineRule="auto"/>
              <w:rPr>
                <w:sz w:val="20"/>
              </w:rPr>
            </w:pPr>
            <w:r w:rsidRPr="00BB1486">
              <w:rPr>
                <w:sz w:val="20"/>
              </w:rPr>
              <w:t>4.7862</w:t>
            </w:r>
          </w:p>
        </w:tc>
        <w:tc>
          <w:tcPr>
            <w:tcW w:w="1073" w:type="dxa"/>
          </w:tcPr>
          <w:p w14:paraId="3928C1E7" w14:textId="22FD1B51" w:rsidR="00BB1486" w:rsidRPr="00F14B84" w:rsidRDefault="00BB1486" w:rsidP="00BB1486">
            <w:pPr>
              <w:spacing w:before="0" w:after="0" w:line="240" w:lineRule="auto"/>
              <w:rPr>
                <w:b/>
                <w:bCs/>
                <w:sz w:val="20"/>
              </w:rPr>
            </w:pPr>
            <w:r w:rsidRPr="00F14B84">
              <w:rPr>
                <w:b/>
                <w:bCs/>
                <w:sz w:val="20"/>
              </w:rPr>
              <w:t>0.0001</w:t>
            </w:r>
          </w:p>
        </w:tc>
      </w:tr>
      <w:tr w:rsidR="00BB1486" w:rsidRPr="00C01B82" w14:paraId="4FBCD4F1" w14:textId="77777777" w:rsidTr="00142EA3">
        <w:trPr>
          <w:trHeight w:val="312"/>
          <w:jc w:val="center"/>
        </w:trPr>
        <w:tc>
          <w:tcPr>
            <w:tcW w:w="2252" w:type="dxa"/>
          </w:tcPr>
          <w:p w14:paraId="045252BA" w14:textId="5B998A81" w:rsidR="00BB1486" w:rsidRDefault="00BB1486" w:rsidP="00BB1486">
            <w:pPr>
              <w:spacing w:before="0" w:after="0" w:line="240" w:lineRule="auto"/>
              <w:rPr>
                <w:sz w:val="20"/>
              </w:rPr>
            </w:pPr>
            <w:r>
              <w:rPr>
                <w:sz w:val="20"/>
              </w:rPr>
              <w:lastRenderedPageBreak/>
              <w:t>2020 vs. 2024</w:t>
            </w:r>
          </w:p>
        </w:tc>
        <w:tc>
          <w:tcPr>
            <w:tcW w:w="887" w:type="dxa"/>
          </w:tcPr>
          <w:p w14:paraId="653C6716" w14:textId="77777777" w:rsidR="00BB1486" w:rsidRPr="00485F9B" w:rsidRDefault="00BB1486" w:rsidP="00BB1486">
            <w:pPr>
              <w:spacing w:before="0" w:after="0" w:line="240" w:lineRule="auto"/>
              <w:rPr>
                <w:sz w:val="20"/>
              </w:rPr>
            </w:pPr>
          </w:p>
        </w:tc>
        <w:tc>
          <w:tcPr>
            <w:tcW w:w="1073" w:type="dxa"/>
          </w:tcPr>
          <w:p w14:paraId="594B95B3" w14:textId="77777777" w:rsidR="00BB1486" w:rsidRPr="00A851DB" w:rsidRDefault="00BB1486" w:rsidP="00BB1486">
            <w:pPr>
              <w:spacing w:before="0" w:after="0" w:line="240" w:lineRule="auto"/>
              <w:rPr>
                <w:b/>
                <w:bCs/>
                <w:sz w:val="20"/>
              </w:rPr>
            </w:pPr>
          </w:p>
        </w:tc>
        <w:tc>
          <w:tcPr>
            <w:tcW w:w="1073" w:type="dxa"/>
          </w:tcPr>
          <w:p w14:paraId="43BAE4A5" w14:textId="630DC778" w:rsidR="00BB1486" w:rsidRPr="00BB1486" w:rsidRDefault="00BB1486" w:rsidP="00BB1486">
            <w:pPr>
              <w:spacing w:before="0" w:after="0" w:line="240" w:lineRule="auto"/>
              <w:rPr>
                <w:sz w:val="20"/>
              </w:rPr>
            </w:pPr>
            <w:r w:rsidRPr="00BB1486">
              <w:rPr>
                <w:sz w:val="20"/>
              </w:rPr>
              <w:t>2.8884</w:t>
            </w:r>
          </w:p>
        </w:tc>
        <w:tc>
          <w:tcPr>
            <w:tcW w:w="1073" w:type="dxa"/>
          </w:tcPr>
          <w:p w14:paraId="73E26801" w14:textId="22AA26A7" w:rsidR="00BB1486" w:rsidRPr="00F14B84" w:rsidRDefault="00BB1486" w:rsidP="00BB1486">
            <w:pPr>
              <w:spacing w:before="0" w:after="0" w:line="240" w:lineRule="auto"/>
              <w:rPr>
                <w:b/>
                <w:bCs/>
                <w:sz w:val="20"/>
              </w:rPr>
            </w:pPr>
            <w:r w:rsidRPr="00F14B84">
              <w:rPr>
                <w:b/>
                <w:bCs/>
                <w:sz w:val="20"/>
              </w:rPr>
              <w:t>0.0005</w:t>
            </w:r>
          </w:p>
        </w:tc>
      </w:tr>
      <w:tr w:rsidR="00BB1486" w:rsidRPr="00C01B82" w14:paraId="25963F3B" w14:textId="77777777" w:rsidTr="00142EA3">
        <w:trPr>
          <w:trHeight w:val="312"/>
          <w:jc w:val="center"/>
        </w:trPr>
        <w:tc>
          <w:tcPr>
            <w:tcW w:w="2252" w:type="dxa"/>
          </w:tcPr>
          <w:p w14:paraId="045125AA" w14:textId="661CEB4C" w:rsidR="00BB1486" w:rsidRDefault="00BB1486" w:rsidP="00BB1486">
            <w:pPr>
              <w:spacing w:before="0" w:after="0" w:line="240" w:lineRule="auto"/>
              <w:rPr>
                <w:sz w:val="20"/>
              </w:rPr>
            </w:pPr>
            <w:r>
              <w:rPr>
                <w:sz w:val="20"/>
              </w:rPr>
              <w:t>2021 vs. 2022</w:t>
            </w:r>
          </w:p>
        </w:tc>
        <w:tc>
          <w:tcPr>
            <w:tcW w:w="887" w:type="dxa"/>
          </w:tcPr>
          <w:p w14:paraId="381E8C7A" w14:textId="430BF06D" w:rsidR="00BB1486" w:rsidRPr="00485F9B" w:rsidRDefault="00BB1486" w:rsidP="00BB1486">
            <w:pPr>
              <w:spacing w:before="0" w:after="0" w:line="240" w:lineRule="auto"/>
              <w:rPr>
                <w:sz w:val="20"/>
              </w:rPr>
            </w:pPr>
            <w:r w:rsidRPr="00485F9B">
              <w:rPr>
                <w:sz w:val="20"/>
              </w:rPr>
              <w:t>6.8574</w:t>
            </w:r>
          </w:p>
        </w:tc>
        <w:tc>
          <w:tcPr>
            <w:tcW w:w="1073" w:type="dxa"/>
          </w:tcPr>
          <w:p w14:paraId="06FFF41F" w14:textId="3C134B5B" w:rsidR="00BB1486" w:rsidRPr="00A851DB" w:rsidRDefault="00BB1486" w:rsidP="00BB1486">
            <w:pPr>
              <w:spacing w:before="0" w:after="0" w:line="240" w:lineRule="auto"/>
              <w:rPr>
                <w:b/>
                <w:bCs/>
                <w:sz w:val="20"/>
              </w:rPr>
            </w:pPr>
            <w:r w:rsidRPr="00A851DB">
              <w:rPr>
                <w:b/>
                <w:bCs/>
                <w:sz w:val="20"/>
              </w:rPr>
              <w:t>0.0002</w:t>
            </w:r>
          </w:p>
        </w:tc>
        <w:tc>
          <w:tcPr>
            <w:tcW w:w="1073" w:type="dxa"/>
          </w:tcPr>
          <w:p w14:paraId="24450DE6" w14:textId="45FF4BF4" w:rsidR="00BB1486" w:rsidRPr="00BB1486" w:rsidRDefault="00BB1486" w:rsidP="00BB1486">
            <w:pPr>
              <w:spacing w:before="0" w:after="0" w:line="240" w:lineRule="auto"/>
              <w:rPr>
                <w:sz w:val="20"/>
              </w:rPr>
            </w:pPr>
            <w:r w:rsidRPr="00BB1486">
              <w:rPr>
                <w:sz w:val="20"/>
              </w:rPr>
              <w:t>5.2949</w:t>
            </w:r>
          </w:p>
        </w:tc>
        <w:tc>
          <w:tcPr>
            <w:tcW w:w="1073" w:type="dxa"/>
          </w:tcPr>
          <w:p w14:paraId="0832F2B8" w14:textId="33CB45F2" w:rsidR="00BB1486" w:rsidRPr="00F14B84" w:rsidRDefault="00BB1486" w:rsidP="00BB1486">
            <w:pPr>
              <w:spacing w:before="0" w:after="0" w:line="240" w:lineRule="auto"/>
              <w:rPr>
                <w:b/>
                <w:bCs/>
                <w:sz w:val="20"/>
              </w:rPr>
            </w:pPr>
            <w:r w:rsidRPr="00F14B84">
              <w:rPr>
                <w:b/>
                <w:bCs/>
                <w:sz w:val="20"/>
              </w:rPr>
              <w:t>0.0001</w:t>
            </w:r>
          </w:p>
        </w:tc>
      </w:tr>
      <w:tr w:rsidR="00BB1486" w:rsidRPr="00C01B82" w14:paraId="2A96D30C" w14:textId="77777777" w:rsidTr="00142EA3">
        <w:trPr>
          <w:trHeight w:val="312"/>
          <w:jc w:val="center"/>
        </w:trPr>
        <w:tc>
          <w:tcPr>
            <w:tcW w:w="2252" w:type="dxa"/>
          </w:tcPr>
          <w:p w14:paraId="051B6D85" w14:textId="52D4ED40" w:rsidR="00BB1486" w:rsidRDefault="00BB1486" w:rsidP="00BB1486">
            <w:pPr>
              <w:spacing w:before="0" w:after="0" w:line="240" w:lineRule="auto"/>
              <w:rPr>
                <w:sz w:val="20"/>
              </w:rPr>
            </w:pPr>
            <w:r>
              <w:rPr>
                <w:sz w:val="20"/>
              </w:rPr>
              <w:t>2021 vs. 2023</w:t>
            </w:r>
          </w:p>
        </w:tc>
        <w:tc>
          <w:tcPr>
            <w:tcW w:w="887" w:type="dxa"/>
          </w:tcPr>
          <w:p w14:paraId="08453F97" w14:textId="4B3EC005" w:rsidR="00BB1486" w:rsidRPr="00485F9B" w:rsidRDefault="00BB1486" w:rsidP="00BB1486">
            <w:pPr>
              <w:spacing w:before="0" w:after="0" w:line="240" w:lineRule="auto"/>
              <w:rPr>
                <w:sz w:val="20"/>
              </w:rPr>
            </w:pPr>
            <w:r w:rsidRPr="00485F9B">
              <w:rPr>
                <w:sz w:val="20"/>
              </w:rPr>
              <w:t>7.8982</w:t>
            </w:r>
          </w:p>
        </w:tc>
        <w:tc>
          <w:tcPr>
            <w:tcW w:w="1073" w:type="dxa"/>
          </w:tcPr>
          <w:p w14:paraId="63A54724" w14:textId="4159511D" w:rsidR="00BB1486" w:rsidRPr="00A851DB" w:rsidRDefault="00BB1486" w:rsidP="00BB1486">
            <w:pPr>
              <w:spacing w:before="0" w:after="0" w:line="240" w:lineRule="auto"/>
              <w:rPr>
                <w:b/>
                <w:bCs/>
                <w:sz w:val="20"/>
              </w:rPr>
            </w:pPr>
            <w:r w:rsidRPr="00A851DB">
              <w:rPr>
                <w:b/>
                <w:bCs/>
                <w:sz w:val="20"/>
              </w:rPr>
              <w:t>0.0001</w:t>
            </w:r>
          </w:p>
        </w:tc>
        <w:tc>
          <w:tcPr>
            <w:tcW w:w="1073" w:type="dxa"/>
          </w:tcPr>
          <w:p w14:paraId="56A70E43" w14:textId="7E356FA5" w:rsidR="00BB1486" w:rsidRPr="00BB1486" w:rsidRDefault="00BB1486" w:rsidP="00BB1486">
            <w:pPr>
              <w:spacing w:before="0" w:after="0" w:line="240" w:lineRule="auto"/>
              <w:rPr>
                <w:sz w:val="20"/>
              </w:rPr>
            </w:pPr>
            <w:r w:rsidRPr="00BB1486">
              <w:rPr>
                <w:sz w:val="20"/>
              </w:rPr>
              <w:t>5.0288</w:t>
            </w:r>
          </w:p>
        </w:tc>
        <w:tc>
          <w:tcPr>
            <w:tcW w:w="1073" w:type="dxa"/>
          </w:tcPr>
          <w:p w14:paraId="61DB068A" w14:textId="6AB4F3EE" w:rsidR="00BB1486" w:rsidRPr="00F14B84" w:rsidRDefault="00BB1486" w:rsidP="00BB1486">
            <w:pPr>
              <w:spacing w:before="0" w:after="0" w:line="240" w:lineRule="auto"/>
              <w:rPr>
                <w:b/>
                <w:bCs/>
                <w:sz w:val="20"/>
              </w:rPr>
            </w:pPr>
            <w:r w:rsidRPr="00F14B84">
              <w:rPr>
                <w:b/>
                <w:bCs/>
                <w:sz w:val="20"/>
              </w:rPr>
              <w:t>0.0001</w:t>
            </w:r>
          </w:p>
        </w:tc>
      </w:tr>
      <w:tr w:rsidR="00BB1486" w:rsidRPr="00C01B82" w14:paraId="40BEA4E3" w14:textId="77777777" w:rsidTr="00142EA3">
        <w:trPr>
          <w:trHeight w:val="312"/>
          <w:jc w:val="center"/>
        </w:trPr>
        <w:tc>
          <w:tcPr>
            <w:tcW w:w="2252" w:type="dxa"/>
          </w:tcPr>
          <w:p w14:paraId="3D67FC40" w14:textId="23D548ED" w:rsidR="00BB1486" w:rsidRDefault="00BB1486" w:rsidP="00BB1486">
            <w:pPr>
              <w:spacing w:before="0" w:after="0" w:line="240" w:lineRule="auto"/>
              <w:rPr>
                <w:sz w:val="20"/>
              </w:rPr>
            </w:pPr>
            <w:r>
              <w:rPr>
                <w:sz w:val="20"/>
              </w:rPr>
              <w:t>2021 vs. 2024</w:t>
            </w:r>
          </w:p>
        </w:tc>
        <w:tc>
          <w:tcPr>
            <w:tcW w:w="887" w:type="dxa"/>
          </w:tcPr>
          <w:p w14:paraId="5944F4D8" w14:textId="77777777" w:rsidR="00BB1486" w:rsidRPr="00485F9B" w:rsidRDefault="00BB1486" w:rsidP="00BB1486">
            <w:pPr>
              <w:spacing w:before="0" w:after="0" w:line="240" w:lineRule="auto"/>
              <w:rPr>
                <w:sz w:val="20"/>
              </w:rPr>
            </w:pPr>
          </w:p>
        </w:tc>
        <w:tc>
          <w:tcPr>
            <w:tcW w:w="1073" w:type="dxa"/>
          </w:tcPr>
          <w:p w14:paraId="4571FB41" w14:textId="77777777" w:rsidR="00BB1486" w:rsidRPr="00A851DB" w:rsidRDefault="00BB1486" w:rsidP="00BB1486">
            <w:pPr>
              <w:spacing w:before="0" w:after="0" w:line="240" w:lineRule="auto"/>
              <w:rPr>
                <w:b/>
                <w:bCs/>
                <w:sz w:val="20"/>
              </w:rPr>
            </w:pPr>
          </w:p>
        </w:tc>
        <w:tc>
          <w:tcPr>
            <w:tcW w:w="1073" w:type="dxa"/>
          </w:tcPr>
          <w:p w14:paraId="40C0BEF6" w14:textId="3AFEECF2" w:rsidR="00BB1486" w:rsidRPr="00BB1486" w:rsidRDefault="00BB1486" w:rsidP="00BB1486">
            <w:pPr>
              <w:spacing w:before="0" w:after="0" w:line="240" w:lineRule="auto"/>
              <w:rPr>
                <w:sz w:val="20"/>
              </w:rPr>
            </w:pPr>
            <w:r w:rsidRPr="00BB1486">
              <w:rPr>
                <w:sz w:val="20"/>
              </w:rPr>
              <w:t>3.6027</w:t>
            </w:r>
          </w:p>
        </w:tc>
        <w:tc>
          <w:tcPr>
            <w:tcW w:w="1073" w:type="dxa"/>
          </w:tcPr>
          <w:p w14:paraId="3D6AAEBF" w14:textId="60D4C093" w:rsidR="00BB1486" w:rsidRPr="00F14B84" w:rsidRDefault="00BB1486" w:rsidP="00BB1486">
            <w:pPr>
              <w:spacing w:before="0" w:after="0" w:line="240" w:lineRule="auto"/>
              <w:rPr>
                <w:b/>
                <w:bCs/>
                <w:sz w:val="20"/>
              </w:rPr>
            </w:pPr>
            <w:r w:rsidRPr="00F14B84">
              <w:rPr>
                <w:b/>
                <w:bCs/>
                <w:sz w:val="20"/>
              </w:rPr>
              <w:t>0.0001</w:t>
            </w:r>
          </w:p>
        </w:tc>
      </w:tr>
      <w:tr w:rsidR="00BB1486" w:rsidRPr="00C01B82" w14:paraId="33737236" w14:textId="77777777" w:rsidTr="00975915">
        <w:trPr>
          <w:trHeight w:val="312"/>
          <w:jc w:val="center"/>
        </w:trPr>
        <w:tc>
          <w:tcPr>
            <w:tcW w:w="2252" w:type="dxa"/>
          </w:tcPr>
          <w:p w14:paraId="7168E414" w14:textId="6B808349" w:rsidR="00BB1486" w:rsidRDefault="00BB1486" w:rsidP="00BB1486">
            <w:pPr>
              <w:spacing w:before="0" w:after="0" w:line="240" w:lineRule="auto"/>
              <w:rPr>
                <w:sz w:val="20"/>
              </w:rPr>
            </w:pPr>
            <w:r>
              <w:rPr>
                <w:sz w:val="20"/>
              </w:rPr>
              <w:t>2022 vs. 2023</w:t>
            </w:r>
          </w:p>
        </w:tc>
        <w:tc>
          <w:tcPr>
            <w:tcW w:w="887" w:type="dxa"/>
          </w:tcPr>
          <w:p w14:paraId="6002CDFF" w14:textId="1A89A273" w:rsidR="00BB1486" w:rsidRPr="00485F9B" w:rsidRDefault="00BB1486" w:rsidP="00BB1486">
            <w:pPr>
              <w:spacing w:before="0" w:after="0" w:line="240" w:lineRule="auto"/>
              <w:rPr>
                <w:sz w:val="20"/>
              </w:rPr>
            </w:pPr>
            <w:r w:rsidRPr="00485F9B">
              <w:rPr>
                <w:sz w:val="20"/>
              </w:rPr>
              <w:t>2.7758</w:t>
            </w:r>
          </w:p>
        </w:tc>
        <w:tc>
          <w:tcPr>
            <w:tcW w:w="1073" w:type="dxa"/>
          </w:tcPr>
          <w:p w14:paraId="66A59DDB" w14:textId="2D29D23F" w:rsidR="00BB1486" w:rsidRPr="00A851DB" w:rsidRDefault="00BB1486" w:rsidP="00BB1486">
            <w:pPr>
              <w:spacing w:before="0" w:after="0" w:line="240" w:lineRule="auto"/>
              <w:rPr>
                <w:b/>
                <w:bCs/>
                <w:sz w:val="20"/>
              </w:rPr>
            </w:pPr>
            <w:r w:rsidRPr="00A851DB">
              <w:rPr>
                <w:b/>
                <w:bCs/>
                <w:sz w:val="20"/>
              </w:rPr>
              <w:t>0.0001</w:t>
            </w:r>
          </w:p>
        </w:tc>
        <w:tc>
          <w:tcPr>
            <w:tcW w:w="1073" w:type="dxa"/>
          </w:tcPr>
          <w:p w14:paraId="7AA5BBD0" w14:textId="014B0726" w:rsidR="00BB1486" w:rsidRPr="00BB1486" w:rsidRDefault="00BB1486" w:rsidP="00BB1486">
            <w:pPr>
              <w:spacing w:before="0" w:after="0" w:line="240" w:lineRule="auto"/>
              <w:rPr>
                <w:sz w:val="20"/>
              </w:rPr>
            </w:pPr>
            <w:r w:rsidRPr="00BB1486">
              <w:rPr>
                <w:sz w:val="20"/>
              </w:rPr>
              <w:t>2.3034</w:t>
            </w:r>
          </w:p>
        </w:tc>
        <w:tc>
          <w:tcPr>
            <w:tcW w:w="1073" w:type="dxa"/>
          </w:tcPr>
          <w:p w14:paraId="432311EC" w14:textId="4F3C1048" w:rsidR="00BB1486" w:rsidRPr="00F14B84" w:rsidRDefault="00BB1486" w:rsidP="00BB1486">
            <w:pPr>
              <w:spacing w:before="0" w:after="0" w:line="240" w:lineRule="auto"/>
              <w:rPr>
                <w:b/>
                <w:bCs/>
                <w:sz w:val="20"/>
              </w:rPr>
            </w:pPr>
            <w:r w:rsidRPr="00F14B84">
              <w:rPr>
                <w:b/>
                <w:bCs/>
                <w:sz w:val="20"/>
              </w:rPr>
              <w:t>0.0002</w:t>
            </w:r>
          </w:p>
        </w:tc>
      </w:tr>
      <w:tr w:rsidR="00BB1486" w:rsidRPr="00C01B82" w14:paraId="3F076473" w14:textId="77777777" w:rsidTr="00975915">
        <w:trPr>
          <w:trHeight w:val="312"/>
          <w:jc w:val="center"/>
        </w:trPr>
        <w:tc>
          <w:tcPr>
            <w:tcW w:w="2252" w:type="dxa"/>
          </w:tcPr>
          <w:p w14:paraId="04F53C15" w14:textId="2AA9544C" w:rsidR="00BB1486" w:rsidRDefault="00BB1486" w:rsidP="00BB1486">
            <w:pPr>
              <w:spacing w:before="0" w:after="0" w:line="240" w:lineRule="auto"/>
              <w:rPr>
                <w:sz w:val="20"/>
              </w:rPr>
            </w:pPr>
            <w:r>
              <w:rPr>
                <w:sz w:val="20"/>
              </w:rPr>
              <w:t>2022 vs. 2024</w:t>
            </w:r>
          </w:p>
        </w:tc>
        <w:tc>
          <w:tcPr>
            <w:tcW w:w="887" w:type="dxa"/>
          </w:tcPr>
          <w:p w14:paraId="4F0E9DC3" w14:textId="77777777" w:rsidR="00BB1486" w:rsidRPr="00485F9B" w:rsidRDefault="00BB1486" w:rsidP="00BB1486">
            <w:pPr>
              <w:spacing w:before="0" w:after="0" w:line="240" w:lineRule="auto"/>
              <w:rPr>
                <w:sz w:val="20"/>
              </w:rPr>
            </w:pPr>
          </w:p>
        </w:tc>
        <w:tc>
          <w:tcPr>
            <w:tcW w:w="1073" w:type="dxa"/>
          </w:tcPr>
          <w:p w14:paraId="7EC71B27" w14:textId="77777777" w:rsidR="00BB1486" w:rsidRPr="00A851DB" w:rsidRDefault="00BB1486" w:rsidP="00BB1486">
            <w:pPr>
              <w:spacing w:before="0" w:after="0" w:line="240" w:lineRule="auto"/>
              <w:rPr>
                <w:b/>
                <w:bCs/>
                <w:sz w:val="20"/>
              </w:rPr>
            </w:pPr>
          </w:p>
        </w:tc>
        <w:tc>
          <w:tcPr>
            <w:tcW w:w="1073" w:type="dxa"/>
          </w:tcPr>
          <w:p w14:paraId="376994CA" w14:textId="4E498394" w:rsidR="00BB1486" w:rsidRPr="00BB1486" w:rsidRDefault="00BB1486" w:rsidP="00BB1486">
            <w:pPr>
              <w:spacing w:before="0" w:after="0" w:line="240" w:lineRule="auto"/>
              <w:rPr>
                <w:sz w:val="20"/>
              </w:rPr>
            </w:pPr>
            <w:r w:rsidRPr="00BB1486">
              <w:rPr>
                <w:sz w:val="20"/>
              </w:rPr>
              <w:t>4.5958</w:t>
            </w:r>
          </w:p>
        </w:tc>
        <w:tc>
          <w:tcPr>
            <w:tcW w:w="1073" w:type="dxa"/>
          </w:tcPr>
          <w:p w14:paraId="687DD954" w14:textId="7549B468" w:rsidR="00BB1486" w:rsidRPr="00F14B84" w:rsidRDefault="00BB1486" w:rsidP="00BB1486">
            <w:pPr>
              <w:spacing w:before="0" w:after="0" w:line="240" w:lineRule="auto"/>
              <w:rPr>
                <w:b/>
                <w:bCs/>
                <w:sz w:val="20"/>
              </w:rPr>
            </w:pPr>
            <w:r w:rsidRPr="00F14B84">
              <w:rPr>
                <w:b/>
                <w:bCs/>
                <w:sz w:val="20"/>
              </w:rPr>
              <w:t>0.0001</w:t>
            </w:r>
          </w:p>
        </w:tc>
      </w:tr>
      <w:tr w:rsidR="00BB1486" w:rsidRPr="00C01B82" w14:paraId="0881E510" w14:textId="77777777" w:rsidTr="00142EA3">
        <w:trPr>
          <w:trHeight w:val="312"/>
          <w:jc w:val="center"/>
        </w:trPr>
        <w:tc>
          <w:tcPr>
            <w:tcW w:w="2252" w:type="dxa"/>
            <w:tcBorders>
              <w:bottom w:val="single" w:sz="4" w:space="0" w:color="auto"/>
            </w:tcBorders>
          </w:tcPr>
          <w:p w14:paraId="5815BF8A" w14:textId="42EAC6F8" w:rsidR="00BB1486" w:rsidRDefault="00BB1486" w:rsidP="00BB1486">
            <w:pPr>
              <w:spacing w:before="0" w:after="0" w:line="240" w:lineRule="auto"/>
              <w:rPr>
                <w:sz w:val="20"/>
              </w:rPr>
            </w:pPr>
            <w:r>
              <w:rPr>
                <w:sz w:val="20"/>
              </w:rPr>
              <w:t>2023 vs. 2024</w:t>
            </w:r>
          </w:p>
        </w:tc>
        <w:tc>
          <w:tcPr>
            <w:tcW w:w="887" w:type="dxa"/>
            <w:tcBorders>
              <w:bottom w:val="single" w:sz="4" w:space="0" w:color="auto"/>
            </w:tcBorders>
          </w:tcPr>
          <w:p w14:paraId="5561E6ED" w14:textId="77777777" w:rsidR="00BB1486" w:rsidRPr="00485F9B" w:rsidRDefault="00BB1486" w:rsidP="00BB1486">
            <w:pPr>
              <w:spacing w:before="0" w:after="0" w:line="240" w:lineRule="auto"/>
              <w:rPr>
                <w:sz w:val="20"/>
              </w:rPr>
            </w:pPr>
          </w:p>
        </w:tc>
        <w:tc>
          <w:tcPr>
            <w:tcW w:w="1073" w:type="dxa"/>
            <w:tcBorders>
              <w:bottom w:val="single" w:sz="4" w:space="0" w:color="auto"/>
            </w:tcBorders>
          </w:tcPr>
          <w:p w14:paraId="27E4EB1D" w14:textId="77777777" w:rsidR="00BB1486" w:rsidRPr="00A851DB" w:rsidRDefault="00BB1486" w:rsidP="00BB1486">
            <w:pPr>
              <w:spacing w:before="0" w:after="0" w:line="240" w:lineRule="auto"/>
              <w:rPr>
                <w:b/>
                <w:bCs/>
                <w:sz w:val="20"/>
              </w:rPr>
            </w:pPr>
          </w:p>
        </w:tc>
        <w:tc>
          <w:tcPr>
            <w:tcW w:w="1073" w:type="dxa"/>
            <w:tcBorders>
              <w:bottom w:val="single" w:sz="4" w:space="0" w:color="auto"/>
            </w:tcBorders>
          </w:tcPr>
          <w:p w14:paraId="141C8949" w14:textId="279AEC59" w:rsidR="00BB1486" w:rsidRPr="00BB1486" w:rsidRDefault="00BB1486" w:rsidP="00BB1486">
            <w:pPr>
              <w:spacing w:before="0" w:after="0" w:line="240" w:lineRule="auto"/>
              <w:rPr>
                <w:sz w:val="20"/>
              </w:rPr>
            </w:pPr>
            <w:r w:rsidRPr="00BB1486">
              <w:rPr>
                <w:sz w:val="20"/>
              </w:rPr>
              <w:t>4.0268</w:t>
            </w:r>
          </w:p>
        </w:tc>
        <w:tc>
          <w:tcPr>
            <w:tcW w:w="1073" w:type="dxa"/>
            <w:tcBorders>
              <w:bottom w:val="single" w:sz="4" w:space="0" w:color="auto"/>
            </w:tcBorders>
          </w:tcPr>
          <w:p w14:paraId="25CB6F84" w14:textId="7D69E1D4" w:rsidR="00BB1486" w:rsidRPr="00F14B84" w:rsidRDefault="00BB1486" w:rsidP="00BB1486">
            <w:pPr>
              <w:spacing w:before="0" w:after="0" w:line="240" w:lineRule="auto"/>
              <w:rPr>
                <w:b/>
                <w:bCs/>
                <w:sz w:val="20"/>
              </w:rPr>
            </w:pPr>
            <w:r w:rsidRPr="00F14B84">
              <w:rPr>
                <w:b/>
                <w:bCs/>
                <w:sz w:val="20"/>
              </w:rPr>
              <w:t>0.0001</w:t>
            </w:r>
          </w:p>
        </w:tc>
      </w:tr>
    </w:tbl>
    <w:p w14:paraId="0F7F259C" w14:textId="77777777" w:rsidR="00CD370D" w:rsidRDefault="00CD370D" w:rsidP="00CF4F81">
      <w:pPr>
        <w:spacing w:before="0" w:after="0" w:line="240" w:lineRule="auto"/>
        <w:jc w:val="center"/>
      </w:pPr>
      <w:bookmarkStart w:id="624" w:name="_Toc3558349"/>
    </w:p>
    <w:p w14:paraId="0219951A" w14:textId="020B8878" w:rsidR="00CF4F81" w:rsidRPr="00974D46" w:rsidRDefault="00CF4F81" w:rsidP="00CF4F81">
      <w:pPr>
        <w:spacing w:before="0" w:after="0" w:line="240" w:lineRule="auto"/>
        <w:jc w:val="center"/>
      </w:pPr>
      <w:r>
        <w:rPr>
          <w:noProof/>
        </w:rPr>
        <w:drawing>
          <wp:inline distT="0" distB="0" distL="0" distR="0" wp14:anchorId="3F122F5B" wp14:editId="2EAA337B">
            <wp:extent cx="5725795" cy="6143625"/>
            <wp:effectExtent l="0" t="0" r="8255" b="9525"/>
            <wp:docPr id="1130970622" name="Picture 1" descr="Graphs showing length frequency distributions of golden perch collected from the gorge geomorphic zone of the Lower Murray River from 2015–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70622" name="Picture 1" descr="Graphs showing length frequency distributions of golden perch collected from the gorge geomorphic zone of the Lower Murray River from 2015–2024."/>
                    <pic:cNvPicPr/>
                  </pic:nvPicPr>
                  <pic:blipFill rotWithShape="1">
                    <a:blip r:embed="rId163" cstate="print">
                      <a:extLst>
                        <a:ext uri="{28A0092B-C50C-407E-A947-70E740481C1C}">
                          <a14:useLocalDpi xmlns:a14="http://schemas.microsoft.com/office/drawing/2010/main" val="0"/>
                        </a:ext>
                      </a:extLst>
                    </a:blip>
                    <a:srcRect t="5696" b="24989"/>
                    <a:stretch/>
                  </pic:blipFill>
                  <pic:spPr bwMode="auto">
                    <a:xfrm>
                      <a:off x="0" y="0"/>
                      <a:ext cx="5725795" cy="6143625"/>
                    </a:xfrm>
                    <a:prstGeom prst="rect">
                      <a:avLst/>
                    </a:prstGeom>
                    <a:ln>
                      <a:noFill/>
                    </a:ln>
                    <a:extLst>
                      <a:ext uri="{53640926-AAD7-44D8-BBD7-CCE9431645EC}">
                        <a14:shadowObscured xmlns:a14="http://schemas.microsoft.com/office/drawing/2010/main"/>
                      </a:ext>
                    </a:extLst>
                  </pic:spPr>
                </pic:pic>
              </a:graphicData>
            </a:graphic>
          </wp:inline>
        </w:drawing>
      </w:r>
    </w:p>
    <w:p w14:paraId="2A79C563" w14:textId="54DC373C" w:rsidR="00CF4F81" w:rsidRPr="00E04480" w:rsidRDefault="00CF4F81" w:rsidP="00CF4F81">
      <w:pPr>
        <w:pStyle w:val="Caption"/>
      </w:pPr>
      <w:bookmarkStart w:id="625" w:name="_Ref81229507"/>
      <w:bookmarkStart w:id="626" w:name="_Ref876851"/>
      <w:bookmarkStart w:id="627" w:name="_Toc3558386"/>
      <w:bookmarkStart w:id="628" w:name="_Toc103170117"/>
      <w:bookmarkStart w:id="629" w:name="_Toc166771795"/>
      <w:r w:rsidRPr="00974D46">
        <w:t>Figure</w:t>
      </w:r>
      <w:r>
        <w:t xml:space="preserve"> C</w:t>
      </w:r>
      <w:r w:rsidR="00236D91">
        <w:t>6</w:t>
      </w:r>
      <w:r>
        <w:t xml:space="preserve">. </w:t>
      </w:r>
      <w:bookmarkEnd w:id="625"/>
      <w:bookmarkEnd w:id="626"/>
      <w:r w:rsidRPr="00974D46">
        <w:t>Length frequency distributions of golden perch collected from the gorge geomorphic zone of the Lower Murray River from 2015</w:t>
      </w:r>
      <w:r>
        <w:t>–2024</w:t>
      </w:r>
      <w:r w:rsidRPr="00974D46">
        <w:t>.</w:t>
      </w:r>
      <w:bookmarkEnd w:id="627"/>
      <w:bookmarkEnd w:id="628"/>
      <w:bookmarkEnd w:id="629"/>
    </w:p>
    <w:p w14:paraId="1C9630A0" w14:textId="77777777" w:rsidR="00CF4F81" w:rsidRPr="00974D46" w:rsidRDefault="00CF4F81" w:rsidP="00CF4F81">
      <w:pPr>
        <w:jc w:val="center"/>
      </w:pPr>
      <w:r>
        <w:rPr>
          <w:noProof/>
        </w:rPr>
        <w:lastRenderedPageBreak/>
        <w:drawing>
          <wp:inline distT="0" distB="0" distL="0" distR="0" wp14:anchorId="651EFD00" wp14:editId="4CFD8BF3">
            <wp:extent cx="5731510" cy="6010275"/>
            <wp:effectExtent l="0" t="0" r="2540" b="9525"/>
            <wp:docPr id="1656427183" name="Picture 2" descr="Graphs showing length frequency distributions of silver perch collected from the gorge geomorphic zone of the Lower Murray River from 2015–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27183" name="Picture 2" descr="Graphs showing length frequency distributions of silver perch collected from the gorge geomorphic zone of the Lower Murray River from 2015–2024."/>
                    <pic:cNvPicPr/>
                  </pic:nvPicPr>
                  <pic:blipFill rotWithShape="1">
                    <a:blip r:embed="rId164" cstate="print">
                      <a:extLst>
                        <a:ext uri="{28A0092B-C50C-407E-A947-70E740481C1C}">
                          <a14:useLocalDpi xmlns:a14="http://schemas.microsoft.com/office/drawing/2010/main" val="0"/>
                        </a:ext>
                      </a:extLst>
                    </a:blip>
                    <a:srcRect t="8285"/>
                    <a:stretch/>
                  </pic:blipFill>
                  <pic:spPr bwMode="auto">
                    <a:xfrm>
                      <a:off x="0" y="0"/>
                      <a:ext cx="5731510" cy="6010275"/>
                    </a:xfrm>
                    <a:prstGeom prst="rect">
                      <a:avLst/>
                    </a:prstGeom>
                    <a:ln>
                      <a:noFill/>
                    </a:ln>
                    <a:extLst>
                      <a:ext uri="{53640926-AAD7-44D8-BBD7-CCE9431645EC}">
                        <a14:shadowObscured xmlns:a14="http://schemas.microsoft.com/office/drawing/2010/main"/>
                      </a:ext>
                    </a:extLst>
                  </pic:spPr>
                </pic:pic>
              </a:graphicData>
            </a:graphic>
          </wp:inline>
        </w:drawing>
      </w:r>
    </w:p>
    <w:p w14:paraId="48D42372" w14:textId="1F3FDFAD" w:rsidR="00CF4F81" w:rsidRPr="00E04480" w:rsidRDefault="00CF4F81" w:rsidP="00CF4F81">
      <w:pPr>
        <w:pStyle w:val="Caption"/>
      </w:pPr>
      <w:bookmarkStart w:id="630" w:name="_Ref81229967"/>
      <w:bookmarkStart w:id="631" w:name="_Ref12447874"/>
      <w:bookmarkStart w:id="632" w:name="_Toc103170118"/>
      <w:bookmarkStart w:id="633" w:name="_Toc166771796"/>
      <w:r w:rsidRPr="00974D46">
        <w:t>Figure</w:t>
      </w:r>
      <w:r>
        <w:t xml:space="preserve"> C</w:t>
      </w:r>
      <w:r w:rsidR="00236D91">
        <w:t>7</w:t>
      </w:r>
      <w:r>
        <w:t xml:space="preserve">. </w:t>
      </w:r>
      <w:bookmarkEnd w:id="630"/>
      <w:bookmarkEnd w:id="631"/>
      <w:r w:rsidRPr="00974D46">
        <w:t>Length frequency distributions of silver perch collected from the gorge geomorphic zone of the Lower Murray River from 2015</w:t>
      </w:r>
      <w:r>
        <w:t>–2024</w:t>
      </w:r>
      <w:r w:rsidRPr="00974D46">
        <w:t>.</w:t>
      </w:r>
      <w:bookmarkEnd w:id="632"/>
      <w:bookmarkEnd w:id="633"/>
    </w:p>
    <w:p w14:paraId="0D60A488" w14:textId="77777777" w:rsidR="00CF4F81" w:rsidRPr="00823275" w:rsidRDefault="00CF4F81" w:rsidP="00CF4F81">
      <w:pPr>
        <w:jc w:val="center"/>
        <w:rPr>
          <w:lang w:val="en-US"/>
        </w:rPr>
      </w:pPr>
      <w:r>
        <w:rPr>
          <w:noProof/>
          <w:lang w:val="en-US"/>
        </w:rPr>
        <w:lastRenderedPageBreak/>
        <w:drawing>
          <wp:inline distT="0" distB="0" distL="0" distR="0" wp14:anchorId="63CED9E0" wp14:editId="3CA67078">
            <wp:extent cx="5731510" cy="5996940"/>
            <wp:effectExtent l="0" t="0" r="2540" b="3810"/>
            <wp:docPr id="1328494922" name="Picture 4" descr="Graphs showing length frequency distributions of freshwater catfish collected from the gorge geomorphic zone of the Lower Murray River from 2015–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94922" name="Picture 4" descr="Graphs showing length frequency distributions of freshwater catfish collected from the gorge geomorphic zone of the Lower Murray River from 2015–2024."/>
                    <pic:cNvPicPr/>
                  </pic:nvPicPr>
                  <pic:blipFill rotWithShape="1">
                    <a:blip r:embed="rId165" cstate="print">
                      <a:extLst>
                        <a:ext uri="{28A0092B-C50C-407E-A947-70E740481C1C}">
                          <a14:useLocalDpi xmlns:a14="http://schemas.microsoft.com/office/drawing/2010/main" val="0"/>
                        </a:ext>
                      </a:extLst>
                    </a:blip>
                    <a:srcRect t="7764"/>
                    <a:stretch/>
                  </pic:blipFill>
                  <pic:spPr bwMode="auto">
                    <a:xfrm>
                      <a:off x="0" y="0"/>
                      <a:ext cx="5731510" cy="5996940"/>
                    </a:xfrm>
                    <a:prstGeom prst="rect">
                      <a:avLst/>
                    </a:prstGeom>
                    <a:ln>
                      <a:noFill/>
                    </a:ln>
                    <a:extLst>
                      <a:ext uri="{53640926-AAD7-44D8-BBD7-CCE9431645EC}">
                        <a14:shadowObscured xmlns:a14="http://schemas.microsoft.com/office/drawing/2010/main"/>
                      </a:ext>
                    </a:extLst>
                  </pic:spPr>
                </pic:pic>
              </a:graphicData>
            </a:graphic>
          </wp:inline>
        </w:drawing>
      </w:r>
    </w:p>
    <w:p w14:paraId="4F94C042" w14:textId="7074B262" w:rsidR="00CF4F81" w:rsidRPr="00823275" w:rsidRDefault="00CF4F81" w:rsidP="00CF4F81">
      <w:pPr>
        <w:pStyle w:val="Caption"/>
      </w:pPr>
      <w:bookmarkStart w:id="634" w:name="_Ref81229515"/>
      <w:bookmarkStart w:id="635" w:name="_Ref876860"/>
      <w:bookmarkStart w:id="636" w:name="_Toc3558387"/>
      <w:bookmarkStart w:id="637" w:name="_Toc103170119"/>
      <w:bookmarkStart w:id="638" w:name="_Toc166771797"/>
      <w:r w:rsidRPr="00823275">
        <w:t>Figure</w:t>
      </w:r>
      <w:r>
        <w:t xml:space="preserve"> C</w:t>
      </w:r>
      <w:r w:rsidR="00236D91">
        <w:t>8</w:t>
      </w:r>
      <w:r>
        <w:t xml:space="preserve">. </w:t>
      </w:r>
      <w:bookmarkEnd w:id="634"/>
      <w:bookmarkEnd w:id="635"/>
      <w:r w:rsidRPr="00823275">
        <w:t>Length frequency distributions of freshwater catfish collected from the gorge geomorphic zone of the Lower Murray River from 2015</w:t>
      </w:r>
      <w:r>
        <w:t>–2024</w:t>
      </w:r>
      <w:r w:rsidRPr="00823275">
        <w:t>.</w:t>
      </w:r>
      <w:bookmarkEnd w:id="636"/>
      <w:bookmarkEnd w:id="637"/>
      <w:bookmarkEnd w:id="638"/>
    </w:p>
    <w:p w14:paraId="18A08F6D" w14:textId="77777777" w:rsidR="00CF4F81" w:rsidRDefault="00CF4F81" w:rsidP="00CF4F81">
      <w:pPr>
        <w:pStyle w:val="Caption"/>
        <w:rPr>
          <w:highlight w:val="yellow"/>
        </w:rPr>
      </w:pPr>
    </w:p>
    <w:p w14:paraId="62AB0E34" w14:textId="3BF4A132" w:rsidR="00CF4F81" w:rsidRDefault="00D47971" w:rsidP="00CF4F81">
      <w:pPr>
        <w:pStyle w:val="Caption"/>
        <w:jc w:val="center"/>
        <w:rPr>
          <w:highlight w:val="yellow"/>
        </w:rPr>
      </w:pPr>
      <w:r>
        <w:rPr>
          <w:noProof/>
        </w:rPr>
        <w:lastRenderedPageBreak/>
        <w:drawing>
          <wp:inline distT="0" distB="0" distL="0" distR="0" wp14:anchorId="32D8C0C6" wp14:editId="78763BF4">
            <wp:extent cx="3234575" cy="4002657"/>
            <wp:effectExtent l="0" t="0" r="4445" b="0"/>
            <wp:docPr id="253769956" name="Picture 7" descr="Graphs showing age structures of freshwater collected from the gorge geomorphic zone of the Lower Murray River from 2015–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769956" name="Picture 7" descr="Graphs showing age structures of freshwater collected from the gorge geomorphic zone of the Lower Murray River from 2015–2024."/>
                    <pic:cNvPicPr/>
                  </pic:nvPicPr>
                  <pic:blipFill rotWithShape="1">
                    <a:blip r:embed="rId166" cstate="print">
                      <a:extLst>
                        <a:ext uri="{28A0092B-C50C-407E-A947-70E740481C1C}">
                          <a14:useLocalDpi xmlns:a14="http://schemas.microsoft.com/office/drawing/2010/main" val="0"/>
                        </a:ext>
                      </a:extLst>
                    </a:blip>
                    <a:srcRect l="47711" t="7925"/>
                    <a:stretch/>
                  </pic:blipFill>
                  <pic:spPr bwMode="auto">
                    <a:xfrm>
                      <a:off x="0" y="0"/>
                      <a:ext cx="3238858" cy="4007957"/>
                    </a:xfrm>
                    <a:prstGeom prst="rect">
                      <a:avLst/>
                    </a:prstGeom>
                    <a:ln>
                      <a:noFill/>
                    </a:ln>
                    <a:extLst>
                      <a:ext uri="{53640926-AAD7-44D8-BBD7-CCE9431645EC}">
                        <a14:shadowObscured xmlns:a14="http://schemas.microsoft.com/office/drawing/2010/main"/>
                      </a:ext>
                    </a:extLst>
                  </pic:spPr>
                </pic:pic>
              </a:graphicData>
            </a:graphic>
          </wp:inline>
        </w:drawing>
      </w:r>
    </w:p>
    <w:p w14:paraId="574CD747" w14:textId="47EC3ED4" w:rsidR="00CF4F81" w:rsidRPr="00823275" w:rsidRDefault="00CF4F81" w:rsidP="00CF4F81">
      <w:pPr>
        <w:pStyle w:val="Caption"/>
      </w:pPr>
      <w:r w:rsidRPr="00823275">
        <w:t>Figure</w:t>
      </w:r>
      <w:r>
        <w:t xml:space="preserve"> C</w:t>
      </w:r>
      <w:r w:rsidR="00236D91">
        <w:t>9</w:t>
      </w:r>
      <w:r>
        <w:t>. A</w:t>
      </w:r>
      <w:r w:rsidRPr="001E7881">
        <w:t xml:space="preserve">ge structures </w:t>
      </w:r>
      <w:r w:rsidRPr="00D47971">
        <w:t>of freshwater collected from the gorge geomorphic zone of the Lower Murray River from 2015–2024.</w:t>
      </w:r>
    </w:p>
    <w:p w14:paraId="39EB9855" w14:textId="77777777" w:rsidR="00CF4F81" w:rsidRPr="00595FFD" w:rsidRDefault="00CF4F81" w:rsidP="00CF4F81">
      <w:pPr>
        <w:pStyle w:val="Caption"/>
        <w:rPr>
          <w:b w:val="0"/>
          <w:bCs w:val="0"/>
          <w:highlight w:val="yellow"/>
        </w:rPr>
      </w:pPr>
      <w:r w:rsidRPr="00595FFD">
        <w:rPr>
          <w:highlight w:val="yellow"/>
        </w:rPr>
        <w:br w:type="page"/>
      </w:r>
    </w:p>
    <w:p w14:paraId="1E3FD10B" w14:textId="56A0D0FB" w:rsidR="00CF4F81" w:rsidRPr="00437777" w:rsidRDefault="00D47971" w:rsidP="00CF4F81">
      <w:pPr>
        <w:pStyle w:val="Caption"/>
      </w:pPr>
      <w:r>
        <w:rPr>
          <w:noProof/>
        </w:rPr>
        <w:lastRenderedPageBreak/>
        <w:drawing>
          <wp:inline distT="0" distB="0" distL="0" distR="0" wp14:anchorId="727E0DD7" wp14:editId="5DB9D08E">
            <wp:extent cx="5560828" cy="8272780"/>
            <wp:effectExtent l="0" t="0" r="1905" b="0"/>
            <wp:docPr id="1793504991" name="Picture 8" descr="Graphs showing length frequency distributions and age structures of bony herring collected from the gorge geomorphic zone of the Lower Murray River from 2016–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04991" name="Picture 8" descr="Graphs showing length frequency distributions and age structures of bony herring collected from the gorge geomorphic zone of the Lower Murray River from 2016–2024. "/>
                    <pic:cNvPicPr/>
                  </pic:nvPicPr>
                  <pic:blipFill rotWithShape="1">
                    <a:blip r:embed="rId167" cstate="print">
                      <a:extLst>
                        <a:ext uri="{28A0092B-C50C-407E-A947-70E740481C1C}">
                          <a14:useLocalDpi xmlns:a14="http://schemas.microsoft.com/office/drawing/2010/main" val="0"/>
                        </a:ext>
                      </a:extLst>
                    </a:blip>
                    <a:srcRect t="4069" r="2975"/>
                    <a:stretch/>
                  </pic:blipFill>
                  <pic:spPr bwMode="auto">
                    <a:xfrm>
                      <a:off x="0" y="0"/>
                      <a:ext cx="5561017" cy="8273061"/>
                    </a:xfrm>
                    <a:prstGeom prst="rect">
                      <a:avLst/>
                    </a:prstGeom>
                    <a:ln>
                      <a:noFill/>
                    </a:ln>
                    <a:extLst>
                      <a:ext uri="{53640926-AAD7-44D8-BBD7-CCE9431645EC}">
                        <a14:shadowObscured xmlns:a14="http://schemas.microsoft.com/office/drawing/2010/main"/>
                      </a:ext>
                    </a:extLst>
                  </pic:spPr>
                </pic:pic>
              </a:graphicData>
            </a:graphic>
          </wp:inline>
        </w:drawing>
      </w:r>
    </w:p>
    <w:p w14:paraId="11435682" w14:textId="4D333424" w:rsidR="00CF4F81" w:rsidRDefault="00CF4F81" w:rsidP="00CF4F81">
      <w:pPr>
        <w:pStyle w:val="Caption"/>
        <w:rPr>
          <w:lang w:val="en-US"/>
        </w:rPr>
      </w:pPr>
      <w:bookmarkStart w:id="639" w:name="_Ref12448143"/>
      <w:bookmarkStart w:id="640" w:name="_Toc103170120"/>
      <w:bookmarkStart w:id="641" w:name="_Toc166771798"/>
      <w:r>
        <w:t>Figure C</w:t>
      </w:r>
      <w:r w:rsidR="00236D91">
        <w:t>10</w:t>
      </w:r>
      <w:r>
        <w:t xml:space="preserve">. </w:t>
      </w:r>
      <w:bookmarkEnd w:id="639"/>
      <w:r w:rsidRPr="00437777">
        <w:t xml:space="preserve">Length frequency distributions and age structures of bony herring collected from the gorge geomorphic zone of the Lower Murray River from </w:t>
      </w:r>
      <w:r w:rsidRPr="00D47971">
        <w:t>2016–2024.</w:t>
      </w:r>
      <w:bookmarkEnd w:id="640"/>
      <w:bookmarkEnd w:id="641"/>
      <w:r w:rsidRPr="006F3F4D">
        <w:rPr>
          <w:lang w:val="en-US"/>
        </w:rPr>
        <w:t xml:space="preserve"> </w:t>
      </w:r>
    </w:p>
    <w:p w14:paraId="5F5A85F4" w14:textId="77777777" w:rsidR="00CF4F81" w:rsidRDefault="00CF4F81" w:rsidP="00CF4F81">
      <w:pPr>
        <w:spacing w:before="0" w:after="160" w:line="259" w:lineRule="auto"/>
        <w:jc w:val="left"/>
        <w:rPr>
          <w:lang w:val="en-US"/>
        </w:rPr>
      </w:pPr>
      <w:r>
        <w:rPr>
          <w:noProof/>
          <w:lang w:val="en-US"/>
        </w:rPr>
        <w:lastRenderedPageBreak/>
        <w:drawing>
          <wp:inline distT="0" distB="0" distL="0" distR="0" wp14:anchorId="274FE2F1" wp14:editId="0EA6F99F">
            <wp:extent cx="5731510" cy="6127750"/>
            <wp:effectExtent l="0" t="0" r="2540" b="6350"/>
            <wp:docPr id="1778285288" name="Picture 5" descr="Graphs showing length frequency distributions of common carp collected from the gorge geomorphic zone of the Lower Murray River from 2015–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85288" name="Picture 5" descr="Graphs showing length frequency distributions of common carp collected from the gorge geomorphic zone of the Lower Murray River from 2015–2024."/>
                    <pic:cNvPicPr/>
                  </pic:nvPicPr>
                  <pic:blipFill rotWithShape="1">
                    <a:blip r:embed="rId168" cstate="print">
                      <a:extLst>
                        <a:ext uri="{28A0092B-C50C-407E-A947-70E740481C1C}">
                          <a14:useLocalDpi xmlns:a14="http://schemas.microsoft.com/office/drawing/2010/main" val="0"/>
                        </a:ext>
                      </a:extLst>
                    </a:blip>
                    <a:srcRect t="7611"/>
                    <a:stretch/>
                  </pic:blipFill>
                  <pic:spPr bwMode="auto">
                    <a:xfrm>
                      <a:off x="0" y="0"/>
                      <a:ext cx="5731510" cy="6127750"/>
                    </a:xfrm>
                    <a:prstGeom prst="rect">
                      <a:avLst/>
                    </a:prstGeom>
                    <a:ln>
                      <a:noFill/>
                    </a:ln>
                    <a:extLst>
                      <a:ext uri="{53640926-AAD7-44D8-BBD7-CCE9431645EC}">
                        <a14:shadowObscured xmlns:a14="http://schemas.microsoft.com/office/drawing/2010/main"/>
                      </a:ext>
                    </a:extLst>
                  </pic:spPr>
                </pic:pic>
              </a:graphicData>
            </a:graphic>
          </wp:inline>
        </w:drawing>
      </w:r>
    </w:p>
    <w:p w14:paraId="2ED1BB7B" w14:textId="40641CD9" w:rsidR="00CF4F81" w:rsidRPr="00E759DB" w:rsidRDefault="00CF4F81" w:rsidP="00605FB2">
      <w:pPr>
        <w:pStyle w:val="Captions"/>
      </w:pPr>
      <w:bookmarkStart w:id="642" w:name="_Ref95491924"/>
      <w:bookmarkStart w:id="643" w:name="_Toc103170121"/>
      <w:bookmarkStart w:id="644" w:name="_Toc166771799"/>
      <w:r>
        <w:t>Figure C1</w:t>
      </w:r>
      <w:r w:rsidR="00236D91">
        <w:t>1</w:t>
      </w:r>
      <w:r>
        <w:t xml:space="preserve">. </w:t>
      </w:r>
      <w:bookmarkEnd w:id="642"/>
      <w:r w:rsidRPr="001F30EA">
        <w:t xml:space="preserve">Length frequency distributions of </w:t>
      </w:r>
      <w:r>
        <w:t>common carp</w:t>
      </w:r>
      <w:r w:rsidRPr="001F30EA">
        <w:t xml:space="preserve"> collected from the gorge geomorphic zone of the Lower Murray River from 201</w:t>
      </w:r>
      <w:r>
        <w:t>5–2024.</w:t>
      </w:r>
      <w:bookmarkEnd w:id="643"/>
      <w:bookmarkEnd w:id="644"/>
    </w:p>
    <w:p w14:paraId="1BCCBC34" w14:textId="77777777" w:rsidR="00CF10A2" w:rsidRDefault="00CF10A2" w:rsidP="00420794">
      <w:pPr>
        <w:pStyle w:val="Heading1"/>
        <w:numPr>
          <w:ilvl w:val="0"/>
          <w:numId w:val="0"/>
        </w:numPr>
        <w:ind w:left="851" w:hanging="851"/>
        <w:sectPr w:rsidR="00CF10A2" w:rsidSect="008D628A">
          <w:pgSz w:w="11906" w:h="16838"/>
          <w:pgMar w:top="1440" w:right="1440" w:bottom="1440" w:left="1440" w:header="708" w:footer="708" w:gutter="0"/>
          <w:cols w:space="708"/>
          <w:docGrid w:linePitch="360"/>
        </w:sectPr>
      </w:pPr>
    </w:p>
    <w:p w14:paraId="5A2AC257" w14:textId="0784C929" w:rsidR="00420794" w:rsidRDefault="00420794" w:rsidP="00420794">
      <w:pPr>
        <w:pStyle w:val="Heading1"/>
        <w:numPr>
          <w:ilvl w:val="0"/>
          <w:numId w:val="0"/>
        </w:numPr>
        <w:ind w:left="851" w:hanging="851"/>
      </w:pPr>
      <w:bookmarkStart w:id="645" w:name="_Toc200467875"/>
      <w:r w:rsidRPr="00B34E83">
        <w:lastRenderedPageBreak/>
        <w:t xml:space="preserve">Appendix </w:t>
      </w:r>
      <w:r w:rsidR="007A450F">
        <w:t>D</w:t>
      </w:r>
      <w:r w:rsidRPr="00B34E83">
        <w:t>: DEW evaluation questions</w:t>
      </w:r>
      <w:bookmarkEnd w:id="624"/>
      <w:bookmarkEnd w:id="645"/>
    </w:p>
    <w:p w14:paraId="356E7C9E" w14:textId="49F218E3" w:rsidR="00420794" w:rsidRDefault="00420794" w:rsidP="00605FB2">
      <w:pPr>
        <w:pStyle w:val="Captions"/>
      </w:pPr>
      <w:bookmarkStart w:id="646" w:name="_Hlk207969197"/>
      <w:r w:rsidRPr="00D7222B">
        <w:t>T</w:t>
      </w:r>
      <w:r>
        <w:t xml:space="preserve">able </w:t>
      </w:r>
      <w:r w:rsidR="007A450F">
        <w:t>D</w:t>
      </w:r>
      <w:r>
        <w:t>1.</w:t>
      </w:r>
      <w:r w:rsidRPr="00D7222B">
        <w:t xml:space="preserve"> </w:t>
      </w:r>
      <w:r>
        <w:t>DEW</w:t>
      </w:r>
      <w:r w:rsidRPr="00D7222B">
        <w:t xml:space="preserve"> short-term (o</w:t>
      </w:r>
      <w:r>
        <w:t xml:space="preserve">ne-year) </w:t>
      </w:r>
      <w:r w:rsidRPr="00D417C9">
        <w:t xml:space="preserve">and long-term (five-year) </w:t>
      </w:r>
      <w:r>
        <w:t xml:space="preserve">evaluation questions for </w:t>
      </w:r>
      <w:r w:rsidR="0036587D">
        <w:t>CEWH</w:t>
      </w:r>
      <w:r>
        <w:t xml:space="preserve"> LTIM/MER</w:t>
      </w:r>
      <w:r w:rsidRPr="00D7222B">
        <w:t xml:space="preserve"> indicators. </w:t>
      </w:r>
      <w:r w:rsidRPr="005353CE">
        <w:t>Evaluation</w:t>
      </w:r>
      <w:r w:rsidRPr="00D7222B">
        <w:t xml:space="preserve"> questions are </w:t>
      </w:r>
      <w:r>
        <w:t xml:space="preserve">based on ecological targets from the Long-Term Environmental Watering Plan (LTWP) for the </w:t>
      </w:r>
      <w:r w:rsidR="00397232">
        <w:t>S</w:t>
      </w:r>
      <w:r w:rsidR="00031CB0">
        <w:t>outh Australian</w:t>
      </w:r>
      <w:r>
        <w:t xml:space="preserve"> Murray</w:t>
      </w:r>
      <w:r w:rsidRPr="00867B05">
        <w:t xml:space="preserve"> </w:t>
      </w:r>
      <w:r>
        <w:t>River and Basin Plan Matter 8 report</w:t>
      </w:r>
      <w:r w:rsidRPr="00D7222B">
        <w:t>.</w:t>
      </w:r>
      <w:r>
        <w:t xml:space="preserve"> DEW</w:t>
      </w:r>
      <w:r w:rsidRPr="00F76FD2">
        <w:t xml:space="preserve"> evaluation questions serve as ‘additional’ questions as there may be some </w:t>
      </w:r>
      <w:r w:rsidR="0036587D">
        <w:t>CEWH</w:t>
      </w:r>
      <w:r w:rsidRPr="00F76FD2">
        <w:t xml:space="preserve"> questions</w:t>
      </w:r>
      <w:r>
        <w:t xml:space="preserve"> that are also relevant to DEW</w:t>
      </w:r>
      <w:r w:rsidRPr="00F76FD2">
        <w:t>’s targets from the LTWP</w:t>
      </w:r>
      <w:r>
        <w:t xml:space="preserve"> and/or the Matter 8 report</w:t>
      </w:r>
      <w:r w:rsidRPr="00F76FD2">
        <w:t>.</w:t>
      </w:r>
      <w:r>
        <w:t xml:space="preserve"> CEW = Commonwealth environmental water; eWater = environmental water</w:t>
      </w:r>
      <w:r w:rsidRPr="000D022A">
        <w:t>.</w:t>
      </w:r>
    </w:p>
    <w:p w14:paraId="6AAF7A49" w14:textId="77777777" w:rsidR="00420794" w:rsidRPr="00107534" w:rsidRDefault="00420794" w:rsidP="00420794">
      <w:pPr>
        <w:pStyle w:val="NoSpacing"/>
        <w:rPr>
          <w:rFonts w:ascii="Century Gothic" w:hAnsi="Century Gothic"/>
          <w:sz w:val="19"/>
          <w:szCs w:val="19"/>
        </w:rPr>
      </w:pPr>
      <w:bookmarkStart w:id="647" w:name="_Toc3558350"/>
      <w:bookmarkEnd w:id="646"/>
      <w:r w:rsidRPr="00107534">
        <w:rPr>
          <w:rFonts w:ascii="Century Gothic" w:hAnsi="Century Gothic"/>
          <w:sz w:val="19"/>
          <w:szCs w:val="19"/>
        </w:rPr>
        <w:t>Contribution</w:t>
      </w:r>
      <w:r>
        <w:rPr>
          <w:rFonts w:ascii="Century Gothic" w:hAnsi="Century Gothic"/>
          <w:sz w:val="19"/>
          <w:szCs w:val="19"/>
        </w:rPr>
        <w:t xml:space="preserve"> (t</w:t>
      </w:r>
      <w:r w:rsidRPr="003127BA">
        <w:rPr>
          <w:rFonts w:ascii="Century Gothic" w:hAnsi="Century Gothic"/>
          <w:sz w:val="19"/>
          <w:szCs w:val="19"/>
        </w:rPr>
        <w:t>o what extent CEW contributed towards the outcome</w:t>
      </w:r>
      <w:r>
        <w:rPr>
          <w:rFonts w:ascii="Century Gothic" w:hAnsi="Century Gothic"/>
          <w:sz w:val="19"/>
          <w:szCs w:val="19"/>
        </w:rPr>
        <w:t>, with the significance of the outcome considered):</w:t>
      </w:r>
    </w:p>
    <w:tbl>
      <w:tblPr>
        <w:tblW w:w="6961" w:type="dxa"/>
        <w:tblLook w:val="04A0" w:firstRow="1" w:lastRow="0" w:firstColumn="1" w:lastColumn="0" w:noHBand="0" w:noVBand="1"/>
      </w:tblPr>
      <w:tblGrid>
        <w:gridCol w:w="222"/>
        <w:gridCol w:w="1066"/>
        <w:gridCol w:w="222"/>
        <w:gridCol w:w="1704"/>
        <w:gridCol w:w="222"/>
        <w:gridCol w:w="727"/>
        <w:gridCol w:w="222"/>
        <w:gridCol w:w="1144"/>
        <w:gridCol w:w="222"/>
        <w:gridCol w:w="1210"/>
      </w:tblGrid>
      <w:tr w:rsidR="0080390A" w:rsidRPr="004561A6" w14:paraId="67DF34C5" w14:textId="77777777" w:rsidTr="00593A7B">
        <w:tc>
          <w:tcPr>
            <w:tcW w:w="222" w:type="dxa"/>
            <w:shd w:val="clear" w:color="auto" w:fill="D9D9D9" w:themeFill="background1" w:themeFillShade="D9"/>
          </w:tcPr>
          <w:p w14:paraId="18FF26A0" w14:textId="77777777" w:rsidR="0080390A" w:rsidRPr="004561A6" w:rsidRDefault="0080390A" w:rsidP="00593A7B">
            <w:pPr>
              <w:contextualSpacing/>
              <w:rPr>
                <w:sz w:val="18"/>
                <w:szCs w:val="18"/>
              </w:rPr>
            </w:pPr>
          </w:p>
        </w:tc>
        <w:tc>
          <w:tcPr>
            <w:tcW w:w="1066" w:type="dxa"/>
            <w:vAlign w:val="center"/>
          </w:tcPr>
          <w:p w14:paraId="0F798E30" w14:textId="77777777" w:rsidR="0080390A" w:rsidRPr="004561A6" w:rsidRDefault="0080390A" w:rsidP="00593A7B">
            <w:pPr>
              <w:contextualSpacing/>
              <w:rPr>
                <w:sz w:val="18"/>
                <w:szCs w:val="18"/>
              </w:rPr>
            </w:pPr>
            <w:r w:rsidRPr="004561A6">
              <w:rPr>
                <w:sz w:val="18"/>
                <w:szCs w:val="18"/>
              </w:rPr>
              <w:t>Unknown</w:t>
            </w:r>
          </w:p>
        </w:tc>
        <w:tc>
          <w:tcPr>
            <w:tcW w:w="222" w:type="dxa"/>
            <w:shd w:val="clear" w:color="auto" w:fill="E2EFD9" w:themeFill="accent6" w:themeFillTint="33"/>
            <w:vAlign w:val="center"/>
          </w:tcPr>
          <w:p w14:paraId="4550748B" w14:textId="77777777" w:rsidR="0080390A" w:rsidRPr="004561A6" w:rsidRDefault="0080390A" w:rsidP="00593A7B">
            <w:pPr>
              <w:contextualSpacing/>
              <w:rPr>
                <w:sz w:val="18"/>
                <w:szCs w:val="18"/>
              </w:rPr>
            </w:pPr>
          </w:p>
        </w:tc>
        <w:tc>
          <w:tcPr>
            <w:tcW w:w="1704" w:type="dxa"/>
            <w:vAlign w:val="center"/>
          </w:tcPr>
          <w:p w14:paraId="3A93DFAC" w14:textId="77777777" w:rsidR="0080390A" w:rsidRPr="004561A6" w:rsidRDefault="0080390A" w:rsidP="00593A7B">
            <w:pPr>
              <w:contextualSpacing/>
              <w:rPr>
                <w:sz w:val="18"/>
                <w:szCs w:val="18"/>
              </w:rPr>
            </w:pPr>
            <w:r w:rsidRPr="004561A6">
              <w:rPr>
                <w:sz w:val="18"/>
                <w:szCs w:val="18"/>
              </w:rPr>
              <w:t>None/negligible</w:t>
            </w:r>
          </w:p>
        </w:tc>
        <w:tc>
          <w:tcPr>
            <w:tcW w:w="222" w:type="dxa"/>
            <w:shd w:val="clear" w:color="auto" w:fill="A8D08D" w:themeFill="accent6" w:themeFillTint="99"/>
            <w:vAlign w:val="center"/>
          </w:tcPr>
          <w:p w14:paraId="55F8A7E5" w14:textId="77777777" w:rsidR="0080390A" w:rsidRPr="004561A6" w:rsidRDefault="0080390A" w:rsidP="00593A7B">
            <w:pPr>
              <w:contextualSpacing/>
              <w:rPr>
                <w:sz w:val="18"/>
                <w:szCs w:val="18"/>
              </w:rPr>
            </w:pPr>
          </w:p>
        </w:tc>
        <w:tc>
          <w:tcPr>
            <w:tcW w:w="727" w:type="dxa"/>
            <w:vAlign w:val="center"/>
          </w:tcPr>
          <w:p w14:paraId="3F4DD0F0" w14:textId="77777777" w:rsidR="0080390A" w:rsidRPr="004561A6" w:rsidRDefault="0080390A" w:rsidP="00593A7B">
            <w:pPr>
              <w:contextualSpacing/>
              <w:rPr>
                <w:sz w:val="18"/>
                <w:szCs w:val="18"/>
              </w:rPr>
            </w:pPr>
            <w:r w:rsidRPr="004561A6">
              <w:rPr>
                <w:sz w:val="18"/>
                <w:szCs w:val="18"/>
              </w:rPr>
              <w:t>Minor</w:t>
            </w:r>
          </w:p>
        </w:tc>
        <w:tc>
          <w:tcPr>
            <w:tcW w:w="222" w:type="dxa"/>
            <w:shd w:val="clear" w:color="auto" w:fill="70AD47" w:themeFill="accent6"/>
            <w:vAlign w:val="center"/>
          </w:tcPr>
          <w:p w14:paraId="27554B60" w14:textId="77777777" w:rsidR="0080390A" w:rsidRPr="004561A6" w:rsidRDefault="0080390A" w:rsidP="00593A7B">
            <w:pPr>
              <w:contextualSpacing/>
              <w:rPr>
                <w:sz w:val="18"/>
                <w:szCs w:val="18"/>
              </w:rPr>
            </w:pPr>
          </w:p>
        </w:tc>
        <w:tc>
          <w:tcPr>
            <w:tcW w:w="1144" w:type="dxa"/>
            <w:vAlign w:val="center"/>
          </w:tcPr>
          <w:p w14:paraId="0E396098" w14:textId="77777777" w:rsidR="0080390A" w:rsidRPr="004561A6" w:rsidRDefault="0080390A" w:rsidP="00593A7B">
            <w:pPr>
              <w:contextualSpacing/>
              <w:rPr>
                <w:sz w:val="18"/>
                <w:szCs w:val="18"/>
              </w:rPr>
            </w:pPr>
            <w:r w:rsidRPr="004561A6">
              <w:rPr>
                <w:sz w:val="18"/>
                <w:szCs w:val="18"/>
              </w:rPr>
              <w:t>Moderate</w:t>
            </w:r>
          </w:p>
        </w:tc>
        <w:tc>
          <w:tcPr>
            <w:tcW w:w="222" w:type="dxa"/>
            <w:shd w:val="clear" w:color="auto" w:fill="5B9BD5" w:themeFill="accent1"/>
          </w:tcPr>
          <w:p w14:paraId="4A3B5BF8" w14:textId="77777777" w:rsidR="0080390A" w:rsidRPr="004561A6" w:rsidRDefault="0080390A" w:rsidP="00593A7B">
            <w:pPr>
              <w:contextualSpacing/>
              <w:rPr>
                <w:sz w:val="18"/>
                <w:szCs w:val="18"/>
              </w:rPr>
            </w:pPr>
          </w:p>
        </w:tc>
        <w:tc>
          <w:tcPr>
            <w:tcW w:w="1210" w:type="dxa"/>
            <w:vAlign w:val="center"/>
          </w:tcPr>
          <w:p w14:paraId="62440E23" w14:textId="77777777" w:rsidR="0080390A" w:rsidRPr="004561A6" w:rsidRDefault="0080390A" w:rsidP="00593A7B">
            <w:pPr>
              <w:contextualSpacing/>
              <w:jc w:val="left"/>
              <w:rPr>
                <w:sz w:val="18"/>
                <w:szCs w:val="18"/>
              </w:rPr>
            </w:pPr>
            <w:r w:rsidRPr="004561A6">
              <w:rPr>
                <w:sz w:val="18"/>
                <w:szCs w:val="18"/>
              </w:rPr>
              <w:t>Substantial</w:t>
            </w:r>
          </w:p>
        </w:tc>
      </w:tr>
    </w:tbl>
    <w:p w14:paraId="6541FBB7" w14:textId="77777777" w:rsidR="00420794" w:rsidRDefault="00420794" w:rsidP="00420794">
      <w:pPr>
        <w:spacing w:before="0" w:after="160" w:line="259" w:lineRule="auto"/>
        <w:jc w:val="left"/>
        <w:rPr>
          <w:sz w:val="18"/>
          <w:szCs w:val="17"/>
        </w:rPr>
      </w:pPr>
    </w:p>
    <w:p w14:paraId="2F6279BE" w14:textId="77777777" w:rsidR="00420794" w:rsidRDefault="00420794" w:rsidP="00420794">
      <w:pPr>
        <w:rPr>
          <w:b/>
          <w:lang w:val="en-US"/>
        </w:rPr>
      </w:pPr>
      <w:r w:rsidRPr="00886886">
        <w:rPr>
          <w:b/>
          <w:lang w:val="en-US"/>
        </w:rPr>
        <w:t>Hydrology (Channel) and Hydr</w:t>
      </w:r>
      <w:r>
        <w:rPr>
          <w:b/>
          <w:lang w:val="en-US"/>
        </w:rPr>
        <w:t>aulic</w:t>
      </w:r>
      <w:r w:rsidRPr="00886886">
        <w:rPr>
          <w:b/>
          <w:lang w:val="en-US"/>
        </w:rPr>
        <w:t xml:space="preserve"> Regime (modelling)</w:t>
      </w:r>
    </w:p>
    <w:tbl>
      <w:tblPr>
        <w:tblW w:w="52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le of DEW short-term (one-year) and long-term (five-year) evaluation questions for CEWH LTIM/MER indicators."/>
      </w:tblPr>
      <w:tblGrid>
        <w:gridCol w:w="3500"/>
        <w:gridCol w:w="1055"/>
        <w:gridCol w:w="41"/>
        <w:gridCol w:w="1008"/>
        <w:gridCol w:w="88"/>
        <w:gridCol w:w="964"/>
        <w:gridCol w:w="132"/>
        <w:gridCol w:w="920"/>
        <w:gridCol w:w="185"/>
        <w:gridCol w:w="867"/>
        <w:gridCol w:w="229"/>
        <w:gridCol w:w="823"/>
        <w:gridCol w:w="276"/>
        <w:gridCol w:w="776"/>
        <w:gridCol w:w="320"/>
        <w:gridCol w:w="732"/>
        <w:gridCol w:w="150"/>
        <w:gridCol w:w="864"/>
        <w:gridCol w:w="38"/>
        <w:gridCol w:w="1725"/>
      </w:tblGrid>
      <w:tr w:rsidR="00C86C33" w14:paraId="547596C0" w14:textId="77777777" w:rsidTr="00B245A8">
        <w:trPr>
          <w:cantSplit/>
          <w:trHeight w:val="20"/>
          <w:tblHeader/>
        </w:trPr>
        <w:tc>
          <w:tcPr>
            <w:tcW w:w="1191" w:type="pct"/>
            <w:vMerge w:val="restart"/>
            <w:tcBorders>
              <w:top w:val="single" w:sz="4" w:space="0" w:color="auto"/>
              <w:left w:val="single" w:sz="4" w:space="0" w:color="auto"/>
              <w:right w:val="single" w:sz="4" w:space="0" w:color="auto"/>
            </w:tcBorders>
          </w:tcPr>
          <w:p w14:paraId="583F0835" w14:textId="77777777" w:rsidR="00C86C33" w:rsidRPr="00DB2EAD" w:rsidRDefault="00C86C33" w:rsidP="00B245A8">
            <w:pPr>
              <w:pStyle w:val="TableHeading"/>
              <w:jc w:val="center"/>
              <w:rPr>
                <w:sz w:val="19"/>
                <w:szCs w:val="19"/>
              </w:rPr>
            </w:pPr>
            <w:r>
              <w:rPr>
                <w:sz w:val="19"/>
                <w:szCs w:val="19"/>
              </w:rPr>
              <w:t xml:space="preserve">DEW evaluation questions </w:t>
            </w:r>
          </w:p>
        </w:tc>
        <w:tc>
          <w:tcPr>
            <w:tcW w:w="3809" w:type="pct"/>
            <w:gridSpan w:val="19"/>
            <w:tcBorders>
              <w:top w:val="single" w:sz="4" w:space="0" w:color="auto"/>
              <w:left w:val="single" w:sz="4" w:space="0" w:color="auto"/>
              <w:right w:val="single" w:sz="4" w:space="0" w:color="auto"/>
            </w:tcBorders>
          </w:tcPr>
          <w:p w14:paraId="052AC288" w14:textId="77777777" w:rsidR="00C86C33" w:rsidRDefault="00C86C33" w:rsidP="00B245A8">
            <w:pPr>
              <w:pStyle w:val="TableHeading"/>
              <w:jc w:val="center"/>
              <w:rPr>
                <w:sz w:val="19"/>
                <w:szCs w:val="19"/>
              </w:rPr>
            </w:pPr>
            <w:r>
              <w:rPr>
                <w:sz w:val="19"/>
                <w:szCs w:val="19"/>
              </w:rPr>
              <w:t>Outcomes of CEW delivery (2014–2023)</w:t>
            </w:r>
          </w:p>
        </w:tc>
      </w:tr>
      <w:tr w:rsidR="00C86C33" w14:paraId="08DE0056" w14:textId="77777777" w:rsidTr="00B245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cantSplit/>
          <w:trHeight w:val="20"/>
          <w:tblHeader/>
        </w:trPr>
        <w:tc>
          <w:tcPr>
            <w:tcW w:w="1191" w:type="pct"/>
            <w:vMerge/>
            <w:tcBorders>
              <w:left w:val="single" w:sz="4" w:space="0" w:color="auto"/>
              <w:bottom w:val="single" w:sz="8" w:space="0" w:color="auto"/>
              <w:right w:val="single" w:sz="4" w:space="0" w:color="auto"/>
            </w:tcBorders>
            <w:vAlign w:val="center"/>
            <w:hideMark/>
          </w:tcPr>
          <w:p w14:paraId="3E251832" w14:textId="77777777" w:rsidR="00C86C33" w:rsidRDefault="00C86C33" w:rsidP="00B245A8">
            <w:pPr>
              <w:rPr>
                <w:rFonts w:eastAsiaTheme="minorHAnsi" w:cs="Calibri"/>
                <w:b/>
                <w:bCs/>
                <w:sz w:val="19"/>
                <w:szCs w:val="19"/>
              </w:rPr>
            </w:pPr>
          </w:p>
        </w:tc>
        <w:tc>
          <w:tcPr>
            <w:tcW w:w="359" w:type="pct"/>
            <w:tcBorders>
              <w:top w:val="nil"/>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301E04D7" w14:textId="77777777" w:rsidR="00C86C33" w:rsidRDefault="00C86C33" w:rsidP="00B245A8">
            <w:pPr>
              <w:pStyle w:val="TableHeading"/>
              <w:jc w:val="center"/>
              <w:rPr>
                <w:sz w:val="19"/>
                <w:szCs w:val="19"/>
              </w:rPr>
            </w:pPr>
            <w:r>
              <w:rPr>
                <w:sz w:val="19"/>
                <w:szCs w:val="19"/>
              </w:rPr>
              <w:t>2014-15</w:t>
            </w:r>
          </w:p>
        </w:tc>
        <w:tc>
          <w:tcPr>
            <w:tcW w:w="35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AC7B4F" w14:textId="77777777" w:rsidR="00C86C33" w:rsidRDefault="00C86C33" w:rsidP="00B245A8">
            <w:pPr>
              <w:pStyle w:val="TableHeading"/>
              <w:jc w:val="center"/>
              <w:rPr>
                <w:sz w:val="19"/>
                <w:szCs w:val="19"/>
              </w:rPr>
            </w:pPr>
            <w:r>
              <w:rPr>
                <w:sz w:val="19"/>
                <w:szCs w:val="19"/>
              </w:rPr>
              <w:t>2015-16</w:t>
            </w:r>
          </w:p>
        </w:tc>
        <w:tc>
          <w:tcPr>
            <w:tcW w:w="35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0338F4" w14:textId="77777777" w:rsidR="00C86C33" w:rsidRDefault="00C86C33" w:rsidP="00B245A8">
            <w:pPr>
              <w:pStyle w:val="TableHeading"/>
              <w:jc w:val="center"/>
              <w:rPr>
                <w:sz w:val="19"/>
                <w:szCs w:val="19"/>
              </w:rPr>
            </w:pPr>
            <w:r>
              <w:rPr>
                <w:sz w:val="19"/>
                <w:szCs w:val="19"/>
              </w:rPr>
              <w:t>2016-17</w:t>
            </w:r>
          </w:p>
        </w:tc>
        <w:tc>
          <w:tcPr>
            <w:tcW w:w="35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ACA569" w14:textId="77777777" w:rsidR="00C86C33" w:rsidRDefault="00C86C33" w:rsidP="00B245A8">
            <w:pPr>
              <w:pStyle w:val="TableHeading"/>
              <w:jc w:val="center"/>
              <w:rPr>
                <w:sz w:val="19"/>
                <w:szCs w:val="19"/>
              </w:rPr>
            </w:pPr>
            <w:r>
              <w:rPr>
                <w:sz w:val="19"/>
                <w:szCs w:val="19"/>
              </w:rPr>
              <w:t>2017-18</w:t>
            </w:r>
          </w:p>
        </w:tc>
        <w:tc>
          <w:tcPr>
            <w:tcW w:w="35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526C89" w14:textId="77777777" w:rsidR="00C86C33" w:rsidRDefault="00C86C33" w:rsidP="00B245A8">
            <w:pPr>
              <w:pStyle w:val="TableHeading"/>
              <w:jc w:val="center"/>
              <w:rPr>
                <w:sz w:val="19"/>
                <w:szCs w:val="19"/>
              </w:rPr>
            </w:pPr>
            <w:r>
              <w:rPr>
                <w:sz w:val="19"/>
                <w:szCs w:val="19"/>
              </w:rPr>
              <w:t>2018-19</w:t>
            </w:r>
          </w:p>
        </w:tc>
        <w:tc>
          <w:tcPr>
            <w:tcW w:w="35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1A90DE" w14:textId="77777777" w:rsidR="00C86C33" w:rsidRDefault="00C86C33" w:rsidP="00B245A8">
            <w:pPr>
              <w:pStyle w:val="TableHeading"/>
              <w:jc w:val="center"/>
              <w:rPr>
                <w:sz w:val="19"/>
                <w:szCs w:val="19"/>
              </w:rPr>
            </w:pPr>
            <w:r>
              <w:rPr>
                <w:sz w:val="19"/>
                <w:szCs w:val="19"/>
              </w:rPr>
              <w:t>2019-20</w:t>
            </w:r>
          </w:p>
        </w:tc>
        <w:tc>
          <w:tcPr>
            <w:tcW w:w="35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5349154" w14:textId="77777777" w:rsidR="00C86C33" w:rsidRDefault="00C86C33" w:rsidP="00B245A8">
            <w:pPr>
              <w:pStyle w:val="TableHeading"/>
              <w:jc w:val="center"/>
              <w:rPr>
                <w:sz w:val="19"/>
                <w:szCs w:val="19"/>
              </w:rPr>
            </w:pPr>
            <w:r>
              <w:rPr>
                <w:sz w:val="19"/>
                <w:szCs w:val="19"/>
              </w:rPr>
              <w:t>2020-21</w:t>
            </w:r>
          </w:p>
        </w:tc>
        <w:tc>
          <w:tcPr>
            <w:tcW w:w="358" w:type="pct"/>
            <w:gridSpan w:val="2"/>
            <w:tcBorders>
              <w:top w:val="nil"/>
              <w:left w:val="nil"/>
              <w:bottom w:val="single" w:sz="8" w:space="0" w:color="auto"/>
              <w:right w:val="single" w:sz="4" w:space="0" w:color="auto"/>
            </w:tcBorders>
          </w:tcPr>
          <w:p w14:paraId="0CB826F3" w14:textId="77777777" w:rsidR="00C86C33" w:rsidRDefault="00C86C33" w:rsidP="00B245A8">
            <w:pPr>
              <w:pStyle w:val="TableHeading"/>
              <w:jc w:val="center"/>
              <w:rPr>
                <w:sz w:val="19"/>
                <w:szCs w:val="19"/>
              </w:rPr>
            </w:pPr>
            <w:r>
              <w:rPr>
                <w:sz w:val="19"/>
                <w:szCs w:val="19"/>
              </w:rPr>
              <w:t>2021-22</w:t>
            </w:r>
          </w:p>
        </w:tc>
        <w:tc>
          <w:tcPr>
            <w:tcW w:w="358" w:type="pct"/>
            <w:gridSpan w:val="3"/>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0FBAED2E" w14:textId="77777777" w:rsidR="00C86C33" w:rsidRDefault="00C86C33" w:rsidP="00B245A8">
            <w:pPr>
              <w:pStyle w:val="TableHeading"/>
              <w:jc w:val="center"/>
              <w:rPr>
                <w:sz w:val="19"/>
                <w:szCs w:val="19"/>
              </w:rPr>
            </w:pPr>
            <w:r>
              <w:rPr>
                <w:sz w:val="19"/>
                <w:szCs w:val="19"/>
              </w:rPr>
              <w:t>2022-23</w:t>
            </w:r>
          </w:p>
        </w:tc>
        <w:tc>
          <w:tcPr>
            <w:tcW w:w="587" w:type="pct"/>
            <w:tcBorders>
              <w:top w:val="nil"/>
              <w:left w:val="single" w:sz="4" w:space="0" w:color="auto"/>
              <w:bottom w:val="single" w:sz="8" w:space="0" w:color="auto"/>
              <w:right w:val="single" w:sz="8" w:space="0" w:color="auto"/>
            </w:tcBorders>
          </w:tcPr>
          <w:p w14:paraId="1129BA55" w14:textId="77777777" w:rsidR="00C86C33" w:rsidRDefault="00C86C33" w:rsidP="00B245A8">
            <w:pPr>
              <w:pStyle w:val="TableHeading"/>
              <w:jc w:val="center"/>
              <w:rPr>
                <w:sz w:val="19"/>
                <w:szCs w:val="19"/>
              </w:rPr>
            </w:pPr>
            <w:r>
              <w:rPr>
                <w:sz w:val="19"/>
                <w:szCs w:val="19"/>
              </w:rPr>
              <w:t>2023-24</w:t>
            </w:r>
          </w:p>
        </w:tc>
      </w:tr>
      <w:tr w:rsidR="00C86C33" w14:paraId="7352C543" w14:textId="77777777" w:rsidTr="00FE5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cantSplit/>
          <w:trHeight w:val="20"/>
        </w:trPr>
        <w:tc>
          <w:tcPr>
            <w:tcW w:w="119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BF9239" w14:textId="77777777" w:rsidR="00C86C33" w:rsidRDefault="00C86C33" w:rsidP="00B245A8">
            <w:pPr>
              <w:pStyle w:val="TableHeading"/>
              <w:jc w:val="left"/>
              <w:rPr>
                <w:b w:val="0"/>
                <w:sz w:val="19"/>
                <w:szCs w:val="19"/>
              </w:rPr>
            </w:pPr>
            <w:r>
              <w:rPr>
                <w:b w:val="0"/>
                <w:bCs/>
                <w:sz w:val="19"/>
                <w:szCs w:val="19"/>
              </w:rPr>
              <w:t>To what extent did CEW contribute to meeting the EWRs (all metrics) for the Lower Murray Channel?</w:t>
            </w:r>
          </w:p>
        </w:tc>
        <w:tc>
          <w:tcPr>
            <w:tcW w:w="359" w:type="pct"/>
            <w:tcBorders>
              <w:top w:val="nil"/>
              <w:left w:val="nil"/>
              <w:bottom w:val="single" w:sz="8" w:space="0" w:color="auto"/>
              <w:right w:val="single" w:sz="8" w:space="0" w:color="auto"/>
            </w:tcBorders>
            <w:shd w:val="clear" w:color="auto" w:fill="E2EFD9"/>
            <w:tcMar>
              <w:top w:w="0" w:type="dxa"/>
              <w:left w:w="108" w:type="dxa"/>
              <w:bottom w:w="0" w:type="dxa"/>
              <w:right w:w="108" w:type="dxa"/>
            </w:tcMar>
            <w:hideMark/>
          </w:tcPr>
          <w:p w14:paraId="1B596A47" w14:textId="77777777" w:rsidR="00C86C33" w:rsidRDefault="00C86C33" w:rsidP="00B245A8">
            <w:pPr>
              <w:pStyle w:val="TableHeading"/>
              <w:jc w:val="left"/>
              <w:rPr>
                <w:bCs/>
                <w:sz w:val="19"/>
                <w:szCs w:val="19"/>
              </w:rPr>
            </w:pPr>
            <w:r>
              <w:rPr>
                <w:sz w:val="19"/>
                <w:szCs w:val="19"/>
              </w:rPr>
              <w:t xml:space="preserve">0/0 </w:t>
            </w:r>
          </w:p>
        </w:tc>
        <w:tc>
          <w:tcPr>
            <w:tcW w:w="357" w:type="pct"/>
            <w:gridSpan w:val="2"/>
            <w:tcBorders>
              <w:top w:val="nil"/>
              <w:left w:val="nil"/>
              <w:bottom w:val="single" w:sz="8" w:space="0" w:color="auto"/>
              <w:right w:val="single" w:sz="8" w:space="0" w:color="auto"/>
            </w:tcBorders>
            <w:shd w:val="clear" w:color="auto" w:fill="A8D08D"/>
            <w:tcMar>
              <w:top w:w="0" w:type="dxa"/>
              <w:left w:w="108" w:type="dxa"/>
              <w:bottom w:w="0" w:type="dxa"/>
              <w:right w:w="108" w:type="dxa"/>
            </w:tcMar>
            <w:hideMark/>
          </w:tcPr>
          <w:p w14:paraId="504EE9E7" w14:textId="77777777" w:rsidR="00C86C33" w:rsidRDefault="00C86C33" w:rsidP="00B245A8">
            <w:pPr>
              <w:pStyle w:val="TableHeading"/>
              <w:jc w:val="left"/>
              <w:rPr>
                <w:sz w:val="19"/>
                <w:szCs w:val="19"/>
              </w:rPr>
            </w:pPr>
            <w:r>
              <w:rPr>
                <w:sz w:val="19"/>
                <w:szCs w:val="19"/>
              </w:rPr>
              <w:t>1/0</w:t>
            </w:r>
          </w:p>
        </w:tc>
        <w:tc>
          <w:tcPr>
            <w:tcW w:w="358" w:type="pct"/>
            <w:gridSpan w:val="2"/>
            <w:tcBorders>
              <w:top w:val="nil"/>
              <w:left w:val="nil"/>
              <w:bottom w:val="single" w:sz="8" w:space="0" w:color="auto"/>
              <w:right w:val="single" w:sz="8" w:space="0" w:color="auto"/>
            </w:tcBorders>
            <w:shd w:val="clear" w:color="auto" w:fill="E2EFD9"/>
            <w:tcMar>
              <w:top w:w="0" w:type="dxa"/>
              <w:left w:w="108" w:type="dxa"/>
              <w:bottom w:w="0" w:type="dxa"/>
              <w:right w:w="108" w:type="dxa"/>
            </w:tcMar>
            <w:hideMark/>
          </w:tcPr>
          <w:p w14:paraId="7E702106" w14:textId="77777777" w:rsidR="00C86C33" w:rsidRDefault="00C86C33" w:rsidP="00B245A8">
            <w:pPr>
              <w:pStyle w:val="TableHeading"/>
              <w:jc w:val="left"/>
              <w:rPr>
                <w:sz w:val="19"/>
                <w:szCs w:val="19"/>
              </w:rPr>
            </w:pPr>
            <w:r>
              <w:rPr>
                <w:sz w:val="19"/>
                <w:szCs w:val="19"/>
              </w:rPr>
              <w:t>9/9</w:t>
            </w:r>
          </w:p>
        </w:tc>
        <w:tc>
          <w:tcPr>
            <w:tcW w:w="358" w:type="pct"/>
            <w:gridSpan w:val="2"/>
            <w:tcBorders>
              <w:top w:val="nil"/>
              <w:left w:val="nil"/>
              <w:bottom w:val="single" w:sz="8" w:space="0" w:color="auto"/>
              <w:right w:val="single" w:sz="8" w:space="0" w:color="auto"/>
            </w:tcBorders>
            <w:shd w:val="clear" w:color="auto" w:fill="A8D08D"/>
            <w:tcMar>
              <w:top w:w="0" w:type="dxa"/>
              <w:left w:w="108" w:type="dxa"/>
              <w:bottom w:w="0" w:type="dxa"/>
              <w:right w:w="108" w:type="dxa"/>
            </w:tcMar>
            <w:hideMark/>
          </w:tcPr>
          <w:p w14:paraId="2EAFE8C7" w14:textId="77777777" w:rsidR="00C86C33" w:rsidRDefault="00C86C33" w:rsidP="00B245A8">
            <w:pPr>
              <w:pStyle w:val="TableHeading"/>
              <w:jc w:val="left"/>
              <w:rPr>
                <w:sz w:val="19"/>
                <w:szCs w:val="19"/>
              </w:rPr>
            </w:pPr>
            <w:r>
              <w:rPr>
                <w:sz w:val="19"/>
                <w:szCs w:val="19"/>
              </w:rPr>
              <w:t>1/0</w:t>
            </w:r>
          </w:p>
        </w:tc>
        <w:tc>
          <w:tcPr>
            <w:tcW w:w="358" w:type="pct"/>
            <w:gridSpan w:val="2"/>
            <w:tcBorders>
              <w:top w:val="nil"/>
              <w:left w:val="nil"/>
              <w:bottom w:val="single" w:sz="8" w:space="0" w:color="auto"/>
              <w:right w:val="single" w:sz="8" w:space="0" w:color="auto"/>
            </w:tcBorders>
            <w:shd w:val="clear" w:color="auto" w:fill="E2EFD9"/>
            <w:tcMar>
              <w:top w:w="0" w:type="dxa"/>
              <w:left w:w="108" w:type="dxa"/>
              <w:bottom w:w="0" w:type="dxa"/>
              <w:right w:w="108" w:type="dxa"/>
            </w:tcMar>
            <w:hideMark/>
          </w:tcPr>
          <w:p w14:paraId="2D81EF0A" w14:textId="77777777" w:rsidR="00C86C33" w:rsidRDefault="00C86C33" w:rsidP="00B245A8">
            <w:pPr>
              <w:pStyle w:val="TableHeading"/>
              <w:jc w:val="left"/>
              <w:rPr>
                <w:sz w:val="19"/>
                <w:szCs w:val="19"/>
              </w:rPr>
            </w:pPr>
            <w:r>
              <w:rPr>
                <w:sz w:val="19"/>
                <w:szCs w:val="19"/>
              </w:rPr>
              <w:t>0/0</w:t>
            </w:r>
          </w:p>
        </w:tc>
        <w:tc>
          <w:tcPr>
            <w:tcW w:w="358" w:type="pct"/>
            <w:gridSpan w:val="2"/>
            <w:tcBorders>
              <w:top w:val="nil"/>
              <w:left w:val="nil"/>
              <w:bottom w:val="single" w:sz="8" w:space="0" w:color="auto"/>
              <w:right w:val="single" w:sz="8" w:space="0" w:color="auto"/>
            </w:tcBorders>
            <w:shd w:val="clear" w:color="auto" w:fill="E2EFD9"/>
            <w:tcMar>
              <w:top w:w="0" w:type="dxa"/>
              <w:left w:w="108" w:type="dxa"/>
              <w:bottom w:w="0" w:type="dxa"/>
              <w:right w:w="108" w:type="dxa"/>
            </w:tcMar>
            <w:hideMark/>
          </w:tcPr>
          <w:p w14:paraId="6CBC16D1" w14:textId="77777777" w:rsidR="00C86C33" w:rsidRDefault="00C86C33" w:rsidP="00B245A8">
            <w:pPr>
              <w:pStyle w:val="TableHeading"/>
              <w:jc w:val="left"/>
              <w:rPr>
                <w:sz w:val="19"/>
                <w:szCs w:val="19"/>
              </w:rPr>
            </w:pPr>
            <w:r>
              <w:rPr>
                <w:sz w:val="19"/>
                <w:szCs w:val="19"/>
              </w:rPr>
              <w:t>0/0</w:t>
            </w:r>
          </w:p>
        </w:tc>
        <w:tc>
          <w:tcPr>
            <w:tcW w:w="358" w:type="pct"/>
            <w:gridSpan w:val="2"/>
            <w:tcBorders>
              <w:top w:val="nil"/>
              <w:left w:val="nil"/>
              <w:bottom w:val="single" w:sz="8" w:space="0" w:color="auto"/>
              <w:right w:val="single" w:sz="8" w:space="0" w:color="auto"/>
            </w:tcBorders>
            <w:shd w:val="clear" w:color="auto" w:fill="A8D08D"/>
            <w:tcMar>
              <w:top w:w="0" w:type="dxa"/>
              <w:left w:w="108" w:type="dxa"/>
              <w:bottom w:w="0" w:type="dxa"/>
              <w:right w:w="108" w:type="dxa"/>
            </w:tcMar>
            <w:hideMark/>
          </w:tcPr>
          <w:p w14:paraId="06C43502" w14:textId="77777777" w:rsidR="00C86C33" w:rsidRDefault="00C86C33" w:rsidP="00B245A8">
            <w:pPr>
              <w:pStyle w:val="TableHeading"/>
              <w:jc w:val="left"/>
              <w:rPr>
                <w:sz w:val="19"/>
                <w:szCs w:val="19"/>
              </w:rPr>
            </w:pPr>
            <w:r>
              <w:rPr>
                <w:sz w:val="19"/>
                <w:szCs w:val="19"/>
              </w:rPr>
              <w:t>1/0</w:t>
            </w:r>
          </w:p>
        </w:tc>
        <w:tc>
          <w:tcPr>
            <w:tcW w:w="358" w:type="pct"/>
            <w:gridSpan w:val="2"/>
            <w:tcBorders>
              <w:top w:val="single" w:sz="8" w:space="0" w:color="auto"/>
              <w:left w:val="nil"/>
              <w:bottom w:val="single" w:sz="8" w:space="0" w:color="auto"/>
              <w:right w:val="single" w:sz="4" w:space="0" w:color="auto"/>
            </w:tcBorders>
            <w:shd w:val="clear" w:color="auto" w:fill="70AD47"/>
          </w:tcPr>
          <w:p w14:paraId="3032428D" w14:textId="77777777" w:rsidR="00C86C33" w:rsidRDefault="00C86C33" w:rsidP="00B245A8">
            <w:pPr>
              <w:pStyle w:val="TableHeading"/>
              <w:jc w:val="center"/>
              <w:rPr>
                <w:sz w:val="19"/>
                <w:szCs w:val="19"/>
              </w:rPr>
            </w:pPr>
            <w:r>
              <w:rPr>
                <w:sz w:val="19"/>
                <w:szCs w:val="19"/>
              </w:rPr>
              <w:t>5/3</w:t>
            </w:r>
          </w:p>
        </w:tc>
        <w:tc>
          <w:tcPr>
            <w:tcW w:w="358" w:type="pct"/>
            <w:gridSpan w:val="3"/>
            <w:tcBorders>
              <w:top w:val="single" w:sz="8" w:space="0" w:color="auto"/>
              <w:left w:val="single" w:sz="4" w:space="0" w:color="auto"/>
              <w:bottom w:val="single" w:sz="8" w:space="0" w:color="auto"/>
              <w:right w:val="single" w:sz="8" w:space="0" w:color="auto"/>
            </w:tcBorders>
            <w:shd w:val="clear" w:color="auto" w:fill="E2EFD9" w:themeFill="accent6" w:themeFillTint="33"/>
            <w:tcMar>
              <w:top w:w="0" w:type="dxa"/>
              <w:left w:w="108" w:type="dxa"/>
              <w:bottom w:w="0" w:type="dxa"/>
              <w:right w:w="108" w:type="dxa"/>
            </w:tcMar>
            <w:hideMark/>
          </w:tcPr>
          <w:p w14:paraId="132FF73D" w14:textId="77777777" w:rsidR="00C86C33" w:rsidRDefault="00C86C33" w:rsidP="00B245A8">
            <w:pPr>
              <w:pStyle w:val="TableHeading"/>
              <w:jc w:val="left"/>
              <w:rPr>
                <w:sz w:val="19"/>
                <w:szCs w:val="19"/>
              </w:rPr>
            </w:pPr>
            <w:r>
              <w:rPr>
                <w:sz w:val="19"/>
                <w:szCs w:val="19"/>
              </w:rPr>
              <w:t>12/12</w:t>
            </w:r>
          </w:p>
        </w:tc>
        <w:tc>
          <w:tcPr>
            <w:tcW w:w="587" w:type="pct"/>
            <w:tcBorders>
              <w:top w:val="single" w:sz="8" w:space="0" w:color="auto"/>
              <w:left w:val="single" w:sz="4" w:space="0" w:color="auto"/>
              <w:bottom w:val="single" w:sz="8" w:space="0" w:color="auto"/>
              <w:right w:val="single" w:sz="8" w:space="0" w:color="auto"/>
            </w:tcBorders>
            <w:shd w:val="clear" w:color="auto" w:fill="8EAADB" w:themeFill="accent5" w:themeFillTint="99"/>
          </w:tcPr>
          <w:p w14:paraId="322C94BC" w14:textId="77777777" w:rsidR="00C86C33" w:rsidRDefault="00C86C33" w:rsidP="00B245A8">
            <w:pPr>
              <w:pStyle w:val="TableHeading"/>
              <w:jc w:val="left"/>
              <w:rPr>
                <w:sz w:val="19"/>
                <w:szCs w:val="19"/>
              </w:rPr>
            </w:pPr>
            <w:r>
              <w:rPr>
                <w:sz w:val="19"/>
                <w:szCs w:val="19"/>
              </w:rPr>
              <w:t>4</w:t>
            </w:r>
            <w:r w:rsidRPr="00452614">
              <w:rPr>
                <w:sz w:val="19"/>
                <w:szCs w:val="19"/>
              </w:rPr>
              <w:t xml:space="preserve"> EWR met with CEW/</w:t>
            </w:r>
            <w:r>
              <w:rPr>
                <w:sz w:val="19"/>
                <w:szCs w:val="19"/>
              </w:rPr>
              <w:t>1</w:t>
            </w:r>
            <w:r w:rsidRPr="00452614">
              <w:rPr>
                <w:sz w:val="19"/>
                <w:szCs w:val="19"/>
              </w:rPr>
              <w:t xml:space="preserve"> EWR met without CEW</w:t>
            </w:r>
          </w:p>
        </w:tc>
      </w:tr>
      <w:tr w:rsidR="00C86C33" w14:paraId="55922D14" w14:textId="77777777" w:rsidTr="00B245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cantSplit/>
          <w:trHeight w:val="20"/>
        </w:trPr>
        <w:tc>
          <w:tcPr>
            <w:tcW w:w="1191" w:type="pct"/>
            <w:vMerge/>
            <w:tcBorders>
              <w:top w:val="nil"/>
              <w:left w:val="single" w:sz="8" w:space="0" w:color="auto"/>
              <w:bottom w:val="single" w:sz="8" w:space="0" w:color="auto"/>
              <w:right w:val="single" w:sz="8" w:space="0" w:color="auto"/>
            </w:tcBorders>
            <w:vAlign w:val="center"/>
            <w:hideMark/>
          </w:tcPr>
          <w:p w14:paraId="49669ACB" w14:textId="77777777" w:rsidR="00C86C33" w:rsidRDefault="00C86C33" w:rsidP="00B245A8">
            <w:pPr>
              <w:rPr>
                <w:rFonts w:eastAsiaTheme="minorHAnsi" w:cs="Calibri"/>
                <w:sz w:val="19"/>
                <w:szCs w:val="19"/>
              </w:rPr>
            </w:pPr>
          </w:p>
        </w:tc>
        <w:tc>
          <w:tcPr>
            <w:tcW w:w="3809" w:type="pct"/>
            <w:gridSpan w:val="19"/>
            <w:tcBorders>
              <w:top w:val="nil"/>
              <w:left w:val="nil"/>
              <w:bottom w:val="single" w:sz="8" w:space="0" w:color="auto"/>
              <w:right w:val="single" w:sz="8" w:space="0" w:color="auto"/>
            </w:tcBorders>
            <w:shd w:val="clear" w:color="auto" w:fill="A8D08D"/>
          </w:tcPr>
          <w:p w14:paraId="004D368A" w14:textId="77777777" w:rsidR="00C86C33" w:rsidRDefault="00C86C33" w:rsidP="00B245A8">
            <w:pPr>
              <w:pStyle w:val="TableHeading"/>
              <w:jc w:val="left"/>
              <w:rPr>
                <w:b w:val="0"/>
                <w:bCs/>
                <w:sz w:val="19"/>
                <w:szCs w:val="19"/>
              </w:rPr>
            </w:pPr>
            <w:r>
              <w:rPr>
                <w:b w:val="0"/>
                <w:bCs/>
                <w:sz w:val="19"/>
                <w:szCs w:val="19"/>
              </w:rPr>
              <w:t>With CEW, the highest median flow over a 60-day period (90-day period in brackets) between September 2023 and March 2024 was 27,844 ML/d (</w:t>
            </w:r>
            <w:r w:rsidRPr="00107621">
              <w:rPr>
                <w:b w:val="0"/>
                <w:bCs/>
                <w:sz w:val="19"/>
                <w:szCs w:val="19"/>
              </w:rPr>
              <w:t>27</w:t>
            </w:r>
            <w:r>
              <w:rPr>
                <w:b w:val="0"/>
                <w:bCs/>
                <w:sz w:val="19"/>
                <w:szCs w:val="19"/>
              </w:rPr>
              <w:t>,</w:t>
            </w:r>
            <w:r w:rsidRPr="00107621">
              <w:rPr>
                <w:b w:val="0"/>
                <w:bCs/>
                <w:sz w:val="19"/>
                <w:szCs w:val="19"/>
              </w:rPr>
              <w:t>893</w:t>
            </w:r>
            <w:r>
              <w:rPr>
                <w:b w:val="0"/>
                <w:bCs/>
                <w:sz w:val="19"/>
                <w:szCs w:val="19"/>
              </w:rPr>
              <w:t xml:space="preserve"> ML/d), with a minimum flow over this period of 22,172 ML/d (</w:t>
            </w:r>
            <w:r w:rsidRPr="00C64CC3">
              <w:rPr>
                <w:b w:val="0"/>
                <w:bCs/>
                <w:sz w:val="19"/>
                <w:szCs w:val="19"/>
              </w:rPr>
              <w:t>17</w:t>
            </w:r>
            <w:r>
              <w:rPr>
                <w:b w:val="0"/>
                <w:bCs/>
                <w:sz w:val="19"/>
                <w:szCs w:val="19"/>
              </w:rPr>
              <w:t>,</w:t>
            </w:r>
            <w:r w:rsidRPr="00C64CC3">
              <w:rPr>
                <w:b w:val="0"/>
                <w:bCs/>
                <w:sz w:val="19"/>
                <w:szCs w:val="19"/>
              </w:rPr>
              <w:t>113</w:t>
            </w:r>
            <w:r>
              <w:rPr>
                <w:b w:val="0"/>
                <w:bCs/>
                <w:sz w:val="19"/>
                <w:szCs w:val="19"/>
              </w:rPr>
              <w:t xml:space="preserve"> ML/d). Without CEW, the median flow was </w:t>
            </w:r>
            <w:r w:rsidRPr="00C64CC3">
              <w:rPr>
                <w:b w:val="0"/>
                <w:bCs/>
                <w:sz w:val="19"/>
                <w:szCs w:val="19"/>
              </w:rPr>
              <w:t>22</w:t>
            </w:r>
            <w:r>
              <w:rPr>
                <w:b w:val="0"/>
                <w:bCs/>
                <w:sz w:val="19"/>
                <w:szCs w:val="19"/>
              </w:rPr>
              <w:t>,</w:t>
            </w:r>
            <w:r w:rsidRPr="00C64CC3">
              <w:rPr>
                <w:b w:val="0"/>
                <w:bCs/>
                <w:sz w:val="19"/>
                <w:szCs w:val="19"/>
              </w:rPr>
              <w:t>224</w:t>
            </w:r>
            <w:r>
              <w:rPr>
                <w:b w:val="0"/>
                <w:bCs/>
                <w:sz w:val="19"/>
                <w:szCs w:val="19"/>
              </w:rPr>
              <w:t xml:space="preserve"> ML/d</w:t>
            </w:r>
            <w:r w:rsidRPr="00C64CC3">
              <w:rPr>
                <w:b w:val="0"/>
                <w:bCs/>
                <w:sz w:val="19"/>
                <w:szCs w:val="19"/>
              </w:rPr>
              <w:t xml:space="preserve"> </w:t>
            </w:r>
            <w:r>
              <w:rPr>
                <w:b w:val="0"/>
                <w:bCs/>
                <w:sz w:val="19"/>
                <w:szCs w:val="19"/>
              </w:rPr>
              <w:t>(</w:t>
            </w:r>
            <w:r w:rsidRPr="00684608">
              <w:rPr>
                <w:b w:val="0"/>
                <w:bCs/>
                <w:sz w:val="19"/>
                <w:szCs w:val="19"/>
              </w:rPr>
              <w:t>19</w:t>
            </w:r>
            <w:r>
              <w:rPr>
                <w:b w:val="0"/>
                <w:bCs/>
                <w:sz w:val="19"/>
                <w:szCs w:val="19"/>
              </w:rPr>
              <w:t>,</w:t>
            </w:r>
            <w:r w:rsidRPr="00684608">
              <w:rPr>
                <w:b w:val="0"/>
                <w:bCs/>
                <w:sz w:val="19"/>
                <w:szCs w:val="19"/>
              </w:rPr>
              <w:t>814</w:t>
            </w:r>
            <w:r>
              <w:rPr>
                <w:b w:val="0"/>
                <w:bCs/>
                <w:sz w:val="19"/>
                <w:szCs w:val="19"/>
              </w:rPr>
              <w:t xml:space="preserve"> ML/d) with the minimum flow over the period </w:t>
            </w:r>
            <w:r w:rsidRPr="00A549CC">
              <w:rPr>
                <w:b w:val="0"/>
                <w:bCs/>
                <w:sz w:val="19"/>
                <w:szCs w:val="19"/>
              </w:rPr>
              <w:t>12</w:t>
            </w:r>
            <w:r>
              <w:rPr>
                <w:b w:val="0"/>
                <w:bCs/>
                <w:sz w:val="19"/>
                <w:szCs w:val="19"/>
              </w:rPr>
              <w:t>,</w:t>
            </w:r>
            <w:r w:rsidRPr="00A549CC">
              <w:rPr>
                <w:b w:val="0"/>
                <w:bCs/>
                <w:sz w:val="19"/>
                <w:szCs w:val="19"/>
              </w:rPr>
              <w:t xml:space="preserve">843 </w:t>
            </w:r>
            <w:r>
              <w:rPr>
                <w:b w:val="0"/>
                <w:bCs/>
                <w:sz w:val="19"/>
                <w:szCs w:val="19"/>
              </w:rPr>
              <w:t>ML/d (</w:t>
            </w:r>
            <w:r w:rsidRPr="00A549CC">
              <w:rPr>
                <w:b w:val="0"/>
                <w:bCs/>
                <w:sz w:val="19"/>
                <w:szCs w:val="19"/>
              </w:rPr>
              <w:t>9</w:t>
            </w:r>
            <w:r>
              <w:rPr>
                <w:b w:val="0"/>
                <w:bCs/>
                <w:sz w:val="19"/>
                <w:szCs w:val="19"/>
              </w:rPr>
              <w:t>,</w:t>
            </w:r>
            <w:r w:rsidRPr="00A549CC">
              <w:rPr>
                <w:b w:val="0"/>
                <w:bCs/>
                <w:sz w:val="19"/>
                <w:szCs w:val="19"/>
              </w:rPr>
              <w:t>58</w:t>
            </w:r>
            <w:r>
              <w:rPr>
                <w:b w:val="0"/>
                <w:bCs/>
                <w:sz w:val="19"/>
                <w:szCs w:val="19"/>
              </w:rPr>
              <w:t xml:space="preserve">4 ML/d). Hence, only IC1 was met without CEW, but IC1, IC2, IC3 and IC4 were met with CEW. </w:t>
            </w:r>
          </w:p>
          <w:p w14:paraId="2D3208FA" w14:textId="77777777" w:rsidR="00C86C33" w:rsidRPr="00426109" w:rsidRDefault="00C86C33" w:rsidP="00B245A8">
            <w:pPr>
              <w:pStyle w:val="TableHeading"/>
              <w:jc w:val="left"/>
              <w:rPr>
                <w:b w:val="0"/>
                <w:bCs/>
                <w:sz w:val="19"/>
                <w:szCs w:val="19"/>
              </w:rPr>
            </w:pPr>
            <w:r>
              <w:rPr>
                <w:b w:val="0"/>
                <w:bCs/>
                <w:sz w:val="19"/>
                <w:szCs w:val="19"/>
              </w:rPr>
              <w:t xml:space="preserve">Floodplain EWRs are evaluated over September to December and were not met in 2023-24. </w:t>
            </w:r>
          </w:p>
          <w:p w14:paraId="738F252D" w14:textId="77777777" w:rsidR="00C86C33" w:rsidRPr="00452614" w:rsidRDefault="00C86C33" w:rsidP="00B245A8">
            <w:pPr>
              <w:rPr>
                <w:bCs/>
                <w:sz w:val="19"/>
                <w:szCs w:val="19"/>
              </w:rPr>
            </w:pPr>
            <w:r>
              <w:rPr>
                <w:bCs/>
                <w:sz w:val="19"/>
                <w:szCs w:val="19"/>
              </w:rPr>
              <w:t>Total number of EWRs is 7 for the channel + 5 floodplain = 12 (DEW 2020a).</w:t>
            </w:r>
          </w:p>
        </w:tc>
      </w:tr>
      <w:tr w:rsidR="00C86C33" w14:paraId="66F3012D" w14:textId="77777777" w:rsidTr="00FE5AD5">
        <w:tblPrEx>
          <w:tblCellMar>
            <w:left w:w="0" w:type="dxa"/>
            <w:right w:w="0" w:type="dxa"/>
          </w:tblCellMar>
        </w:tblPrEx>
        <w:trPr>
          <w:cantSplit/>
          <w:trHeight w:val="20"/>
        </w:trPr>
        <w:tc>
          <w:tcPr>
            <w:tcW w:w="119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D82A4F" w14:textId="77777777" w:rsidR="00C86C33" w:rsidRDefault="00C86C33" w:rsidP="00B245A8">
            <w:pPr>
              <w:pStyle w:val="TableHeading"/>
              <w:jc w:val="left"/>
              <w:rPr>
                <w:b w:val="0"/>
                <w:bCs/>
                <w:sz w:val="19"/>
                <w:szCs w:val="19"/>
              </w:rPr>
            </w:pPr>
            <w:r>
              <w:rPr>
                <w:b w:val="0"/>
                <w:bCs/>
                <w:sz w:val="19"/>
                <w:szCs w:val="19"/>
              </w:rPr>
              <w:t>To what extent did CEW contribute to meeting the expected outcome for velocity in the Lower Murray?</w:t>
            </w:r>
          </w:p>
          <w:p w14:paraId="76DC14ED" w14:textId="77777777" w:rsidR="00C86C33" w:rsidRDefault="00C86C33" w:rsidP="00B245A8">
            <w:pPr>
              <w:pStyle w:val="TableHeading"/>
              <w:jc w:val="left"/>
              <w:rPr>
                <w:b w:val="0"/>
                <w:bCs/>
                <w:sz w:val="19"/>
                <w:szCs w:val="19"/>
              </w:rPr>
            </w:pPr>
            <w:r>
              <w:rPr>
                <w:b w:val="0"/>
                <w:bCs/>
                <w:i/>
                <w:iCs/>
                <w:sz w:val="19"/>
                <w:szCs w:val="19"/>
              </w:rPr>
              <w:lastRenderedPageBreak/>
              <w:t>The majority of lower third weir pools will have median cross-sectional velocities of &gt;0.3 m/s for at least 60 consecutive days between September–March.</w:t>
            </w:r>
          </w:p>
        </w:tc>
        <w:tc>
          <w:tcPr>
            <w:tcW w:w="373" w:type="pct"/>
            <w:gridSpan w:val="2"/>
            <w:tcBorders>
              <w:top w:val="nil"/>
              <w:left w:val="nil"/>
              <w:right w:val="single" w:sz="8" w:space="0" w:color="auto"/>
            </w:tcBorders>
            <w:shd w:val="clear" w:color="auto" w:fill="E2EFD9"/>
            <w:tcMar>
              <w:top w:w="0" w:type="dxa"/>
              <w:left w:w="108" w:type="dxa"/>
              <w:bottom w:w="0" w:type="dxa"/>
              <w:right w:w="108" w:type="dxa"/>
            </w:tcMar>
            <w:hideMark/>
          </w:tcPr>
          <w:p w14:paraId="741BCE71" w14:textId="77777777" w:rsidR="00C86C33" w:rsidRDefault="00C86C33" w:rsidP="00B245A8">
            <w:pPr>
              <w:pStyle w:val="TableHeading"/>
              <w:jc w:val="left"/>
              <w:rPr>
                <w:bCs/>
                <w:sz w:val="19"/>
                <w:szCs w:val="19"/>
              </w:rPr>
            </w:pPr>
            <w:r>
              <w:rPr>
                <w:sz w:val="19"/>
                <w:szCs w:val="19"/>
              </w:rPr>
              <w:lastRenderedPageBreak/>
              <w:t>0/0</w:t>
            </w:r>
          </w:p>
        </w:tc>
        <w:tc>
          <w:tcPr>
            <w:tcW w:w="373" w:type="pct"/>
            <w:gridSpan w:val="2"/>
            <w:tcBorders>
              <w:top w:val="nil"/>
              <w:left w:val="nil"/>
              <w:right w:val="single" w:sz="8" w:space="0" w:color="auto"/>
            </w:tcBorders>
            <w:shd w:val="clear" w:color="auto" w:fill="E2EFD9"/>
            <w:tcMar>
              <w:top w:w="0" w:type="dxa"/>
              <w:left w:w="108" w:type="dxa"/>
              <w:bottom w:w="0" w:type="dxa"/>
              <w:right w:w="108" w:type="dxa"/>
            </w:tcMar>
            <w:hideMark/>
          </w:tcPr>
          <w:p w14:paraId="69CBB91D" w14:textId="77777777" w:rsidR="00C86C33" w:rsidRDefault="00C86C33" w:rsidP="00B245A8">
            <w:pPr>
              <w:pStyle w:val="TableHeading"/>
              <w:jc w:val="left"/>
              <w:rPr>
                <w:sz w:val="19"/>
                <w:szCs w:val="19"/>
              </w:rPr>
            </w:pPr>
            <w:r>
              <w:rPr>
                <w:sz w:val="19"/>
                <w:szCs w:val="19"/>
              </w:rPr>
              <w:t>0/0</w:t>
            </w:r>
          </w:p>
        </w:tc>
        <w:tc>
          <w:tcPr>
            <w:tcW w:w="373" w:type="pct"/>
            <w:gridSpan w:val="2"/>
            <w:tcBorders>
              <w:top w:val="nil"/>
              <w:left w:val="nil"/>
              <w:right w:val="single" w:sz="8" w:space="0" w:color="auto"/>
            </w:tcBorders>
            <w:shd w:val="clear" w:color="auto" w:fill="E2EFD9"/>
            <w:tcMar>
              <w:top w:w="0" w:type="dxa"/>
              <w:left w:w="108" w:type="dxa"/>
              <w:bottom w:w="0" w:type="dxa"/>
              <w:right w:w="108" w:type="dxa"/>
            </w:tcMar>
            <w:hideMark/>
          </w:tcPr>
          <w:p w14:paraId="47897550" w14:textId="77777777" w:rsidR="00C86C33" w:rsidRDefault="00C86C33" w:rsidP="00B245A8">
            <w:pPr>
              <w:pStyle w:val="TableHeading"/>
              <w:jc w:val="left"/>
              <w:rPr>
                <w:sz w:val="19"/>
                <w:szCs w:val="19"/>
              </w:rPr>
            </w:pPr>
            <w:r>
              <w:rPr>
                <w:sz w:val="19"/>
                <w:szCs w:val="19"/>
              </w:rPr>
              <w:t>1/1</w:t>
            </w:r>
          </w:p>
        </w:tc>
        <w:tc>
          <w:tcPr>
            <w:tcW w:w="376" w:type="pct"/>
            <w:gridSpan w:val="2"/>
            <w:tcBorders>
              <w:top w:val="nil"/>
              <w:left w:val="nil"/>
              <w:right w:val="single" w:sz="8" w:space="0" w:color="auto"/>
            </w:tcBorders>
            <w:shd w:val="clear" w:color="auto" w:fill="E2EFD9"/>
            <w:tcMar>
              <w:top w:w="0" w:type="dxa"/>
              <w:left w:w="108" w:type="dxa"/>
              <w:bottom w:w="0" w:type="dxa"/>
              <w:right w:w="108" w:type="dxa"/>
            </w:tcMar>
            <w:hideMark/>
          </w:tcPr>
          <w:p w14:paraId="7F66477D" w14:textId="77777777" w:rsidR="00C86C33" w:rsidRDefault="00C86C33" w:rsidP="00B245A8">
            <w:pPr>
              <w:pStyle w:val="TableHeading"/>
              <w:jc w:val="left"/>
              <w:rPr>
                <w:sz w:val="19"/>
                <w:szCs w:val="19"/>
              </w:rPr>
            </w:pPr>
            <w:r>
              <w:rPr>
                <w:sz w:val="19"/>
                <w:szCs w:val="19"/>
              </w:rPr>
              <w:t>0/0</w:t>
            </w:r>
          </w:p>
        </w:tc>
        <w:tc>
          <w:tcPr>
            <w:tcW w:w="373" w:type="pct"/>
            <w:gridSpan w:val="2"/>
            <w:tcBorders>
              <w:top w:val="nil"/>
              <w:left w:val="nil"/>
              <w:right w:val="single" w:sz="8" w:space="0" w:color="auto"/>
            </w:tcBorders>
            <w:shd w:val="clear" w:color="auto" w:fill="E2EFD9"/>
            <w:tcMar>
              <w:top w:w="0" w:type="dxa"/>
              <w:left w:w="108" w:type="dxa"/>
              <w:bottom w:w="0" w:type="dxa"/>
              <w:right w:w="108" w:type="dxa"/>
            </w:tcMar>
            <w:hideMark/>
          </w:tcPr>
          <w:p w14:paraId="11D186EA" w14:textId="77777777" w:rsidR="00C86C33" w:rsidRDefault="00C86C33" w:rsidP="00B245A8">
            <w:pPr>
              <w:pStyle w:val="TableHeading"/>
              <w:jc w:val="left"/>
              <w:rPr>
                <w:sz w:val="19"/>
                <w:szCs w:val="19"/>
              </w:rPr>
            </w:pPr>
            <w:r>
              <w:rPr>
                <w:sz w:val="19"/>
                <w:szCs w:val="19"/>
              </w:rPr>
              <w:t>0/0</w:t>
            </w:r>
          </w:p>
        </w:tc>
        <w:tc>
          <w:tcPr>
            <w:tcW w:w="374" w:type="pct"/>
            <w:gridSpan w:val="2"/>
            <w:tcBorders>
              <w:top w:val="nil"/>
              <w:left w:val="nil"/>
              <w:right w:val="single" w:sz="8" w:space="0" w:color="auto"/>
            </w:tcBorders>
            <w:shd w:val="clear" w:color="auto" w:fill="E2EFD9"/>
            <w:tcMar>
              <w:top w:w="0" w:type="dxa"/>
              <w:left w:w="108" w:type="dxa"/>
              <w:bottom w:w="0" w:type="dxa"/>
              <w:right w:w="108" w:type="dxa"/>
            </w:tcMar>
            <w:hideMark/>
          </w:tcPr>
          <w:p w14:paraId="2E318644" w14:textId="77777777" w:rsidR="00C86C33" w:rsidRDefault="00C86C33" w:rsidP="00B245A8">
            <w:pPr>
              <w:pStyle w:val="TableHeading"/>
              <w:jc w:val="left"/>
              <w:rPr>
                <w:sz w:val="19"/>
                <w:szCs w:val="19"/>
              </w:rPr>
            </w:pPr>
            <w:r>
              <w:rPr>
                <w:sz w:val="19"/>
                <w:szCs w:val="19"/>
              </w:rPr>
              <w:t>0/0</w:t>
            </w:r>
          </w:p>
        </w:tc>
        <w:tc>
          <w:tcPr>
            <w:tcW w:w="373" w:type="pct"/>
            <w:gridSpan w:val="2"/>
            <w:tcBorders>
              <w:top w:val="nil"/>
              <w:left w:val="nil"/>
              <w:right w:val="single" w:sz="8" w:space="0" w:color="auto"/>
            </w:tcBorders>
            <w:shd w:val="clear" w:color="auto" w:fill="E2EFD9"/>
            <w:tcMar>
              <w:top w:w="0" w:type="dxa"/>
              <w:left w:w="108" w:type="dxa"/>
              <w:bottom w:w="0" w:type="dxa"/>
              <w:right w:w="108" w:type="dxa"/>
            </w:tcMar>
            <w:hideMark/>
          </w:tcPr>
          <w:p w14:paraId="3CF8AE94" w14:textId="77777777" w:rsidR="00C86C33" w:rsidRDefault="00C86C33" w:rsidP="00B245A8">
            <w:pPr>
              <w:pStyle w:val="TableHeading"/>
              <w:jc w:val="left"/>
              <w:rPr>
                <w:sz w:val="19"/>
                <w:szCs w:val="19"/>
              </w:rPr>
            </w:pPr>
            <w:r>
              <w:rPr>
                <w:sz w:val="19"/>
                <w:szCs w:val="19"/>
              </w:rPr>
              <w:t>0/0</w:t>
            </w:r>
          </w:p>
        </w:tc>
        <w:tc>
          <w:tcPr>
            <w:tcW w:w="300" w:type="pct"/>
            <w:gridSpan w:val="2"/>
            <w:tcBorders>
              <w:top w:val="nil"/>
              <w:left w:val="nil"/>
              <w:right w:val="single" w:sz="4" w:space="0" w:color="auto"/>
            </w:tcBorders>
            <w:shd w:val="clear" w:color="auto" w:fill="8EAADB" w:themeFill="accent5" w:themeFillTint="99"/>
          </w:tcPr>
          <w:p w14:paraId="2B4E2F5F" w14:textId="77777777" w:rsidR="00C86C33" w:rsidRDefault="00C86C33" w:rsidP="00B245A8">
            <w:pPr>
              <w:pStyle w:val="TableHeading"/>
              <w:jc w:val="center"/>
              <w:rPr>
                <w:sz w:val="19"/>
                <w:szCs w:val="19"/>
              </w:rPr>
            </w:pPr>
            <w:r>
              <w:rPr>
                <w:sz w:val="19"/>
                <w:szCs w:val="19"/>
              </w:rPr>
              <w:t>1/0</w:t>
            </w:r>
          </w:p>
        </w:tc>
        <w:tc>
          <w:tcPr>
            <w:tcW w:w="294" w:type="pct"/>
            <w:tcBorders>
              <w:top w:val="nil"/>
              <w:left w:val="single" w:sz="4" w:space="0" w:color="auto"/>
              <w:right w:val="single" w:sz="8" w:space="0" w:color="auto"/>
            </w:tcBorders>
            <w:shd w:val="clear" w:color="auto" w:fill="E2EFD9" w:themeFill="accent6" w:themeFillTint="33"/>
            <w:tcMar>
              <w:top w:w="0" w:type="dxa"/>
              <w:left w:w="108" w:type="dxa"/>
              <w:bottom w:w="0" w:type="dxa"/>
              <w:right w:w="108" w:type="dxa"/>
            </w:tcMar>
            <w:hideMark/>
          </w:tcPr>
          <w:p w14:paraId="717C0D8D" w14:textId="77777777" w:rsidR="00C86C33" w:rsidRDefault="00C86C33" w:rsidP="00B245A8">
            <w:pPr>
              <w:pStyle w:val="TableHeading"/>
              <w:jc w:val="left"/>
              <w:rPr>
                <w:color w:val="auto"/>
                <w:sz w:val="19"/>
                <w:szCs w:val="19"/>
              </w:rPr>
            </w:pPr>
            <w:r w:rsidRPr="00452614">
              <w:rPr>
                <w:sz w:val="19"/>
                <w:szCs w:val="19"/>
              </w:rPr>
              <w:t>1</w:t>
            </w:r>
            <w:r>
              <w:rPr>
                <w:sz w:val="19"/>
                <w:szCs w:val="19"/>
              </w:rPr>
              <w:t xml:space="preserve">/1 </w:t>
            </w:r>
          </w:p>
        </w:tc>
        <w:tc>
          <w:tcPr>
            <w:tcW w:w="600" w:type="pct"/>
            <w:gridSpan w:val="2"/>
            <w:tcBorders>
              <w:top w:val="nil"/>
              <w:left w:val="single" w:sz="4" w:space="0" w:color="auto"/>
              <w:right w:val="single" w:sz="8" w:space="0" w:color="auto"/>
            </w:tcBorders>
            <w:shd w:val="clear" w:color="auto" w:fill="8EAADB" w:themeFill="accent5" w:themeFillTint="99"/>
          </w:tcPr>
          <w:p w14:paraId="3F20C359" w14:textId="77777777" w:rsidR="00C86C33" w:rsidRDefault="00C86C33" w:rsidP="00B245A8">
            <w:pPr>
              <w:pStyle w:val="TableHeading"/>
              <w:jc w:val="left"/>
              <w:rPr>
                <w:color w:val="auto"/>
                <w:sz w:val="19"/>
                <w:szCs w:val="19"/>
              </w:rPr>
            </w:pPr>
            <w:r w:rsidRPr="00452614">
              <w:rPr>
                <w:sz w:val="19"/>
                <w:szCs w:val="19"/>
              </w:rPr>
              <w:t>1 EWR met with CEW/</w:t>
            </w:r>
            <w:r>
              <w:rPr>
                <w:sz w:val="19"/>
                <w:szCs w:val="19"/>
              </w:rPr>
              <w:t>0</w:t>
            </w:r>
            <w:r w:rsidRPr="00452614">
              <w:rPr>
                <w:sz w:val="19"/>
                <w:szCs w:val="19"/>
              </w:rPr>
              <w:t xml:space="preserve"> EWR met without CEW</w:t>
            </w:r>
          </w:p>
        </w:tc>
      </w:tr>
      <w:tr w:rsidR="00C86C33" w14:paraId="7DDC9019" w14:textId="77777777" w:rsidTr="00B245A8">
        <w:tblPrEx>
          <w:tblCellMar>
            <w:left w:w="0" w:type="dxa"/>
            <w:right w:w="0" w:type="dxa"/>
          </w:tblCellMar>
        </w:tblPrEx>
        <w:trPr>
          <w:cantSplit/>
          <w:trHeight w:val="20"/>
        </w:trPr>
        <w:tc>
          <w:tcPr>
            <w:tcW w:w="1191" w:type="pct"/>
            <w:vMerge/>
            <w:tcBorders>
              <w:top w:val="nil"/>
              <w:left w:val="single" w:sz="8" w:space="0" w:color="auto"/>
              <w:bottom w:val="single" w:sz="8" w:space="0" w:color="auto"/>
              <w:right w:val="single" w:sz="8" w:space="0" w:color="auto"/>
            </w:tcBorders>
            <w:vAlign w:val="center"/>
            <w:hideMark/>
          </w:tcPr>
          <w:p w14:paraId="1380FF01" w14:textId="77777777" w:rsidR="00C86C33" w:rsidRDefault="00C86C33" w:rsidP="00B245A8">
            <w:pPr>
              <w:rPr>
                <w:rFonts w:eastAsiaTheme="minorHAnsi" w:cs="Calibri"/>
                <w:sz w:val="19"/>
                <w:szCs w:val="19"/>
              </w:rPr>
            </w:pPr>
          </w:p>
        </w:tc>
        <w:tc>
          <w:tcPr>
            <w:tcW w:w="3809" w:type="pct"/>
            <w:gridSpan w:val="19"/>
            <w:tcBorders>
              <w:top w:val="nil"/>
              <w:left w:val="nil"/>
              <w:bottom w:val="single" w:sz="8" w:space="0" w:color="auto"/>
              <w:right w:val="single" w:sz="8" w:space="0" w:color="auto"/>
            </w:tcBorders>
            <w:shd w:val="clear" w:color="auto" w:fill="FFFFFF" w:themeFill="background1"/>
          </w:tcPr>
          <w:p w14:paraId="56C3932B" w14:textId="77777777" w:rsidR="00C86C33" w:rsidRDefault="00C86C33" w:rsidP="00B245A8">
            <w:pPr>
              <w:pStyle w:val="TableHeading"/>
              <w:jc w:val="left"/>
              <w:rPr>
                <w:b w:val="0"/>
                <w:bCs/>
                <w:sz w:val="19"/>
                <w:szCs w:val="19"/>
              </w:rPr>
            </w:pPr>
            <w:r w:rsidRPr="00452614">
              <w:rPr>
                <w:b w:val="0"/>
                <w:bCs/>
                <w:sz w:val="19"/>
                <w:szCs w:val="19"/>
              </w:rPr>
              <w:t>Assuming significant weir pool manipulations are not occurring, analysis of velocity results and expert elicitation has identified that this evaluation question is met by the 20,000 ML/d for</w:t>
            </w:r>
            <w:r>
              <w:rPr>
                <w:b w:val="0"/>
                <w:bCs/>
                <w:sz w:val="19"/>
                <w:szCs w:val="19"/>
              </w:rPr>
              <w:t xml:space="preserve"> the</w:t>
            </w:r>
            <w:r w:rsidRPr="00452614">
              <w:rPr>
                <w:b w:val="0"/>
                <w:bCs/>
                <w:sz w:val="19"/>
                <w:szCs w:val="19"/>
              </w:rPr>
              <w:t xml:space="preserve"> 60 days EWR. The analysis above indicates that this criterion was met with </w:t>
            </w:r>
            <w:r>
              <w:rPr>
                <w:b w:val="0"/>
                <w:bCs/>
                <w:sz w:val="19"/>
                <w:szCs w:val="19"/>
              </w:rPr>
              <w:t>CEW</w:t>
            </w:r>
            <w:r w:rsidRPr="00452614">
              <w:rPr>
                <w:b w:val="0"/>
                <w:bCs/>
                <w:sz w:val="19"/>
                <w:szCs w:val="19"/>
              </w:rPr>
              <w:t xml:space="preserve"> in 202</w:t>
            </w:r>
            <w:r>
              <w:rPr>
                <w:b w:val="0"/>
                <w:bCs/>
                <w:sz w:val="19"/>
                <w:szCs w:val="19"/>
              </w:rPr>
              <w:t>3</w:t>
            </w:r>
            <w:r w:rsidRPr="00452614">
              <w:rPr>
                <w:b w:val="0"/>
                <w:bCs/>
                <w:sz w:val="19"/>
                <w:szCs w:val="19"/>
              </w:rPr>
              <w:t>-2</w:t>
            </w:r>
            <w:r>
              <w:rPr>
                <w:b w:val="0"/>
                <w:bCs/>
                <w:sz w:val="19"/>
                <w:szCs w:val="19"/>
              </w:rPr>
              <w:t>4, but would not have been met without CEW</w:t>
            </w:r>
            <w:r w:rsidRPr="00452614">
              <w:rPr>
                <w:b w:val="0"/>
                <w:bCs/>
                <w:sz w:val="19"/>
                <w:szCs w:val="19"/>
              </w:rPr>
              <w:t>.</w:t>
            </w:r>
          </w:p>
          <w:p w14:paraId="27F1AF3D" w14:textId="77777777" w:rsidR="00C86C33" w:rsidRDefault="00C86C33" w:rsidP="00B245A8">
            <w:pPr>
              <w:pStyle w:val="TableHeading"/>
              <w:jc w:val="left"/>
              <w:rPr>
                <w:b w:val="0"/>
                <w:sz w:val="19"/>
                <w:szCs w:val="19"/>
              </w:rPr>
            </w:pPr>
            <w:r w:rsidRPr="00A54A39">
              <w:rPr>
                <w:b w:val="0"/>
                <w:sz w:val="19"/>
                <w:szCs w:val="19"/>
              </w:rPr>
              <w:t>This is not a long-term evaluation question.</w:t>
            </w:r>
          </w:p>
        </w:tc>
      </w:tr>
    </w:tbl>
    <w:p w14:paraId="28E02EAB" w14:textId="77777777" w:rsidR="00E2367B" w:rsidRDefault="00E2367B" w:rsidP="00420794">
      <w:pPr>
        <w:rPr>
          <w:b/>
        </w:rPr>
      </w:pPr>
    </w:p>
    <w:p w14:paraId="57D2F33D" w14:textId="77777777" w:rsidR="0023564A" w:rsidRPr="00895486" w:rsidRDefault="0023564A" w:rsidP="0023564A">
      <w:pPr>
        <w:rPr>
          <w:b/>
        </w:rPr>
      </w:pPr>
      <w:r w:rsidRPr="005353CE">
        <w:rPr>
          <w:b/>
        </w:rPr>
        <w:t>Stream Metabolism and Water Quality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9"/>
        <w:gridCol w:w="828"/>
        <w:gridCol w:w="993"/>
        <w:gridCol w:w="851"/>
        <w:gridCol w:w="851"/>
        <w:gridCol w:w="993"/>
        <w:gridCol w:w="1275"/>
        <w:gridCol w:w="993"/>
        <w:gridCol w:w="1559"/>
        <w:gridCol w:w="1559"/>
        <w:gridCol w:w="2327"/>
      </w:tblGrid>
      <w:tr w:rsidR="0023564A" w:rsidRPr="0041543F" w14:paraId="6950F2DC" w14:textId="77777777" w:rsidTr="00620A12">
        <w:trPr>
          <w:cantSplit/>
          <w:trHeight w:val="20"/>
          <w:tblHeader/>
        </w:trPr>
        <w:tc>
          <w:tcPr>
            <w:tcW w:w="616" w:type="pct"/>
            <w:vMerge w:val="restart"/>
            <w:tcBorders>
              <w:top w:val="single" w:sz="4" w:space="0" w:color="auto"/>
              <w:left w:val="single" w:sz="4" w:space="0" w:color="auto"/>
              <w:right w:val="single" w:sz="4" w:space="0" w:color="auto"/>
            </w:tcBorders>
          </w:tcPr>
          <w:p w14:paraId="52CA4DEA" w14:textId="77777777" w:rsidR="0023564A" w:rsidRPr="0041543F" w:rsidRDefault="0023564A" w:rsidP="00B245A8">
            <w:pPr>
              <w:pStyle w:val="TableHeading"/>
              <w:jc w:val="center"/>
              <w:rPr>
                <w:sz w:val="19"/>
                <w:szCs w:val="19"/>
              </w:rPr>
            </w:pPr>
            <w:r>
              <w:rPr>
                <w:sz w:val="19"/>
                <w:szCs w:val="19"/>
              </w:rPr>
              <w:t>DEW</w:t>
            </w:r>
            <w:r w:rsidRPr="0041543F">
              <w:rPr>
                <w:sz w:val="19"/>
                <w:szCs w:val="19"/>
              </w:rPr>
              <w:t xml:space="preserve"> evaluation questions </w:t>
            </w:r>
          </w:p>
        </w:tc>
        <w:tc>
          <w:tcPr>
            <w:tcW w:w="4384" w:type="pct"/>
            <w:gridSpan w:val="10"/>
            <w:tcBorders>
              <w:top w:val="single" w:sz="4" w:space="0" w:color="auto"/>
              <w:left w:val="single" w:sz="4" w:space="0" w:color="auto"/>
              <w:right w:val="single" w:sz="4" w:space="0" w:color="auto"/>
            </w:tcBorders>
          </w:tcPr>
          <w:p w14:paraId="361BF348" w14:textId="77777777" w:rsidR="0023564A" w:rsidRPr="00BF3255" w:rsidRDefault="0023564A" w:rsidP="00B245A8">
            <w:pPr>
              <w:pStyle w:val="TableHeading"/>
              <w:jc w:val="center"/>
              <w:rPr>
                <w:sz w:val="19"/>
                <w:szCs w:val="19"/>
              </w:rPr>
            </w:pPr>
            <w:r w:rsidRPr="00BF3255">
              <w:rPr>
                <w:sz w:val="19"/>
                <w:szCs w:val="19"/>
              </w:rPr>
              <w:t xml:space="preserve">Outcomes of </w:t>
            </w:r>
            <w:r>
              <w:rPr>
                <w:sz w:val="19"/>
                <w:szCs w:val="19"/>
              </w:rPr>
              <w:t>CEW</w:t>
            </w:r>
            <w:r w:rsidRPr="00BF3255">
              <w:rPr>
                <w:sz w:val="19"/>
                <w:szCs w:val="19"/>
              </w:rPr>
              <w:t xml:space="preserve"> delivery</w:t>
            </w:r>
            <w:r>
              <w:rPr>
                <w:sz w:val="19"/>
                <w:szCs w:val="19"/>
              </w:rPr>
              <w:t xml:space="preserve"> (2014–2023</w:t>
            </w:r>
            <w:r w:rsidRPr="004E0E6F">
              <w:rPr>
                <w:sz w:val="19"/>
                <w:szCs w:val="19"/>
              </w:rPr>
              <w:t>)</w:t>
            </w:r>
          </w:p>
        </w:tc>
      </w:tr>
      <w:tr w:rsidR="0023564A" w:rsidRPr="0041543F" w14:paraId="13B5D89D" w14:textId="77777777" w:rsidTr="00620A12">
        <w:trPr>
          <w:cantSplit/>
          <w:trHeight w:val="20"/>
          <w:tblHeader/>
        </w:trPr>
        <w:tc>
          <w:tcPr>
            <w:tcW w:w="616" w:type="pct"/>
            <w:vMerge/>
            <w:tcBorders>
              <w:left w:val="single" w:sz="4" w:space="0" w:color="auto"/>
              <w:bottom w:val="single" w:sz="4" w:space="0" w:color="auto"/>
              <w:right w:val="single" w:sz="4" w:space="0" w:color="auto"/>
            </w:tcBorders>
          </w:tcPr>
          <w:p w14:paraId="6181DCBA" w14:textId="77777777" w:rsidR="0023564A" w:rsidRDefault="0023564A" w:rsidP="00B245A8">
            <w:pPr>
              <w:pStyle w:val="TableHeading"/>
              <w:jc w:val="center"/>
              <w:rPr>
                <w:sz w:val="19"/>
                <w:szCs w:val="19"/>
              </w:rPr>
            </w:pPr>
          </w:p>
        </w:tc>
        <w:tc>
          <w:tcPr>
            <w:tcW w:w="297" w:type="pct"/>
            <w:tcBorders>
              <w:top w:val="single" w:sz="4" w:space="0" w:color="auto"/>
              <w:left w:val="single" w:sz="4" w:space="0" w:color="auto"/>
              <w:bottom w:val="single" w:sz="4" w:space="0" w:color="auto"/>
            </w:tcBorders>
            <w:vAlign w:val="center"/>
          </w:tcPr>
          <w:p w14:paraId="4DFDC09C" w14:textId="77777777" w:rsidR="0023564A" w:rsidRPr="0041543F" w:rsidRDefault="0023564A" w:rsidP="00B245A8">
            <w:pPr>
              <w:pStyle w:val="TableHeading"/>
              <w:jc w:val="center"/>
              <w:rPr>
                <w:sz w:val="19"/>
                <w:szCs w:val="19"/>
              </w:rPr>
            </w:pPr>
            <w:r>
              <w:rPr>
                <w:sz w:val="19"/>
                <w:szCs w:val="19"/>
              </w:rPr>
              <w:t>14-15</w:t>
            </w:r>
          </w:p>
        </w:tc>
        <w:tc>
          <w:tcPr>
            <w:tcW w:w="356" w:type="pct"/>
            <w:tcBorders>
              <w:top w:val="single" w:sz="4" w:space="0" w:color="auto"/>
              <w:bottom w:val="single" w:sz="4" w:space="0" w:color="auto"/>
            </w:tcBorders>
            <w:vAlign w:val="center"/>
          </w:tcPr>
          <w:p w14:paraId="1AD2EFE0" w14:textId="77777777" w:rsidR="0023564A" w:rsidRPr="0041543F" w:rsidRDefault="0023564A" w:rsidP="00B245A8">
            <w:pPr>
              <w:pStyle w:val="TableHeading"/>
              <w:jc w:val="center"/>
              <w:rPr>
                <w:sz w:val="19"/>
                <w:szCs w:val="19"/>
              </w:rPr>
            </w:pPr>
            <w:r>
              <w:rPr>
                <w:sz w:val="19"/>
                <w:szCs w:val="19"/>
              </w:rPr>
              <w:t>15-16</w:t>
            </w:r>
          </w:p>
        </w:tc>
        <w:tc>
          <w:tcPr>
            <w:tcW w:w="305" w:type="pct"/>
            <w:tcBorders>
              <w:top w:val="single" w:sz="4" w:space="0" w:color="auto"/>
              <w:bottom w:val="single" w:sz="4" w:space="0" w:color="auto"/>
            </w:tcBorders>
            <w:vAlign w:val="center"/>
          </w:tcPr>
          <w:p w14:paraId="294917A1" w14:textId="77777777" w:rsidR="0023564A" w:rsidRPr="0041543F" w:rsidRDefault="0023564A" w:rsidP="00B245A8">
            <w:pPr>
              <w:pStyle w:val="TableHeading"/>
              <w:jc w:val="center"/>
              <w:rPr>
                <w:sz w:val="19"/>
                <w:szCs w:val="19"/>
              </w:rPr>
            </w:pPr>
            <w:r>
              <w:rPr>
                <w:sz w:val="19"/>
                <w:szCs w:val="19"/>
              </w:rPr>
              <w:t>16-17</w:t>
            </w:r>
          </w:p>
        </w:tc>
        <w:tc>
          <w:tcPr>
            <w:tcW w:w="305" w:type="pct"/>
            <w:tcBorders>
              <w:top w:val="single" w:sz="4" w:space="0" w:color="auto"/>
              <w:bottom w:val="single" w:sz="4" w:space="0" w:color="auto"/>
            </w:tcBorders>
            <w:vAlign w:val="center"/>
          </w:tcPr>
          <w:p w14:paraId="741C3841" w14:textId="77777777" w:rsidR="0023564A" w:rsidRPr="0041543F" w:rsidRDefault="0023564A" w:rsidP="00B245A8">
            <w:pPr>
              <w:pStyle w:val="TableHeading"/>
              <w:jc w:val="center"/>
              <w:rPr>
                <w:sz w:val="19"/>
                <w:szCs w:val="19"/>
              </w:rPr>
            </w:pPr>
            <w:r>
              <w:rPr>
                <w:sz w:val="19"/>
                <w:szCs w:val="19"/>
              </w:rPr>
              <w:t>17-18</w:t>
            </w:r>
          </w:p>
        </w:tc>
        <w:tc>
          <w:tcPr>
            <w:tcW w:w="356" w:type="pct"/>
            <w:tcBorders>
              <w:top w:val="single" w:sz="4" w:space="0" w:color="auto"/>
              <w:bottom w:val="single" w:sz="4" w:space="0" w:color="auto"/>
            </w:tcBorders>
            <w:vAlign w:val="center"/>
          </w:tcPr>
          <w:p w14:paraId="79A6FB5D" w14:textId="77777777" w:rsidR="0023564A" w:rsidRPr="0041543F" w:rsidRDefault="0023564A" w:rsidP="00B245A8">
            <w:pPr>
              <w:pStyle w:val="TableHeading"/>
              <w:jc w:val="center"/>
              <w:rPr>
                <w:sz w:val="19"/>
                <w:szCs w:val="19"/>
              </w:rPr>
            </w:pPr>
            <w:r>
              <w:rPr>
                <w:sz w:val="19"/>
                <w:szCs w:val="19"/>
              </w:rPr>
              <w:t>18-19</w:t>
            </w:r>
          </w:p>
        </w:tc>
        <w:tc>
          <w:tcPr>
            <w:tcW w:w="457" w:type="pct"/>
            <w:tcBorders>
              <w:top w:val="single" w:sz="4" w:space="0" w:color="auto"/>
              <w:bottom w:val="single" w:sz="4" w:space="0" w:color="auto"/>
            </w:tcBorders>
            <w:vAlign w:val="center"/>
          </w:tcPr>
          <w:p w14:paraId="16061267" w14:textId="77777777" w:rsidR="0023564A" w:rsidRDefault="0023564A" w:rsidP="00B245A8">
            <w:pPr>
              <w:pStyle w:val="TableHeading"/>
              <w:jc w:val="center"/>
              <w:rPr>
                <w:sz w:val="19"/>
                <w:szCs w:val="19"/>
              </w:rPr>
            </w:pPr>
            <w:r>
              <w:rPr>
                <w:sz w:val="19"/>
                <w:szCs w:val="19"/>
              </w:rPr>
              <w:t>19-20</w:t>
            </w:r>
          </w:p>
        </w:tc>
        <w:tc>
          <w:tcPr>
            <w:tcW w:w="356" w:type="pct"/>
            <w:tcBorders>
              <w:top w:val="single" w:sz="4" w:space="0" w:color="auto"/>
              <w:bottom w:val="single" w:sz="4" w:space="0" w:color="auto"/>
            </w:tcBorders>
          </w:tcPr>
          <w:p w14:paraId="01FCB763" w14:textId="77777777" w:rsidR="0023564A" w:rsidRDefault="0023564A" w:rsidP="00B245A8">
            <w:pPr>
              <w:pStyle w:val="TableHeading"/>
              <w:jc w:val="center"/>
              <w:rPr>
                <w:sz w:val="19"/>
                <w:szCs w:val="19"/>
              </w:rPr>
            </w:pPr>
            <w:r>
              <w:rPr>
                <w:sz w:val="19"/>
                <w:szCs w:val="19"/>
              </w:rPr>
              <w:t>20-21</w:t>
            </w:r>
          </w:p>
        </w:tc>
        <w:tc>
          <w:tcPr>
            <w:tcW w:w="559" w:type="pct"/>
            <w:tcBorders>
              <w:top w:val="single" w:sz="4" w:space="0" w:color="auto"/>
              <w:bottom w:val="single" w:sz="4" w:space="0" w:color="auto"/>
            </w:tcBorders>
          </w:tcPr>
          <w:p w14:paraId="57140CC2" w14:textId="77777777" w:rsidR="0023564A" w:rsidRDefault="0023564A" w:rsidP="00B245A8">
            <w:pPr>
              <w:pStyle w:val="TableHeading"/>
              <w:jc w:val="center"/>
              <w:rPr>
                <w:sz w:val="19"/>
                <w:szCs w:val="19"/>
              </w:rPr>
            </w:pPr>
            <w:r>
              <w:rPr>
                <w:sz w:val="19"/>
                <w:szCs w:val="19"/>
              </w:rPr>
              <w:t>21-22</w:t>
            </w:r>
          </w:p>
        </w:tc>
        <w:tc>
          <w:tcPr>
            <w:tcW w:w="559" w:type="pct"/>
            <w:tcBorders>
              <w:top w:val="single" w:sz="4" w:space="0" w:color="auto"/>
              <w:bottom w:val="single" w:sz="4" w:space="0" w:color="auto"/>
            </w:tcBorders>
          </w:tcPr>
          <w:p w14:paraId="373A465F" w14:textId="77777777" w:rsidR="0023564A" w:rsidRDefault="0023564A" w:rsidP="00B245A8">
            <w:pPr>
              <w:pStyle w:val="TableHeading"/>
              <w:jc w:val="center"/>
              <w:rPr>
                <w:sz w:val="19"/>
                <w:szCs w:val="19"/>
              </w:rPr>
            </w:pPr>
            <w:r>
              <w:rPr>
                <w:sz w:val="19"/>
                <w:szCs w:val="19"/>
              </w:rPr>
              <w:t>22-23</w:t>
            </w:r>
          </w:p>
        </w:tc>
        <w:tc>
          <w:tcPr>
            <w:tcW w:w="834" w:type="pct"/>
            <w:tcBorders>
              <w:top w:val="single" w:sz="4" w:space="0" w:color="auto"/>
              <w:bottom w:val="single" w:sz="4" w:space="0" w:color="auto"/>
            </w:tcBorders>
          </w:tcPr>
          <w:p w14:paraId="51AA7776" w14:textId="77777777" w:rsidR="0023564A" w:rsidRDefault="0023564A" w:rsidP="00B245A8">
            <w:pPr>
              <w:pStyle w:val="TableHeading"/>
              <w:jc w:val="center"/>
              <w:rPr>
                <w:sz w:val="19"/>
                <w:szCs w:val="19"/>
              </w:rPr>
            </w:pPr>
            <w:r w:rsidRPr="006C769A">
              <w:rPr>
                <w:sz w:val="19"/>
                <w:szCs w:val="19"/>
              </w:rPr>
              <w:t>23-24</w:t>
            </w:r>
          </w:p>
        </w:tc>
      </w:tr>
      <w:tr w:rsidR="0023564A" w:rsidRPr="0041543F" w14:paraId="1BF9DEB6" w14:textId="77777777" w:rsidTr="00620A12">
        <w:trPr>
          <w:cantSplit/>
          <w:trHeight w:val="1074"/>
        </w:trPr>
        <w:tc>
          <w:tcPr>
            <w:tcW w:w="616" w:type="pct"/>
            <w:tcBorders>
              <w:top w:val="single" w:sz="4" w:space="0" w:color="auto"/>
              <w:left w:val="single" w:sz="4" w:space="0" w:color="auto"/>
              <w:right w:val="single" w:sz="4" w:space="0" w:color="auto"/>
            </w:tcBorders>
          </w:tcPr>
          <w:p w14:paraId="4243C458" w14:textId="77777777" w:rsidR="0023564A" w:rsidRPr="004208DE" w:rsidRDefault="0023564A" w:rsidP="00B245A8">
            <w:pPr>
              <w:jc w:val="left"/>
              <w:rPr>
                <w:sz w:val="19"/>
                <w:szCs w:val="19"/>
              </w:rPr>
            </w:pPr>
            <w:bookmarkStart w:id="648" w:name="_Hlk65176090"/>
            <w:r w:rsidRPr="001A774C">
              <w:rPr>
                <w:sz w:val="19"/>
                <w:szCs w:val="19"/>
              </w:rPr>
              <w:t>To what extent did CEW contribute to managing the concentrations of cyanobacteria</w:t>
            </w:r>
            <w:r>
              <w:rPr>
                <w:sz w:val="19"/>
                <w:szCs w:val="19"/>
              </w:rPr>
              <w:t>?</w:t>
            </w:r>
            <w:bookmarkEnd w:id="648"/>
            <w:r w:rsidRPr="001A774C">
              <w:rPr>
                <w:sz w:val="19"/>
                <w:szCs w:val="19"/>
              </w:rPr>
              <w:t xml:space="preserve"> </w:t>
            </w:r>
          </w:p>
        </w:tc>
        <w:tc>
          <w:tcPr>
            <w:tcW w:w="4384" w:type="pct"/>
            <w:gridSpan w:val="10"/>
            <w:tcBorders>
              <w:top w:val="single" w:sz="4" w:space="0" w:color="auto"/>
              <w:left w:val="single" w:sz="4" w:space="0" w:color="auto"/>
              <w:right w:val="single" w:sz="4" w:space="0" w:color="auto"/>
            </w:tcBorders>
            <w:shd w:val="clear" w:color="auto" w:fill="D9D9D9" w:themeFill="background1" w:themeFillShade="D9"/>
          </w:tcPr>
          <w:p w14:paraId="3CD03E7C" w14:textId="77777777" w:rsidR="0023564A" w:rsidRDefault="0023564A" w:rsidP="00B245A8">
            <w:pPr>
              <w:jc w:val="left"/>
              <w:rPr>
                <w:color w:val="auto"/>
                <w:sz w:val="19"/>
                <w:szCs w:val="19"/>
              </w:rPr>
            </w:pPr>
            <w:r>
              <w:rPr>
                <w:color w:val="auto"/>
                <w:sz w:val="19"/>
                <w:szCs w:val="19"/>
              </w:rPr>
              <w:t>As the concentrations of cyanobacteria were not measured in the LTIM/Flow-MER projects, the extent to which CEW contributed to managing them is unknown.</w:t>
            </w:r>
          </w:p>
        </w:tc>
      </w:tr>
      <w:tr w:rsidR="0023564A" w:rsidRPr="0041543F" w14:paraId="712AEACF" w14:textId="77777777" w:rsidTr="00620A12">
        <w:trPr>
          <w:cantSplit/>
          <w:trHeight w:val="20"/>
        </w:trPr>
        <w:tc>
          <w:tcPr>
            <w:tcW w:w="616" w:type="pct"/>
            <w:vMerge w:val="restart"/>
            <w:tcBorders>
              <w:top w:val="single" w:sz="4" w:space="0" w:color="auto"/>
              <w:left w:val="single" w:sz="4" w:space="0" w:color="auto"/>
              <w:right w:val="single" w:sz="4" w:space="0" w:color="auto"/>
            </w:tcBorders>
          </w:tcPr>
          <w:p w14:paraId="5BE1A06A" w14:textId="77777777" w:rsidR="0023564A" w:rsidRPr="00A2535D" w:rsidRDefault="0023564A" w:rsidP="00B245A8">
            <w:pPr>
              <w:jc w:val="left"/>
              <w:rPr>
                <w:sz w:val="19"/>
                <w:szCs w:val="19"/>
              </w:rPr>
            </w:pPr>
            <w:r w:rsidRPr="001A774C">
              <w:rPr>
                <w:sz w:val="19"/>
                <w:szCs w:val="19"/>
              </w:rPr>
              <w:t>To what extent did CEW contribute to open-water productivity in the Lower Murray?</w:t>
            </w:r>
            <w:r>
              <w:rPr>
                <w:sz w:val="19"/>
                <w:szCs w:val="19"/>
              </w:rPr>
              <w:t>*</w:t>
            </w:r>
          </w:p>
        </w:tc>
        <w:tc>
          <w:tcPr>
            <w:tcW w:w="297"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9D3FA77" w14:textId="77777777" w:rsidR="0023564A" w:rsidRPr="000D1AD0" w:rsidRDefault="0023564A" w:rsidP="00B245A8">
            <w:pPr>
              <w:jc w:val="left"/>
              <w:rPr>
                <w:sz w:val="19"/>
                <w:szCs w:val="19"/>
              </w:rPr>
            </w:pPr>
            <w:r>
              <w:rPr>
                <w:sz w:val="19"/>
                <w:szCs w:val="19"/>
              </w:rPr>
              <w:t>1</w:t>
            </w:r>
          </w:p>
        </w:tc>
        <w:tc>
          <w:tcPr>
            <w:tcW w:w="356"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43CA004" w14:textId="77777777" w:rsidR="0023564A" w:rsidRPr="00A4164D" w:rsidRDefault="0023564A" w:rsidP="00B245A8">
            <w:pPr>
              <w:jc w:val="left"/>
              <w:rPr>
                <w:sz w:val="19"/>
                <w:szCs w:val="19"/>
              </w:rPr>
            </w:pPr>
            <w:r w:rsidRPr="00A4164D">
              <w:rPr>
                <w:sz w:val="19"/>
                <w:szCs w:val="19"/>
              </w:rPr>
              <w:t>2</w:t>
            </w:r>
            <w:r>
              <w:rPr>
                <w:sz w:val="19"/>
                <w:szCs w:val="19"/>
              </w:rPr>
              <w:t>.5</w:t>
            </w:r>
          </w:p>
        </w:tc>
        <w:tc>
          <w:tcPr>
            <w:tcW w:w="30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4D38BCD" w14:textId="77777777" w:rsidR="0023564A" w:rsidRPr="00A4164D" w:rsidRDefault="0023564A" w:rsidP="00B245A8">
            <w:pPr>
              <w:jc w:val="left"/>
              <w:rPr>
                <w:sz w:val="19"/>
                <w:szCs w:val="19"/>
              </w:rPr>
            </w:pPr>
            <w:r>
              <w:rPr>
                <w:sz w:val="19"/>
                <w:szCs w:val="19"/>
              </w:rPr>
              <w:t>0</w:t>
            </w:r>
          </w:p>
        </w:tc>
        <w:tc>
          <w:tcPr>
            <w:tcW w:w="30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2A702DA" w14:textId="77777777" w:rsidR="0023564A" w:rsidRPr="00A4164D" w:rsidRDefault="0023564A" w:rsidP="00B245A8">
            <w:pPr>
              <w:jc w:val="left"/>
              <w:rPr>
                <w:sz w:val="19"/>
                <w:szCs w:val="19"/>
              </w:rPr>
            </w:pPr>
            <w:r w:rsidRPr="00A4164D">
              <w:rPr>
                <w:sz w:val="19"/>
                <w:szCs w:val="19"/>
              </w:rPr>
              <w:t>2</w:t>
            </w:r>
          </w:p>
        </w:tc>
        <w:tc>
          <w:tcPr>
            <w:tcW w:w="356"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C2534B2" w14:textId="77777777" w:rsidR="0023564A" w:rsidRPr="00A4164D" w:rsidRDefault="0023564A" w:rsidP="00B245A8">
            <w:pPr>
              <w:jc w:val="left"/>
              <w:rPr>
                <w:sz w:val="19"/>
                <w:szCs w:val="19"/>
              </w:rPr>
            </w:pPr>
            <w:r>
              <w:rPr>
                <w:sz w:val="19"/>
                <w:szCs w:val="19"/>
              </w:rPr>
              <w:t>2</w:t>
            </w:r>
          </w:p>
        </w:tc>
        <w:tc>
          <w:tcPr>
            <w:tcW w:w="457"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A635FCA" w14:textId="77777777" w:rsidR="0023564A" w:rsidRPr="00A4164D" w:rsidRDefault="0023564A" w:rsidP="00B245A8">
            <w:pPr>
              <w:jc w:val="left"/>
              <w:rPr>
                <w:sz w:val="19"/>
                <w:szCs w:val="19"/>
              </w:rPr>
            </w:pPr>
            <w:r w:rsidRPr="00A4164D">
              <w:rPr>
                <w:sz w:val="19"/>
                <w:szCs w:val="19"/>
              </w:rPr>
              <w:t>1</w:t>
            </w:r>
          </w:p>
        </w:tc>
        <w:tc>
          <w:tcPr>
            <w:tcW w:w="356"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15E9B07" w14:textId="77777777" w:rsidR="0023564A" w:rsidRPr="00A4164D" w:rsidRDefault="0023564A" w:rsidP="00B245A8">
            <w:pPr>
              <w:jc w:val="left"/>
              <w:rPr>
                <w:sz w:val="19"/>
                <w:szCs w:val="19"/>
              </w:rPr>
            </w:pPr>
            <w:r>
              <w:rPr>
                <w:sz w:val="19"/>
                <w:szCs w:val="19"/>
              </w:rPr>
              <w:t>2</w:t>
            </w:r>
          </w:p>
        </w:tc>
        <w:tc>
          <w:tcPr>
            <w:tcW w:w="559"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56E42CC" w14:textId="77777777" w:rsidR="0023564A" w:rsidRDefault="0023564A" w:rsidP="00B245A8">
            <w:pPr>
              <w:jc w:val="center"/>
              <w:rPr>
                <w:sz w:val="19"/>
                <w:szCs w:val="19"/>
              </w:rPr>
            </w:pPr>
            <w:r>
              <w:rPr>
                <w:sz w:val="19"/>
                <w:szCs w:val="19"/>
              </w:rPr>
              <w:t>1</w:t>
            </w:r>
          </w:p>
        </w:tc>
        <w:tc>
          <w:tcPr>
            <w:tcW w:w="559"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2054B1F" w14:textId="77777777" w:rsidR="0023564A" w:rsidRDefault="0023564A" w:rsidP="00B245A8">
            <w:pPr>
              <w:jc w:val="center"/>
              <w:rPr>
                <w:sz w:val="19"/>
                <w:szCs w:val="19"/>
              </w:rPr>
            </w:pPr>
            <w:r>
              <w:rPr>
                <w:sz w:val="19"/>
                <w:szCs w:val="19"/>
              </w:rPr>
              <w:t>0</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01FDB3F" w14:textId="77777777" w:rsidR="0023564A" w:rsidRDefault="0023564A" w:rsidP="00B245A8">
            <w:pPr>
              <w:jc w:val="center"/>
              <w:rPr>
                <w:sz w:val="19"/>
                <w:szCs w:val="19"/>
              </w:rPr>
            </w:pPr>
            <w:r>
              <w:rPr>
                <w:color w:val="auto"/>
                <w:sz w:val="19"/>
                <w:szCs w:val="19"/>
              </w:rPr>
              <w:t>1</w:t>
            </w:r>
          </w:p>
        </w:tc>
      </w:tr>
      <w:tr w:rsidR="0023564A" w:rsidRPr="0041543F" w14:paraId="2267FA35" w14:textId="77777777" w:rsidTr="00620A12">
        <w:trPr>
          <w:cantSplit/>
          <w:trHeight w:val="1309"/>
        </w:trPr>
        <w:tc>
          <w:tcPr>
            <w:tcW w:w="616" w:type="pct"/>
            <w:vMerge/>
            <w:tcBorders>
              <w:left w:val="single" w:sz="4" w:space="0" w:color="auto"/>
              <w:right w:val="single" w:sz="4" w:space="0" w:color="auto"/>
            </w:tcBorders>
          </w:tcPr>
          <w:p w14:paraId="167EE8C2" w14:textId="77777777" w:rsidR="0023564A" w:rsidRPr="00A2535D" w:rsidRDefault="0023564A" w:rsidP="00B245A8">
            <w:pPr>
              <w:jc w:val="left"/>
              <w:rPr>
                <w:sz w:val="19"/>
                <w:szCs w:val="19"/>
              </w:rPr>
            </w:pPr>
          </w:p>
        </w:tc>
        <w:tc>
          <w:tcPr>
            <w:tcW w:w="4384" w:type="pct"/>
            <w:gridSpan w:val="10"/>
            <w:tcBorders>
              <w:left w:val="single" w:sz="4" w:space="0" w:color="auto"/>
              <w:right w:val="single" w:sz="4" w:space="0" w:color="auto"/>
            </w:tcBorders>
            <w:shd w:val="clear" w:color="auto" w:fill="E2EFD9" w:themeFill="accent6" w:themeFillTint="33"/>
          </w:tcPr>
          <w:p w14:paraId="1DB42123" w14:textId="77777777" w:rsidR="0023564A" w:rsidRPr="00895486" w:rsidRDefault="0023564A" w:rsidP="00B245A8">
            <w:pPr>
              <w:jc w:val="left"/>
              <w:rPr>
                <w:sz w:val="19"/>
                <w:szCs w:val="19"/>
              </w:rPr>
            </w:pPr>
            <w:r w:rsidRPr="00895486">
              <w:rPr>
                <w:sz w:val="19"/>
                <w:szCs w:val="19"/>
              </w:rPr>
              <w:t xml:space="preserve">Increased flows generally reduced the volumetric rate of primary production but increased the cross-sectional rate. This increased the overall “carrying capacity” of the river, although the implications of changes in the ratios of these two measures are unknown. </w:t>
            </w:r>
            <w:r>
              <w:rPr>
                <w:sz w:val="19"/>
                <w:szCs w:val="19"/>
              </w:rPr>
              <w:t xml:space="preserve">For each monitoring period evaluation was based on </w:t>
            </w:r>
            <w:r w:rsidRPr="00895486">
              <w:rPr>
                <w:sz w:val="19"/>
                <w:szCs w:val="19"/>
              </w:rPr>
              <w:t>the</w:t>
            </w:r>
            <w:r>
              <w:rPr>
                <w:sz w:val="19"/>
                <w:szCs w:val="19"/>
              </w:rPr>
              <w:t xml:space="preserve"> average</w:t>
            </w:r>
            <w:r w:rsidRPr="00895486">
              <w:rPr>
                <w:sz w:val="19"/>
                <w:szCs w:val="19"/>
              </w:rPr>
              <w:t xml:space="preserve"> percentage </w:t>
            </w:r>
            <w:r>
              <w:rPr>
                <w:sz w:val="19"/>
                <w:szCs w:val="19"/>
              </w:rPr>
              <w:t>change</w:t>
            </w:r>
            <w:r w:rsidRPr="00895486">
              <w:rPr>
                <w:sz w:val="19"/>
                <w:szCs w:val="19"/>
              </w:rPr>
              <w:t xml:space="preserve"> in cross-sectional GPP </w:t>
            </w:r>
            <w:r>
              <w:rPr>
                <w:sz w:val="19"/>
                <w:szCs w:val="19"/>
              </w:rPr>
              <w:t xml:space="preserve">across sites </w:t>
            </w:r>
            <w:r w:rsidRPr="00895486">
              <w:rPr>
                <w:sz w:val="19"/>
                <w:szCs w:val="19"/>
              </w:rPr>
              <w:t>due to eWater</w:t>
            </w:r>
            <w:r>
              <w:rPr>
                <w:sz w:val="19"/>
                <w:szCs w:val="19"/>
              </w:rPr>
              <w:t xml:space="preserve">. These </w:t>
            </w:r>
            <w:r w:rsidRPr="00895486">
              <w:rPr>
                <w:sz w:val="19"/>
                <w:szCs w:val="19"/>
              </w:rPr>
              <w:t>were negligible due to the largely stable water levels set by weirs. A substantial contribution was considered an increase in cross-sectional GPP of 20% or greater, moderate 11–19%, minor 5–10%, negligible &lt;5%.</w:t>
            </w:r>
          </w:p>
        </w:tc>
      </w:tr>
      <w:tr w:rsidR="0023564A" w:rsidRPr="0041543F" w14:paraId="0EF8D6DA" w14:textId="77777777" w:rsidTr="0080390A">
        <w:trPr>
          <w:cantSplit/>
          <w:trHeight w:val="20"/>
        </w:trPr>
        <w:tc>
          <w:tcPr>
            <w:tcW w:w="616" w:type="pct"/>
            <w:vMerge w:val="restart"/>
            <w:tcBorders>
              <w:top w:val="single" w:sz="4" w:space="0" w:color="auto"/>
              <w:left w:val="single" w:sz="4" w:space="0" w:color="auto"/>
              <w:right w:val="single" w:sz="4" w:space="0" w:color="auto"/>
            </w:tcBorders>
          </w:tcPr>
          <w:p w14:paraId="09F68977" w14:textId="77777777" w:rsidR="0023564A" w:rsidRPr="0041543F" w:rsidRDefault="0023564A" w:rsidP="00B245A8">
            <w:pPr>
              <w:tabs>
                <w:tab w:val="left" w:pos="2525"/>
              </w:tabs>
              <w:jc w:val="left"/>
              <w:rPr>
                <w:sz w:val="19"/>
                <w:szCs w:val="19"/>
              </w:rPr>
            </w:pPr>
            <w:r w:rsidRPr="001A774C">
              <w:rPr>
                <w:sz w:val="19"/>
                <w:szCs w:val="19"/>
              </w:rPr>
              <w:lastRenderedPageBreak/>
              <w:t xml:space="preserve">To what extent </w:t>
            </w:r>
            <w:r w:rsidRPr="006E36B3">
              <w:rPr>
                <w:sz w:val="19"/>
                <w:szCs w:val="19"/>
              </w:rPr>
              <w:t>did CEW contribute to maintaining dissolved oxygen levels above 50% saturation throughout the water column at all times</w:t>
            </w:r>
            <w:r>
              <w:rPr>
                <w:sz w:val="19"/>
                <w:szCs w:val="19"/>
              </w:rPr>
              <w:t xml:space="preserve"> </w:t>
            </w:r>
            <w:r w:rsidRPr="001A774C">
              <w:rPr>
                <w:sz w:val="19"/>
                <w:szCs w:val="19"/>
              </w:rPr>
              <w:t>in the Lower Murray</w:t>
            </w:r>
            <w:r w:rsidRPr="006E36B3">
              <w:rPr>
                <w:sz w:val="19"/>
                <w:szCs w:val="19"/>
              </w:rPr>
              <w:t>?</w:t>
            </w:r>
            <w:r>
              <w:rPr>
                <w:sz w:val="19"/>
                <w:szCs w:val="19"/>
              </w:rPr>
              <w:t>*</w:t>
            </w:r>
            <w:r>
              <w:rPr>
                <w:sz w:val="19"/>
                <w:szCs w:val="19"/>
              </w:rPr>
              <w:tab/>
            </w:r>
          </w:p>
        </w:tc>
        <w:tc>
          <w:tcPr>
            <w:tcW w:w="297"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2045546" w14:textId="77777777" w:rsidR="0023564A" w:rsidRPr="0041543F" w:rsidRDefault="0023564A" w:rsidP="00B245A8">
            <w:pPr>
              <w:jc w:val="left"/>
              <w:rPr>
                <w:color w:val="auto"/>
                <w:sz w:val="19"/>
                <w:szCs w:val="19"/>
              </w:rPr>
            </w:pPr>
            <w:r>
              <w:rPr>
                <w:color w:val="auto"/>
                <w:sz w:val="19"/>
                <w:szCs w:val="19"/>
              </w:rPr>
              <w:t>0</w:t>
            </w:r>
          </w:p>
        </w:tc>
        <w:tc>
          <w:tcPr>
            <w:tcW w:w="356" w:type="pct"/>
            <w:tcBorders>
              <w:top w:val="single" w:sz="4" w:space="0" w:color="auto"/>
              <w:left w:val="single" w:sz="4" w:space="0" w:color="auto"/>
              <w:bottom w:val="single" w:sz="4" w:space="0" w:color="auto"/>
              <w:right w:val="single" w:sz="4" w:space="0" w:color="auto"/>
            </w:tcBorders>
            <w:shd w:val="clear" w:color="auto" w:fill="5B9BD5" w:themeFill="accent1"/>
          </w:tcPr>
          <w:p w14:paraId="0B483D5E" w14:textId="77777777" w:rsidR="0023564A" w:rsidRPr="0041543F" w:rsidRDefault="0023564A" w:rsidP="00B245A8">
            <w:pPr>
              <w:jc w:val="left"/>
              <w:rPr>
                <w:color w:val="auto"/>
                <w:sz w:val="19"/>
                <w:szCs w:val="19"/>
              </w:rPr>
            </w:pPr>
            <w:r>
              <w:rPr>
                <w:color w:val="auto"/>
                <w:sz w:val="19"/>
                <w:szCs w:val="19"/>
              </w:rPr>
              <w:t>37</w:t>
            </w:r>
          </w:p>
        </w:tc>
        <w:tc>
          <w:tcPr>
            <w:tcW w:w="305" w:type="pct"/>
            <w:tcBorders>
              <w:top w:val="single" w:sz="4" w:space="0" w:color="auto"/>
              <w:left w:val="single" w:sz="4" w:space="0" w:color="auto"/>
              <w:bottom w:val="single" w:sz="4" w:space="0" w:color="auto"/>
              <w:right w:val="single" w:sz="4" w:space="0" w:color="auto"/>
            </w:tcBorders>
            <w:shd w:val="clear" w:color="auto" w:fill="70AD47" w:themeFill="accent6"/>
          </w:tcPr>
          <w:p w14:paraId="6D66F7F1" w14:textId="77777777" w:rsidR="0023564A" w:rsidRPr="0041543F" w:rsidRDefault="0023564A" w:rsidP="00B245A8">
            <w:pPr>
              <w:jc w:val="left"/>
              <w:rPr>
                <w:color w:val="auto"/>
                <w:sz w:val="19"/>
                <w:szCs w:val="19"/>
              </w:rPr>
            </w:pPr>
            <w:r>
              <w:rPr>
                <w:color w:val="auto"/>
                <w:sz w:val="19"/>
                <w:szCs w:val="19"/>
              </w:rPr>
              <w:t>17</w:t>
            </w:r>
          </w:p>
        </w:tc>
        <w:tc>
          <w:tcPr>
            <w:tcW w:w="305" w:type="pct"/>
            <w:tcBorders>
              <w:top w:val="single" w:sz="4" w:space="0" w:color="auto"/>
              <w:left w:val="single" w:sz="4" w:space="0" w:color="auto"/>
              <w:bottom w:val="single" w:sz="4" w:space="0" w:color="auto"/>
              <w:right w:val="single" w:sz="4" w:space="0" w:color="auto"/>
            </w:tcBorders>
            <w:shd w:val="clear" w:color="auto" w:fill="5B9BD5" w:themeFill="accent1"/>
          </w:tcPr>
          <w:p w14:paraId="2242CC9E" w14:textId="77777777" w:rsidR="0023564A" w:rsidRPr="0041543F" w:rsidRDefault="0023564A" w:rsidP="00B245A8">
            <w:pPr>
              <w:jc w:val="left"/>
              <w:rPr>
                <w:color w:val="auto"/>
                <w:sz w:val="19"/>
                <w:szCs w:val="19"/>
              </w:rPr>
            </w:pPr>
            <w:r>
              <w:rPr>
                <w:color w:val="auto"/>
                <w:sz w:val="19"/>
                <w:szCs w:val="19"/>
              </w:rPr>
              <w:t>45</w:t>
            </w:r>
          </w:p>
        </w:tc>
        <w:tc>
          <w:tcPr>
            <w:tcW w:w="356" w:type="pct"/>
            <w:tcBorders>
              <w:top w:val="single" w:sz="4" w:space="0" w:color="auto"/>
              <w:left w:val="single" w:sz="4" w:space="0" w:color="auto"/>
              <w:bottom w:val="single" w:sz="4" w:space="0" w:color="auto"/>
              <w:right w:val="single" w:sz="4" w:space="0" w:color="auto"/>
            </w:tcBorders>
            <w:shd w:val="clear" w:color="auto" w:fill="70AD47" w:themeFill="accent6"/>
          </w:tcPr>
          <w:p w14:paraId="77B08ACF" w14:textId="77777777" w:rsidR="0023564A" w:rsidRPr="0041543F" w:rsidRDefault="0023564A" w:rsidP="00B245A8">
            <w:pPr>
              <w:jc w:val="left"/>
              <w:rPr>
                <w:color w:val="auto"/>
                <w:sz w:val="19"/>
                <w:szCs w:val="19"/>
              </w:rPr>
            </w:pPr>
            <w:r>
              <w:rPr>
                <w:color w:val="auto"/>
                <w:sz w:val="19"/>
                <w:szCs w:val="19"/>
              </w:rPr>
              <w:t>15</w:t>
            </w:r>
          </w:p>
        </w:tc>
        <w:tc>
          <w:tcPr>
            <w:tcW w:w="457" w:type="pct"/>
            <w:tcBorders>
              <w:top w:val="single" w:sz="4" w:space="0" w:color="auto"/>
              <w:left w:val="single" w:sz="4" w:space="0" w:color="auto"/>
              <w:bottom w:val="single" w:sz="4" w:space="0" w:color="auto"/>
              <w:right w:val="single" w:sz="4" w:space="0" w:color="auto"/>
            </w:tcBorders>
            <w:shd w:val="clear" w:color="auto" w:fill="70AD47" w:themeFill="accent6"/>
          </w:tcPr>
          <w:p w14:paraId="4ACA16FE" w14:textId="77777777" w:rsidR="0023564A" w:rsidRDefault="0023564A" w:rsidP="00B245A8">
            <w:pPr>
              <w:jc w:val="left"/>
              <w:rPr>
                <w:color w:val="auto"/>
                <w:sz w:val="19"/>
                <w:szCs w:val="19"/>
              </w:rPr>
            </w:pPr>
            <w:r>
              <w:rPr>
                <w:color w:val="auto"/>
                <w:sz w:val="19"/>
                <w:szCs w:val="19"/>
              </w:rPr>
              <w:t>30</w:t>
            </w:r>
          </w:p>
        </w:tc>
        <w:tc>
          <w:tcPr>
            <w:tcW w:w="356" w:type="pct"/>
            <w:tcBorders>
              <w:top w:val="single" w:sz="4" w:space="0" w:color="auto"/>
              <w:left w:val="single" w:sz="4" w:space="0" w:color="auto"/>
              <w:bottom w:val="single" w:sz="4" w:space="0" w:color="auto"/>
              <w:right w:val="single" w:sz="4" w:space="0" w:color="auto"/>
            </w:tcBorders>
            <w:shd w:val="clear" w:color="auto" w:fill="5B9BD5" w:themeFill="accent1"/>
          </w:tcPr>
          <w:p w14:paraId="45E0E86A" w14:textId="77777777" w:rsidR="0023564A" w:rsidRDefault="0023564A" w:rsidP="00B245A8">
            <w:pPr>
              <w:jc w:val="left"/>
              <w:rPr>
                <w:color w:val="auto"/>
                <w:sz w:val="19"/>
                <w:szCs w:val="19"/>
              </w:rPr>
            </w:pPr>
            <w:r>
              <w:rPr>
                <w:color w:val="auto"/>
                <w:sz w:val="19"/>
                <w:szCs w:val="19"/>
              </w:rPr>
              <w:t>70</w:t>
            </w:r>
          </w:p>
        </w:tc>
        <w:tc>
          <w:tcPr>
            <w:tcW w:w="559"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040F1B0" w14:textId="77777777" w:rsidR="0023564A" w:rsidRDefault="0023564A" w:rsidP="00B245A8">
            <w:pPr>
              <w:jc w:val="center"/>
              <w:rPr>
                <w:color w:val="auto"/>
                <w:sz w:val="19"/>
                <w:szCs w:val="19"/>
              </w:rPr>
            </w:pPr>
            <w:r>
              <w:rPr>
                <w:color w:val="auto"/>
                <w:sz w:val="19"/>
                <w:szCs w:val="19"/>
              </w:rPr>
              <w:t>0</w:t>
            </w:r>
          </w:p>
        </w:tc>
        <w:tc>
          <w:tcPr>
            <w:tcW w:w="559"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684DC35" w14:textId="77777777" w:rsidR="0023564A" w:rsidRDefault="0023564A" w:rsidP="00B245A8">
            <w:pPr>
              <w:jc w:val="center"/>
              <w:rPr>
                <w:color w:val="auto"/>
                <w:sz w:val="19"/>
                <w:szCs w:val="19"/>
              </w:rPr>
            </w:pPr>
            <w:r>
              <w:rPr>
                <w:color w:val="auto"/>
                <w:sz w:val="19"/>
                <w:szCs w:val="19"/>
              </w:rPr>
              <w:t>0</w:t>
            </w:r>
          </w:p>
        </w:tc>
        <w:tc>
          <w:tcPr>
            <w:tcW w:w="834" w:type="pct"/>
            <w:tcBorders>
              <w:top w:val="single" w:sz="4" w:space="0" w:color="auto"/>
              <w:left w:val="single" w:sz="4" w:space="0" w:color="auto"/>
              <w:bottom w:val="single" w:sz="4" w:space="0" w:color="auto"/>
              <w:right w:val="single" w:sz="4" w:space="0" w:color="auto"/>
            </w:tcBorders>
            <w:shd w:val="clear" w:color="auto" w:fill="70AD47" w:themeFill="accent6"/>
          </w:tcPr>
          <w:p w14:paraId="2200ACFB" w14:textId="77777777" w:rsidR="0023564A" w:rsidRDefault="0023564A" w:rsidP="00B245A8">
            <w:pPr>
              <w:jc w:val="center"/>
              <w:rPr>
                <w:color w:val="auto"/>
                <w:sz w:val="19"/>
                <w:szCs w:val="19"/>
              </w:rPr>
            </w:pPr>
            <w:r>
              <w:rPr>
                <w:color w:val="auto"/>
                <w:sz w:val="19"/>
                <w:szCs w:val="19"/>
              </w:rPr>
              <w:t>50</w:t>
            </w:r>
          </w:p>
        </w:tc>
      </w:tr>
      <w:tr w:rsidR="0023564A" w:rsidRPr="0041543F" w14:paraId="5CC2DE8D" w14:textId="77777777" w:rsidTr="00620A12">
        <w:trPr>
          <w:cantSplit/>
          <w:trHeight w:val="20"/>
        </w:trPr>
        <w:tc>
          <w:tcPr>
            <w:tcW w:w="616" w:type="pct"/>
            <w:vMerge/>
            <w:tcBorders>
              <w:left w:val="single" w:sz="4" w:space="0" w:color="auto"/>
              <w:right w:val="single" w:sz="4" w:space="0" w:color="auto"/>
            </w:tcBorders>
          </w:tcPr>
          <w:p w14:paraId="7B572F7A" w14:textId="77777777" w:rsidR="0023564A" w:rsidRPr="006E36B3" w:rsidRDefault="0023564A" w:rsidP="00B245A8">
            <w:pPr>
              <w:tabs>
                <w:tab w:val="left" w:pos="2525"/>
              </w:tabs>
              <w:jc w:val="left"/>
              <w:rPr>
                <w:sz w:val="19"/>
                <w:szCs w:val="19"/>
              </w:rPr>
            </w:pPr>
          </w:p>
        </w:tc>
        <w:tc>
          <w:tcPr>
            <w:tcW w:w="4384" w:type="pct"/>
            <w:gridSpan w:val="10"/>
            <w:tcBorders>
              <w:left w:val="single" w:sz="4" w:space="0" w:color="auto"/>
              <w:right w:val="single" w:sz="4" w:space="0" w:color="auto"/>
            </w:tcBorders>
            <w:shd w:val="clear" w:color="auto" w:fill="70AD47" w:themeFill="accent6"/>
          </w:tcPr>
          <w:p w14:paraId="5AC543B2" w14:textId="50328726" w:rsidR="0023564A" w:rsidRPr="00895486" w:rsidRDefault="0023564A" w:rsidP="00B245A8">
            <w:pPr>
              <w:jc w:val="left"/>
              <w:rPr>
                <w:sz w:val="19"/>
                <w:szCs w:val="19"/>
              </w:rPr>
            </w:pPr>
            <w:r w:rsidRPr="00895486">
              <w:rPr>
                <w:sz w:val="19"/>
                <w:szCs w:val="19"/>
              </w:rPr>
              <w:t>CEW decreased the likelihood of low DO by increasing water mixing and oxygen exchange at the surface</w:t>
            </w:r>
            <w:r>
              <w:rPr>
                <w:sz w:val="19"/>
                <w:szCs w:val="19"/>
              </w:rPr>
              <w:t xml:space="preserve"> and was </w:t>
            </w:r>
            <w:r w:rsidRPr="00A21F19">
              <w:rPr>
                <w:sz w:val="19"/>
                <w:szCs w:val="19"/>
              </w:rPr>
              <w:t xml:space="preserve">assessed as the </w:t>
            </w:r>
            <w:r>
              <w:rPr>
                <w:sz w:val="19"/>
                <w:szCs w:val="19"/>
              </w:rPr>
              <w:t xml:space="preserve">average across sites (see </w:t>
            </w:r>
            <w:r w:rsidR="003B00D0">
              <w:rPr>
                <w:sz w:val="19"/>
                <w:szCs w:val="19"/>
              </w:rPr>
              <w:fldChar w:fldCharType="begin"/>
            </w:r>
            <w:r w:rsidR="003B00D0">
              <w:rPr>
                <w:sz w:val="19"/>
                <w:szCs w:val="19"/>
              </w:rPr>
              <w:instrText xml:space="preserve"> REF _Ref95920514 \h </w:instrText>
            </w:r>
            <w:r w:rsidR="003B00D0">
              <w:rPr>
                <w:sz w:val="19"/>
                <w:szCs w:val="19"/>
              </w:rPr>
            </w:r>
            <w:r w:rsidR="003B00D0">
              <w:rPr>
                <w:sz w:val="19"/>
                <w:szCs w:val="19"/>
              </w:rPr>
              <w:fldChar w:fldCharType="separate"/>
            </w:r>
            <w:r w:rsidR="00102828">
              <w:t xml:space="preserve">Table </w:t>
            </w:r>
            <w:r w:rsidR="00102828">
              <w:rPr>
                <w:noProof/>
              </w:rPr>
              <w:t>5</w:t>
            </w:r>
            <w:r w:rsidR="003B00D0">
              <w:rPr>
                <w:sz w:val="19"/>
                <w:szCs w:val="19"/>
              </w:rPr>
              <w:fldChar w:fldCharType="end"/>
            </w:r>
            <w:r>
              <w:rPr>
                <w:sz w:val="19"/>
                <w:szCs w:val="19"/>
              </w:rPr>
              <w:t xml:space="preserve">) of the </w:t>
            </w:r>
            <w:r w:rsidRPr="00A21F19">
              <w:rPr>
                <w:sz w:val="19"/>
                <w:szCs w:val="19"/>
              </w:rPr>
              <w:t xml:space="preserve">extra days per year with water velocities &gt;0.18 m/s due to CEW. This metric was modified because of the 2021-22 findings that, at velocities &gt;0.4 m/s, gas exchange decreased significantly and was independent of velocity. </w:t>
            </w:r>
            <w:r>
              <w:rPr>
                <w:sz w:val="19"/>
                <w:szCs w:val="19"/>
              </w:rPr>
              <w:t xml:space="preserve">In 2021-22 and 2022-23 velocities were always above the upper limit and environmental flows </w:t>
            </w:r>
            <w:r w:rsidRPr="00A21F19">
              <w:rPr>
                <w:sz w:val="19"/>
                <w:szCs w:val="19"/>
              </w:rPr>
              <w:t xml:space="preserve">did not influence gas exchange. </w:t>
            </w:r>
            <w:r>
              <w:rPr>
                <w:sz w:val="19"/>
                <w:szCs w:val="19"/>
              </w:rPr>
              <w:t xml:space="preserve">In 2014-15 the addition of CEW did not increase the number of days where velocities moved from below to above 0.18 m/s. In all other years, </w:t>
            </w:r>
            <w:r w:rsidRPr="00A21F19">
              <w:rPr>
                <w:sz w:val="19"/>
                <w:szCs w:val="19"/>
              </w:rPr>
              <w:t xml:space="preserve">contributions were significant, ranging from moderate to substantial across the sites. </w:t>
            </w:r>
            <w:r w:rsidRPr="00895486">
              <w:rPr>
                <w:sz w:val="19"/>
                <w:szCs w:val="19"/>
              </w:rPr>
              <w:t>A substantial contribution was considered greater than 30 days, moderate 15–30 days, minor 7–14 days and negligible &lt; 7days.</w:t>
            </w:r>
          </w:p>
        </w:tc>
      </w:tr>
    </w:tbl>
    <w:p w14:paraId="3AE0ADBA" w14:textId="2FD549E0" w:rsidR="0023564A" w:rsidRPr="004208DE" w:rsidRDefault="0023564A" w:rsidP="0023564A">
      <w:pPr>
        <w:spacing w:before="60"/>
        <w:rPr>
          <w:sz w:val="18"/>
          <w:szCs w:val="16"/>
          <w:lang w:val="en-US"/>
        </w:rPr>
      </w:pPr>
      <w:r w:rsidRPr="004208DE">
        <w:rPr>
          <w:sz w:val="18"/>
          <w:szCs w:val="16"/>
          <w:lang w:val="en-US"/>
        </w:rPr>
        <w:t xml:space="preserve">*Refer to the evaluation in Section </w:t>
      </w:r>
      <w:r>
        <w:rPr>
          <w:sz w:val="18"/>
          <w:szCs w:val="16"/>
          <w:lang w:val="en-US"/>
        </w:rPr>
        <w:fldChar w:fldCharType="begin"/>
      </w:r>
      <w:r>
        <w:rPr>
          <w:sz w:val="18"/>
          <w:szCs w:val="16"/>
          <w:lang w:val="en-US"/>
        </w:rPr>
        <w:instrText xml:space="preserve"> REF _Ref127874582 \r \h </w:instrText>
      </w:r>
      <w:r>
        <w:rPr>
          <w:sz w:val="18"/>
          <w:szCs w:val="16"/>
          <w:lang w:val="en-US"/>
        </w:rPr>
      </w:r>
      <w:r>
        <w:rPr>
          <w:sz w:val="18"/>
          <w:szCs w:val="16"/>
          <w:lang w:val="en-US"/>
        </w:rPr>
        <w:fldChar w:fldCharType="separate"/>
      </w:r>
      <w:r w:rsidR="00102828">
        <w:rPr>
          <w:sz w:val="18"/>
          <w:szCs w:val="16"/>
          <w:lang w:val="en-US"/>
        </w:rPr>
        <w:t>2.2</w:t>
      </w:r>
      <w:r>
        <w:rPr>
          <w:sz w:val="18"/>
          <w:szCs w:val="16"/>
          <w:lang w:val="en-US"/>
        </w:rPr>
        <w:fldChar w:fldCharType="end"/>
      </w:r>
      <w:r w:rsidRPr="004208DE">
        <w:rPr>
          <w:sz w:val="18"/>
          <w:szCs w:val="16"/>
          <w:lang w:val="en-US"/>
        </w:rPr>
        <w:t xml:space="preserve"> for details.</w:t>
      </w:r>
    </w:p>
    <w:p w14:paraId="15637C62" w14:textId="383802DF" w:rsidR="00420794" w:rsidRPr="004208DE" w:rsidRDefault="00420794" w:rsidP="00420794">
      <w:pPr>
        <w:spacing w:before="60"/>
        <w:rPr>
          <w:sz w:val="18"/>
          <w:szCs w:val="16"/>
          <w:lang w:val="en-US"/>
        </w:rPr>
      </w:pPr>
    </w:p>
    <w:p w14:paraId="24A77CDE" w14:textId="77777777" w:rsidR="00420794" w:rsidRDefault="00420794" w:rsidP="00420794">
      <w:pPr>
        <w:rPr>
          <w:lang w:val="en-US"/>
        </w:rPr>
      </w:pPr>
    </w:p>
    <w:p w14:paraId="486E0C24" w14:textId="77777777" w:rsidR="00420794" w:rsidRDefault="00420794" w:rsidP="00420794">
      <w:pPr>
        <w:rPr>
          <w:b/>
        </w:rPr>
      </w:pPr>
    </w:p>
    <w:p w14:paraId="40D4A376" w14:textId="77777777" w:rsidR="00420794" w:rsidRDefault="00420794" w:rsidP="00420794">
      <w:pPr>
        <w:spacing w:before="0" w:after="160" w:line="259" w:lineRule="auto"/>
        <w:jc w:val="left"/>
        <w:rPr>
          <w:b/>
        </w:rPr>
      </w:pPr>
      <w:r>
        <w:rPr>
          <w:b/>
        </w:rPr>
        <w:br w:type="page"/>
      </w:r>
    </w:p>
    <w:p w14:paraId="388FAC4D" w14:textId="77777777" w:rsidR="00420794" w:rsidRPr="002F3182" w:rsidRDefault="00420794" w:rsidP="00420794">
      <w:pPr>
        <w:rPr>
          <w:b/>
        </w:rPr>
      </w:pPr>
      <w:r w:rsidRPr="006C0DBA">
        <w:rPr>
          <w:b/>
        </w:rPr>
        <w:lastRenderedPageBreak/>
        <w:t>Littoral Vegetation Diversity and Productivity</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8"/>
        <w:gridCol w:w="4533"/>
        <w:gridCol w:w="3972"/>
        <w:gridCol w:w="3823"/>
      </w:tblGrid>
      <w:tr w:rsidR="004F471C" w:rsidRPr="004E0E6F" w14:paraId="7162FFA1" w14:textId="77777777" w:rsidTr="004F471C">
        <w:trPr>
          <w:cantSplit/>
          <w:trHeight w:val="139"/>
          <w:tblHeader/>
        </w:trPr>
        <w:tc>
          <w:tcPr>
            <w:tcW w:w="605" w:type="pct"/>
            <w:vMerge w:val="restart"/>
            <w:tcBorders>
              <w:top w:val="single" w:sz="4" w:space="0" w:color="auto"/>
              <w:left w:val="single" w:sz="4" w:space="0" w:color="auto"/>
              <w:right w:val="single" w:sz="4" w:space="0" w:color="auto"/>
            </w:tcBorders>
          </w:tcPr>
          <w:p w14:paraId="4CA8DACD" w14:textId="77777777" w:rsidR="004F471C" w:rsidRPr="004E0E6F" w:rsidRDefault="004F471C" w:rsidP="00D035C2">
            <w:pPr>
              <w:pStyle w:val="TableHeading"/>
              <w:jc w:val="center"/>
              <w:rPr>
                <w:sz w:val="19"/>
                <w:szCs w:val="19"/>
              </w:rPr>
            </w:pPr>
            <w:r w:rsidRPr="004E0E6F">
              <w:rPr>
                <w:sz w:val="19"/>
                <w:szCs w:val="19"/>
              </w:rPr>
              <w:t xml:space="preserve">DEW evaluation questions </w:t>
            </w:r>
          </w:p>
        </w:tc>
        <w:tc>
          <w:tcPr>
            <w:tcW w:w="4395" w:type="pct"/>
            <w:gridSpan w:val="3"/>
            <w:tcBorders>
              <w:top w:val="single" w:sz="4" w:space="0" w:color="auto"/>
              <w:left w:val="single" w:sz="4" w:space="0" w:color="auto"/>
              <w:bottom w:val="single" w:sz="4" w:space="0" w:color="auto"/>
              <w:right w:val="single" w:sz="4" w:space="0" w:color="auto"/>
            </w:tcBorders>
            <w:vAlign w:val="bottom"/>
          </w:tcPr>
          <w:p w14:paraId="04DEC61D" w14:textId="77777777" w:rsidR="004F471C" w:rsidRPr="004E0E6F" w:rsidRDefault="004F471C" w:rsidP="00D035C2">
            <w:pPr>
              <w:pStyle w:val="TableHeading"/>
              <w:jc w:val="center"/>
              <w:rPr>
                <w:sz w:val="19"/>
                <w:szCs w:val="19"/>
              </w:rPr>
            </w:pPr>
            <w:r w:rsidRPr="004E0E6F">
              <w:rPr>
                <w:sz w:val="19"/>
                <w:szCs w:val="19"/>
              </w:rPr>
              <w:t xml:space="preserve">Outcomes </w:t>
            </w:r>
            <w:r>
              <w:rPr>
                <w:sz w:val="19"/>
                <w:szCs w:val="19"/>
              </w:rPr>
              <w:t>of CEW delivery</w:t>
            </w:r>
          </w:p>
        </w:tc>
      </w:tr>
      <w:tr w:rsidR="004F471C" w:rsidRPr="004E0E6F" w14:paraId="5E29F1DB" w14:textId="77777777" w:rsidTr="004F471C">
        <w:trPr>
          <w:cantSplit/>
          <w:trHeight w:val="139"/>
          <w:tblHeader/>
        </w:trPr>
        <w:tc>
          <w:tcPr>
            <w:tcW w:w="605" w:type="pct"/>
            <w:vMerge/>
            <w:tcBorders>
              <w:left w:val="single" w:sz="4" w:space="0" w:color="auto"/>
              <w:right w:val="single" w:sz="4" w:space="0" w:color="auto"/>
            </w:tcBorders>
          </w:tcPr>
          <w:p w14:paraId="7DF5AD0F" w14:textId="77777777" w:rsidR="004F471C" w:rsidRPr="004E0E6F" w:rsidRDefault="004F471C" w:rsidP="00D035C2">
            <w:pPr>
              <w:pStyle w:val="TableHeading"/>
              <w:jc w:val="center"/>
              <w:rPr>
                <w:sz w:val="19"/>
                <w:szCs w:val="19"/>
              </w:rPr>
            </w:pPr>
          </w:p>
        </w:tc>
        <w:tc>
          <w:tcPr>
            <w:tcW w:w="1616" w:type="pct"/>
            <w:tcBorders>
              <w:top w:val="single" w:sz="4" w:space="0" w:color="auto"/>
              <w:left w:val="single" w:sz="4" w:space="0" w:color="auto"/>
              <w:bottom w:val="single" w:sz="4" w:space="0" w:color="auto"/>
              <w:right w:val="single" w:sz="4" w:space="0" w:color="auto"/>
            </w:tcBorders>
            <w:vAlign w:val="bottom"/>
          </w:tcPr>
          <w:p w14:paraId="54FD161A" w14:textId="77777777" w:rsidR="004F471C" w:rsidRPr="004E0E6F" w:rsidRDefault="004F471C" w:rsidP="00D035C2">
            <w:pPr>
              <w:pStyle w:val="TableHeading"/>
              <w:jc w:val="center"/>
              <w:rPr>
                <w:sz w:val="19"/>
                <w:szCs w:val="19"/>
              </w:rPr>
            </w:pPr>
            <w:r>
              <w:rPr>
                <w:sz w:val="19"/>
                <w:szCs w:val="19"/>
              </w:rPr>
              <w:t>2019-20</w:t>
            </w:r>
          </w:p>
        </w:tc>
        <w:tc>
          <w:tcPr>
            <w:tcW w:w="1416" w:type="pct"/>
            <w:tcBorders>
              <w:top w:val="single" w:sz="4" w:space="0" w:color="auto"/>
              <w:left w:val="single" w:sz="4" w:space="0" w:color="auto"/>
              <w:bottom w:val="single" w:sz="4" w:space="0" w:color="auto"/>
              <w:right w:val="single" w:sz="4" w:space="0" w:color="auto"/>
            </w:tcBorders>
          </w:tcPr>
          <w:p w14:paraId="0C45D4D1" w14:textId="77777777" w:rsidR="004F471C" w:rsidRPr="004E0E6F" w:rsidRDefault="004F471C" w:rsidP="00D035C2">
            <w:pPr>
              <w:pStyle w:val="TableHeading"/>
              <w:jc w:val="center"/>
              <w:rPr>
                <w:sz w:val="19"/>
                <w:szCs w:val="19"/>
              </w:rPr>
            </w:pPr>
            <w:r w:rsidRPr="00CB2636">
              <w:rPr>
                <w:sz w:val="19"/>
                <w:szCs w:val="19"/>
              </w:rPr>
              <w:t>2020-21</w:t>
            </w:r>
          </w:p>
        </w:tc>
        <w:tc>
          <w:tcPr>
            <w:tcW w:w="1363" w:type="pct"/>
            <w:tcBorders>
              <w:top w:val="single" w:sz="4" w:space="0" w:color="auto"/>
              <w:left w:val="single" w:sz="4" w:space="0" w:color="auto"/>
              <w:bottom w:val="single" w:sz="4" w:space="0" w:color="auto"/>
              <w:right w:val="single" w:sz="4" w:space="0" w:color="auto"/>
            </w:tcBorders>
          </w:tcPr>
          <w:p w14:paraId="6E020295" w14:textId="77777777" w:rsidR="004F471C" w:rsidRPr="00CB2636" w:rsidRDefault="004F471C" w:rsidP="00D035C2">
            <w:pPr>
              <w:pStyle w:val="TableHeading"/>
              <w:jc w:val="center"/>
              <w:rPr>
                <w:sz w:val="19"/>
                <w:szCs w:val="19"/>
              </w:rPr>
            </w:pPr>
            <w:r>
              <w:rPr>
                <w:sz w:val="19"/>
                <w:szCs w:val="19"/>
              </w:rPr>
              <w:t>2023-24</w:t>
            </w:r>
          </w:p>
        </w:tc>
      </w:tr>
      <w:tr w:rsidR="004F471C" w:rsidRPr="004E0E6F" w14:paraId="1210703B" w14:textId="77777777" w:rsidTr="004F471C">
        <w:trPr>
          <w:cantSplit/>
          <w:trHeight w:val="1263"/>
        </w:trPr>
        <w:tc>
          <w:tcPr>
            <w:tcW w:w="605" w:type="pct"/>
            <w:tcBorders>
              <w:top w:val="single" w:sz="4" w:space="0" w:color="auto"/>
              <w:left w:val="single" w:sz="4" w:space="0" w:color="auto"/>
              <w:right w:val="single" w:sz="4" w:space="0" w:color="auto"/>
            </w:tcBorders>
          </w:tcPr>
          <w:p w14:paraId="0A3055C6" w14:textId="77777777" w:rsidR="004F471C" w:rsidRPr="004E0E6F" w:rsidRDefault="004F471C" w:rsidP="00D035C2">
            <w:pPr>
              <w:jc w:val="left"/>
              <w:rPr>
                <w:color w:val="auto"/>
                <w:sz w:val="19"/>
                <w:szCs w:val="19"/>
              </w:rPr>
            </w:pPr>
            <w:r w:rsidRPr="00040E19">
              <w:rPr>
                <w:color w:val="auto"/>
                <w:sz w:val="19"/>
                <w:szCs w:val="19"/>
              </w:rPr>
              <w:t>To what extent did CEW (and other environmental water) contribute to littoral understorey vegetation diversity and productivity?</w:t>
            </w:r>
          </w:p>
        </w:tc>
        <w:tc>
          <w:tcPr>
            <w:tcW w:w="1616" w:type="pct"/>
            <w:tcBorders>
              <w:top w:val="single" w:sz="4" w:space="0" w:color="auto"/>
              <w:left w:val="single" w:sz="4" w:space="0" w:color="auto"/>
              <w:right w:val="single" w:sz="4" w:space="0" w:color="auto"/>
            </w:tcBorders>
            <w:shd w:val="clear" w:color="auto" w:fill="70AD47" w:themeFill="accent6"/>
          </w:tcPr>
          <w:p w14:paraId="7B574007" w14:textId="77777777" w:rsidR="004F471C" w:rsidRPr="00961E09" w:rsidRDefault="004F471C" w:rsidP="00D035C2">
            <w:pPr>
              <w:jc w:val="left"/>
              <w:rPr>
                <w:color w:val="auto"/>
                <w:sz w:val="19"/>
                <w:szCs w:val="19"/>
              </w:rPr>
            </w:pPr>
            <w:r w:rsidRPr="00AA33DC">
              <w:rPr>
                <w:color w:val="auto"/>
                <w:sz w:val="19"/>
                <w:szCs w:val="19"/>
              </w:rPr>
              <w:t xml:space="preserve">CEW delivery increased native plant species diversity by 40–100% across all reaches in the LMR. </w:t>
            </w:r>
            <w:r w:rsidRPr="00961E09">
              <w:rPr>
                <w:color w:val="auto"/>
                <w:sz w:val="19"/>
                <w:szCs w:val="19"/>
              </w:rPr>
              <w:t xml:space="preserve">This was evidenced by consistently higher native species richness in inundated zones in each reach compared to non-inundated areas; higher native species richness (albeit lower than inundated zones) on the edge of the inundation footprint, where there was increased soil moisture due to capillary action, compared to non-inundated zones (where soil moisture was not increased) was also observed. Environmental water delivery in the form of a spring pulse produced conditions suitable for the recruitment of specialised riparian species that are adapted to fluctuating water levels and do not inhabit terrestrial or truly aquatic habitats, increasing plant functional diversity. </w:t>
            </w:r>
          </w:p>
          <w:p w14:paraId="5D404819" w14:textId="77777777" w:rsidR="004F471C" w:rsidRPr="005D7F83" w:rsidRDefault="004F471C" w:rsidP="00D035C2">
            <w:pPr>
              <w:jc w:val="left"/>
              <w:rPr>
                <w:color w:val="auto"/>
                <w:sz w:val="19"/>
                <w:szCs w:val="19"/>
              </w:rPr>
            </w:pPr>
            <w:r w:rsidRPr="00961E09">
              <w:rPr>
                <w:color w:val="auto"/>
                <w:sz w:val="19"/>
                <w:szCs w:val="19"/>
              </w:rPr>
              <w:t>There were no clear patterns of above ground biomass with regards to environmental water delivery; therefore, the influence of environmental water delivery on understorey productivity is inconclusive.</w:t>
            </w:r>
          </w:p>
        </w:tc>
        <w:tc>
          <w:tcPr>
            <w:tcW w:w="1416" w:type="pct"/>
            <w:tcBorders>
              <w:top w:val="single" w:sz="4" w:space="0" w:color="auto"/>
              <w:left w:val="single" w:sz="4" w:space="0" w:color="auto"/>
              <w:right w:val="single" w:sz="4" w:space="0" w:color="auto"/>
            </w:tcBorders>
            <w:shd w:val="clear" w:color="auto" w:fill="70AD47" w:themeFill="accent6"/>
          </w:tcPr>
          <w:p w14:paraId="061AD528" w14:textId="77777777" w:rsidR="004F471C" w:rsidRDefault="004F471C" w:rsidP="00D035C2">
            <w:pPr>
              <w:pStyle w:val="TableHeading"/>
              <w:jc w:val="left"/>
              <w:rPr>
                <w:b w:val="0"/>
                <w:sz w:val="19"/>
                <w:szCs w:val="19"/>
              </w:rPr>
            </w:pPr>
            <w:r w:rsidRPr="00AA33DC">
              <w:rPr>
                <w:b w:val="0"/>
                <w:sz w:val="19"/>
                <w:szCs w:val="19"/>
              </w:rPr>
              <w:t xml:space="preserve">CEW delivery increased native plant species diversity by 42–82% across all reaches in the LMR. </w:t>
            </w:r>
            <w:r w:rsidRPr="00103EF7">
              <w:rPr>
                <w:b w:val="0"/>
                <w:sz w:val="19"/>
                <w:szCs w:val="19"/>
              </w:rPr>
              <w:t xml:space="preserve">This was evidenced by consistently higher native species richness in inundated zones in each reach compared to non-inundated areas. Environmental water delivery in the form of a spring pulse produced conditions suitable for the recruitment of specialised riparian species that are adapted to fluctuating water levels and do not inhabit terrestrial or truly aquatic habitats, increasing plant functional diversity. </w:t>
            </w:r>
          </w:p>
          <w:p w14:paraId="4E700C7D" w14:textId="77777777" w:rsidR="004F471C" w:rsidRPr="00103EF7" w:rsidRDefault="004F471C" w:rsidP="00D035C2">
            <w:pPr>
              <w:pStyle w:val="TableHeading"/>
              <w:jc w:val="left"/>
              <w:rPr>
                <w:b w:val="0"/>
                <w:sz w:val="19"/>
                <w:szCs w:val="19"/>
              </w:rPr>
            </w:pPr>
            <w:r w:rsidRPr="00103EF7">
              <w:rPr>
                <w:b w:val="0"/>
                <w:sz w:val="19"/>
                <w:szCs w:val="19"/>
              </w:rPr>
              <w:t xml:space="preserve">Environmental water delivery </w:t>
            </w:r>
            <w:r>
              <w:rPr>
                <w:b w:val="0"/>
                <w:sz w:val="19"/>
                <w:szCs w:val="19"/>
              </w:rPr>
              <w:t>increased above-ground biomass by delivery of increased soil moisture in the root zone at the edge of the inundation footprint. Increased above-ground biomass was also observed in inundated areas across all reaches and at pool level downstream of Locks 1 and 4, compared to areas not inundated.</w:t>
            </w:r>
          </w:p>
        </w:tc>
        <w:tc>
          <w:tcPr>
            <w:tcW w:w="1363" w:type="pct"/>
            <w:tcBorders>
              <w:top w:val="single" w:sz="4" w:space="0" w:color="auto"/>
              <w:left w:val="single" w:sz="4" w:space="0" w:color="auto"/>
              <w:right w:val="single" w:sz="4" w:space="0" w:color="auto"/>
            </w:tcBorders>
            <w:shd w:val="clear" w:color="auto" w:fill="E2EFD9" w:themeFill="accent6" w:themeFillTint="33"/>
          </w:tcPr>
          <w:p w14:paraId="3B9BF0A6" w14:textId="77777777" w:rsidR="004F471C" w:rsidRDefault="004F471C" w:rsidP="00D035C2">
            <w:pPr>
              <w:pStyle w:val="TableHeading"/>
              <w:spacing w:line="240" w:lineRule="auto"/>
              <w:jc w:val="left"/>
              <w:rPr>
                <w:b w:val="0"/>
                <w:sz w:val="19"/>
                <w:szCs w:val="19"/>
              </w:rPr>
            </w:pPr>
            <w:r>
              <w:rPr>
                <w:b w:val="0"/>
                <w:sz w:val="19"/>
                <w:szCs w:val="19"/>
              </w:rPr>
              <w:t>CEW delivery had no impact on species diversity at any of the assessed reaches in the LMR. Native species richness was either the same or lower in areas inundated by CEW compared to areas not inundated.</w:t>
            </w:r>
          </w:p>
          <w:p w14:paraId="686BF6F4" w14:textId="5B2DDC56" w:rsidR="004F471C" w:rsidRDefault="004F471C" w:rsidP="00D035C2">
            <w:pPr>
              <w:pStyle w:val="TableHeading"/>
              <w:spacing w:line="240" w:lineRule="auto"/>
              <w:jc w:val="left"/>
              <w:rPr>
                <w:b w:val="0"/>
                <w:sz w:val="19"/>
                <w:szCs w:val="19"/>
              </w:rPr>
            </w:pPr>
            <w:r>
              <w:rPr>
                <w:b w:val="0"/>
                <w:sz w:val="19"/>
                <w:szCs w:val="19"/>
              </w:rPr>
              <w:t>However, environmental water delivery in 2023-24 may have prevented a “false start” for some species. Maintaining water levels at elevations where decreasing water levels will expose the sediment (providing conditions for breaking seed dormancy and germination) but then inundating the same sediment drowning plants before they have the opportunity to complete their life cycle and replenish the seed bank.</w:t>
            </w:r>
          </w:p>
          <w:p w14:paraId="10EDE900" w14:textId="77777777" w:rsidR="004F471C" w:rsidRPr="00AA33DC" w:rsidRDefault="004F471C" w:rsidP="00D035C2">
            <w:pPr>
              <w:pStyle w:val="TableHeading"/>
              <w:jc w:val="left"/>
              <w:rPr>
                <w:b w:val="0"/>
                <w:sz w:val="19"/>
                <w:szCs w:val="19"/>
              </w:rPr>
            </w:pPr>
            <w:r>
              <w:rPr>
                <w:b w:val="0"/>
                <w:sz w:val="19"/>
                <w:szCs w:val="19"/>
              </w:rPr>
              <w:t>CEW delivery had no impact on biomass with the highest biomass across all reaches (except downstream of Lock 4) being in the zone not inundated by CEW. Biomass generally decreased with elevation at each reach.</w:t>
            </w:r>
          </w:p>
        </w:tc>
      </w:tr>
    </w:tbl>
    <w:p w14:paraId="1688D6BE" w14:textId="77777777" w:rsidR="00420794" w:rsidRDefault="00420794" w:rsidP="00420794">
      <w:pPr>
        <w:spacing w:before="0" w:after="160" w:line="259" w:lineRule="auto"/>
        <w:jc w:val="left"/>
      </w:pPr>
    </w:p>
    <w:p w14:paraId="262A6396" w14:textId="77777777" w:rsidR="009833C9" w:rsidRDefault="009833C9" w:rsidP="00420794">
      <w:pPr>
        <w:rPr>
          <w:b/>
        </w:rPr>
        <w:sectPr w:rsidR="009833C9" w:rsidSect="00CF10A2">
          <w:pgSz w:w="16838" w:h="11906" w:orient="landscape"/>
          <w:pgMar w:top="1440" w:right="1440" w:bottom="1440" w:left="1440" w:header="709" w:footer="709" w:gutter="0"/>
          <w:cols w:space="708"/>
          <w:docGrid w:linePitch="360"/>
        </w:sectPr>
      </w:pPr>
    </w:p>
    <w:p w14:paraId="1AA2F3DE" w14:textId="5EF6CF16" w:rsidR="00420794" w:rsidRPr="004D04C7" w:rsidRDefault="00420794" w:rsidP="00420794">
      <w:pPr>
        <w:rPr>
          <w:b/>
        </w:rPr>
      </w:pPr>
      <w:r w:rsidRPr="00CB4541">
        <w:rPr>
          <w:b/>
        </w:rPr>
        <w:lastRenderedPageBreak/>
        <w:t>Microinvertebrate Assemblage</w:t>
      </w:r>
    </w:p>
    <w:tbl>
      <w:tblPr>
        <w:tblW w:w="5000" w:type="pct"/>
        <w:tblCellMar>
          <w:left w:w="0" w:type="dxa"/>
          <w:right w:w="0" w:type="dxa"/>
        </w:tblCellMar>
        <w:tblLook w:val="04A0" w:firstRow="1" w:lastRow="0" w:firstColumn="1" w:lastColumn="0" w:noHBand="0" w:noVBand="1"/>
      </w:tblPr>
      <w:tblGrid>
        <w:gridCol w:w="2257"/>
        <w:gridCol w:w="1134"/>
        <w:gridCol w:w="1131"/>
        <w:gridCol w:w="1277"/>
        <w:gridCol w:w="1135"/>
        <w:gridCol w:w="1274"/>
        <w:gridCol w:w="1277"/>
        <w:gridCol w:w="1135"/>
        <w:gridCol w:w="1132"/>
        <w:gridCol w:w="1135"/>
        <w:gridCol w:w="1051"/>
      </w:tblGrid>
      <w:tr w:rsidR="00CF10A2" w14:paraId="02B2EA98" w14:textId="25D06FD5" w:rsidTr="00CF10A2">
        <w:trPr>
          <w:cantSplit/>
          <w:trHeight w:val="20"/>
          <w:tblHeader/>
        </w:trPr>
        <w:tc>
          <w:tcPr>
            <w:tcW w:w="81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225384" w14:textId="77777777" w:rsidR="00CF10A2" w:rsidRDefault="00CF10A2" w:rsidP="007E09E4">
            <w:pPr>
              <w:pStyle w:val="TableHeading"/>
              <w:jc w:val="center"/>
              <w:rPr>
                <w:bCs/>
                <w:sz w:val="19"/>
                <w:szCs w:val="19"/>
              </w:rPr>
            </w:pPr>
            <w:r>
              <w:rPr>
                <w:sz w:val="19"/>
                <w:szCs w:val="19"/>
              </w:rPr>
              <w:t xml:space="preserve">DEW evaluation questions </w:t>
            </w:r>
          </w:p>
        </w:tc>
        <w:tc>
          <w:tcPr>
            <w:tcW w:w="4190" w:type="pct"/>
            <w:gridSpan w:val="10"/>
            <w:tcBorders>
              <w:top w:val="single" w:sz="8" w:space="0" w:color="auto"/>
              <w:left w:val="nil"/>
              <w:bottom w:val="single" w:sz="8" w:space="0" w:color="auto"/>
              <w:right w:val="single" w:sz="8" w:space="0" w:color="auto"/>
            </w:tcBorders>
          </w:tcPr>
          <w:p w14:paraId="485EF899" w14:textId="5A060062" w:rsidR="00CF10A2" w:rsidRDefault="00CF10A2" w:rsidP="007E09E4">
            <w:pPr>
              <w:pStyle w:val="TableHeading"/>
              <w:jc w:val="center"/>
              <w:rPr>
                <w:sz w:val="19"/>
                <w:szCs w:val="19"/>
              </w:rPr>
            </w:pPr>
            <w:r>
              <w:rPr>
                <w:sz w:val="19"/>
                <w:szCs w:val="19"/>
              </w:rPr>
              <w:t>Outcomes of CEW delivery (2014–2024)</w:t>
            </w:r>
          </w:p>
        </w:tc>
      </w:tr>
      <w:tr w:rsidR="00CF10A2" w14:paraId="01B67CD5" w14:textId="7E73E496" w:rsidTr="00C931F4">
        <w:trPr>
          <w:cantSplit/>
          <w:trHeight w:val="20"/>
          <w:tblHeader/>
        </w:trPr>
        <w:tc>
          <w:tcPr>
            <w:tcW w:w="810" w:type="pct"/>
            <w:vMerge/>
            <w:tcBorders>
              <w:top w:val="single" w:sz="8" w:space="0" w:color="auto"/>
              <w:left w:val="single" w:sz="8" w:space="0" w:color="auto"/>
              <w:bottom w:val="single" w:sz="8" w:space="0" w:color="auto"/>
              <w:right w:val="single" w:sz="8" w:space="0" w:color="auto"/>
            </w:tcBorders>
            <w:vAlign w:val="center"/>
            <w:hideMark/>
          </w:tcPr>
          <w:p w14:paraId="24DE87A3" w14:textId="77777777" w:rsidR="00CF10A2" w:rsidRDefault="00CF10A2" w:rsidP="007E09E4">
            <w:pPr>
              <w:rPr>
                <w:rFonts w:eastAsia="SimSun" w:cs="SimSun"/>
                <w:b/>
                <w:bCs/>
                <w:sz w:val="19"/>
                <w:szCs w:val="19"/>
              </w:rPr>
            </w:pPr>
          </w:p>
        </w:tc>
        <w:tc>
          <w:tcPr>
            <w:tcW w:w="407" w:type="pct"/>
            <w:tcBorders>
              <w:top w:val="nil"/>
              <w:left w:val="nil"/>
              <w:bottom w:val="single" w:sz="8" w:space="0" w:color="auto"/>
              <w:right w:val="single" w:sz="8" w:space="0" w:color="auto"/>
            </w:tcBorders>
            <w:tcMar>
              <w:top w:w="0" w:type="dxa"/>
              <w:left w:w="108" w:type="dxa"/>
              <w:bottom w:w="0" w:type="dxa"/>
              <w:right w:w="108" w:type="dxa"/>
            </w:tcMar>
            <w:vAlign w:val="bottom"/>
            <w:hideMark/>
          </w:tcPr>
          <w:p w14:paraId="08063776" w14:textId="11CC3B6F" w:rsidR="00CF10A2" w:rsidRDefault="00CF10A2" w:rsidP="007E09E4">
            <w:pPr>
              <w:pStyle w:val="TableHeading"/>
              <w:jc w:val="center"/>
              <w:rPr>
                <w:sz w:val="19"/>
                <w:szCs w:val="19"/>
              </w:rPr>
            </w:pPr>
            <w:r>
              <w:rPr>
                <w:sz w:val="19"/>
                <w:szCs w:val="19"/>
              </w:rPr>
              <w:t>14-15</w:t>
            </w:r>
          </w:p>
        </w:tc>
        <w:tc>
          <w:tcPr>
            <w:tcW w:w="406"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718A59AB" w14:textId="472E1281" w:rsidR="00CF10A2" w:rsidRDefault="00CF10A2" w:rsidP="007E09E4">
            <w:pPr>
              <w:pStyle w:val="TableHeading"/>
              <w:jc w:val="center"/>
              <w:rPr>
                <w:sz w:val="19"/>
                <w:szCs w:val="19"/>
              </w:rPr>
            </w:pPr>
            <w:r>
              <w:rPr>
                <w:sz w:val="19"/>
                <w:szCs w:val="19"/>
              </w:rPr>
              <w:t>15-16</w:t>
            </w:r>
          </w:p>
        </w:tc>
        <w:tc>
          <w:tcPr>
            <w:tcW w:w="458"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bottom"/>
            <w:hideMark/>
          </w:tcPr>
          <w:p w14:paraId="639EF0FA" w14:textId="3712D5F0" w:rsidR="00CF10A2" w:rsidRDefault="00CF10A2" w:rsidP="007E09E4">
            <w:pPr>
              <w:pStyle w:val="TableHeading"/>
              <w:jc w:val="center"/>
              <w:rPr>
                <w:sz w:val="19"/>
                <w:szCs w:val="19"/>
              </w:rPr>
            </w:pPr>
            <w:r>
              <w:rPr>
                <w:sz w:val="19"/>
                <w:szCs w:val="19"/>
              </w:rPr>
              <w:t>16-17</w:t>
            </w:r>
          </w:p>
        </w:tc>
        <w:tc>
          <w:tcPr>
            <w:tcW w:w="407"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638F8A66" w14:textId="5A883D1F" w:rsidR="00CF10A2" w:rsidRDefault="00CF10A2" w:rsidP="007E09E4">
            <w:pPr>
              <w:pStyle w:val="TableHeading"/>
              <w:jc w:val="center"/>
              <w:rPr>
                <w:sz w:val="19"/>
                <w:szCs w:val="19"/>
              </w:rPr>
            </w:pPr>
            <w:r>
              <w:rPr>
                <w:sz w:val="19"/>
                <w:szCs w:val="19"/>
              </w:rPr>
              <w:t>17-18</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14:paraId="14BD5442" w14:textId="46B14428" w:rsidR="00CF10A2" w:rsidRDefault="00CF10A2" w:rsidP="007E09E4">
            <w:pPr>
              <w:pStyle w:val="TableHeading"/>
              <w:jc w:val="center"/>
              <w:rPr>
                <w:sz w:val="19"/>
                <w:szCs w:val="19"/>
              </w:rPr>
            </w:pPr>
            <w:r>
              <w:rPr>
                <w:sz w:val="19"/>
                <w:szCs w:val="19"/>
              </w:rPr>
              <w:t>18-19</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14:paraId="3E561C5A" w14:textId="4A267744" w:rsidR="00CF10A2" w:rsidRDefault="00CF10A2" w:rsidP="007E09E4">
            <w:pPr>
              <w:pStyle w:val="TableHeading"/>
              <w:jc w:val="center"/>
              <w:rPr>
                <w:sz w:val="19"/>
                <w:szCs w:val="19"/>
              </w:rPr>
            </w:pPr>
            <w:r>
              <w:rPr>
                <w:sz w:val="19"/>
                <w:szCs w:val="19"/>
              </w:rPr>
              <w:t>19-20</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14:paraId="088A8144" w14:textId="4E64DABF" w:rsidR="00CF10A2" w:rsidRDefault="00CF10A2" w:rsidP="007E09E4">
            <w:pPr>
              <w:pStyle w:val="TableHeading"/>
              <w:jc w:val="center"/>
              <w:rPr>
                <w:sz w:val="19"/>
                <w:szCs w:val="19"/>
              </w:rPr>
            </w:pPr>
            <w:r>
              <w:rPr>
                <w:sz w:val="19"/>
                <w:szCs w:val="19"/>
              </w:rPr>
              <w:t>20-21</w:t>
            </w:r>
          </w:p>
        </w:tc>
        <w:tc>
          <w:tcPr>
            <w:tcW w:w="406" w:type="pct"/>
            <w:tcBorders>
              <w:top w:val="nil"/>
              <w:left w:val="nil"/>
              <w:bottom w:val="single" w:sz="8" w:space="0" w:color="auto"/>
              <w:right w:val="single" w:sz="4" w:space="0" w:color="auto"/>
            </w:tcBorders>
            <w:shd w:val="clear" w:color="auto" w:fill="FFFFFF" w:themeFill="background1"/>
          </w:tcPr>
          <w:p w14:paraId="448DB5A4" w14:textId="0208269D" w:rsidR="00CF10A2" w:rsidRDefault="00CF10A2" w:rsidP="007E09E4">
            <w:pPr>
              <w:pStyle w:val="TableHeading"/>
              <w:jc w:val="center"/>
              <w:rPr>
                <w:sz w:val="19"/>
                <w:szCs w:val="19"/>
              </w:rPr>
            </w:pPr>
            <w:r>
              <w:rPr>
                <w:sz w:val="19"/>
                <w:szCs w:val="19"/>
              </w:rPr>
              <w:t>21-22</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0B7E274D" w14:textId="5D09D64B" w:rsidR="00CF10A2" w:rsidRDefault="00CF10A2" w:rsidP="007E09E4">
            <w:pPr>
              <w:pStyle w:val="TableHeading"/>
              <w:jc w:val="center"/>
              <w:rPr>
                <w:sz w:val="19"/>
                <w:szCs w:val="19"/>
              </w:rPr>
            </w:pPr>
            <w:r>
              <w:rPr>
                <w:sz w:val="19"/>
                <w:szCs w:val="19"/>
              </w:rPr>
              <w:t>22-23</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tcPr>
          <w:p w14:paraId="3F155AFC" w14:textId="02E8443D" w:rsidR="00CF10A2" w:rsidRPr="00E74A03" w:rsidRDefault="00CF10A2" w:rsidP="007E09E4">
            <w:pPr>
              <w:pStyle w:val="TableHeading"/>
              <w:jc w:val="center"/>
              <w:rPr>
                <w:sz w:val="19"/>
                <w:szCs w:val="19"/>
              </w:rPr>
            </w:pPr>
            <w:r w:rsidRPr="00E74A03">
              <w:rPr>
                <w:sz w:val="19"/>
                <w:szCs w:val="19"/>
              </w:rPr>
              <w:t>23-24</w:t>
            </w:r>
          </w:p>
        </w:tc>
      </w:tr>
      <w:tr w:rsidR="00DC0FD9" w14:paraId="36D93F34" w14:textId="31503F34" w:rsidTr="00DC0FD9">
        <w:trPr>
          <w:cantSplit/>
          <w:trHeight w:val="20"/>
        </w:trPr>
        <w:tc>
          <w:tcPr>
            <w:tcW w:w="81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DFB246" w14:textId="77777777" w:rsidR="00CF10A2" w:rsidRDefault="00CF10A2" w:rsidP="007E09E4">
            <w:pPr>
              <w:rPr>
                <w:sz w:val="19"/>
                <w:szCs w:val="19"/>
              </w:rPr>
            </w:pPr>
            <w:r>
              <w:rPr>
                <w:sz w:val="19"/>
                <w:szCs w:val="19"/>
              </w:rPr>
              <w:t>To what extent did CEW contribute to increased dispersal of organisms between river and wetlands</w:t>
            </w:r>
            <w:r>
              <w:t xml:space="preserve"> </w:t>
            </w:r>
            <w:r>
              <w:rPr>
                <w:sz w:val="19"/>
                <w:szCs w:val="19"/>
              </w:rPr>
              <w:t>in the Lower Murray?</w:t>
            </w:r>
          </w:p>
        </w:tc>
        <w:tc>
          <w:tcPr>
            <w:tcW w:w="407" w:type="pct"/>
            <w:tcBorders>
              <w:top w:val="single" w:sz="8" w:space="0" w:color="auto"/>
              <w:left w:val="nil"/>
              <w:bottom w:val="single" w:sz="8" w:space="0" w:color="auto"/>
              <w:right w:val="single" w:sz="8" w:space="0" w:color="auto"/>
            </w:tcBorders>
            <w:shd w:val="clear" w:color="auto" w:fill="E2EFD9" w:themeFill="accent6" w:themeFillTint="33"/>
            <w:tcMar>
              <w:top w:w="0" w:type="dxa"/>
              <w:left w:w="108" w:type="dxa"/>
              <w:bottom w:w="0" w:type="dxa"/>
              <w:right w:w="108" w:type="dxa"/>
            </w:tcMar>
            <w:hideMark/>
          </w:tcPr>
          <w:p w14:paraId="30C6F86E" w14:textId="2C7BBBC7" w:rsidR="00CF10A2" w:rsidRDefault="00DC0FD9" w:rsidP="007E09E4">
            <w:pPr>
              <w:jc w:val="center"/>
              <w:rPr>
                <w:sz w:val="19"/>
                <w:szCs w:val="19"/>
              </w:rPr>
            </w:pPr>
            <w:r>
              <w:rPr>
                <w:color w:val="auto"/>
                <w:sz w:val="16"/>
                <w:szCs w:val="22"/>
              </w:rPr>
              <w:t>+</w:t>
            </w:r>
            <w:r w:rsidR="00CF10A2" w:rsidRPr="001B2D5A">
              <w:rPr>
                <w:color w:val="auto"/>
                <w:sz w:val="16"/>
                <w:szCs w:val="22"/>
              </w:rPr>
              <w:t>7</w:t>
            </w:r>
            <w:r>
              <w:rPr>
                <w:color w:val="auto"/>
                <w:sz w:val="16"/>
                <w:szCs w:val="22"/>
              </w:rPr>
              <w:t>%</w:t>
            </w:r>
          </w:p>
        </w:tc>
        <w:tc>
          <w:tcPr>
            <w:tcW w:w="406" w:type="pct"/>
            <w:tcBorders>
              <w:top w:val="single" w:sz="8" w:space="0" w:color="auto"/>
              <w:left w:val="nil"/>
              <w:bottom w:val="single" w:sz="8" w:space="0" w:color="auto"/>
              <w:right w:val="single" w:sz="8" w:space="0" w:color="auto"/>
            </w:tcBorders>
            <w:shd w:val="clear" w:color="auto" w:fill="E2EFD9" w:themeFill="accent6" w:themeFillTint="33"/>
            <w:tcMar>
              <w:top w:w="0" w:type="dxa"/>
              <w:left w:w="108" w:type="dxa"/>
              <w:bottom w:w="0" w:type="dxa"/>
              <w:right w:w="108" w:type="dxa"/>
            </w:tcMar>
            <w:hideMark/>
          </w:tcPr>
          <w:p w14:paraId="5C356C00" w14:textId="60953C8A" w:rsidR="00CF10A2" w:rsidRDefault="00DC0FD9" w:rsidP="007E09E4">
            <w:pPr>
              <w:jc w:val="center"/>
              <w:rPr>
                <w:sz w:val="19"/>
                <w:szCs w:val="19"/>
              </w:rPr>
            </w:pPr>
            <w:r>
              <w:rPr>
                <w:color w:val="auto"/>
                <w:sz w:val="16"/>
                <w:szCs w:val="22"/>
              </w:rPr>
              <w:t>-4%</w:t>
            </w:r>
          </w:p>
        </w:tc>
        <w:tc>
          <w:tcPr>
            <w:tcW w:w="458" w:type="pct"/>
            <w:tcBorders>
              <w:top w:val="single" w:sz="8" w:space="0" w:color="auto"/>
              <w:left w:val="nil"/>
              <w:bottom w:val="single" w:sz="8" w:space="0" w:color="auto"/>
              <w:right w:val="single" w:sz="8" w:space="0" w:color="auto"/>
            </w:tcBorders>
            <w:shd w:val="clear" w:color="auto" w:fill="FF0000"/>
            <w:tcMar>
              <w:top w:w="0" w:type="dxa"/>
              <w:left w:w="108" w:type="dxa"/>
              <w:bottom w:w="0" w:type="dxa"/>
              <w:right w:w="108" w:type="dxa"/>
            </w:tcMar>
            <w:hideMark/>
          </w:tcPr>
          <w:p w14:paraId="087D2641" w14:textId="58405578" w:rsidR="00CF10A2" w:rsidRDefault="00DC0FD9" w:rsidP="007E09E4">
            <w:pPr>
              <w:jc w:val="center"/>
              <w:rPr>
                <w:sz w:val="19"/>
                <w:szCs w:val="19"/>
              </w:rPr>
            </w:pPr>
            <w:r>
              <w:rPr>
                <w:color w:val="auto"/>
                <w:sz w:val="16"/>
                <w:szCs w:val="22"/>
              </w:rPr>
              <w:t>-12%</w:t>
            </w:r>
          </w:p>
        </w:tc>
        <w:tc>
          <w:tcPr>
            <w:tcW w:w="407" w:type="pct"/>
            <w:tcBorders>
              <w:top w:val="single" w:sz="8" w:space="0" w:color="auto"/>
              <w:left w:val="nil"/>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44312E74" w14:textId="371BC68B" w:rsidR="00CF10A2" w:rsidRDefault="00DC0FD9" w:rsidP="007E09E4">
            <w:pPr>
              <w:jc w:val="center"/>
              <w:rPr>
                <w:sz w:val="19"/>
                <w:szCs w:val="19"/>
              </w:rPr>
            </w:pPr>
            <w:r>
              <w:rPr>
                <w:color w:val="auto"/>
                <w:sz w:val="16"/>
                <w:szCs w:val="22"/>
              </w:rPr>
              <w:t>+14%</w:t>
            </w:r>
          </w:p>
        </w:tc>
        <w:tc>
          <w:tcPr>
            <w:tcW w:w="457" w:type="pct"/>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2DD003BD" w14:textId="3B6F9686" w:rsidR="00CF10A2" w:rsidRDefault="00CF10A2" w:rsidP="007E09E4">
            <w:pPr>
              <w:jc w:val="center"/>
              <w:rPr>
                <w:sz w:val="19"/>
                <w:szCs w:val="19"/>
              </w:rPr>
            </w:pPr>
            <w:r w:rsidRPr="001B2D5A">
              <w:rPr>
                <w:color w:val="auto"/>
                <w:sz w:val="16"/>
                <w:szCs w:val="22"/>
              </w:rPr>
              <w:t>N/A</w:t>
            </w:r>
          </w:p>
        </w:tc>
        <w:tc>
          <w:tcPr>
            <w:tcW w:w="458" w:type="pct"/>
            <w:tcBorders>
              <w:top w:val="nil"/>
              <w:left w:val="nil"/>
              <w:bottom w:val="single" w:sz="8" w:space="0" w:color="auto"/>
              <w:right w:val="single" w:sz="8" w:space="0" w:color="auto"/>
            </w:tcBorders>
            <w:shd w:val="clear" w:color="auto" w:fill="FF0000"/>
            <w:tcMar>
              <w:top w:w="0" w:type="dxa"/>
              <w:left w:w="108" w:type="dxa"/>
              <w:bottom w:w="0" w:type="dxa"/>
              <w:right w:w="108" w:type="dxa"/>
            </w:tcMar>
            <w:hideMark/>
          </w:tcPr>
          <w:p w14:paraId="202C3D35" w14:textId="3F9C9631" w:rsidR="00CF10A2" w:rsidRDefault="00DC0FD9" w:rsidP="007E09E4">
            <w:pPr>
              <w:jc w:val="center"/>
              <w:rPr>
                <w:color w:val="auto"/>
                <w:sz w:val="19"/>
                <w:szCs w:val="19"/>
              </w:rPr>
            </w:pPr>
            <w:r>
              <w:rPr>
                <w:color w:val="auto"/>
                <w:sz w:val="16"/>
                <w:szCs w:val="22"/>
              </w:rPr>
              <w:t>-126%</w:t>
            </w:r>
          </w:p>
        </w:tc>
        <w:tc>
          <w:tcPr>
            <w:tcW w:w="407" w:type="pct"/>
            <w:tcBorders>
              <w:top w:val="nil"/>
              <w:left w:val="nil"/>
              <w:bottom w:val="single" w:sz="8" w:space="0" w:color="auto"/>
              <w:right w:val="single" w:sz="8" w:space="0" w:color="auto"/>
            </w:tcBorders>
            <w:shd w:val="clear" w:color="auto" w:fill="FF0000"/>
            <w:tcMar>
              <w:top w:w="0" w:type="dxa"/>
              <w:left w:w="108" w:type="dxa"/>
              <w:bottom w:w="0" w:type="dxa"/>
              <w:right w:w="108" w:type="dxa"/>
            </w:tcMar>
            <w:hideMark/>
          </w:tcPr>
          <w:p w14:paraId="5C34E209" w14:textId="70EB9C5E" w:rsidR="00CF10A2" w:rsidRDefault="00CF10A2" w:rsidP="007E09E4">
            <w:pPr>
              <w:jc w:val="center"/>
              <w:rPr>
                <w:sz w:val="19"/>
                <w:szCs w:val="19"/>
              </w:rPr>
            </w:pPr>
            <w:r w:rsidRPr="001B2D5A">
              <w:rPr>
                <w:color w:val="auto"/>
                <w:sz w:val="16"/>
                <w:szCs w:val="22"/>
              </w:rPr>
              <w:t>-</w:t>
            </w:r>
            <w:r w:rsidR="00DC0FD9">
              <w:rPr>
                <w:color w:val="auto"/>
                <w:sz w:val="16"/>
                <w:szCs w:val="22"/>
              </w:rPr>
              <w:t>1</w:t>
            </w:r>
            <w:r w:rsidRPr="001B2D5A">
              <w:rPr>
                <w:color w:val="auto"/>
                <w:sz w:val="16"/>
                <w:szCs w:val="22"/>
              </w:rPr>
              <w:t>33</w:t>
            </w:r>
            <w:r w:rsidR="00DC0FD9">
              <w:rPr>
                <w:color w:val="auto"/>
                <w:sz w:val="16"/>
                <w:szCs w:val="22"/>
              </w:rPr>
              <w:t>%</w:t>
            </w:r>
          </w:p>
        </w:tc>
        <w:tc>
          <w:tcPr>
            <w:tcW w:w="406" w:type="pct"/>
            <w:tcBorders>
              <w:top w:val="nil"/>
              <w:left w:val="nil"/>
              <w:bottom w:val="single" w:sz="8" w:space="0" w:color="auto"/>
              <w:right w:val="single" w:sz="4" w:space="0" w:color="auto"/>
            </w:tcBorders>
            <w:shd w:val="clear" w:color="auto" w:fill="FF0000"/>
          </w:tcPr>
          <w:p w14:paraId="73D04D8E" w14:textId="753AAB84" w:rsidR="00CF10A2" w:rsidRDefault="00CF10A2" w:rsidP="007E09E4">
            <w:pPr>
              <w:jc w:val="center"/>
              <w:rPr>
                <w:sz w:val="19"/>
                <w:szCs w:val="19"/>
                <w:lang w:eastAsia="en-AU"/>
              </w:rPr>
            </w:pPr>
            <w:r w:rsidRPr="001B2D5A">
              <w:rPr>
                <w:color w:val="auto"/>
                <w:sz w:val="16"/>
                <w:szCs w:val="22"/>
              </w:rPr>
              <w:t>-</w:t>
            </w:r>
            <w:r w:rsidR="00DC0FD9">
              <w:rPr>
                <w:color w:val="auto"/>
                <w:sz w:val="16"/>
                <w:szCs w:val="22"/>
              </w:rPr>
              <w:t>35%</w:t>
            </w:r>
          </w:p>
        </w:tc>
        <w:tc>
          <w:tcPr>
            <w:tcW w:w="407" w:type="pct"/>
            <w:tcBorders>
              <w:top w:val="single" w:sz="4" w:space="0" w:color="auto"/>
              <w:left w:val="single" w:sz="4" w:space="0" w:color="auto"/>
              <w:bottom w:val="single" w:sz="4" w:space="0" w:color="auto"/>
              <w:right w:val="single" w:sz="4" w:space="0" w:color="auto"/>
            </w:tcBorders>
            <w:shd w:val="clear" w:color="auto" w:fill="E2EFD9" w:themeFill="accent6" w:themeFillTint="33"/>
            <w:tcMar>
              <w:top w:w="0" w:type="dxa"/>
              <w:left w:w="108" w:type="dxa"/>
              <w:bottom w:w="0" w:type="dxa"/>
              <w:right w:w="108" w:type="dxa"/>
            </w:tcMar>
          </w:tcPr>
          <w:p w14:paraId="193C3C12" w14:textId="66D2DF5C" w:rsidR="00CF10A2" w:rsidRDefault="00DC0FD9" w:rsidP="007E09E4">
            <w:pPr>
              <w:jc w:val="center"/>
              <w:rPr>
                <w:sz w:val="19"/>
                <w:szCs w:val="19"/>
                <w:lang w:eastAsia="en-AU"/>
              </w:rPr>
            </w:pPr>
            <w:r>
              <w:rPr>
                <w:color w:val="auto"/>
                <w:sz w:val="16"/>
                <w:szCs w:val="22"/>
              </w:rPr>
              <w:t>-5%</w:t>
            </w:r>
          </w:p>
        </w:tc>
        <w:tc>
          <w:tcPr>
            <w:tcW w:w="377" w:type="pct"/>
            <w:tcBorders>
              <w:top w:val="single" w:sz="4" w:space="0" w:color="auto"/>
              <w:left w:val="single" w:sz="4" w:space="0" w:color="auto"/>
              <w:bottom w:val="single" w:sz="4" w:space="0" w:color="auto"/>
              <w:right w:val="single" w:sz="4" w:space="0" w:color="auto"/>
            </w:tcBorders>
            <w:shd w:val="clear" w:color="auto" w:fill="FF0000"/>
          </w:tcPr>
          <w:p w14:paraId="6E957692" w14:textId="6DBD3615" w:rsidR="00CF10A2" w:rsidRPr="00E74A03" w:rsidRDefault="00DC0FD9" w:rsidP="007E09E4">
            <w:pPr>
              <w:jc w:val="center"/>
              <w:rPr>
                <w:color w:val="auto"/>
                <w:sz w:val="16"/>
                <w:szCs w:val="22"/>
              </w:rPr>
            </w:pPr>
            <w:r>
              <w:rPr>
                <w:color w:val="auto"/>
                <w:sz w:val="16"/>
                <w:szCs w:val="22"/>
              </w:rPr>
              <w:t>-93%</w:t>
            </w:r>
          </w:p>
        </w:tc>
      </w:tr>
      <w:tr w:rsidR="00CF10A2" w14:paraId="4541795D" w14:textId="76F2A038" w:rsidTr="00CF10A2">
        <w:trPr>
          <w:cantSplit/>
          <w:trHeight w:val="20"/>
        </w:trPr>
        <w:tc>
          <w:tcPr>
            <w:tcW w:w="810" w:type="pct"/>
            <w:vMerge/>
            <w:tcBorders>
              <w:top w:val="nil"/>
              <w:left w:val="single" w:sz="8" w:space="0" w:color="auto"/>
              <w:bottom w:val="single" w:sz="8" w:space="0" w:color="auto"/>
              <w:right w:val="single" w:sz="8" w:space="0" w:color="auto"/>
            </w:tcBorders>
            <w:vAlign w:val="center"/>
            <w:hideMark/>
          </w:tcPr>
          <w:p w14:paraId="475A7E5D" w14:textId="77777777" w:rsidR="00CF10A2" w:rsidRDefault="00CF10A2" w:rsidP="007E09E4">
            <w:pPr>
              <w:rPr>
                <w:rFonts w:ascii="Calibri" w:eastAsia="SimSun" w:hAnsi="Calibri" w:cs="Calibri"/>
                <w:sz w:val="19"/>
                <w:szCs w:val="19"/>
              </w:rPr>
            </w:pPr>
          </w:p>
        </w:tc>
        <w:tc>
          <w:tcPr>
            <w:tcW w:w="4190" w:type="pct"/>
            <w:gridSpan w:val="10"/>
            <w:tcBorders>
              <w:top w:val="nil"/>
              <w:left w:val="nil"/>
              <w:bottom w:val="single" w:sz="8" w:space="0" w:color="auto"/>
              <w:right w:val="single" w:sz="8" w:space="0" w:color="auto"/>
            </w:tcBorders>
            <w:shd w:val="clear" w:color="auto" w:fill="E2EFD9"/>
          </w:tcPr>
          <w:p w14:paraId="54F974CF" w14:textId="569A746B" w:rsidR="00CF10A2" w:rsidRPr="00BD3C09" w:rsidRDefault="00DC0FD9" w:rsidP="007E09E4">
            <w:pPr>
              <w:rPr>
                <w:sz w:val="19"/>
                <w:szCs w:val="19"/>
              </w:rPr>
            </w:pPr>
            <w:r w:rsidRPr="00DC0FD9">
              <w:rPr>
                <w:sz w:val="19"/>
                <w:szCs w:val="19"/>
              </w:rPr>
              <w:t>Over the past decade, CEW predominantly had negligible to negative effects on microinvertebrate communities of the LMR via lateral connectivity, although with a minor positive effect observed in 2017-18 (+14%).</w:t>
            </w:r>
            <w:r>
              <w:rPr>
                <w:sz w:val="19"/>
                <w:szCs w:val="19"/>
              </w:rPr>
              <w:t xml:space="preserve"> </w:t>
            </w:r>
            <w:r w:rsidR="00CF10A2" w:rsidRPr="00BD3C09">
              <w:rPr>
                <w:sz w:val="19"/>
                <w:szCs w:val="19"/>
              </w:rPr>
              <w:t>The significance of the contribution was classified as negative if the contribution was ≤-9%, none-negligible = -9–9%, minor = 10–19%, moderate =20–29% and substantial = ≥30%.</w:t>
            </w:r>
            <w:r w:rsidR="00CF10A2" w:rsidRPr="001B2D5A">
              <w:rPr>
                <w:b/>
                <w:bCs/>
                <w:sz w:val="19"/>
                <w:szCs w:val="19"/>
              </w:rPr>
              <w:t xml:space="preserve"> </w:t>
            </w:r>
            <w:r w:rsidR="00CF10A2">
              <w:rPr>
                <w:sz w:val="19"/>
                <w:szCs w:val="19"/>
              </w:rPr>
              <w:t xml:space="preserve">Refer to the evaluation in Section </w:t>
            </w:r>
            <w:r w:rsidR="00CF10A2">
              <w:rPr>
                <w:sz w:val="19"/>
                <w:szCs w:val="19"/>
              </w:rPr>
              <w:fldChar w:fldCharType="begin"/>
            </w:r>
            <w:r w:rsidR="00CF10A2">
              <w:rPr>
                <w:sz w:val="19"/>
                <w:szCs w:val="19"/>
              </w:rPr>
              <w:instrText xml:space="preserve"> REF _Ref127874596 \r \h </w:instrText>
            </w:r>
            <w:r w:rsidR="00CF10A2">
              <w:rPr>
                <w:sz w:val="19"/>
                <w:szCs w:val="19"/>
              </w:rPr>
            </w:r>
            <w:r w:rsidR="00CF10A2">
              <w:rPr>
                <w:sz w:val="19"/>
                <w:szCs w:val="19"/>
              </w:rPr>
              <w:fldChar w:fldCharType="separate"/>
            </w:r>
            <w:r w:rsidR="00102828">
              <w:rPr>
                <w:sz w:val="19"/>
                <w:szCs w:val="19"/>
              </w:rPr>
              <w:t>2.5</w:t>
            </w:r>
            <w:r w:rsidR="00CF10A2">
              <w:rPr>
                <w:sz w:val="19"/>
                <w:szCs w:val="19"/>
              </w:rPr>
              <w:fldChar w:fldCharType="end"/>
            </w:r>
            <w:r w:rsidR="00CF10A2">
              <w:rPr>
                <w:sz w:val="19"/>
                <w:szCs w:val="19"/>
              </w:rPr>
              <w:t xml:space="preserve"> for details.</w:t>
            </w:r>
          </w:p>
        </w:tc>
      </w:tr>
    </w:tbl>
    <w:p w14:paraId="75F9F7CD" w14:textId="40F31272" w:rsidR="00003CA8" w:rsidRDefault="00003CA8" w:rsidP="00420794">
      <w:pPr>
        <w:rPr>
          <w:b/>
          <w:lang w:val="en-US"/>
        </w:rPr>
        <w:sectPr w:rsidR="00003CA8" w:rsidSect="00CF10A2">
          <w:pgSz w:w="16838" w:h="11906" w:orient="landscape"/>
          <w:pgMar w:top="1440" w:right="1440" w:bottom="1440" w:left="1440" w:header="709" w:footer="709" w:gutter="0"/>
          <w:cols w:space="708"/>
          <w:docGrid w:linePitch="360"/>
        </w:sectPr>
      </w:pPr>
    </w:p>
    <w:p w14:paraId="41CB59F9" w14:textId="25624282" w:rsidR="00420794" w:rsidRPr="00C04EA3" w:rsidRDefault="00420794" w:rsidP="00420794">
      <w:pPr>
        <w:rPr>
          <w:b/>
          <w:lang w:val="en-US"/>
        </w:rPr>
      </w:pPr>
      <w:r w:rsidRPr="00681C2A">
        <w:rPr>
          <w:b/>
          <w:lang w:val="en-US"/>
        </w:rPr>
        <w:lastRenderedPageBreak/>
        <w:t>Fish (all indicators)</w:t>
      </w:r>
    </w:p>
    <w:p w14:paraId="31477FD2" w14:textId="77777777" w:rsidR="00420794" w:rsidRDefault="00420794" w:rsidP="00420794">
      <w:pPr>
        <w:rPr>
          <w:lang w:val="en-US"/>
        </w:rPr>
      </w:pPr>
      <w:r w:rsidRPr="008E2DA7">
        <w:rPr>
          <w:lang w:val="en-US"/>
        </w:rPr>
        <w:t xml:space="preserve">Fish data have been consolidated to evaluate a number of fish targets of DEW’s LTWP. These questions and answers do not relate to evaluation of flow or </w:t>
      </w:r>
      <w:r>
        <w:rPr>
          <w:lang w:val="en-US"/>
        </w:rPr>
        <w:t>Commonwealth environmental water</w:t>
      </w:r>
      <w:r w:rsidRPr="008E2DA7">
        <w:rPr>
          <w:lang w:val="en-US"/>
        </w:rPr>
        <w:t xml:space="preserve">. Furthermore, the LTIM Fish monitoring program is not designed to determine what is facilitating changes in population dynamics of fish species for DEW’s LTWP evaluation questions, e.g. spawning and recruitment of </w:t>
      </w:r>
      <w:r>
        <w:rPr>
          <w:lang w:val="en-US"/>
        </w:rPr>
        <w:t>freshwater catfish</w:t>
      </w:r>
      <w:r w:rsidRPr="008E2DA7">
        <w:rPr>
          <w:lang w:val="en-US"/>
        </w:rPr>
        <w:t xml:space="preserve"> or common carp.</w:t>
      </w:r>
      <w:r>
        <w:rPr>
          <w:lang w:val="en-US"/>
        </w:rPr>
        <w:t xml:space="preserve"> NA = not applicable.</w:t>
      </w:r>
    </w:p>
    <w:p w14:paraId="1EFF7761" w14:textId="30B8175A" w:rsidR="00420794" w:rsidRPr="00AF70C9" w:rsidRDefault="00420794" w:rsidP="00420794">
      <w:pPr>
        <w:spacing w:before="0" w:after="160" w:line="259" w:lineRule="auto"/>
        <w:jc w:val="left"/>
        <w:rPr>
          <w:sz w:val="18"/>
        </w:rPr>
      </w:pPr>
      <w:r w:rsidRPr="00AF70C9">
        <w:rPr>
          <w:sz w:val="18"/>
        </w:rPr>
        <w:t xml:space="preserve">Outcome:  </w:t>
      </w:r>
      <w:r w:rsidR="00D16569">
        <w:rPr>
          <w:noProof/>
        </w:rPr>
        <mc:AlternateContent>
          <mc:Choice Requires="wps">
            <w:drawing>
              <wp:inline distT="0" distB="0" distL="0" distR="0" wp14:anchorId="18D13B72" wp14:editId="0E8C2117">
                <wp:extent cx="285750" cy="152400"/>
                <wp:effectExtent l="0" t="0" r="0" b="0"/>
                <wp:docPr id="111" name="Rectangle 1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 cy="152400"/>
                        </a:xfrm>
                        <a:prstGeom prst="rect">
                          <a:avLst/>
                        </a:prstGeom>
                        <a:solidFill>
                          <a:srgbClr val="FFCCCC"/>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E769F4" id="Rectangle 111" o:spid="_x0000_s1026" alt="&quot;&quot;" style="width:22.5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WwejwIAAJ8FAAAOAAAAZHJzL2Uyb0RvYy54bWysVE1v2zAMvQ/YfxB0X2wHydoZdYogRYYB&#10;QRusHXpWZCk2JouapMTJfv0o+aNBW+wwzAdBNMlH8onkze2pUeQorKtBFzSbpJQIzaGs9b6gP57W&#10;n64pcZ7pkinQoqBn4ejt4uOHm9bkYgoVqFJYgiDa5a0paOW9yZPE8Uo0zE3ACI1KCbZhHkW7T0rL&#10;WkRvVDJN089JC7Y0FrhwDv/edUq6iPhSCu4fpHTCE1VQzM3H08ZzF85kccPyvWWmqnmfBvuHLBpW&#10;aww6Qt0xz8jB1m+gmppbcCD9hEOTgJQ1F7EGrCZLX1XzWDEjYi1IjjMjTe7/wfL746PZ2pC6Mxvg&#10;Px0ykrTG5aMmCK63OUnbBFtMnJwii+eRRXHyhOPP6fX8ao5cc1Rl8+ksjSwnLB+cjXX+q4CGhEtB&#10;LT5S5I4dN86H8CwfTGJeoOpyXSsVBbvfrZQlR4YPul6v8AtviC7u0kzpt56hpcTo60/ZW0eECZ6x&#10;/q7kWLw/KxHwlP4uJKnLUGTMOLbpCybjXGifdaqKlaJLc57iNwQbsog5R8CALLG8EbsHGCw7kAG7&#10;K7a3D64idvnonP4tsc559IiRQfvRuak12PcAFFbVR+7sB5I6agJLOyjPW0ssdDPmDF/X+L4b5vyW&#10;WRwqbAlcFP4BD6mgLSj0N0oqsL/f+x/ssddRS0mLQ1pQ9+vArKBEfdM4BV+y2SxMdRRm86spCvZS&#10;s7vU6EOzAmybDFeS4fEa7L0artJC84z7ZBmiooppjrELyr0dhJXvlgduJC6Wy2iGk2yY3+hHwwN4&#10;YDX079PpmVnTN7nH6biHYaBZ/qrXO9vgqWF58CDrOAgvvPZ84xaIjdNvrLBmLuVo9bJXF38AAAD/&#10;/wMAUEsDBBQABgAIAAAAIQDaDZCy2AAAAAMBAAAPAAAAZHJzL2Rvd25yZXYueG1sTI9BS8NAEIXv&#10;gv9hGcGb3ViqSMymVFvBk2Cq92l2ugnNzobsNk3/vaMXe3nweMN73xTLyXdqpCG2gQ3czzJQxHWw&#10;LTsDX9u3uydQMSFb7AKTgTNFWJbXVwXmNpz4k8YqOSUlHHM00KTU51rHuiGPcRZ6Ysn2YfCYxA5O&#10;2wFPUu47Pc+yR+2xZVlosKfXhupDdfQGHL+4KrRp/7Gmense3zfr73FjzO3NtHoGlWhK/8fwiy/o&#10;UArTLhzZRtUZkEfSn0q2eBC3MzBfZKDLQl+ylz8AAAD//wMAUEsBAi0AFAAGAAgAAAAhALaDOJL+&#10;AAAA4QEAABMAAAAAAAAAAAAAAAAAAAAAAFtDb250ZW50X1R5cGVzXS54bWxQSwECLQAUAAYACAAA&#10;ACEAOP0h/9YAAACUAQAACwAAAAAAAAAAAAAAAAAvAQAAX3JlbHMvLnJlbHNQSwECLQAUAAYACAAA&#10;ACEAOLlsHo8CAACfBQAADgAAAAAAAAAAAAAAAAAuAgAAZHJzL2Uyb0RvYy54bWxQSwECLQAUAAYA&#10;CAAAACEA2g2QstgAAAADAQAADwAAAAAAAAAAAAAAAADpBAAAZHJzL2Rvd25yZXYueG1sUEsFBgAA&#10;AAAEAAQA8wAAAO4FAAAAAA==&#10;" fillcolor="#fcc" strokecolor="black [3213]" strokeweight="1pt">
                <v:path arrowok="t"/>
                <w10:anchorlock/>
              </v:rect>
            </w:pict>
          </mc:Fallback>
        </mc:AlternateContent>
      </w:r>
      <w:r w:rsidRPr="00AF70C9">
        <w:rPr>
          <w:sz w:val="18"/>
        </w:rPr>
        <w:t xml:space="preserve"> = negative; </w:t>
      </w:r>
      <w:r w:rsidR="00D16569">
        <w:rPr>
          <w:noProof/>
        </w:rPr>
        <mc:AlternateContent>
          <mc:Choice Requires="wps">
            <w:drawing>
              <wp:inline distT="0" distB="0" distL="0" distR="0" wp14:anchorId="39E4C598" wp14:editId="30DE259B">
                <wp:extent cx="285750" cy="152400"/>
                <wp:effectExtent l="0" t="0" r="0" b="0"/>
                <wp:docPr id="105" name="Rectangle 1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 cy="152400"/>
                        </a:xfrm>
                        <a:prstGeom prst="rect">
                          <a:avLst/>
                        </a:prstGeom>
                        <a:solidFill>
                          <a:schemeClr val="accent6">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4DA1E5F" id="Rectangle 105" o:spid="_x0000_s1026" alt="&quot;&quot;" style="width:22.5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XU+mwIAAN0FAAAOAAAAZHJzL2Uyb0RvYy54bWysVN9v2yAQfp+0/wHxvjqOkraz6lRRq06T&#10;srZqO/WZYKitYY4BiZP99TvAdqMu26RpL4j79d3xcXcXl7tWka2wrgFd0vxkQonQHKpGv5T069PN&#10;h3NKnGe6Ygq0KOleOHq5eP/uojOFmEINqhKWIIh2RWdKWntviixzvBYtcydghEajBNsyj6J9ySrL&#10;OkRvVTadTE6zDmxlLHDhHGqvk5EuIr6Ugvs7KZ3wRJUUa/PxtPFchzNbXLDixTJTN7wvg/1DFS1r&#10;NCYdoa6ZZ2Rjm1+g2oZbcCD9CYc2AykbLuIb8DX55M1rHmtmRHwLkuPMSJP7f7D8dvto7m0o3ZkV&#10;8G8OGck644rREgTX++ykbYMvFk52kcX9yKLYecJROT2fn82Ra46mfD6dTSLLGSuGYGOd/ySgJeFS&#10;UoufFLlj25XzIT0rBpdYF6imummUikJoDHGlLNky/FLGudD+NIarTfsFqqTH1khpWYFqbIGkPh/U&#10;mCK2WECKCd1hEqX/ltfv8tA6AeY1EKUQGdlLhEXq/F6JgKf0g5CkqQJFseCxgsO35MlUs0ok9fy3&#10;NUfAgCyRnBG7BzjG01Bz7x9CRZyRMXjyp8LSg8eImBm0H4PbRoM9BqD8mDn5DyQlagJLa6j295ZY&#10;SBPqDL9psDtWzPl7ZnEksaFwzfg7PKSCrqTQ3yipwf44pg/+OClopaTDES+p+75hVlCiPmucoY/5&#10;bBZ2QhRm87MpCvbQsj606E17BdhyOS40w+M1+Hs1XKWF9hm30TJkRRPTHHOXlHs7CFc+rR7cZ1ws&#10;l9EN94BhfqUfDQ/ggdXQ/U+7Z2ZNPyIeZ+sWhnXAijeTknxDpIblxoNs4hi98trzjTsk9my/78KS&#10;OpSj1+tWXvwEAAD//wMAUEsDBBQABgAIAAAAIQB6ePCg2gAAAAMBAAAPAAAAZHJzL2Rvd25yZXYu&#10;eG1sTI9BS8NAEIXvgv9hGcFLaDeWKhKzKVIVBIViLZ632Wk2mJ2N2Wkb/71jL3p58HjDe9+UizF0&#10;6oBDaiMZuJrmoJDq6FpqDGzenya3oBJbcraLhAa+McGiOj8rbeHikd7wsOZGSQmlwhrwzH2hdao9&#10;BpumsUeSbBeHYFns0Gg32KOUh07P8vxGB9uSLHjb49Jj/bneBwNLrR/ji38OD9nHil+zr1XW1jtj&#10;Li/G+ztQjCP/HcMvvqBDJUzbuCeXVGdAHuGTSja/Frc1MJvnoKtS/2evfgAAAP//AwBQSwECLQAU&#10;AAYACAAAACEAtoM4kv4AAADhAQAAEwAAAAAAAAAAAAAAAAAAAAAAW0NvbnRlbnRfVHlwZXNdLnht&#10;bFBLAQItABQABgAIAAAAIQA4/SH/1gAAAJQBAAALAAAAAAAAAAAAAAAAAC8BAABfcmVscy8ucmVs&#10;c1BLAQItABQABgAIAAAAIQA0aXU+mwIAAN0FAAAOAAAAAAAAAAAAAAAAAC4CAABkcnMvZTJvRG9j&#10;LnhtbFBLAQItABQABgAIAAAAIQB6ePCg2gAAAAMBAAAPAAAAAAAAAAAAAAAAAPUEAABkcnMvZG93&#10;bnJldi54bWxQSwUGAAAAAAQABADzAAAA/AUAAAAA&#10;" fillcolor="#e2efd9 [665]" strokecolor="black [3213]" strokeweight="1pt">
                <v:path arrowok="t"/>
                <w10:anchorlock/>
              </v:rect>
            </w:pict>
          </mc:Fallback>
        </mc:AlternateContent>
      </w:r>
      <w:r w:rsidRPr="00AF70C9">
        <w:rPr>
          <w:sz w:val="18"/>
        </w:rPr>
        <w:t xml:space="preserve"> = positive; </w:t>
      </w:r>
      <w:r w:rsidR="00D16569">
        <w:rPr>
          <w:noProof/>
        </w:rPr>
        <mc:AlternateContent>
          <mc:Choice Requires="wps">
            <w:drawing>
              <wp:inline distT="0" distB="0" distL="0" distR="0" wp14:anchorId="47E092EC" wp14:editId="55558945">
                <wp:extent cx="285750" cy="152400"/>
                <wp:effectExtent l="0" t="0" r="0" b="0"/>
                <wp:docPr id="98" name="Rectangle 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 cy="152400"/>
                        </a:xfrm>
                        <a:prstGeom prst="rect">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2931B93" id="Rectangle 98" o:spid="_x0000_s1026" alt="&quot;&quot;" style="width:22.5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SPOlQIAAMIFAAAOAAAAZHJzL2Uyb0RvYy54bWysVE1v3CAQvVfqf0DcG9ur3Sax4o1WiVJV&#10;2iZRkypnFsPaKmYosF/99R3AdrZp2kpVfUAMM/MYnufNxeW+U2QrrGtBV7Q4ySkRmkPd6nVFvzze&#10;vDujxHmma6ZAi4oehKOX87dvLnamFBNoQNXCEgTRrtyZijbemzLLHG9Ex9wJGKHRKcF2zKNp11lt&#10;2Q7RO5VN8vx9tgNbGwtcOIen18lJ5xFfSsH9nZROeKIqirX5uNq4rsKazS9YubbMNC3vy2D/UEXH&#10;Wo2XjlDXzDOyse0vUF3LLTiQ/oRDl4GULRfxDfiaIn/xmoeGGRHfguQ4M9Lk/h8sv90+mHsbSndm&#10;CfyrQ0aynXHl6AmG62P20nYhFgsn+8jiYWRR7D3heDg5m53OkGuOrmI2meaR5YyVQ7Kxzn8Q0JGw&#10;qajFnxS5Y9ul8+F6Vg4hsS5QbX3TKhWN0BjiSlmyZfhLV+tJTFWb7hPU6ew8xy/8WMSJfRTCk3WM&#10;pPTfwP2+GGCeExE0ZEaKEiuRH39QIuAp/VlI0taBh1jZWEEqjnEutC+Sq2G1SMez39YcAQOyRAZG&#10;7B7gZzIG7PT0Pj6kiiiEMTn/U2EpecyIN4P2Y3LXarCvASh8VX9zih9IStQEllZQH+4tsZBk6Ay/&#10;abEFlsz5e2ZRd9g1OEv8HS5Swa6i0O8oacB+f+08xKMc0EvJDnVcUfdtw6ygRH3UKJTzYjoNwo/G&#10;dHY6QcMee1bHHr3prgD7qsCpZXjchnivhq200D3hyFmEW9HFNMe7K8q9HYwrn+YLDi0uFosYhmI3&#10;zC/1g+EBPLAaWvxx/8Ss6XXgUUC3MGielS/kkGJDpobFxoNso1aeee35xkERm70famESHdsx6nn0&#10;zn8AAAD//wMAUEsDBBQABgAIAAAAIQDK5gcy2QAAAAMBAAAPAAAAZHJzL2Rvd25yZXYueG1sTI9P&#10;S8QwEMXvgt8hjODNTdxdRWrTRQQVPIj7R8/TZmyLzaQk2d367R296OXB4w3v/aZcTX5QB4qpD2zh&#10;cmZAETfB9dxa2G0fLm5ApYzscAhMFr4owao6PSmxcOHIazpscqukhFOBFrqcx0Lr1HTkMc3CSCzZ&#10;R4ges9jYahfxKOV+0HNjrrXHnmWhw5HuO2o+N3tv4UUnfM27oX5ejP1jbM1i+/72ZO352XR3CyrT&#10;lP+O4Qdf0KESpjrs2SU1WJBH8q9KtrwSV1uYLw3oqtT/2atvAAAA//8DAFBLAQItABQABgAIAAAA&#10;IQC2gziS/gAAAOEBAAATAAAAAAAAAAAAAAAAAAAAAABbQ29udGVudF9UeXBlc10ueG1sUEsBAi0A&#10;FAAGAAgAAAAhADj9If/WAAAAlAEAAAsAAAAAAAAAAAAAAAAALwEAAF9yZWxzLy5yZWxzUEsBAi0A&#10;FAAGAAgAAAAhAO+pI86VAgAAwgUAAA4AAAAAAAAAAAAAAAAALgIAAGRycy9lMm9Eb2MueG1sUEsB&#10;Ai0AFAAGAAgAAAAhAMrmBzLZAAAAAwEAAA8AAAAAAAAAAAAAAAAA7wQAAGRycy9kb3ducmV2Lnht&#10;bFBLBQYAAAAABAAEAPMAAAD1BQAAAAA=&#10;" fillcolor="#cfcdcd [2894]" strokecolor="black [3213]" strokeweight="1pt">
                <v:path arrowok="t"/>
                <w10:anchorlock/>
              </v:rect>
            </w:pict>
          </mc:Fallback>
        </mc:AlternateContent>
      </w:r>
      <w:r w:rsidRPr="00AF70C9">
        <w:rPr>
          <w:sz w:val="18"/>
        </w:rPr>
        <w:t xml:space="preserve"> = unable to be detected.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9"/>
        <w:gridCol w:w="558"/>
        <w:gridCol w:w="558"/>
        <w:gridCol w:w="558"/>
        <w:gridCol w:w="558"/>
        <w:gridCol w:w="558"/>
        <w:gridCol w:w="558"/>
        <w:gridCol w:w="558"/>
        <w:gridCol w:w="558"/>
        <w:gridCol w:w="558"/>
        <w:gridCol w:w="1897"/>
      </w:tblGrid>
      <w:tr w:rsidR="00003CA8" w:rsidRPr="00B510A2" w14:paraId="4A7C72B5" w14:textId="467AA767" w:rsidTr="00003CA8">
        <w:trPr>
          <w:cantSplit/>
          <w:trHeight w:val="20"/>
          <w:tblHeader/>
        </w:trPr>
        <w:tc>
          <w:tcPr>
            <w:tcW w:w="2520" w:type="pct"/>
            <w:vMerge w:val="restart"/>
          </w:tcPr>
          <w:p w14:paraId="499380C8" w14:textId="77777777" w:rsidR="00003CA8" w:rsidRPr="00B510A2" w:rsidRDefault="00003CA8" w:rsidP="00003CA8">
            <w:pPr>
              <w:pStyle w:val="TableHeading"/>
              <w:contextualSpacing/>
              <w:jc w:val="left"/>
              <w:rPr>
                <w:sz w:val="19"/>
                <w:szCs w:val="19"/>
              </w:rPr>
            </w:pPr>
            <w:r w:rsidRPr="00B510A2">
              <w:rPr>
                <w:sz w:val="19"/>
                <w:szCs w:val="19"/>
              </w:rPr>
              <w:t>DEW evaluation questions</w:t>
            </w:r>
          </w:p>
        </w:tc>
        <w:tc>
          <w:tcPr>
            <w:tcW w:w="2480" w:type="pct"/>
            <w:gridSpan w:val="10"/>
          </w:tcPr>
          <w:p w14:paraId="6A74E1E6" w14:textId="28AA86F7" w:rsidR="00003CA8" w:rsidRPr="00B510A2" w:rsidRDefault="00003CA8" w:rsidP="00003CA8">
            <w:pPr>
              <w:pStyle w:val="TableHeading"/>
              <w:contextualSpacing/>
              <w:jc w:val="left"/>
              <w:rPr>
                <w:sz w:val="19"/>
                <w:szCs w:val="19"/>
              </w:rPr>
            </w:pPr>
            <w:r w:rsidRPr="00B510A2">
              <w:rPr>
                <w:sz w:val="19"/>
                <w:szCs w:val="19"/>
              </w:rPr>
              <w:t xml:space="preserve">Answers to </w:t>
            </w:r>
            <w:r>
              <w:rPr>
                <w:sz w:val="19"/>
                <w:szCs w:val="19"/>
              </w:rPr>
              <w:t>evaluation questions (2015 to 2024)</w:t>
            </w:r>
          </w:p>
        </w:tc>
      </w:tr>
      <w:tr w:rsidR="00003CA8" w:rsidRPr="00B510A2" w14:paraId="1F759E00" w14:textId="210B1956" w:rsidTr="007F0E9C">
        <w:trPr>
          <w:cantSplit/>
          <w:trHeight w:val="20"/>
          <w:tblHeader/>
        </w:trPr>
        <w:tc>
          <w:tcPr>
            <w:tcW w:w="2520" w:type="pct"/>
            <w:vMerge/>
          </w:tcPr>
          <w:p w14:paraId="234977D3" w14:textId="77777777" w:rsidR="00003CA8" w:rsidRPr="00B510A2" w:rsidRDefault="00003CA8" w:rsidP="00003CA8">
            <w:pPr>
              <w:pStyle w:val="TableHeading"/>
              <w:contextualSpacing/>
              <w:jc w:val="left"/>
              <w:rPr>
                <w:sz w:val="19"/>
                <w:szCs w:val="19"/>
              </w:rPr>
            </w:pPr>
          </w:p>
        </w:tc>
        <w:tc>
          <w:tcPr>
            <w:tcW w:w="200" w:type="pct"/>
            <w:vAlign w:val="center"/>
          </w:tcPr>
          <w:p w14:paraId="5486ACF9" w14:textId="77777777" w:rsidR="00003CA8" w:rsidRPr="00B510A2" w:rsidRDefault="00003CA8" w:rsidP="00003CA8">
            <w:pPr>
              <w:pStyle w:val="TableHeading"/>
              <w:contextualSpacing/>
              <w:jc w:val="center"/>
              <w:rPr>
                <w:sz w:val="19"/>
                <w:szCs w:val="19"/>
              </w:rPr>
            </w:pPr>
            <w:r w:rsidRPr="00B510A2">
              <w:rPr>
                <w:sz w:val="19"/>
                <w:szCs w:val="19"/>
              </w:rPr>
              <w:t>15</w:t>
            </w:r>
          </w:p>
        </w:tc>
        <w:tc>
          <w:tcPr>
            <w:tcW w:w="200" w:type="pct"/>
            <w:vAlign w:val="center"/>
          </w:tcPr>
          <w:p w14:paraId="4DA6A5B2" w14:textId="77777777" w:rsidR="00003CA8" w:rsidRPr="00B510A2" w:rsidRDefault="00003CA8" w:rsidP="00003CA8">
            <w:pPr>
              <w:pStyle w:val="TableHeading"/>
              <w:contextualSpacing/>
              <w:jc w:val="center"/>
              <w:rPr>
                <w:sz w:val="19"/>
                <w:szCs w:val="19"/>
              </w:rPr>
            </w:pPr>
            <w:r w:rsidRPr="00B510A2">
              <w:rPr>
                <w:sz w:val="19"/>
                <w:szCs w:val="19"/>
              </w:rPr>
              <w:t>16</w:t>
            </w:r>
          </w:p>
        </w:tc>
        <w:tc>
          <w:tcPr>
            <w:tcW w:w="200" w:type="pct"/>
            <w:vAlign w:val="center"/>
          </w:tcPr>
          <w:p w14:paraId="0D2F8452" w14:textId="77777777" w:rsidR="00003CA8" w:rsidRPr="00B510A2" w:rsidRDefault="00003CA8" w:rsidP="00003CA8">
            <w:pPr>
              <w:pStyle w:val="TableHeading"/>
              <w:contextualSpacing/>
              <w:jc w:val="center"/>
              <w:rPr>
                <w:sz w:val="19"/>
                <w:szCs w:val="19"/>
              </w:rPr>
            </w:pPr>
            <w:r w:rsidRPr="00B510A2">
              <w:rPr>
                <w:sz w:val="19"/>
                <w:szCs w:val="19"/>
              </w:rPr>
              <w:t>17</w:t>
            </w:r>
          </w:p>
        </w:tc>
        <w:tc>
          <w:tcPr>
            <w:tcW w:w="200" w:type="pct"/>
            <w:vAlign w:val="center"/>
          </w:tcPr>
          <w:p w14:paraId="72F3EB6B" w14:textId="77777777" w:rsidR="00003CA8" w:rsidRPr="00B510A2" w:rsidRDefault="00003CA8" w:rsidP="00003CA8">
            <w:pPr>
              <w:pStyle w:val="TableHeading"/>
              <w:contextualSpacing/>
              <w:jc w:val="center"/>
              <w:rPr>
                <w:sz w:val="19"/>
                <w:szCs w:val="19"/>
              </w:rPr>
            </w:pPr>
            <w:r w:rsidRPr="00B510A2">
              <w:rPr>
                <w:sz w:val="19"/>
                <w:szCs w:val="19"/>
              </w:rPr>
              <w:t>18</w:t>
            </w:r>
          </w:p>
        </w:tc>
        <w:tc>
          <w:tcPr>
            <w:tcW w:w="200" w:type="pct"/>
            <w:vAlign w:val="center"/>
          </w:tcPr>
          <w:p w14:paraId="129B5977" w14:textId="77777777" w:rsidR="00003CA8" w:rsidRPr="00B510A2" w:rsidRDefault="00003CA8" w:rsidP="007F0E9C">
            <w:pPr>
              <w:pStyle w:val="TableHeading"/>
              <w:contextualSpacing/>
              <w:jc w:val="center"/>
              <w:rPr>
                <w:sz w:val="19"/>
                <w:szCs w:val="19"/>
              </w:rPr>
            </w:pPr>
            <w:r w:rsidRPr="00B510A2">
              <w:rPr>
                <w:sz w:val="19"/>
                <w:szCs w:val="19"/>
              </w:rPr>
              <w:t>19</w:t>
            </w:r>
          </w:p>
        </w:tc>
        <w:tc>
          <w:tcPr>
            <w:tcW w:w="200" w:type="pct"/>
            <w:vAlign w:val="center"/>
          </w:tcPr>
          <w:p w14:paraId="6CC3EBCA" w14:textId="77777777" w:rsidR="00003CA8" w:rsidRPr="00B510A2" w:rsidRDefault="00003CA8" w:rsidP="007F0E9C">
            <w:pPr>
              <w:pStyle w:val="TableHeading"/>
              <w:contextualSpacing/>
              <w:jc w:val="center"/>
              <w:rPr>
                <w:sz w:val="19"/>
                <w:szCs w:val="19"/>
              </w:rPr>
            </w:pPr>
            <w:r>
              <w:rPr>
                <w:sz w:val="19"/>
                <w:szCs w:val="19"/>
              </w:rPr>
              <w:t>20</w:t>
            </w:r>
          </w:p>
        </w:tc>
        <w:tc>
          <w:tcPr>
            <w:tcW w:w="200" w:type="pct"/>
            <w:vAlign w:val="center"/>
          </w:tcPr>
          <w:p w14:paraId="3339A21D" w14:textId="77777777" w:rsidR="00003CA8" w:rsidRDefault="00003CA8" w:rsidP="007F0E9C">
            <w:pPr>
              <w:pStyle w:val="TableHeading"/>
              <w:contextualSpacing/>
              <w:jc w:val="center"/>
              <w:rPr>
                <w:sz w:val="19"/>
                <w:szCs w:val="19"/>
              </w:rPr>
            </w:pPr>
            <w:r>
              <w:rPr>
                <w:sz w:val="19"/>
                <w:szCs w:val="19"/>
              </w:rPr>
              <w:t>21</w:t>
            </w:r>
          </w:p>
        </w:tc>
        <w:tc>
          <w:tcPr>
            <w:tcW w:w="200" w:type="pct"/>
            <w:vAlign w:val="center"/>
          </w:tcPr>
          <w:p w14:paraId="21194E04" w14:textId="1D7747A3" w:rsidR="00003CA8" w:rsidRDefault="00003CA8" w:rsidP="007F0E9C">
            <w:pPr>
              <w:pStyle w:val="TableHeading"/>
              <w:contextualSpacing/>
              <w:jc w:val="center"/>
              <w:rPr>
                <w:sz w:val="19"/>
                <w:szCs w:val="19"/>
              </w:rPr>
            </w:pPr>
            <w:r>
              <w:rPr>
                <w:sz w:val="19"/>
                <w:szCs w:val="19"/>
              </w:rPr>
              <w:t>22</w:t>
            </w:r>
          </w:p>
        </w:tc>
        <w:tc>
          <w:tcPr>
            <w:tcW w:w="200" w:type="pct"/>
            <w:vAlign w:val="center"/>
          </w:tcPr>
          <w:p w14:paraId="450D0495" w14:textId="1EB86C62" w:rsidR="00003CA8" w:rsidRDefault="00003CA8" w:rsidP="007F0E9C">
            <w:pPr>
              <w:pStyle w:val="TableHeading"/>
              <w:contextualSpacing/>
              <w:jc w:val="center"/>
              <w:rPr>
                <w:sz w:val="19"/>
                <w:szCs w:val="19"/>
              </w:rPr>
            </w:pPr>
            <w:r>
              <w:rPr>
                <w:sz w:val="19"/>
                <w:szCs w:val="19"/>
              </w:rPr>
              <w:t>23</w:t>
            </w:r>
          </w:p>
        </w:tc>
        <w:tc>
          <w:tcPr>
            <w:tcW w:w="678" w:type="pct"/>
            <w:vAlign w:val="center"/>
          </w:tcPr>
          <w:p w14:paraId="41D7B77B" w14:textId="2C52DA94" w:rsidR="00003CA8" w:rsidRDefault="00003CA8" w:rsidP="00AC3664">
            <w:pPr>
              <w:pStyle w:val="TableHeading"/>
              <w:spacing w:after="0"/>
              <w:contextualSpacing/>
              <w:jc w:val="center"/>
              <w:rPr>
                <w:sz w:val="19"/>
                <w:szCs w:val="19"/>
              </w:rPr>
            </w:pPr>
            <w:r w:rsidRPr="007F0E9C">
              <w:rPr>
                <w:sz w:val="19"/>
                <w:szCs w:val="19"/>
              </w:rPr>
              <w:t>24</w:t>
            </w:r>
          </w:p>
        </w:tc>
      </w:tr>
      <w:tr w:rsidR="00003CA8" w:rsidRPr="00B510A2" w14:paraId="20F20E62" w14:textId="0BA6CF37" w:rsidTr="00CF10A2">
        <w:trPr>
          <w:cantSplit/>
          <w:trHeight w:val="20"/>
        </w:trPr>
        <w:tc>
          <w:tcPr>
            <w:tcW w:w="2520" w:type="pct"/>
            <w:vAlign w:val="center"/>
          </w:tcPr>
          <w:p w14:paraId="7E3B1F9E" w14:textId="77777777" w:rsidR="00003CA8" w:rsidRPr="00BB7D4F" w:rsidRDefault="00003CA8" w:rsidP="00003CA8">
            <w:pPr>
              <w:contextualSpacing/>
              <w:jc w:val="left"/>
              <w:rPr>
                <w:color w:val="auto"/>
                <w:sz w:val="19"/>
                <w:szCs w:val="19"/>
              </w:rPr>
            </w:pPr>
            <w:r w:rsidRPr="00BB7D4F">
              <w:rPr>
                <w:color w:val="auto"/>
                <w:sz w:val="19"/>
                <w:szCs w:val="19"/>
              </w:rPr>
              <w:t>Did the population age structure of Murray cod include recent recruits (i.e. &lt;300 mm TL), sub-adults (300–600 mm) and adults (&gt;600 mm) in the Lower Murray?</w:t>
            </w:r>
          </w:p>
        </w:tc>
        <w:tc>
          <w:tcPr>
            <w:tcW w:w="200" w:type="pct"/>
            <w:shd w:val="clear" w:color="auto" w:fill="FFCCCC"/>
            <w:vAlign w:val="center"/>
          </w:tcPr>
          <w:p w14:paraId="3D38E463" w14:textId="77777777" w:rsidR="00003CA8" w:rsidRPr="00B510A2" w:rsidRDefault="00003CA8" w:rsidP="00003CA8">
            <w:pPr>
              <w:contextualSpacing/>
              <w:jc w:val="center"/>
              <w:rPr>
                <w:sz w:val="19"/>
                <w:szCs w:val="19"/>
              </w:rPr>
            </w:pPr>
            <w:r w:rsidRPr="00B510A2">
              <w:rPr>
                <w:sz w:val="19"/>
                <w:szCs w:val="19"/>
              </w:rPr>
              <w:t>X</w:t>
            </w:r>
          </w:p>
        </w:tc>
        <w:tc>
          <w:tcPr>
            <w:tcW w:w="200" w:type="pct"/>
            <w:shd w:val="clear" w:color="auto" w:fill="E2EFD9" w:themeFill="accent6" w:themeFillTint="33"/>
            <w:vAlign w:val="center"/>
          </w:tcPr>
          <w:p w14:paraId="4A9E8AB2"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3F3BBB9C"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71992D8E"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1C759148"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655331D3" w14:textId="77777777" w:rsidR="00003CA8" w:rsidRPr="00AF698F"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43AB4E1C" w14:textId="77777777" w:rsidR="00003CA8" w:rsidRPr="00BB2DA7" w:rsidRDefault="00003CA8" w:rsidP="00003CA8">
            <w:pPr>
              <w:contextualSpacing/>
              <w:jc w:val="center"/>
              <w:rPr>
                <w:sz w:val="19"/>
                <w:szCs w:val="19"/>
              </w:rPr>
            </w:pPr>
            <w:r w:rsidRPr="00BB2DA7">
              <w:rPr>
                <w:sz w:val="19"/>
                <w:szCs w:val="19"/>
              </w:rPr>
              <w:t>√</w:t>
            </w:r>
          </w:p>
        </w:tc>
        <w:tc>
          <w:tcPr>
            <w:tcW w:w="200" w:type="pct"/>
            <w:shd w:val="clear" w:color="auto" w:fill="E2EFD9" w:themeFill="accent6" w:themeFillTint="33"/>
            <w:vAlign w:val="center"/>
          </w:tcPr>
          <w:p w14:paraId="4A4D98C2" w14:textId="65014C9C" w:rsidR="00003CA8" w:rsidRPr="00BB2DA7" w:rsidRDefault="00003CA8" w:rsidP="00003CA8">
            <w:pPr>
              <w:contextualSpacing/>
              <w:jc w:val="center"/>
              <w:rPr>
                <w:sz w:val="19"/>
                <w:szCs w:val="19"/>
              </w:rPr>
            </w:pPr>
            <w:r w:rsidRPr="00BB2DA7">
              <w:rPr>
                <w:sz w:val="19"/>
                <w:szCs w:val="19"/>
              </w:rPr>
              <w:t>√</w:t>
            </w:r>
          </w:p>
        </w:tc>
        <w:tc>
          <w:tcPr>
            <w:tcW w:w="200" w:type="pct"/>
            <w:shd w:val="clear" w:color="auto" w:fill="E2EFD9" w:themeFill="accent6" w:themeFillTint="33"/>
            <w:vAlign w:val="center"/>
          </w:tcPr>
          <w:p w14:paraId="423FB43B" w14:textId="0FF467D9" w:rsidR="00003CA8" w:rsidRPr="00E6632F" w:rsidRDefault="00003CA8" w:rsidP="00003CA8">
            <w:pPr>
              <w:contextualSpacing/>
              <w:jc w:val="center"/>
              <w:rPr>
                <w:sz w:val="19"/>
                <w:szCs w:val="19"/>
              </w:rPr>
            </w:pPr>
            <w:r w:rsidRPr="00E6632F">
              <w:rPr>
                <w:sz w:val="19"/>
                <w:szCs w:val="19"/>
              </w:rPr>
              <w:t>√</w:t>
            </w:r>
          </w:p>
        </w:tc>
        <w:tc>
          <w:tcPr>
            <w:tcW w:w="678" w:type="pct"/>
            <w:shd w:val="clear" w:color="auto" w:fill="E2EFD9" w:themeFill="accent6" w:themeFillTint="33"/>
            <w:vAlign w:val="center"/>
          </w:tcPr>
          <w:p w14:paraId="1F97764C" w14:textId="0B171485" w:rsidR="00003CA8" w:rsidRPr="00C27CA0" w:rsidRDefault="00CF10A2" w:rsidP="00003CA8">
            <w:pPr>
              <w:contextualSpacing/>
              <w:jc w:val="center"/>
              <w:rPr>
                <w:sz w:val="19"/>
                <w:szCs w:val="19"/>
              </w:rPr>
            </w:pPr>
            <w:r w:rsidRPr="00C27CA0">
              <w:rPr>
                <w:sz w:val="19"/>
                <w:szCs w:val="19"/>
              </w:rPr>
              <w:t>√</w:t>
            </w:r>
            <w:r w:rsidR="00003CA8" w:rsidRPr="00C27CA0">
              <w:rPr>
                <w:sz w:val="19"/>
                <w:szCs w:val="19"/>
              </w:rPr>
              <w:t xml:space="preserve"> </w:t>
            </w:r>
          </w:p>
          <w:p w14:paraId="1968292E" w14:textId="1D14425E" w:rsidR="00003CA8" w:rsidRPr="00C27CA0" w:rsidRDefault="00003CA8" w:rsidP="00003CA8">
            <w:pPr>
              <w:contextualSpacing/>
              <w:jc w:val="center"/>
              <w:rPr>
                <w:sz w:val="19"/>
                <w:szCs w:val="19"/>
              </w:rPr>
            </w:pPr>
            <w:r w:rsidRPr="00C27CA0">
              <w:rPr>
                <w:sz w:val="19"/>
                <w:szCs w:val="19"/>
              </w:rPr>
              <w:t>(</w:t>
            </w:r>
            <w:r w:rsidRPr="00C27CA0">
              <w:rPr>
                <w:sz w:val="19"/>
                <w:szCs w:val="19"/>
              </w:rPr>
              <w:fldChar w:fldCharType="begin"/>
            </w:r>
            <w:r w:rsidRPr="00C27CA0">
              <w:rPr>
                <w:sz w:val="19"/>
                <w:szCs w:val="19"/>
              </w:rPr>
              <w:instrText xml:space="preserve"> REF _Ref57899437 \h  \* MERGEFORMAT </w:instrText>
            </w:r>
            <w:r w:rsidRPr="00C27CA0">
              <w:rPr>
                <w:sz w:val="19"/>
                <w:szCs w:val="19"/>
              </w:rPr>
            </w:r>
            <w:r w:rsidRPr="00C27CA0">
              <w:rPr>
                <w:sz w:val="19"/>
                <w:szCs w:val="19"/>
              </w:rPr>
              <w:fldChar w:fldCharType="separate"/>
            </w:r>
            <w:r w:rsidR="00102828" w:rsidRPr="00102828">
              <w:rPr>
                <w:sz w:val="19"/>
                <w:szCs w:val="19"/>
                <w:lang w:val="en-US"/>
              </w:rPr>
              <w:t>Figure 68</w:t>
            </w:r>
            <w:r w:rsidRPr="00C27CA0">
              <w:rPr>
                <w:sz w:val="19"/>
                <w:szCs w:val="19"/>
              </w:rPr>
              <w:fldChar w:fldCharType="end"/>
            </w:r>
            <w:r w:rsidRPr="00C27CA0">
              <w:rPr>
                <w:sz w:val="19"/>
                <w:szCs w:val="19"/>
              </w:rPr>
              <w:t>)</w:t>
            </w:r>
          </w:p>
        </w:tc>
      </w:tr>
      <w:tr w:rsidR="00003CA8" w:rsidRPr="00B510A2" w14:paraId="67340F20" w14:textId="4C008607" w:rsidTr="00AB6C8D">
        <w:trPr>
          <w:cantSplit/>
          <w:trHeight w:val="20"/>
        </w:trPr>
        <w:tc>
          <w:tcPr>
            <w:tcW w:w="2520" w:type="pct"/>
            <w:vAlign w:val="center"/>
          </w:tcPr>
          <w:p w14:paraId="011E7C01" w14:textId="77777777" w:rsidR="00003CA8" w:rsidRPr="00BB7D4F" w:rsidRDefault="00003CA8" w:rsidP="00003CA8">
            <w:pPr>
              <w:contextualSpacing/>
              <w:jc w:val="left"/>
              <w:rPr>
                <w:color w:val="auto"/>
                <w:sz w:val="19"/>
                <w:szCs w:val="19"/>
              </w:rPr>
            </w:pPr>
            <w:r w:rsidRPr="00BB7D4F">
              <w:rPr>
                <w:sz w:val="19"/>
                <w:szCs w:val="19"/>
              </w:rPr>
              <w:t>Did the length-frequency distribution for Murray cod indicate a large recruitment event, demonstrated by a YOY cohort representing &gt;50% of the population from the Lower Murray?</w:t>
            </w:r>
          </w:p>
        </w:tc>
        <w:tc>
          <w:tcPr>
            <w:tcW w:w="200" w:type="pct"/>
            <w:shd w:val="clear" w:color="auto" w:fill="FFCCCC"/>
            <w:vAlign w:val="center"/>
          </w:tcPr>
          <w:p w14:paraId="0987E0E6" w14:textId="77777777" w:rsidR="00003CA8" w:rsidRPr="00B510A2" w:rsidRDefault="00003CA8" w:rsidP="00003CA8">
            <w:pPr>
              <w:contextualSpacing/>
              <w:jc w:val="center"/>
              <w:rPr>
                <w:sz w:val="19"/>
                <w:szCs w:val="19"/>
              </w:rPr>
            </w:pPr>
            <w:r w:rsidRPr="00B510A2">
              <w:rPr>
                <w:sz w:val="19"/>
                <w:szCs w:val="19"/>
              </w:rPr>
              <w:t>X</w:t>
            </w:r>
          </w:p>
        </w:tc>
        <w:tc>
          <w:tcPr>
            <w:tcW w:w="200" w:type="pct"/>
            <w:tcBorders>
              <w:bottom w:val="single" w:sz="4" w:space="0" w:color="auto"/>
            </w:tcBorders>
            <w:shd w:val="clear" w:color="auto" w:fill="FFCCCC"/>
            <w:vAlign w:val="center"/>
          </w:tcPr>
          <w:p w14:paraId="3CCB8351" w14:textId="77777777" w:rsidR="00003CA8" w:rsidRPr="00B510A2" w:rsidDel="00770E07" w:rsidRDefault="00003CA8" w:rsidP="00003CA8">
            <w:pPr>
              <w:contextualSpacing/>
              <w:jc w:val="center"/>
              <w:rPr>
                <w:sz w:val="19"/>
                <w:szCs w:val="19"/>
              </w:rPr>
            </w:pPr>
            <w:r w:rsidRPr="00B510A2">
              <w:rPr>
                <w:sz w:val="19"/>
                <w:szCs w:val="19"/>
              </w:rPr>
              <w:t>X</w:t>
            </w:r>
          </w:p>
        </w:tc>
        <w:tc>
          <w:tcPr>
            <w:tcW w:w="200" w:type="pct"/>
            <w:tcBorders>
              <w:bottom w:val="single" w:sz="4" w:space="0" w:color="auto"/>
            </w:tcBorders>
            <w:shd w:val="clear" w:color="auto" w:fill="FFCCCC"/>
            <w:vAlign w:val="center"/>
          </w:tcPr>
          <w:p w14:paraId="66797C66" w14:textId="77777777" w:rsidR="00003CA8" w:rsidRPr="00B510A2" w:rsidRDefault="00003CA8" w:rsidP="00003CA8">
            <w:pPr>
              <w:contextualSpacing/>
              <w:jc w:val="center"/>
              <w:rPr>
                <w:sz w:val="19"/>
                <w:szCs w:val="19"/>
              </w:rPr>
            </w:pPr>
            <w:r w:rsidRPr="00B510A2">
              <w:rPr>
                <w:sz w:val="19"/>
                <w:szCs w:val="19"/>
              </w:rPr>
              <w:t>X</w:t>
            </w:r>
          </w:p>
        </w:tc>
        <w:tc>
          <w:tcPr>
            <w:tcW w:w="200" w:type="pct"/>
            <w:tcBorders>
              <w:bottom w:val="single" w:sz="4" w:space="0" w:color="auto"/>
            </w:tcBorders>
            <w:shd w:val="clear" w:color="auto" w:fill="FFCCCC"/>
            <w:vAlign w:val="center"/>
          </w:tcPr>
          <w:p w14:paraId="5DA63F9A" w14:textId="77777777" w:rsidR="00003CA8" w:rsidRPr="00B510A2" w:rsidRDefault="00003CA8" w:rsidP="00003CA8">
            <w:pPr>
              <w:contextualSpacing/>
              <w:jc w:val="center"/>
              <w:rPr>
                <w:sz w:val="19"/>
                <w:szCs w:val="19"/>
              </w:rPr>
            </w:pPr>
            <w:r w:rsidRPr="00B510A2">
              <w:rPr>
                <w:sz w:val="19"/>
                <w:szCs w:val="19"/>
              </w:rPr>
              <w:t>X</w:t>
            </w:r>
          </w:p>
        </w:tc>
        <w:tc>
          <w:tcPr>
            <w:tcW w:w="200" w:type="pct"/>
            <w:tcBorders>
              <w:bottom w:val="single" w:sz="4" w:space="0" w:color="auto"/>
            </w:tcBorders>
            <w:shd w:val="clear" w:color="auto" w:fill="E2EFD9" w:themeFill="accent6" w:themeFillTint="33"/>
            <w:vAlign w:val="center"/>
          </w:tcPr>
          <w:p w14:paraId="4DE2DC06" w14:textId="77777777" w:rsidR="00003CA8" w:rsidRPr="00B510A2" w:rsidRDefault="00003CA8" w:rsidP="00003CA8">
            <w:pPr>
              <w:contextualSpacing/>
              <w:jc w:val="center"/>
              <w:rPr>
                <w:sz w:val="19"/>
                <w:szCs w:val="19"/>
              </w:rPr>
            </w:pPr>
            <w:r w:rsidRPr="00B510A2">
              <w:rPr>
                <w:sz w:val="19"/>
                <w:szCs w:val="19"/>
              </w:rPr>
              <w:t>√</w:t>
            </w:r>
          </w:p>
        </w:tc>
        <w:tc>
          <w:tcPr>
            <w:tcW w:w="200" w:type="pct"/>
            <w:tcBorders>
              <w:bottom w:val="single" w:sz="4" w:space="0" w:color="auto"/>
            </w:tcBorders>
            <w:shd w:val="clear" w:color="auto" w:fill="E2EFD9" w:themeFill="accent6" w:themeFillTint="33"/>
            <w:vAlign w:val="center"/>
          </w:tcPr>
          <w:p w14:paraId="131FAD4C" w14:textId="77777777" w:rsidR="00003CA8" w:rsidRPr="00E00ED4" w:rsidRDefault="00003CA8" w:rsidP="00003CA8">
            <w:pPr>
              <w:contextualSpacing/>
              <w:jc w:val="center"/>
              <w:rPr>
                <w:sz w:val="19"/>
                <w:szCs w:val="19"/>
              </w:rPr>
            </w:pPr>
            <w:r w:rsidRPr="00B510A2">
              <w:rPr>
                <w:sz w:val="19"/>
                <w:szCs w:val="19"/>
              </w:rPr>
              <w:t>√</w:t>
            </w:r>
            <w:r>
              <w:rPr>
                <w:sz w:val="19"/>
                <w:szCs w:val="19"/>
              </w:rPr>
              <w:t xml:space="preserve"> </w:t>
            </w:r>
          </w:p>
        </w:tc>
        <w:tc>
          <w:tcPr>
            <w:tcW w:w="200" w:type="pct"/>
            <w:tcBorders>
              <w:bottom w:val="single" w:sz="4" w:space="0" w:color="auto"/>
            </w:tcBorders>
            <w:shd w:val="clear" w:color="auto" w:fill="FFCCCC"/>
            <w:vAlign w:val="center"/>
          </w:tcPr>
          <w:p w14:paraId="4147EB4A" w14:textId="77777777" w:rsidR="00003CA8" w:rsidRPr="00BB2DA7" w:rsidRDefault="00003CA8" w:rsidP="00003CA8">
            <w:pPr>
              <w:contextualSpacing/>
              <w:jc w:val="center"/>
              <w:rPr>
                <w:sz w:val="19"/>
                <w:szCs w:val="19"/>
              </w:rPr>
            </w:pPr>
            <w:r w:rsidRPr="00BB2DA7">
              <w:rPr>
                <w:sz w:val="19"/>
                <w:szCs w:val="19"/>
              </w:rPr>
              <w:t xml:space="preserve">X </w:t>
            </w:r>
          </w:p>
        </w:tc>
        <w:tc>
          <w:tcPr>
            <w:tcW w:w="200" w:type="pct"/>
            <w:tcBorders>
              <w:bottom w:val="single" w:sz="4" w:space="0" w:color="auto"/>
            </w:tcBorders>
            <w:shd w:val="clear" w:color="auto" w:fill="FFCCCC"/>
            <w:vAlign w:val="center"/>
          </w:tcPr>
          <w:p w14:paraId="3BEA38CE" w14:textId="26C8903B" w:rsidR="00003CA8" w:rsidRPr="00BB2DA7" w:rsidRDefault="00003CA8" w:rsidP="00003CA8">
            <w:pPr>
              <w:contextualSpacing/>
              <w:jc w:val="center"/>
              <w:rPr>
                <w:sz w:val="19"/>
                <w:szCs w:val="19"/>
              </w:rPr>
            </w:pPr>
            <w:r w:rsidRPr="00BB2DA7">
              <w:rPr>
                <w:sz w:val="19"/>
                <w:szCs w:val="19"/>
              </w:rPr>
              <w:t xml:space="preserve">X </w:t>
            </w:r>
          </w:p>
        </w:tc>
        <w:tc>
          <w:tcPr>
            <w:tcW w:w="200" w:type="pct"/>
            <w:tcBorders>
              <w:bottom w:val="single" w:sz="4" w:space="0" w:color="auto"/>
            </w:tcBorders>
            <w:shd w:val="clear" w:color="auto" w:fill="FDCFC7"/>
            <w:vAlign w:val="center"/>
          </w:tcPr>
          <w:p w14:paraId="305FD325" w14:textId="7DE37FFC" w:rsidR="00003CA8" w:rsidRPr="00003CA8" w:rsidRDefault="00003CA8" w:rsidP="00003CA8">
            <w:pPr>
              <w:contextualSpacing/>
              <w:jc w:val="center"/>
              <w:rPr>
                <w:sz w:val="19"/>
                <w:szCs w:val="19"/>
              </w:rPr>
            </w:pPr>
            <w:r w:rsidRPr="00F775A4">
              <w:rPr>
                <w:sz w:val="19"/>
                <w:szCs w:val="19"/>
              </w:rPr>
              <w:t xml:space="preserve">X </w:t>
            </w:r>
          </w:p>
        </w:tc>
        <w:tc>
          <w:tcPr>
            <w:tcW w:w="678" w:type="pct"/>
            <w:tcBorders>
              <w:bottom w:val="single" w:sz="4" w:space="0" w:color="auto"/>
            </w:tcBorders>
            <w:shd w:val="clear" w:color="auto" w:fill="FACDCA"/>
            <w:vAlign w:val="center"/>
          </w:tcPr>
          <w:p w14:paraId="34EFE8DE" w14:textId="77777777" w:rsidR="00003CA8" w:rsidRPr="00C27CA0" w:rsidRDefault="00003CA8" w:rsidP="00003CA8">
            <w:pPr>
              <w:contextualSpacing/>
              <w:jc w:val="center"/>
              <w:rPr>
                <w:sz w:val="19"/>
                <w:szCs w:val="19"/>
              </w:rPr>
            </w:pPr>
            <w:r w:rsidRPr="00C27CA0">
              <w:rPr>
                <w:sz w:val="19"/>
                <w:szCs w:val="19"/>
              </w:rPr>
              <w:t xml:space="preserve">X  </w:t>
            </w:r>
          </w:p>
          <w:p w14:paraId="4B229CD9" w14:textId="05B725C6" w:rsidR="00003CA8" w:rsidRPr="00C27CA0" w:rsidRDefault="00003CA8" w:rsidP="00003CA8">
            <w:pPr>
              <w:contextualSpacing/>
              <w:jc w:val="center"/>
              <w:rPr>
                <w:sz w:val="19"/>
                <w:szCs w:val="19"/>
              </w:rPr>
            </w:pPr>
            <w:r w:rsidRPr="00C27CA0">
              <w:rPr>
                <w:sz w:val="19"/>
                <w:szCs w:val="19"/>
              </w:rPr>
              <w:t>(</w:t>
            </w:r>
            <w:r w:rsidR="005A425A" w:rsidRPr="00C27CA0">
              <w:rPr>
                <w:sz w:val="19"/>
                <w:szCs w:val="19"/>
              </w:rPr>
              <w:t>13</w:t>
            </w:r>
            <w:r w:rsidRPr="00C27CA0">
              <w:rPr>
                <w:sz w:val="19"/>
                <w:szCs w:val="19"/>
              </w:rPr>
              <w:t xml:space="preserve">%, </w:t>
            </w:r>
            <w:r w:rsidRPr="00C27CA0">
              <w:rPr>
                <w:sz w:val="19"/>
                <w:szCs w:val="19"/>
              </w:rPr>
              <w:fldChar w:fldCharType="begin"/>
            </w:r>
            <w:r w:rsidRPr="00C27CA0">
              <w:rPr>
                <w:sz w:val="19"/>
                <w:szCs w:val="19"/>
              </w:rPr>
              <w:instrText xml:space="preserve"> REF _Ref876802 \h  \* MERGEFORMAT </w:instrText>
            </w:r>
            <w:r w:rsidRPr="00C27CA0">
              <w:rPr>
                <w:sz w:val="19"/>
                <w:szCs w:val="19"/>
              </w:rPr>
            </w:r>
            <w:r w:rsidRPr="00C27CA0">
              <w:rPr>
                <w:sz w:val="19"/>
                <w:szCs w:val="19"/>
              </w:rPr>
              <w:fldChar w:fldCharType="separate"/>
            </w:r>
            <w:r w:rsidR="00102828" w:rsidRPr="00102828">
              <w:rPr>
                <w:sz w:val="19"/>
                <w:szCs w:val="19"/>
                <w:lang w:val="en-US"/>
              </w:rPr>
              <w:t>Figure 70</w:t>
            </w:r>
            <w:r w:rsidRPr="00C27CA0">
              <w:rPr>
                <w:sz w:val="19"/>
                <w:szCs w:val="19"/>
              </w:rPr>
              <w:fldChar w:fldCharType="end"/>
            </w:r>
            <w:r w:rsidRPr="00C27CA0">
              <w:rPr>
                <w:sz w:val="19"/>
                <w:szCs w:val="19"/>
              </w:rPr>
              <w:t>)</w:t>
            </w:r>
          </w:p>
        </w:tc>
      </w:tr>
      <w:tr w:rsidR="00003CA8" w:rsidRPr="00B510A2" w14:paraId="42BB2EBF" w14:textId="09E816AA" w:rsidTr="005A425A">
        <w:trPr>
          <w:cantSplit/>
          <w:trHeight w:val="20"/>
        </w:trPr>
        <w:tc>
          <w:tcPr>
            <w:tcW w:w="2520" w:type="pct"/>
            <w:vAlign w:val="center"/>
          </w:tcPr>
          <w:p w14:paraId="533532EA" w14:textId="77777777" w:rsidR="00003CA8" w:rsidRPr="00BB7D4F" w:rsidRDefault="00003CA8" w:rsidP="00003CA8">
            <w:pPr>
              <w:contextualSpacing/>
              <w:jc w:val="left"/>
              <w:rPr>
                <w:sz w:val="19"/>
                <w:szCs w:val="19"/>
              </w:rPr>
            </w:pPr>
            <w:r w:rsidRPr="00BB7D4F">
              <w:rPr>
                <w:color w:val="auto"/>
                <w:sz w:val="19"/>
                <w:szCs w:val="19"/>
              </w:rPr>
              <w:t>Did the abundance of Murray cod in the Gorge zone increase by ≥20% over a 5-year period?</w:t>
            </w:r>
          </w:p>
        </w:tc>
        <w:tc>
          <w:tcPr>
            <w:tcW w:w="200" w:type="pct"/>
            <w:shd w:val="clear" w:color="auto" w:fill="D9D9D9" w:themeFill="background1" w:themeFillShade="D9"/>
            <w:vAlign w:val="center"/>
          </w:tcPr>
          <w:p w14:paraId="3AEF1140" w14:textId="77777777" w:rsidR="00003CA8" w:rsidRPr="00EE532F" w:rsidRDefault="00003CA8" w:rsidP="00003CA8">
            <w:pPr>
              <w:contextualSpacing/>
              <w:jc w:val="center"/>
              <w:rPr>
                <w:sz w:val="19"/>
                <w:szCs w:val="19"/>
              </w:rPr>
            </w:pPr>
            <w:r w:rsidRPr="00EE532F">
              <w:rPr>
                <w:sz w:val="19"/>
                <w:szCs w:val="19"/>
              </w:rPr>
              <w:t>NA</w:t>
            </w:r>
          </w:p>
        </w:tc>
        <w:tc>
          <w:tcPr>
            <w:tcW w:w="200" w:type="pct"/>
            <w:shd w:val="clear" w:color="auto" w:fill="D9D9D9" w:themeFill="background1" w:themeFillShade="D9"/>
            <w:vAlign w:val="center"/>
          </w:tcPr>
          <w:p w14:paraId="0075A0B7" w14:textId="77777777" w:rsidR="00003CA8" w:rsidRPr="00EE532F" w:rsidRDefault="00003CA8" w:rsidP="00003CA8">
            <w:pPr>
              <w:contextualSpacing/>
              <w:jc w:val="center"/>
              <w:rPr>
                <w:sz w:val="19"/>
                <w:szCs w:val="19"/>
              </w:rPr>
            </w:pPr>
            <w:r w:rsidRPr="00EE532F">
              <w:rPr>
                <w:sz w:val="19"/>
                <w:szCs w:val="19"/>
              </w:rPr>
              <w:t>NA</w:t>
            </w:r>
          </w:p>
        </w:tc>
        <w:tc>
          <w:tcPr>
            <w:tcW w:w="200" w:type="pct"/>
            <w:shd w:val="clear" w:color="auto" w:fill="D9D9D9" w:themeFill="background1" w:themeFillShade="D9"/>
            <w:vAlign w:val="center"/>
          </w:tcPr>
          <w:p w14:paraId="3BA34580" w14:textId="77777777" w:rsidR="00003CA8" w:rsidRPr="00EE532F" w:rsidRDefault="00003CA8" w:rsidP="00003CA8">
            <w:pPr>
              <w:contextualSpacing/>
              <w:jc w:val="center"/>
              <w:rPr>
                <w:sz w:val="19"/>
                <w:szCs w:val="19"/>
              </w:rPr>
            </w:pPr>
            <w:r w:rsidRPr="00EE532F">
              <w:rPr>
                <w:sz w:val="19"/>
                <w:szCs w:val="19"/>
              </w:rPr>
              <w:t>NA</w:t>
            </w:r>
          </w:p>
        </w:tc>
        <w:tc>
          <w:tcPr>
            <w:tcW w:w="200" w:type="pct"/>
            <w:shd w:val="clear" w:color="auto" w:fill="D9D9D9" w:themeFill="background1" w:themeFillShade="D9"/>
            <w:vAlign w:val="center"/>
          </w:tcPr>
          <w:p w14:paraId="01AE221C" w14:textId="77777777" w:rsidR="00003CA8" w:rsidRPr="00EE532F" w:rsidRDefault="00003CA8" w:rsidP="00003CA8">
            <w:pPr>
              <w:contextualSpacing/>
              <w:jc w:val="center"/>
              <w:rPr>
                <w:sz w:val="19"/>
                <w:szCs w:val="19"/>
              </w:rPr>
            </w:pPr>
            <w:r w:rsidRPr="00EE532F">
              <w:rPr>
                <w:sz w:val="19"/>
                <w:szCs w:val="19"/>
              </w:rPr>
              <w:t>NA</w:t>
            </w:r>
          </w:p>
        </w:tc>
        <w:tc>
          <w:tcPr>
            <w:tcW w:w="200" w:type="pct"/>
            <w:shd w:val="clear" w:color="auto" w:fill="D9D9D9" w:themeFill="background1" w:themeFillShade="D9"/>
            <w:vAlign w:val="center"/>
          </w:tcPr>
          <w:p w14:paraId="105F4C9D" w14:textId="6A4593DB" w:rsidR="00003CA8" w:rsidRPr="00EE532F" w:rsidRDefault="00003CA8" w:rsidP="00003CA8">
            <w:pPr>
              <w:contextualSpacing/>
              <w:jc w:val="center"/>
              <w:rPr>
                <w:sz w:val="19"/>
                <w:szCs w:val="19"/>
              </w:rPr>
            </w:pPr>
            <w:r w:rsidRPr="00EE532F">
              <w:rPr>
                <w:sz w:val="19"/>
                <w:szCs w:val="19"/>
              </w:rPr>
              <w:t>NA</w:t>
            </w:r>
          </w:p>
        </w:tc>
        <w:tc>
          <w:tcPr>
            <w:tcW w:w="200" w:type="pct"/>
            <w:shd w:val="clear" w:color="auto" w:fill="E2EFD9" w:themeFill="accent6" w:themeFillTint="33"/>
            <w:vAlign w:val="center"/>
          </w:tcPr>
          <w:p w14:paraId="330ADE9B" w14:textId="77777777" w:rsidR="00003CA8" w:rsidRPr="00D81449" w:rsidRDefault="00003CA8" w:rsidP="00003CA8">
            <w:pPr>
              <w:contextualSpacing/>
              <w:jc w:val="center"/>
              <w:rPr>
                <w:sz w:val="19"/>
                <w:szCs w:val="19"/>
              </w:rPr>
            </w:pPr>
            <w:r w:rsidRPr="00B510A2">
              <w:rPr>
                <w:sz w:val="19"/>
                <w:szCs w:val="19"/>
              </w:rPr>
              <w:t>√</w:t>
            </w:r>
            <w:r>
              <w:rPr>
                <w:sz w:val="19"/>
                <w:szCs w:val="19"/>
              </w:rPr>
              <w:t xml:space="preserve"> </w:t>
            </w:r>
            <w:r w:rsidRPr="007E7388">
              <w:rPr>
                <w:sz w:val="19"/>
                <w:szCs w:val="19"/>
              </w:rPr>
              <w:t xml:space="preserve"> </w:t>
            </w:r>
          </w:p>
        </w:tc>
        <w:tc>
          <w:tcPr>
            <w:tcW w:w="200" w:type="pct"/>
            <w:shd w:val="clear" w:color="auto" w:fill="E2EFD9" w:themeFill="accent6" w:themeFillTint="33"/>
            <w:vAlign w:val="center"/>
          </w:tcPr>
          <w:p w14:paraId="430ABA4C" w14:textId="77777777" w:rsidR="00003CA8" w:rsidRPr="00A54F1A" w:rsidRDefault="00003CA8" w:rsidP="00003CA8">
            <w:pPr>
              <w:contextualSpacing/>
              <w:jc w:val="center"/>
              <w:rPr>
                <w:sz w:val="19"/>
                <w:szCs w:val="19"/>
              </w:rPr>
            </w:pPr>
            <w:r w:rsidRPr="00A54F1A">
              <w:rPr>
                <w:sz w:val="19"/>
                <w:szCs w:val="19"/>
              </w:rPr>
              <w:t xml:space="preserve">√  </w:t>
            </w:r>
          </w:p>
        </w:tc>
        <w:tc>
          <w:tcPr>
            <w:tcW w:w="200" w:type="pct"/>
            <w:shd w:val="clear" w:color="auto" w:fill="E2EFD9" w:themeFill="accent6" w:themeFillTint="33"/>
            <w:vAlign w:val="center"/>
          </w:tcPr>
          <w:p w14:paraId="3271B2BB" w14:textId="552648C1" w:rsidR="00003CA8" w:rsidRPr="00A54F1A" w:rsidRDefault="00003CA8" w:rsidP="00003CA8">
            <w:pPr>
              <w:contextualSpacing/>
              <w:jc w:val="center"/>
              <w:rPr>
                <w:sz w:val="19"/>
                <w:szCs w:val="19"/>
              </w:rPr>
            </w:pPr>
            <w:r w:rsidRPr="00A54F1A">
              <w:rPr>
                <w:sz w:val="19"/>
                <w:szCs w:val="19"/>
              </w:rPr>
              <w:t xml:space="preserve">√  </w:t>
            </w:r>
          </w:p>
        </w:tc>
        <w:tc>
          <w:tcPr>
            <w:tcW w:w="200" w:type="pct"/>
            <w:shd w:val="clear" w:color="auto" w:fill="FACDCA"/>
            <w:vAlign w:val="center"/>
          </w:tcPr>
          <w:p w14:paraId="6195967D" w14:textId="785ADBE6" w:rsidR="00003CA8" w:rsidRPr="00003CA8" w:rsidRDefault="00003CA8" w:rsidP="00003CA8">
            <w:pPr>
              <w:contextualSpacing/>
              <w:jc w:val="center"/>
              <w:rPr>
                <w:sz w:val="19"/>
                <w:szCs w:val="19"/>
              </w:rPr>
            </w:pPr>
            <w:r w:rsidRPr="00F775A4">
              <w:rPr>
                <w:sz w:val="19"/>
                <w:szCs w:val="19"/>
              </w:rPr>
              <w:t xml:space="preserve">X  </w:t>
            </w:r>
          </w:p>
        </w:tc>
        <w:tc>
          <w:tcPr>
            <w:tcW w:w="678" w:type="pct"/>
            <w:shd w:val="clear" w:color="auto" w:fill="FACDCA"/>
            <w:vAlign w:val="center"/>
          </w:tcPr>
          <w:p w14:paraId="15F48962" w14:textId="7938C9A1" w:rsidR="00003CA8" w:rsidRPr="00C27CA0" w:rsidRDefault="00CF10A2" w:rsidP="00003CA8">
            <w:pPr>
              <w:contextualSpacing/>
              <w:jc w:val="center"/>
              <w:rPr>
                <w:sz w:val="19"/>
                <w:szCs w:val="19"/>
              </w:rPr>
            </w:pPr>
            <w:r w:rsidRPr="00C27CA0">
              <w:rPr>
                <w:sz w:val="19"/>
                <w:szCs w:val="19"/>
              </w:rPr>
              <w:t>X</w:t>
            </w:r>
          </w:p>
          <w:p w14:paraId="27BA2577" w14:textId="146662F0" w:rsidR="00003CA8" w:rsidRPr="00C27CA0" w:rsidRDefault="00003CA8" w:rsidP="00003CA8">
            <w:pPr>
              <w:contextualSpacing/>
              <w:jc w:val="center"/>
              <w:rPr>
                <w:sz w:val="19"/>
                <w:szCs w:val="19"/>
              </w:rPr>
            </w:pPr>
            <w:r w:rsidRPr="00C27CA0">
              <w:rPr>
                <w:sz w:val="19"/>
                <w:szCs w:val="19"/>
              </w:rPr>
              <w:t>(</w:t>
            </w:r>
            <w:r w:rsidR="005A425A" w:rsidRPr="00C27CA0">
              <w:rPr>
                <w:sz w:val="19"/>
                <w:szCs w:val="19"/>
              </w:rPr>
              <w:t>-80%,</w:t>
            </w:r>
            <w:r w:rsidR="00C27CA0">
              <w:rPr>
                <w:sz w:val="19"/>
                <w:szCs w:val="19"/>
              </w:rPr>
              <w:t xml:space="preserve"> </w:t>
            </w:r>
            <w:r w:rsidR="00C27CA0" w:rsidRPr="00C27CA0">
              <w:rPr>
                <w:sz w:val="19"/>
                <w:szCs w:val="19"/>
              </w:rPr>
              <w:fldChar w:fldCharType="begin"/>
            </w:r>
            <w:r w:rsidR="00C27CA0" w:rsidRPr="00C27CA0">
              <w:rPr>
                <w:sz w:val="19"/>
                <w:szCs w:val="19"/>
              </w:rPr>
              <w:instrText xml:space="preserve"> REF _Ref876802 \h  \* MERGEFORMAT </w:instrText>
            </w:r>
            <w:r w:rsidR="00C27CA0" w:rsidRPr="00C27CA0">
              <w:rPr>
                <w:sz w:val="19"/>
                <w:szCs w:val="19"/>
              </w:rPr>
            </w:r>
            <w:r w:rsidR="00C27CA0" w:rsidRPr="00C27CA0">
              <w:rPr>
                <w:sz w:val="19"/>
                <w:szCs w:val="19"/>
              </w:rPr>
              <w:fldChar w:fldCharType="separate"/>
            </w:r>
            <w:r w:rsidR="00102828" w:rsidRPr="00102828">
              <w:rPr>
                <w:sz w:val="19"/>
                <w:szCs w:val="19"/>
                <w:lang w:val="en-US"/>
              </w:rPr>
              <w:t>Figure 70</w:t>
            </w:r>
            <w:r w:rsidR="00C27CA0" w:rsidRPr="00C27CA0">
              <w:rPr>
                <w:sz w:val="19"/>
                <w:szCs w:val="19"/>
              </w:rPr>
              <w:fldChar w:fldCharType="end"/>
            </w:r>
            <w:r w:rsidRPr="00C27CA0">
              <w:rPr>
                <w:sz w:val="19"/>
                <w:szCs w:val="19"/>
              </w:rPr>
              <w:t>)</w:t>
            </w:r>
          </w:p>
        </w:tc>
      </w:tr>
      <w:tr w:rsidR="00003CA8" w:rsidRPr="00B510A2" w14:paraId="59E1AF09" w14:textId="2B3C186E" w:rsidTr="00CF10A2">
        <w:trPr>
          <w:cantSplit/>
          <w:trHeight w:val="20"/>
        </w:trPr>
        <w:tc>
          <w:tcPr>
            <w:tcW w:w="2520" w:type="pct"/>
          </w:tcPr>
          <w:p w14:paraId="21FD4076" w14:textId="77777777" w:rsidR="00003CA8" w:rsidRPr="00BB7D4F" w:rsidRDefault="00003CA8" w:rsidP="00003CA8">
            <w:pPr>
              <w:contextualSpacing/>
              <w:jc w:val="left"/>
              <w:rPr>
                <w:iCs/>
                <w:color w:val="FF0000"/>
                <w:sz w:val="19"/>
                <w:szCs w:val="19"/>
              </w:rPr>
            </w:pPr>
            <w:r w:rsidRPr="00BB7D4F">
              <w:rPr>
                <w:iCs/>
                <w:sz w:val="19"/>
                <w:szCs w:val="19"/>
              </w:rPr>
              <w:t xml:space="preserve">Did the population age structure of golden perch include adults (age </w:t>
            </w:r>
            <w:r w:rsidRPr="00BB7D4F">
              <w:rPr>
                <w:sz w:val="19"/>
                <w:szCs w:val="19"/>
              </w:rPr>
              <w:t>≥</w:t>
            </w:r>
            <w:r w:rsidRPr="00BB7D4F">
              <w:rPr>
                <w:iCs/>
                <w:sz w:val="19"/>
                <w:szCs w:val="19"/>
              </w:rPr>
              <w:t>4+) and sub-adults (age 1+–3+)?</w:t>
            </w:r>
          </w:p>
        </w:tc>
        <w:tc>
          <w:tcPr>
            <w:tcW w:w="200" w:type="pct"/>
            <w:shd w:val="clear" w:color="auto" w:fill="E2EFD9" w:themeFill="accent6" w:themeFillTint="33"/>
            <w:vAlign w:val="center"/>
          </w:tcPr>
          <w:p w14:paraId="0B9EB800" w14:textId="77777777" w:rsidR="00003CA8" w:rsidRPr="0043233D"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63059643" w14:textId="77777777" w:rsidR="00003CA8" w:rsidRPr="0043233D"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6862865E" w14:textId="77777777" w:rsidR="00003CA8" w:rsidRPr="0043233D"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26C9B1EC" w14:textId="77777777" w:rsidR="00003CA8" w:rsidRPr="0043233D"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22BB622F" w14:textId="77777777" w:rsidR="00003CA8" w:rsidRPr="0043233D"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09B26870" w14:textId="77777777" w:rsidR="00003CA8" w:rsidRPr="0043233D" w:rsidRDefault="00003CA8" w:rsidP="00003CA8">
            <w:pPr>
              <w:contextualSpacing/>
              <w:jc w:val="center"/>
              <w:rPr>
                <w:sz w:val="19"/>
                <w:szCs w:val="19"/>
              </w:rPr>
            </w:pPr>
            <w:r w:rsidRPr="00AF698F">
              <w:rPr>
                <w:sz w:val="19"/>
                <w:szCs w:val="19"/>
              </w:rPr>
              <w:t>√</w:t>
            </w:r>
          </w:p>
        </w:tc>
        <w:tc>
          <w:tcPr>
            <w:tcW w:w="200" w:type="pct"/>
            <w:shd w:val="clear" w:color="auto" w:fill="E2EFD9" w:themeFill="accent6" w:themeFillTint="33"/>
            <w:vAlign w:val="center"/>
          </w:tcPr>
          <w:p w14:paraId="1C5D4F7B" w14:textId="77777777" w:rsidR="00003CA8" w:rsidRPr="00A54F1A" w:rsidRDefault="00003CA8" w:rsidP="00003CA8">
            <w:pPr>
              <w:contextualSpacing/>
              <w:jc w:val="center"/>
              <w:rPr>
                <w:sz w:val="19"/>
                <w:szCs w:val="19"/>
              </w:rPr>
            </w:pPr>
            <w:r w:rsidRPr="00A54F1A">
              <w:rPr>
                <w:sz w:val="19"/>
                <w:szCs w:val="19"/>
              </w:rPr>
              <w:t>√</w:t>
            </w:r>
          </w:p>
        </w:tc>
        <w:tc>
          <w:tcPr>
            <w:tcW w:w="200" w:type="pct"/>
            <w:shd w:val="clear" w:color="auto" w:fill="E2EFD9" w:themeFill="accent6" w:themeFillTint="33"/>
            <w:vAlign w:val="center"/>
          </w:tcPr>
          <w:p w14:paraId="642DFE34" w14:textId="65C259B0" w:rsidR="00003CA8" w:rsidRPr="00A54F1A" w:rsidRDefault="00003CA8" w:rsidP="00003CA8">
            <w:pPr>
              <w:contextualSpacing/>
              <w:jc w:val="center"/>
              <w:rPr>
                <w:sz w:val="19"/>
                <w:szCs w:val="19"/>
              </w:rPr>
            </w:pPr>
            <w:r w:rsidRPr="00A54F1A">
              <w:rPr>
                <w:sz w:val="19"/>
                <w:szCs w:val="19"/>
              </w:rPr>
              <w:t>√</w:t>
            </w:r>
          </w:p>
        </w:tc>
        <w:tc>
          <w:tcPr>
            <w:tcW w:w="200" w:type="pct"/>
            <w:shd w:val="clear" w:color="auto" w:fill="E2EFD9" w:themeFill="accent6" w:themeFillTint="33"/>
            <w:vAlign w:val="center"/>
          </w:tcPr>
          <w:p w14:paraId="2F408958" w14:textId="2CB6547B" w:rsidR="00003CA8" w:rsidRPr="00003CA8" w:rsidRDefault="00003CA8" w:rsidP="00003CA8">
            <w:pPr>
              <w:contextualSpacing/>
              <w:jc w:val="center"/>
              <w:rPr>
                <w:sz w:val="19"/>
                <w:szCs w:val="19"/>
              </w:rPr>
            </w:pPr>
            <w:r w:rsidRPr="007406B3">
              <w:rPr>
                <w:sz w:val="19"/>
                <w:szCs w:val="19"/>
              </w:rPr>
              <w:t>√</w:t>
            </w:r>
          </w:p>
        </w:tc>
        <w:tc>
          <w:tcPr>
            <w:tcW w:w="678" w:type="pct"/>
            <w:shd w:val="clear" w:color="auto" w:fill="E2EFD9" w:themeFill="accent6" w:themeFillTint="33"/>
            <w:vAlign w:val="center"/>
          </w:tcPr>
          <w:p w14:paraId="0468BB75" w14:textId="0B72E839" w:rsidR="00003CA8" w:rsidRPr="00C27CA0" w:rsidRDefault="00CF10A2" w:rsidP="00003CA8">
            <w:pPr>
              <w:contextualSpacing/>
              <w:jc w:val="center"/>
              <w:rPr>
                <w:sz w:val="19"/>
                <w:szCs w:val="19"/>
              </w:rPr>
            </w:pPr>
            <w:r w:rsidRPr="00C27CA0">
              <w:rPr>
                <w:sz w:val="19"/>
                <w:szCs w:val="19"/>
              </w:rPr>
              <w:t>√</w:t>
            </w:r>
          </w:p>
          <w:p w14:paraId="3B81F167" w14:textId="47CF5FA5" w:rsidR="00003CA8" w:rsidRPr="00C27CA0" w:rsidRDefault="00003CA8" w:rsidP="00003CA8">
            <w:pPr>
              <w:contextualSpacing/>
              <w:jc w:val="center"/>
              <w:rPr>
                <w:sz w:val="19"/>
                <w:szCs w:val="19"/>
              </w:rPr>
            </w:pPr>
            <w:r w:rsidRPr="00C27CA0">
              <w:rPr>
                <w:sz w:val="19"/>
                <w:szCs w:val="19"/>
              </w:rPr>
              <w:t>(</w:t>
            </w:r>
            <w:r w:rsidRPr="00C27CA0">
              <w:rPr>
                <w:sz w:val="19"/>
                <w:szCs w:val="19"/>
              </w:rPr>
              <w:fldChar w:fldCharType="begin"/>
            </w:r>
            <w:r w:rsidRPr="00C27CA0">
              <w:rPr>
                <w:sz w:val="19"/>
                <w:szCs w:val="19"/>
              </w:rPr>
              <w:instrText xml:space="preserve"> REF _Ref531251781 \h  \* MERGEFORMAT </w:instrText>
            </w:r>
            <w:r w:rsidRPr="00C27CA0">
              <w:rPr>
                <w:sz w:val="19"/>
                <w:szCs w:val="19"/>
              </w:rPr>
            </w:r>
            <w:r w:rsidRPr="00C27CA0">
              <w:rPr>
                <w:sz w:val="19"/>
                <w:szCs w:val="19"/>
              </w:rPr>
              <w:fldChar w:fldCharType="separate"/>
            </w:r>
            <w:r w:rsidR="00102828" w:rsidRPr="00102828">
              <w:rPr>
                <w:sz w:val="19"/>
                <w:szCs w:val="19"/>
                <w:lang w:val="en-US"/>
              </w:rPr>
              <w:t>Figure 61</w:t>
            </w:r>
            <w:r w:rsidRPr="00C27CA0">
              <w:rPr>
                <w:sz w:val="19"/>
                <w:szCs w:val="19"/>
              </w:rPr>
              <w:fldChar w:fldCharType="end"/>
            </w:r>
            <w:r w:rsidRPr="00C27CA0">
              <w:rPr>
                <w:sz w:val="19"/>
                <w:szCs w:val="19"/>
              </w:rPr>
              <w:t>)</w:t>
            </w:r>
          </w:p>
        </w:tc>
      </w:tr>
      <w:tr w:rsidR="00003CA8" w:rsidRPr="00B510A2" w14:paraId="197F75C0" w14:textId="0316D42A" w:rsidTr="005A425A">
        <w:trPr>
          <w:cantSplit/>
          <w:trHeight w:val="20"/>
        </w:trPr>
        <w:tc>
          <w:tcPr>
            <w:tcW w:w="2520" w:type="pct"/>
          </w:tcPr>
          <w:p w14:paraId="4204E3B5" w14:textId="77777777" w:rsidR="00003CA8" w:rsidRPr="00BB7D4F" w:rsidRDefault="00003CA8" w:rsidP="00003CA8">
            <w:pPr>
              <w:pStyle w:val="TableHeading"/>
              <w:contextualSpacing/>
              <w:jc w:val="left"/>
              <w:rPr>
                <w:color w:val="FF0000"/>
                <w:sz w:val="19"/>
                <w:szCs w:val="19"/>
              </w:rPr>
            </w:pPr>
            <w:r w:rsidRPr="00BB7D4F">
              <w:rPr>
                <w:b w:val="0"/>
                <w:sz w:val="19"/>
                <w:szCs w:val="19"/>
              </w:rPr>
              <w:t xml:space="preserve">Was there a </w:t>
            </w:r>
            <w:r w:rsidRPr="00BB7D4F">
              <w:rPr>
                <w:b w:val="0"/>
                <w:bCs/>
                <w:iCs/>
                <w:sz w:val="19"/>
                <w:szCs w:val="19"/>
              </w:rPr>
              <w:t>large recruitment event of golden perch, demonstrated by a YOY cohort representing &gt;30% of the population</w:t>
            </w:r>
            <w:r w:rsidRPr="00BB7D4F">
              <w:rPr>
                <w:b w:val="0"/>
                <w:bCs/>
                <w:sz w:val="19"/>
                <w:szCs w:val="19"/>
              </w:rPr>
              <w:t xml:space="preserve"> from the Lower Murray</w:t>
            </w:r>
            <w:r w:rsidRPr="00BB7D4F">
              <w:rPr>
                <w:b w:val="0"/>
                <w:bCs/>
                <w:iCs/>
                <w:sz w:val="19"/>
                <w:szCs w:val="19"/>
              </w:rPr>
              <w:t>.</w:t>
            </w:r>
          </w:p>
        </w:tc>
        <w:tc>
          <w:tcPr>
            <w:tcW w:w="200" w:type="pct"/>
            <w:shd w:val="clear" w:color="auto" w:fill="FFCCCC"/>
            <w:vAlign w:val="center"/>
          </w:tcPr>
          <w:p w14:paraId="50A05EC2" w14:textId="77777777" w:rsidR="00003CA8" w:rsidRPr="0043233D" w:rsidRDefault="00003CA8" w:rsidP="00003CA8">
            <w:pPr>
              <w:contextualSpacing/>
              <w:jc w:val="center"/>
              <w:rPr>
                <w:sz w:val="19"/>
                <w:szCs w:val="19"/>
              </w:rPr>
            </w:pPr>
            <w:r w:rsidRPr="00B510A2">
              <w:rPr>
                <w:sz w:val="19"/>
                <w:szCs w:val="19"/>
              </w:rPr>
              <w:t>X</w:t>
            </w:r>
          </w:p>
        </w:tc>
        <w:tc>
          <w:tcPr>
            <w:tcW w:w="200" w:type="pct"/>
            <w:shd w:val="clear" w:color="auto" w:fill="FFCCCC"/>
            <w:vAlign w:val="center"/>
          </w:tcPr>
          <w:p w14:paraId="336027AC" w14:textId="77777777" w:rsidR="00003CA8" w:rsidRPr="0043233D" w:rsidRDefault="00003CA8" w:rsidP="00003CA8">
            <w:pPr>
              <w:contextualSpacing/>
              <w:jc w:val="center"/>
              <w:rPr>
                <w:sz w:val="19"/>
                <w:szCs w:val="19"/>
              </w:rPr>
            </w:pPr>
            <w:r w:rsidRPr="00B510A2">
              <w:rPr>
                <w:sz w:val="19"/>
                <w:szCs w:val="19"/>
              </w:rPr>
              <w:t>X</w:t>
            </w:r>
          </w:p>
        </w:tc>
        <w:tc>
          <w:tcPr>
            <w:tcW w:w="200" w:type="pct"/>
            <w:shd w:val="clear" w:color="auto" w:fill="FFCCCC"/>
            <w:vAlign w:val="center"/>
          </w:tcPr>
          <w:p w14:paraId="0ADEBA3E" w14:textId="77777777" w:rsidR="00003CA8" w:rsidRPr="0043233D" w:rsidRDefault="00003CA8" w:rsidP="00003CA8">
            <w:pPr>
              <w:contextualSpacing/>
              <w:jc w:val="center"/>
              <w:rPr>
                <w:sz w:val="19"/>
                <w:szCs w:val="19"/>
              </w:rPr>
            </w:pPr>
            <w:r w:rsidRPr="00B510A2">
              <w:rPr>
                <w:sz w:val="19"/>
                <w:szCs w:val="19"/>
              </w:rPr>
              <w:t>X</w:t>
            </w:r>
          </w:p>
        </w:tc>
        <w:tc>
          <w:tcPr>
            <w:tcW w:w="200" w:type="pct"/>
            <w:shd w:val="clear" w:color="auto" w:fill="FFCCCC"/>
            <w:vAlign w:val="center"/>
          </w:tcPr>
          <w:p w14:paraId="1D9B9E50" w14:textId="77777777" w:rsidR="00003CA8" w:rsidRPr="0043233D" w:rsidRDefault="00003CA8" w:rsidP="00003CA8">
            <w:pPr>
              <w:contextualSpacing/>
              <w:jc w:val="center"/>
              <w:rPr>
                <w:sz w:val="19"/>
                <w:szCs w:val="19"/>
              </w:rPr>
            </w:pPr>
            <w:r w:rsidRPr="00B510A2">
              <w:rPr>
                <w:sz w:val="19"/>
                <w:szCs w:val="19"/>
              </w:rPr>
              <w:t>X</w:t>
            </w:r>
          </w:p>
        </w:tc>
        <w:tc>
          <w:tcPr>
            <w:tcW w:w="200" w:type="pct"/>
            <w:shd w:val="clear" w:color="auto" w:fill="FFCCCC"/>
            <w:vAlign w:val="center"/>
          </w:tcPr>
          <w:p w14:paraId="761528F8" w14:textId="77777777" w:rsidR="00003CA8" w:rsidRPr="0043233D" w:rsidRDefault="00003CA8" w:rsidP="00003CA8">
            <w:pPr>
              <w:contextualSpacing/>
              <w:jc w:val="center"/>
              <w:rPr>
                <w:sz w:val="19"/>
                <w:szCs w:val="19"/>
              </w:rPr>
            </w:pPr>
            <w:r w:rsidRPr="00B510A2">
              <w:rPr>
                <w:sz w:val="19"/>
                <w:szCs w:val="19"/>
              </w:rPr>
              <w:t>X</w:t>
            </w:r>
          </w:p>
        </w:tc>
        <w:tc>
          <w:tcPr>
            <w:tcW w:w="200" w:type="pct"/>
            <w:shd w:val="clear" w:color="auto" w:fill="FFCCCC"/>
            <w:vAlign w:val="center"/>
          </w:tcPr>
          <w:p w14:paraId="24D19DFE" w14:textId="77777777" w:rsidR="00003CA8" w:rsidRPr="00424090" w:rsidRDefault="00003CA8" w:rsidP="00003CA8">
            <w:pPr>
              <w:contextualSpacing/>
              <w:jc w:val="center"/>
              <w:rPr>
                <w:sz w:val="19"/>
                <w:szCs w:val="19"/>
              </w:rPr>
            </w:pPr>
            <w:r w:rsidRPr="00AF698F">
              <w:rPr>
                <w:sz w:val="19"/>
                <w:szCs w:val="19"/>
              </w:rPr>
              <w:t>X</w:t>
            </w:r>
          </w:p>
        </w:tc>
        <w:tc>
          <w:tcPr>
            <w:tcW w:w="200" w:type="pct"/>
            <w:shd w:val="clear" w:color="auto" w:fill="FFCCCC"/>
            <w:vAlign w:val="center"/>
          </w:tcPr>
          <w:p w14:paraId="18A6E255" w14:textId="77777777" w:rsidR="00003CA8" w:rsidRPr="00A54F1A" w:rsidRDefault="00003CA8" w:rsidP="00003CA8">
            <w:pPr>
              <w:contextualSpacing/>
              <w:jc w:val="center"/>
              <w:rPr>
                <w:sz w:val="19"/>
                <w:szCs w:val="19"/>
              </w:rPr>
            </w:pPr>
            <w:r w:rsidRPr="00A54F1A">
              <w:rPr>
                <w:sz w:val="19"/>
                <w:szCs w:val="19"/>
              </w:rPr>
              <w:t>X</w:t>
            </w:r>
          </w:p>
        </w:tc>
        <w:tc>
          <w:tcPr>
            <w:tcW w:w="200" w:type="pct"/>
            <w:shd w:val="clear" w:color="auto" w:fill="FFCCCC"/>
            <w:vAlign w:val="center"/>
          </w:tcPr>
          <w:p w14:paraId="2291435D" w14:textId="30A67B04" w:rsidR="00003CA8" w:rsidRPr="00A54F1A" w:rsidRDefault="00003CA8" w:rsidP="00003CA8">
            <w:pPr>
              <w:contextualSpacing/>
              <w:jc w:val="center"/>
              <w:rPr>
                <w:sz w:val="19"/>
                <w:szCs w:val="19"/>
              </w:rPr>
            </w:pPr>
            <w:r w:rsidRPr="00A54F1A">
              <w:rPr>
                <w:sz w:val="19"/>
                <w:szCs w:val="19"/>
              </w:rPr>
              <w:t>X</w:t>
            </w:r>
          </w:p>
        </w:tc>
        <w:tc>
          <w:tcPr>
            <w:tcW w:w="200" w:type="pct"/>
            <w:shd w:val="clear" w:color="auto" w:fill="FDCFC7"/>
            <w:vAlign w:val="center"/>
          </w:tcPr>
          <w:p w14:paraId="686C3022" w14:textId="56B1FC52" w:rsidR="00003CA8" w:rsidRPr="00003CA8" w:rsidRDefault="00003CA8" w:rsidP="00003CA8">
            <w:pPr>
              <w:contextualSpacing/>
              <w:jc w:val="center"/>
              <w:rPr>
                <w:sz w:val="19"/>
                <w:szCs w:val="19"/>
              </w:rPr>
            </w:pPr>
            <w:r w:rsidRPr="007406B3">
              <w:rPr>
                <w:sz w:val="19"/>
                <w:szCs w:val="19"/>
              </w:rPr>
              <w:t>X</w:t>
            </w:r>
          </w:p>
        </w:tc>
        <w:tc>
          <w:tcPr>
            <w:tcW w:w="678" w:type="pct"/>
            <w:shd w:val="clear" w:color="auto" w:fill="FACDCA"/>
            <w:vAlign w:val="center"/>
          </w:tcPr>
          <w:p w14:paraId="3C541239" w14:textId="77777777" w:rsidR="00003CA8" w:rsidRPr="00C27CA0" w:rsidRDefault="00003CA8" w:rsidP="00003CA8">
            <w:pPr>
              <w:shd w:val="clear" w:color="auto" w:fill="FDCFC7"/>
              <w:contextualSpacing/>
              <w:jc w:val="center"/>
              <w:rPr>
                <w:sz w:val="19"/>
                <w:szCs w:val="19"/>
              </w:rPr>
            </w:pPr>
            <w:r w:rsidRPr="00C27CA0">
              <w:rPr>
                <w:sz w:val="19"/>
                <w:szCs w:val="19"/>
              </w:rPr>
              <w:t xml:space="preserve">X </w:t>
            </w:r>
          </w:p>
          <w:p w14:paraId="1DD5F746" w14:textId="416D8480" w:rsidR="00003CA8" w:rsidRPr="00C27CA0" w:rsidRDefault="005A425A" w:rsidP="00003CA8">
            <w:pPr>
              <w:contextualSpacing/>
              <w:jc w:val="center"/>
              <w:rPr>
                <w:sz w:val="19"/>
                <w:szCs w:val="19"/>
              </w:rPr>
            </w:pPr>
            <w:r w:rsidRPr="00C27CA0">
              <w:rPr>
                <w:sz w:val="19"/>
                <w:szCs w:val="19"/>
              </w:rPr>
              <w:t>(1</w:t>
            </w:r>
            <w:r w:rsidR="00003CA8" w:rsidRPr="00C27CA0">
              <w:rPr>
                <w:sz w:val="19"/>
                <w:szCs w:val="19"/>
              </w:rPr>
              <w:t>%,</w:t>
            </w:r>
            <w:r w:rsidRPr="00C27CA0">
              <w:rPr>
                <w:sz w:val="19"/>
                <w:szCs w:val="19"/>
              </w:rPr>
              <w:t xml:space="preserve"> </w:t>
            </w:r>
            <w:r w:rsidRPr="00C27CA0">
              <w:rPr>
                <w:sz w:val="19"/>
                <w:szCs w:val="19"/>
              </w:rPr>
              <w:fldChar w:fldCharType="begin"/>
            </w:r>
            <w:r w:rsidRPr="00C27CA0">
              <w:rPr>
                <w:sz w:val="19"/>
                <w:szCs w:val="19"/>
              </w:rPr>
              <w:instrText xml:space="preserve"> REF _Ref531251781 \h  \* MERGEFORMAT </w:instrText>
            </w:r>
            <w:r w:rsidRPr="00C27CA0">
              <w:rPr>
                <w:sz w:val="19"/>
                <w:szCs w:val="19"/>
              </w:rPr>
            </w:r>
            <w:r w:rsidRPr="00C27CA0">
              <w:rPr>
                <w:sz w:val="19"/>
                <w:szCs w:val="19"/>
              </w:rPr>
              <w:fldChar w:fldCharType="separate"/>
            </w:r>
            <w:r w:rsidR="00102828" w:rsidRPr="00102828">
              <w:rPr>
                <w:sz w:val="19"/>
                <w:szCs w:val="19"/>
                <w:lang w:val="en-US"/>
              </w:rPr>
              <w:t>Figure 61</w:t>
            </w:r>
            <w:r w:rsidRPr="00C27CA0">
              <w:rPr>
                <w:sz w:val="19"/>
                <w:szCs w:val="19"/>
              </w:rPr>
              <w:fldChar w:fldCharType="end"/>
            </w:r>
            <w:r w:rsidR="00003CA8" w:rsidRPr="00C27CA0">
              <w:rPr>
                <w:sz w:val="19"/>
                <w:szCs w:val="19"/>
              </w:rPr>
              <w:t>)</w:t>
            </w:r>
          </w:p>
        </w:tc>
      </w:tr>
      <w:tr w:rsidR="00003CA8" w:rsidRPr="00036649" w14:paraId="1B85ED7E" w14:textId="347BEBC2" w:rsidTr="005A425A">
        <w:trPr>
          <w:cantSplit/>
          <w:trHeight w:val="20"/>
        </w:trPr>
        <w:tc>
          <w:tcPr>
            <w:tcW w:w="2520" w:type="pct"/>
            <w:vAlign w:val="center"/>
          </w:tcPr>
          <w:p w14:paraId="49D501B8" w14:textId="77777777" w:rsidR="00003CA8" w:rsidRPr="00BB7D4F" w:rsidRDefault="00003CA8" w:rsidP="00003CA8">
            <w:pPr>
              <w:contextualSpacing/>
              <w:jc w:val="left"/>
              <w:rPr>
                <w:sz w:val="19"/>
                <w:szCs w:val="19"/>
              </w:rPr>
            </w:pPr>
            <w:r w:rsidRPr="00BB7D4F">
              <w:rPr>
                <w:sz w:val="19"/>
                <w:szCs w:val="19"/>
              </w:rPr>
              <w:t>Did the abundance of golden perch in the Gorge zone increase by &gt;30% over a 5-year period?</w:t>
            </w:r>
          </w:p>
        </w:tc>
        <w:tc>
          <w:tcPr>
            <w:tcW w:w="200" w:type="pct"/>
            <w:shd w:val="clear" w:color="auto" w:fill="D9D9D9" w:themeFill="background1" w:themeFillShade="D9"/>
            <w:vAlign w:val="center"/>
          </w:tcPr>
          <w:p w14:paraId="0BAFC7D0" w14:textId="77777777" w:rsidR="00003CA8" w:rsidRPr="00D6186E" w:rsidRDefault="00003CA8" w:rsidP="00003CA8">
            <w:pPr>
              <w:contextualSpacing/>
              <w:jc w:val="center"/>
              <w:rPr>
                <w:sz w:val="19"/>
                <w:szCs w:val="19"/>
              </w:rPr>
            </w:pPr>
            <w:r w:rsidRPr="007E7388">
              <w:rPr>
                <w:sz w:val="19"/>
                <w:szCs w:val="19"/>
              </w:rPr>
              <w:t>NA</w:t>
            </w:r>
          </w:p>
        </w:tc>
        <w:tc>
          <w:tcPr>
            <w:tcW w:w="200" w:type="pct"/>
            <w:shd w:val="clear" w:color="auto" w:fill="D9D9D9" w:themeFill="background1" w:themeFillShade="D9"/>
            <w:vAlign w:val="center"/>
          </w:tcPr>
          <w:p w14:paraId="7191337A" w14:textId="77777777" w:rsidR="00003CA8" w:rsidRPr="00D6186E" w:rsidRDefault="00003CA8" w:rsidP="00003CA8">
            <w:pPr>
              <w:contextualSpacing/>
              <w:jc w:val="center"/>
              <w:rPr>
                <w:sz w:val="19"/>
                <w:szCs w:val="19"/>
              </w:rPr>
            </w:pPr>
            <w:r w:rsidRPr="007E7388">
              <w:rPr>
                <w:sz w:val="19"/>
                <w:szCs w:val="19"/>
              </w:rPr>
              <w:t>NA</w:t>
            </w:r>
          </w:p>
        </w:tc>
        <w:tc>
          <w:tcPr>
            <w:tcW w:w="200" w:type="pct"/>
            <w:shd w:val="clear" w:color="auto" w:fill="D9D9D9" w:themeFill="background1" w:themeFillShade="D9"/>
            <w:vAlign w:val="center"/>
          </w:tcPr>
          <w:p w14:paraId="6A70C302" w14:textId="77777777" w:rsidR="00003CA8" w:rsidRPr="00D6186E" w:rsidRDefault="00003CA8" w:rsidP="00003CA8">
            <w:pPr>
              <w:contextualSpacing/>
              <w:jc w:val="center"/>
              <w:rPr>
                <w:sz w:val="19"/>
                <w:szCs w:val="19"/>
              </w:rPr>
            </w:pPr>
            <w:r w:rsidRPr="007E7388">
              <w:rPr>
                <w:sz w:val="19"/>
                <w:szCs w:val="19"/>
              </w:rPr>
              <w:t>NA</w:t>
            </w:r>
          </w:p>
        </w:tc>
        <w:tc>
          <w:tcPr>
            <w:tcW w:w="200" w:type="pct"/>
            <w:shd w:val="clear" w:color="auto" w:fill="D9D9D9" w:themeFill="background1" w:themeFillShade="D9"/>
            <w:vAlign w:val="center"/>
          </w:tcPr>
          <w:p w14:paraId="02F60EF4" w14:textId="77777777" w:rsidR="00003CA8" w:rsidRPr="00D6186E" w:rsidRDefault="00003CA8" w:rsidP="00003CA8">
            <w:pPr>
              <w:contextualSpacing/>
              <w:jc w:val="center"/>
              <w:rPr>
                <w:sz w:val="19"/>
                <w:szCs w:val="19"/>
              </w:rPr>
            </w:pPr>
            <w:r w:rsidRPr="007E7388">
              <w:rPr>
                <w:sz w:val="19"/>
                <w:szCs w:val="19"/>
              </w:rPr>
              <w:t>NA</w:t>
            </w:r>
          </w:p>
        </w:tc>
        <w:tc>
          <w:tcPr>
            <w:tcW w:w="200" w:type="pct"/>
            <w:shd w:val="clear" w:color="auto" w:fill="D9D9D9" w:themeFill="background1" w:themeFillShade="D9"/>
            <w:vAlign w:val="center"/>
          </w:tcPr>
          <w:p w14:paraId="34A85758" w14:textId="408BD674" w:rsidR="00003CA8" w:rsidRPr="00B510A2" w:rsidRDefault="00003CA8" w:rsidP="00003CA8">
            <w:pPr>
              <w:contextualSpacing/>
              <w:jc w:val="center"/>
              <w:rPr>
                <w:sz w:val="19"/>
                <w:szCs w:val="19"/>
              </w:rPr>
            </w:pPr>
            <w:r w:rsidRPr="007E7388">
              <w:rPr>
                <w:sz w:val="19"/>
                <w:szCs w:val="19"/>
              </w:rPr>
              <w:t>NA</w:t>
            </w:r>
            <w:r w:rsidDel="00681C2A">
              <w:rPr>
                <w:sz w:val="19"/>
                <w:szCs w:val="19"/>
              </w:rPr>
              <w:t xml:space="preserve"> </w:t>
            </w:r>
          </w:p>
        </w:tc>
        <w:tc>
          <w:tcPr>
            <w:tcW w:w="200" w:type="pct"/>
            <w:shd w:val="clear" w:color="auto" w:fill="FFCCCC"/>
            <w:vAlign w:val="center"/>
          </w:tcPr>
          <w:p w14:paraId="392BA75C" w14:textId="77777777" w:rsidR="00003CA8" w:rsidRPr="007E7388" w:rsidRDefault="00003CA8" w:rsidP="00003CA8">
            <w:pPr>
              <w:contextualSpacing/>
              <w:jc w:val="center"/>
              <w:rPr>
                <w:sz w:val="19"/>
                <w:szCs w:val="19"/>
              </w:rPr>
            </w:pPr>
            <w:r>
              <w:rPr>
                <w:sz w:val="19"/>
                <w:szCs w:val="19"/>
              </w:rPr>
              <w:t>X</w:t>
            </w:r>
            <w:r w:rsidRPr="007E7388">
              <w:rPr>
                <w:sz w:val="19"/>
                <w:szCs w:val="19"/>
              </w:rPr>
              <w:t xml:space="preserve"> </w:t>
            </w:r>
          </w:p>
        </w:tc>
        <w:tc>
          <w:tcPr>
            <w:tcW w:w="200" w:type="pct"/>
            <w:shd w:val="clear" w:color="auto" w:fill="FFCCCC"/>
            <w:vAlign w:val="center"/>
          </w:tcPr>
          <w:p w14:paraId="5AC03D7A" w14:textId="77777777" w:rsidR="00003CA8" w:rsidRPr="00A54F1A" w:rsidRDefault="00003CA8" w:rsidP="00003CA8">
            <w:pPr>
              <w:contextualSpacing/>
              <w:jc w:val="center"/>
              <w:rPr>
                <w:sz w:val="19"/>
                <w:szCs w:val="19"/>
              </w:rPr>
            </w:pPr>
            <w:r w:rsidRPr="00A54F1A">
              <w:rPr>
                <w:sz w:val="19"/>
                <w:szCs w:val="19"/>
              </w:rPr>
              <w:t xml:space="preserve">X </w:t>
            </w:r>
          </w:p>
        </w:tc>
        <w:tc>
          <w:tcPr>
            <w:tcW w:w="200" w:type="pct"/>
            <w:shd w:val="clear" w:color="auto" w:fill="E2EFD9" w:themeFill="accent6" w:themeFillTint="33"/>
            <w:vAlign w:val="center"/>
          </w:tcPr>
          <w:p w14:paraId="4A6BCC21" w14:textId="53A1C2A3" w:rsidR="00003CA8" w:rsidRPr="00A54F1A" w:rsidRDefault="00003CA8" w:rsidP="00003CA8">
            <w:pPr>
              <w:contextualSpacing/>
              <w:jc w:val="center"/>
              <w:rPr>
                <w:sz w:val="19"/>
                <w:szCs w:val="19"/>
              </w:rPr>
            </w:pPr>
            <w:r w:rsidRPr="00A54F1A">
              <w:rPr>
                <w:sz w:val="19"/>
                <w:szCs w:val="19"/>
              </w:rPr>
              <w:t>√</w:t>
            </w:r>
          </w:p>
        </w:tc>
        <w:tc>
          <w:tcPr>
            <w:tcW w:w="200" w:type="pct"/>
            <w:shd w:val="clear" w:color="auto" w:fill="FDCFC7"/>
            <w:vAlign w:val="center"/>
          </w:tcPr>
          <w:p w14:paraId="45F9CEF9" w14:textId="0C71EBB2" w:rsidR="00003CA8" w:rsidRPr="00003CA8" w:rsidRDefault="00003CA8" w:rsidP="00003CA8">
            <w:pPr>
              <w:shd w:val="clear" w:color="auto" w:fill="FDCFC7"/>
              <w:contextualSpacing/>
              <w:jc w:val="center"/>
              <w:rPr>
                <w:sz w:val="19"/>
                <w:szCs w:val="19"/>
              </w:rPr>
            </w:pPr>
            <w:r w:rsidRPr="007406B3">
              <w:rPr>
                <w:sz w:val="19"/>
                <w:szCs w:val="19"/>
              </w:rPr>
              <w:t xml:space="preserve">X </w:t>
            </w:r>
          </w:p>
        </w:tc>
        <w:tc>
          <w:tcPr>
            <w:tcW w:w="678" w:type="pct"/>
            <w:shd w:val="clear" w:color="auto" w:fill="FACDCA"/>
            <w:vAlign w:val="center"/>
          </w:tcPr>
          <w:p w14:paraId="7A56562F" w14:textId="01324543" w:rsidR="00003CA8" w:rsidRPr="00C27CA0" w:rsidRDefault="00CF10A2" w:rsidP="00003CA8">
            <w:pPr>
              <w:contextualSpacing/>
              <w:jc w:val="center"/>
              <w:rPr>
                <w:sz w:val="19"/>
                <w:szCs w:val="19"/>
              </w:rPr>
            </w:pPr>
            <w:r w:rsidRPr="00C27CA0">
              <w:rPr>
                <w:sz w:val="19"/>
                <w:szCs w:val="19"/>
              </w:rPr>
              <w:t>X</w:t>
            </w:r>
          </w:p>
          <w:p w14:paraId="11104C38" w14:textId="4F7F4260" w:rsidR="00003CA8" w:rsidRPr="00C27CA0" w:rsidRDefault="00003CA8" w:rsidP="00003CA8">
            <w:pPr>
              <w:shd w:val="clear" w:color="auto" w:fill="FDCFC7"/>
              <w:contextualSpacing/>
              <w:jc w:val="center"/>
              <w:rPr>
                <w:sz w:val="19"/>
                <w:szCs w:val="19"/>
              </w:rPr>
            </w:pPr>
            <w:r w:rsidRPr="00C27CA0">
              <w:rPr>
                <w:sz w:val="19"/>
                <w:szCs w:val="19"/>
              </w:rPr>
              <w:t>(</w:t>
            </w:r>
            <w:r w:rsidR="005A425A" w:rsidRPr="00C27CA0">
              <w:rPr>
                <w:sz w:val="19"/>
                <w:szCs w:val="19"/>
              </w:rPr>
              <w:t>+0</w:t>
            </w:r>
            <w:r w:rsidRPr="00C27CA0">
              <w:rPr>
                <w:sz w:val="19"/>
                <w:szCs w:val="19"/>
              </w:rPr>
              <w:t xml:space="preserve">%, </w:t>
            </w:r>
            <w:r w:rsidRPr="00C27CA0">
              <w:rPr>
                <w:sz w:val="19"/>
                <w:szCs w:val="19"/>
              </w:rPr>
              <w:fldChar w:fldCharType="begin"/>
            </w:r>
            <w:r w:rsidRPr="00C27CA0">
              <w:rPr>
                <w:sz w:val="19"/>
                <w:szCs w:val="19"/>
              </w:rPr>
              <w:instrText xml:space="preserve"> REF _Ref876802 \h  \* MERGEFORMAT </w:instrText>
            </w:r>
            <w:r w:rsidRPr="00C27CA0">
              <w:rPr>
                <w:sz w:val="19"/>
                <w:szCs w:val="19"/>
              </w:rPr>
            </w:r>
            <w:r w:rsidRPr="00C27CA0">
              <w:rPr>
                <w:sz w:val="19"/>
                <w:szCs w:val="19"/>
              </w:rPr>
              <w:fldChar w:fldCharType="separate"/>
            </w:r>
            <w:r w:rsidR="00102828" w:rsidRPr="00102828">
              <w:rPr>
                <w:sz w:val="19"/>
                <w:szCs w:val="19"/>
                <w:lang w:val="en-US"/>
              </w:rPr>
              <w:t>Figure 70</w:t>
            </w:r>
            <w:r w:rsidRPr="00C27CA0">
              <w:rPr>
                <w:sz w:val="19"/>
                <w:szCs w:val="19"/>
              </w:rPr>
              <w:fldChar w:fldCharType="end"/>
            </w:r>
            <w:r w:rsidRPr="00C27CA0">
              <w:rPr>
                <w:sz w:val="19"/>
                <w:szCs w:val="19"/>
              </w:rPr>
              <w:t>)</w:t>
            </w:r>
          </w:p>
        </w:tc>
      </w:tr>
      <w:tr w:rsidR="00003CA8" w:rsidRPr="00036649" w14:paraId="773DC04B" w14:textId="3948B28C" w:rsidTr="005A425A">
        <w:trPr>
          <w:cantSplit/>
          <w:trHeight w:val="20"/>
        </w:trPr>
        <w:tc>
          <w:tcPr>
            <w:tcW w:w="2520" w:type="pct"/>
            <w:vAlign w:val="center"/>
          </w:tcPr>
          <w:p w14:paraId="7BF4B5BD" w14:textId="77777777" w:rsidR="00003CA8" w:rsidRPr="00BB7D4F" w:rsidDel="00D6186E" w:rsidRDefault="00003CA8" w:rsidP="00003CA8">
            <w:pPr>
              <w:contextualSpacing/>
              <w:jc w:val="left"/>
              <w:rPr>
                <w:sz w:val="19"/>
                <w:szCs w:val="19"/>
              </w:rPr>
            </w:pPr>
            <w:r w:rsidRPr="00BB7D4F">
              <w:rPr>
                <w:sz w:val="19"/>
                <w:szCs w:val="19"/>
              </w:rPr>
              <w:t>Did the abundance of silver perch in the Gorge zone increase by &gt;30% over a 5-year period?*</w:t>
            </w:r>
          </w:p>
        </w:tc>
        <w:tc>
          <w:tcPr>
            <w:tcW w:w="200" w:type="pct"/>
            <w:shd w:val="clear" w:color="auto" w:fill="D9D9D9" w:themeFill="background1" w:themeFillShade="D9"/>
            <w:vAlign w:val="center"/>
          </w:tcPr>
          <w:p w14:paraId="75ED11FC" w14:textId="77777777" w:rsidR="00003CA8" w:rsidRPr="00D6186E" w:rsidDel="00D6186E" w:rsidRDefault="00003CA8" w:rsidP="00003CA8">
            <w:pPr>
              <w:contextualSpacing/>
              <w:jc w:val="center"/>
              <w:rPr>
                <w:sz w:val="19"/>
                <w:szCs w:val="19"/>
              </w:rPr>
            </w:pPr>
            <w:r w:rsidRPr="007E7388">
              <w:rPr>
                <w:sz w:val="19"/>
                <w:szCs w:val="19"/>
              </w:rPr>
              <w:t>NA</w:t>
            </w:r>
          </w:p>
        </w:tc>
        <w:tc>
          <w:tcPr>
            <w:tcW w:w="200" w:type="pct"/>
            <w:shd w:val="clear" w:color="auto" w:fill="D9D9D9" w:themeFill="background1" w:themeFillShade="D9"/>
            <w:vAlign w:val="center"/>
          </w:tcPr>
          <w:p w14:paraId="22D7FA58" w14:textId="77777777" w:rsidR="00003CA8" w:rsidRPr="00D6186E" w:rsidDel="00D6186E" w:rsidRDefault="00003CA8" w:rsidP="00003CA8">
            <w:pPr>
              <w:contextualSpacing/>
              <w:jc w:val="center"/>
              <w:rPr>
                <w:sz w:val="19"/>
                <w:szCs w:val="19"/>
              </w:rPr>
            </w:pPr>
            <w:r w:rsidRPr="007E7388">
              <w:rPr>
                <w:sz w:val="19"/>
                <w:szCs w:val="19"/>
              </w:rPr>
              <w:t>NA</w:t>
            </w:r>
          </w:p>
        </w:tc>
        <w:tc>
          <w:tcPr>
            <w:tcW w:w="200" w:type="pct"/>
            <w:shd w:val="clear" w:color="auto" w:fill="D9D9D9" w:themeFill="background1" w:themeFillShade="D9"/>
            <w:vAlign w:val="center"/>
          </w:tcPr>
          <w:p w14:paraId="52ABB6F1" w14:textId="77777777" w:rsidR="00003CA8" w:rsidRPr="00D6186E" w:rsidDel="00D6186E" w:rsidRDefault="00003CA8" w:rsidP="00003CA8">
            <w:pPr>
              <w:contextualSpacing/>
              <w:jc w:val="center"/>
              <w:rPr>
                <w:sz w:val="19"/>
                <w:szCs w:val="19"/>
              </w:rPr>
            </w:pPr>
            <w:r w:rsidRPr="007E7388">
              <w:rPr>
                <w:sz w:val="19"/>
                <w:szCs w:val="19"/>
              </w:rPr>
              <w:t>NA</w:t>
            </w:r>
          </w:p>
        </w:tc>
        <w:tc>
          <w:tcPr>
            <w:tcW w:w="200" w:type="pct"/>
            <w:shd w:val="clear" w:color="auto" w:fill="D9D9D9" w:themeFill="background1" w:themeFillShade="D9"/>
            <w:vAlign w:val="center"/>
          </w:tcPr>
          <w:p w14:paraId="20962580" w14:textId="77777777" w:rsidR="00003CA8" w:rsidRPr="00D6186E" w:rsidDel="00D6186E" w:rsidRDefault="00003CA8" w:rsidP="00003CA8">
            <w:pPr>
              <w:contextualSpacing/>
              <w:jc w:val="center"/>
              <w:rPr>
                <w:sz w:val="19"/>
                <w:szCs w:val="19"/>
              </w:rPr>
            </w:pPr>
            <w:r w:rsidRPr="007E7388">
              <w:rPr>
                <w:sz w:val="19"/>
                <w:szCs w:val="19"/>
              </w:rPr>
              <w:t>NA</w:t>
            </w:r>
          </w:p>
        </w:tc>
        <w:tc>
          <w:tcPr>
            <w:tcW w:w="200" w:type="pct"/>
            <w:shd w:val="clear" w:color="auto" w:fill="D9D9D9" w:themeFill="background1" w:themeFillShade="D9"/>
            <w:vAlign w:val="center"/>
          </w:tcPr>
          <w:p w14:paraId="3B297332" w14:textId="003900A6" w:rsidR="00003CA8" w:rsidRPr="00B510A2" w:rsidDel="00D6186E" w:rsidRDefault="00003CA8" w:rsidP="00003CA8">
            <w:pPr>
              <w:contextualSpacing/>
              <w:jc w:val="center"/>
              <w:rPr>
                <w:sz w:val="19"/>
                <w:szCs w:val="19"/>
              </w:rPr>
            </w:pPr>
            <w:r w:rsidRPr="007E7388">
              <w:rPr>
                <w:sz w:val="19"/>
                <w:szCs w:val="19"/>
              </w:rPr>
              <w:t>NA</w:t>
            </w:r>
            <w:r w:rsidDel="00681C2A">
              <w:rPr>
                <w:sz w:val="19"/>
                <w:szCs w:val="19"/>
              </w:rPr>
              <w:t xml:space="preserve"> </w:t>
            </w:r>
          </w:p>
        </w:tc>
        <w:tc>
          <w:tcPr>
            <w:tcW w:w="200" w:type="pct"/>
            <w:shd w:val="clear" w:color="auto" w:fill="FFCCCC"/>
            <w:vAlign w:val="center"/>
          </w:tcPr>
          <w:p w14:paraId="40351AE2" w14:textId="77777777" w:rsidR="00003CA8" w:rsidRPr="007E7388" w:rsidDel="00D6186E" w:rsidRDefault="00003CA8" w:rsidP="00003CA8">
            <w:pPr>
              <w:contextualSpacing/>
              <w:jc w:val="center"/>
              <w:rPr>
                <w:sz w:val="19"/>
                <w:szCs w:val="19"/>
              </w:rPr>
            </w:pPr>
            <w:r>
              <w:rPr>
                <w:sz w:val="19"/>
                <w:szCs w:val="19"/>
              </w:rPr>
              <w:t>X</w:t>
            </w:r>
            <w:r w:rsidRPr="007E7388">
              <w:rPr>
                <w:sz w:val="19"/>
                <w:szCs w:val="19"/>
              </w:rPr>
              <w:t xml:space="preserve"> </w:t>
            </w:r>
          </w:p>
        </w:tc>
        <w:tc>
          <w:tcPr>
            <w:tcW w:w="200" w:type="pct"/>
            <w:shd w:val="clear" w:color="auto" w:fill="E2EFD9" w:themeFill="accent6" w:themeFillTint="33"/>
            <w:vAlign w:val="center"/>
          </w:tcPr>
          <w:p w14:paraId="50552226" w14:textId="77777777" w:rsidR="00003CA8" w:rsidRPr="00A54F1A" w:rsidRDefault="00003CA8" w:rsidP="00003CA8">
            <w:pPr>
              <w:contextualSpacing/>
              <w:jc w:val="center"/>
              <w:rPr>
                <w:sz w:val="19"/>
                <w:szCs w:val="19"/>
              </w:rPr>
            </w:pPr>
            <w:r w:rsidRPr="00A54F1A">
              <w:rPr>
                <w:sz w:val="19"/>
                <w:szCs w:val="19"/>
              </w:rPr>
              <w:t>√</w:t>
            </w:r>
          </w:p>
        </w:tc>
        <w:tc>
          <w:tcPr>
            <w:tcW w:w="200" w:type="pct"/>
            <w:shd w:val="clear" w:color="auto" w:fill="E2EFD9" w:themeFill="accent6" w:themeFillTint="33"/>
            <w:vAlign w:val="center"/>
          </w:tcPr>
          <w:p w14:paraId="4C1E8C08" w14:textId="70071FE8" w:rsidR="00003CA8" w:rsidRPr="00A54F1A" w:rsidRDefault="00003CA8" w:rsidP="00003CA8">
            <w:pPr>
              <w:contextualSpacing/>
              <w:jc w:val="center"/>
              <w:rPr>
                <w:sz w:val="19"/>
                <w:szCs w:val="19"/>
              </w:rPr>
            </w:pPr>
            <w:r w:rsidRPr="00A54F1A">
              <w:rPr>
                <w:sz w:val="19"/>
                <w:szCs w:val="19"/>
              </w:rPr>
              <w:t>√</w:t>
            </w:r>
          </w:p>
        </w:tc>
        <w:tc>
          <w:tcPr>
            <w:tcW w:w="200" w:type="pct"/>
            <w:shd w:val="clear" w:color="auto" w:fill="E2EFD9" w:themeFill="accent6" w:themeFillTint="33"/>
            <w:vAlign w:val="center"/>
          </w:tcPr>
          <w:p w14:paraId="7BDD6377" w14:textId="26BD5B05" w:rsidR="00003CA8" w:rsidRPr="00003CA8" w:rsidRDefault="00003CA8" w:rsidP="00003CA8">
            <w:pPr>
              <w:contextualSpacing/>
              <w:jc w:val="center"/>
              <w:rPr>
                <w:sz w:val="19"/>
                <w:szCs w:val="19"/>
              </w:rPr>
            </w:pPr>
            <w:r w:rsidRPr="007406B3">
              <w:rPr>
                <w:sz w:val="19"/>
                <w:szCs w:val="19"/>
              </w:rPr>
              <w:t>√</w:t>
            </w:r>
          </w:p>
        </w:tc>
        <w:tc>
          <w:tcPr>
            <w:tcW w:w="678" w:type="pct"/>
            <w:shd w:val="clear" w:color="auto" w:fill="E2EFD9" w:themeFill="accent6" w:themeFillTint="33"/>
            <w:vAlign w:val="center"/>
          </w:tcPr>
          <w:p w14:paraId="621AB3F9" w14:textId="5AF458F3" w:rsidR="00003CA8" w:rsidRPr="00C27CA0" w:rsidRDefault="00CF10A2" w:rsidP="00003CA8">
            <w:pPr>
              <w:contextualSpacing/>
              <w:jc w:val="center"/>
              <w:rPr>
                <w:sz w:val="19"/>
                <w:szCs w:val="19"/>
              </w:rPr>
            </w:pPr>
            <w:r w:rsidRPr="00C27CA0">
              <w:rPr>
                <w:sz w:val="19"/>
                <w:szCs w:val="19"/>
              </w:rPr>
              <w:t>√</w:t>
            </w:r>
            <w:r w:rsidR="00003CA8" w:rsidRPr="00C27CA0">
              <w:rPr>
                <w:sz w:val="19"/>
                <w:szCs w:val="19"/>
              </w:rPr>
              <w:t xml:space="preserve"> </w:t>
            </w:r>
          </w:p>
          <w:p w14:paraId="34F67329" w14:textId="38ADCC75" w:rsidR="00003CA8" w:rsidRPr="00C27CA0" w:rsidRDefault="00003CA8" w:rsidP="00003CA8">
            <w:pPr>
              <w:contextualSpacing/>
              <w:jc w:val="center"/>
              <w:rPr>
                <w:sz w:val="19"/>
                <w:szCs w:val="19"/>
              </w:rPr>
            </w:pPr>
            <w:r w:rsidRPr="00C27CA0">
              <w:rPr>
                <w:sz w:val="19"/>
                <w:szCs w:val="19"/>
              </w:rPr>
              <w:t>(</w:t>
            </w:r>
            <w:r w:rsidR="005A425A" w:rsidRPr="00C27CA0">
              <w:rPr>
                <w:sz w:val="19"/>
                <w:szCs w:val="19"/>
              </w:rPr>
              <w:t xml:space="preserve">+33%, </w:t>
            </w:r>
            <w:r w:rsidRPr="00C27CA0">
              <w:rPr>
                <w:sz w:val="19"/>
                <w:szCs w:val="19"/>
              </w:rPr>
              <w:fldChar w:fldCharType="begin"/>
            </w:r>
            <w:r w:rsidRPr="00C27CA0">
              <w:rPr>
                <w:sz w:val="19"/>
                <w:szCs w:val="19"/>
              </w:rPr>
              <w:instrText xml:space="preserve"> REF _Ref876802 \h  \* MERGEFORMAT </w:instrText>
            </w:r>
            <w:r w:rsidRPr="00C27CA0">
              <w:rPr>
                <w:sz w:val="19"/>
                <w:szCs w:val="19"/>
              </w:rPr>
            </w:r>
            <w:r w:rsidRPr="00C27CA0">
              <w:rPr>
                <w:sz w:val="19"/>
                <w:szCs w:val="19"/>
              </w:rPr>
              <w:fldChar w:fldCharType="separate"/>
            </w:r>
            <w:r w:rsidR="00102828" w:rsidRPr="00102828">
              <w:rPr>
                <w:sz w:val="19"/>
                <w:szCs w:val="19"/>
                <w:lang w:val="en-US"/>
              </w:rPr>
              <w:t>Figure 70</w:t>
            </w:r>
            <w:r w:rsidRPr="00C27CA0">
              <w:rPr>
                <w:sz w:val="19"/>
                <w:szCs w:val="19"/>
              </w:rPr>
              <w:fldChar w:fldCharType="end"/>
            </w:r>
            <w:r w:rsidRPr="00C27CA0">
              <w:rPr>
                <w:sz w:val="19"/>
                <w:szCs w:val="19"/>
              </w:rPr>
              <w:t>)</w:t>
            </w:r>
          </w:p>
        </w:tc>
      </w:tr>
      <w:tr w:rsidR="00003CA8" w:rsidRPr="00036649" w14:paraId="632F2B3D" w14:textId="6DACBE9D" w:rsidTr="005A425A">
        <w:trPr>
          <w:cantSplit/>
          <w:trHeight w:val="20"/>
        </w:trPr>
        <w:tc>
          <w:tcPr>
            <w:tcW w:w="2520" w:type="pct"/>
            <w:vAlign w:val="center"/>
          </w:tcPr>
          <w:p w14:paraId="1706E506" w14:textId="77777777" w:rsidR="00003CA8" w:rsidRPr="00BB7D4F" w:rsidDel="00D6186E" w:rsidRDefault="00003CA8" w:rsidP="00003CA8">
            <w:pPr>
              <w:contextualSpacing/>
              <w:jc w:val="left"/>
              <w:rPr>
                <w:sz w:val="19"/>
                <w:szCs w:val="19"/>
              </w:rPr>
            </w:pPr>
            <w:r w:rsidRPr="00BB7D4F">
              <w:rPr>
                <w:sz w:val="19"/>
                <w:szCs w:val="19"/>
              </w:rPr>
              <w:t>Did the abundance of freshwater catfish in the Gorge zone increase by ≥30% over a 5-year period?*</w:t>
            </w:r>
          </w:p>
        </w:tc>
        <w:tc>
          <w:tcPr>
            <w:tcW w:w="200" w:type="pct"/>
            <w:shd w:val="clear" w:color="auto" w:fill="D9D9D9" w:themeFill="background1" w:themeFillShade="D9"/>
            <w:vAlign w:val="center"/>
          </w:tcPr>
          <w:p w14:paraId="7E8CE0AE" w14:textId="77777777" w:rsidR="00003CA8" w:rsidRPr="00D6186E" w:rsidDel="00D6186E" w:rsidRDefault="00003CA8" w:rsidP="00003CA8">
            <w:pPr>
              <w:contextualSpacing/>
              <w:jc w:val="center"/>
              <w:rPr>
                <w:sz w:val="19"/>
                <w:szCs w:val="19"/>
              </w:rPr>
            </w:pPr>
            <w:r w:rsidRPr="007E7388">
              <w:rPr>
                <w:sz w:val="19"/>
                <w:szCs w:val="19"/>
              </w:rPr>
              <w:t>NA</w:t>
            </w:r>
          </w:p>
        </w:tc>
        <w:tc>
          <w:tcPr>
            <w:tcW w:w="200" w:type="pct"/>
            <w:shd w:val="clear" w:color="auto" w:fill="D9D9D9" w:themeFill="background1" w:themeFillShade="D9"/>
            <w:vAlign w:val="center"/>
          </w:tcPr>
          <w:p w14:paraId="7D947AAE" w14:textId="77777777" w:rsidR="00003CA8" w:rsidRPr="00D6186E" w:rsidDel="00D6186E" w:rsidRDefault="00003CA8" w:rsidP="00003CA8">
            <w:pPr>
              <w:contextualSpacing/>
              <w:jc w:val="center"/>
              <w:rPr>
                <w:sz w:val="19"/>
                <w:szCs w:val="19"/>
              </w:rPr>
            </w:pPr>
            <w:r w:rsidRPr="007E7388">
              <w:rPr>
                <w:sz w:val="19"/>
                <w:szCs w:val="19"/>
              </w:rPr>
              <w:t>NA</w:t>
            </w:r>
          </w:p>
        </w:tc>
        <w:tc>
          <w:tcPr>
            <w:tcW w:w="200" w:type="pct"/>
            <w:shd w:val="clear" w:color="auto" w:fill="D9D9D9" w:themeFill="background1" w:themeFillShade="D9"/>
            <w:vAlign w:val="center"/>
          </w:tcPr>
          <w:p w14:paraId="44334EA3" w14:textId="77777777" w:rsidR="00003CA8" w:rsidRPr="00D6186E" w:rsidDel="00D6186E" w:rsidRDefault="00003CA8" w:rsidP="00003CA8">
            <w:pPr>
              <w:contextualSpacing/>
              <w:jc w:val="center"/>
              <w:rPr>
                <w:sz w:val="19"/>
                <w:szCs w:val="19"/>
              </w:rPr>
            </w:pPr>
            <w:r w:rsidRPr="007E7388">
              <w:rPr>
                <w:sz w:val="19"/>
                <w:szCs w:val="19"/>
              </w:rPr>
              <w:t>NA</w:t>
            </w:r>
          </w:p>
        </w:tc>
        <w:tc>
          <w:tcPr>
            <w:tcW w:w="200" w:type="pct"/>
            <w:shd w:val="clear" w:color="auto" w:fill="D9D9D9" w:themeFill="background1" w:themeFillShade="D9"/>
            <w:vAlign w:val="center"/>
          </w:tcPr>
          <w:p w14:paraId="7F5C8C91" w14:textId="77777777" w:rsidR="00003CA8" w:rsidRPr="00D6186E" w:rsidDel="00D6186E" w:rsidRDefault="00003CA8" w:rsidP="00003CA8">
            <w:pPr>
              <w:contextualSpacing/>
              <w:jc w:val="center"/>
              <w:rPr>
                <w:sz w:val="19"/>
                <w:szCs w:val="19"/>
              </w:rPr>
            </w:pPr>
            <w:r w:rsidRPr="007E7388">
              <w:rPr>
                <w:sz w:val="19"/>
                <w:szCs w:val="19"/>
              </w:rPr>
              <w:t>NA</w:t>
            </w:r>
          </w:p>
        </w:tc>
        <w:tc>
          <w:tcPr>
            <w:tcW w:w="200" w:type="pct"/>
            <w:shd w:val="clear" w:color="auto" w:fill="D9D9D9" w:themeFill="background1" w:themeFillShade="D9"/>
            <w:vAlign w:val="center"/>
          </w:tcPr>
          <w:p w14:paraId="1C899036" w14:textId="6A91708A" w:rsidR="00003CA8" w:rsidRPr="00B510A2" w:rsidDel="00D6186E" w:rsidRDefault="00003CA8" w:rsidP="00003CA8">
            <w:pPr>
              <w:contextualSpacing/>
              <w:jc w:val="center"/>
              <w:rPr>
                <w:sz w:val="19"/>
                <w:szCs w:val="19"/>
              </w:rPr>
            </w:pPr>
            <w:r w:rsidRPr="007E7388">
              <w:rPr>
                <w:sz w:val="19"/>
                <w:szCs w:val="19"/>
              </w:rPr>
              <w:t>NA</w:t>
            </w:r>
            <w:r w:rsidDel="00681C2A">
              <w:rPr>
                <w:sz w:val="19"/>
                <w:szCs w:val="19"/>
              </w:rPr>
              <w:t xml:space="preserve"> </w:t>
            </w:r>
          </w:p>
        </w:tc>
        <w:tc>
          <w:tcPr>
            <w:tcW w:w="200" w:type="pct"/>
            <w:shd w:val="clear" w:color="auto" w:fill="FFCCCC"/>
            <w:vAlign w:val="center"/>
          </w:tcPr>
          <w:p w14:paraId="646E3311" w14:textId="77777777" w:rsidR="00003CA8" w:rsidRPr="007E7388" w:rsidDel="00D6186E" w:rsidRDefault="00003CA8" w:rsidP="00003CA8">
            <w:pPr>
              <w:contextualSpacing/>
              <w:jc w:val="center"/>
              <w:rPr>
                <w:sz w:val="19"/>
                <w:szCs w:val="19"/>
              </w:rPr>
            </w:pPr>
            <w:r>
              <w:rPr>
                <w:sz w:val="19"/>
                <w:szCs w:val="19"/>
              </w:rPr>
              <w:t>X</w:t>
            </w:r>
            <w:r w:rsidRPr="007E7388">
              <w:rPr>
                <w:sz w:val="19"/>
                <w:szCs w:val="19"/>
              </w:rPr>
              <w:t xml:space="preserve"> </w:t>
            </w:r>
          </w:p>
        </w:tc>
        <w:tc>
          <w:tcPr>
            <w:tcW w:w="200" w:type="pct"/>
            <w:shd w:val="clear" w:color="auto" w:fill="FFCCCC"/>
            <w:vAlign w:val="center"/>
          </w:tcPr>
          <w:p w14:paraId="72AA1001" w14:textId="77777777" w:rsidR="00003CA8" w:rsidRPr="00A54F1A" w:rsidRDefault="00003CA8" w:rsidP="00003CA8">
            <w:pPr>
              <w:contextualSpacing/>
              <w:jc w:val="center"/>
              <w:rPr>
                <w:sz w:val="19"/>
                <w:szCs w:val="19"/>
              </w:rPr>
            </w:pPr>
            <w:r w:rsidRPr="00A54F1A">
              <w:rPr>
                <w:sz w:val="19"/>
                <w:szCs w:val="19"/>
              </w:rPr>
              <w:t>X</w:t>
            </w:r>
          </w:p>
        </w:tc>
        <w:tc>
          <w:tcPr>
            <w:tcW w:w="200" w:type="pct"/>
            <w:shd w:val="clear" w:color="auto" w:fill="FFCCCC"/>
            <w:vAlign w:val="center"/>
          </w:tcPr>
          <w:p w14:paraId="4DBC5285" w14:textId="46E30F19" w:rsidR="00003CA8" w:rsidRPr="00A54F1A" w:rsidRDefault="00003CA8" w:rsidP="00003CA8">
            <w:pPr>
              <w:contextualSpacing/>
              <w:jc w:val="center"/>
              <w:rPr>
                <w:sz w:val="19"/>
                <w:szCs w:val="19"/>
              </w:rPr>
            </w:pPr>
            <w:r w:rsidRPr="00A54F1A">
              <w:rPr>
                <w:sz w:val="19"/>
                <w:szCs w:val="19"/>
              </w:rPr>
              <w:t xml:space="preserve">X </w:t>
            </w:r>
          </w:p>
        </w:tc>
        <w:tc>
          <w:tcPr>
            <w:tcW w:w="200" w:type="pct"/>
            <w:shd w:val="clear" w:color="auto" w:fill="FDCFC7"/>
            <w:vAlign w:val="center"/>
          </w:tcPr>
          <w:p w14:paraId="65AAC407" w14:textId="714F8D14" w:rsidR="00003CA8" w:rsidRPr="00017EF7" w:rsidRDefault="00003CA8" w:rsidP="00003CA8">
            <w:pPr>
              <w:contextualSpacing/>
              <w:jc w:val="center"/>
              <w:rPr>
                <w:sz w:val="19"/>
                <w:szCs w:val="19"/>
              </w:rPr>
            </w:pPr>
            <w:r w:rsidRPr="00017EF7">
              <w:rPr>
                <w:sz w:val="19"/>
                <w:szCs w:val="19"/>
              </w:rPr>
              <w:t xml:space="preserve">X </w:t>
            </w:r>
          </w:p>
        </w:tc>
        <w:tc>
          <w:tcPr>
            <w:tcW w:w="678" w:type="pct"/>
            <w:shd w:val="clear" w:color="auto" w:fill="E2EFD9" w:themeFill="accent6" w:themeFillTint="33"/>
            <w:vAlign w:val="center"/>
          </w:tcPr>
          <w:p w14:paraId="0BF1F6A6" w14:textId="19133BC5" w:rsidR="00003CA8" w:rsidRPr="00C27CA0" w:rsidRDefault="005A425A" w:rsidP="00003CA8">
            <w:pPr>
              <w:contextualSpacing/>
              <w:jc w:val="center"/>
              <w:rPr>
                <w:sz w:val="19"/>
                <w:szCs w:val="19"/>
              </w:rPr>
            </w:pPr>
            <w:r w:rsidRPr="00C27CA0">
              <w:rPr>
                <w:sz w:val="19"/>
                <w:szCs w:val="19"/>
              </w:rPr>
              <w:t>√</w:t>
            </w:r>
          </w:p>
          <w:p w14:paraId="17197B42" w14:textId="4B5AC581" w:rsidR="005A425A" w:rsidRPr="00C27CA0" w:rsidRDefault="005A425A" w:rsidP="00003CA8">
            <w:pPr>
              <w:contextualSpacing/>
              <w:jc w:val="center"/>
              <w:rPr>
                <w:sz w:val="19"/>
                <w:szCs w:val="19"/>
              </w:rPr>
            </w:pPr>
            <w:r w:rsidRPr="00C27CA0">
              <w:rPr>
                <w:sz w:val="19"/>
                <w:szCs w:val="19"/>
              </w:rPr>
              <w:t xml:space="preserve">(+43%, </w:t>
            </w:r>
            <w:r w:rsidRPr="00C27CA0">
              <w:rPr>
                <w:sz w:val="19"/>
                <w:szCs w:val="19"/>
              </w:rPr>
              <w:fldChar w:fldCharType="begin"/>
            </w:r>
            <w:r w:rsidRPr="00C27CA0">
              <w:rPr>
                <w:sz w:val="19"/>
                <w:szCs w:val="19"/>
              </w:rPr>
              <w:instrText xml:space="preserve"> REF _Ref876802 \h  \* MERGEFORMAT </w:instrText>
            </w:r>
            <w:r w:rsidRPr="00C27CA0">
              <w:rPr>
                <w:sz w:val="19"/>
                <w:szCs w:val="19"/>
              </w:rPr>
            </w:r>
            <w:r w:rsidRPr="00C27CA0">
              <w:rPr>
                <w:sz w:val="19"/>
                <w:szCs w:val="19"/>
              </w:rPr>
              <w:fldChar w:fldCharType="separate"/>
            </w:r>
            <w:r w:rsidR="00102828" w:rsidRPr="00102828">
              <w:rPr>
                <w:sz w:val="19"/>
                <w:szCs w:val="19"/>
                <w:lang w:val="en-US"/>
              </w:rPr>
              <w:t>Figure 70</w:t>
            </w:r>
            <w:r w:rsidRPr="00C27CA0">
              <w:rPr>
                <w:sz w:val="19"/>
                <w:szCs w:val="19"/>
              </w:rPr>
              <w:fldChar w:fldCharType="end"/>
            </w:r>
            <w:r w:rsidRPr="00C27CA0">
              <w:rPr>
                <w:sz w:val="19"/>
                <w:szCs w:val="19"/>
              </w:rPr>
              <w:t>)</w:t>
            </w:r>
          </w:p>
        </w:tc>
      </w:tr>
      <w:tr w:rsidR="00003CA8" w:rsidRPr="00036649" w14:paraId="2E50CE6E" w14:textId="479A4DF2" w:rsidTr="00CF10A2">
        <w:trPr>
          <w:cantSplit/>
          <w:trHeight w:val="20"/>
        </w:trPr>
        <w:tc>
          <w:tcPr>
            <w:tcW w:w="2520" w:type="pct"/>
            <w:vAlign w:val="center"/>
          </w:tcPr>
          <w:p w14:paraId="239AC1A4" w14:textId="77777777" w:rsidR="00003CA8" w:rsidRPr="00036649" w:rsidRDefault="00003CA8" w:rsidP="00003CA8">
            <w:pPr>
              <w:contextualSpacing/>
              <w:jc w:val="left"/>
              <w:rPr>
                <w:sz w:val="19"/>
                <w:szCs w:val="19"/>
              </w:rPr>
            </w:pPr>
            <w:r w:rsidRPr="00036649">
              <w:rPr>
                <w:sz w:val="19"/>
                <w:szCs w:val="19"/>
              </w:rPr>
              <w:t>Did the length-frequency distribution for bony herring</w:t>
            </w:r>
            <w:r>
              <w:rPr>
                <w:sz w:val="19"/>
                <w:szCs w:val="19"/>
              </w:rPr>
              <w:t>**</w:t>
            </w:r>
            <w:r w:rsidRPr="00036649">
              <w:rPr>
                <w:sz w:val="19"/>
                <w:szCs w:val="19"/>
              </w:rPr>
              <w:t xml:space="preserve"> in the Gorge zone include size classes representing YOY</w:t>
            </w:r>
            <w:r w:rsidRPr="00B510A2">
              <w:rPr>
                <w:sz w:val="19"/>
                <w:szCs w:val="19"/>
              </w:rPr>
              <w:t>?</w:t>
            </w:r>
          </w:p>
        </w:tc>
        <w:tc>
          <w:tcPr>
            <w:tcW w:w="200" w:type="pct"/>
            <w:shd w:val="clear" w:color="auto" w:fill="D9D9D9" w:themeFill="background1" w:themeFillShade="D9"/>
            <w:vAlign w:val="center"/>
          </w:tcPr>
          <w:p w14:paraId="03037B6F" w14:textId="77777777" w:rsidR="00003CA8" w:rsidRPr="00B510A2" w:rsidRDefault="00003CA8" w:rsidP="00003CA8">
            <w:pPr>
              <w:contextualSpacing/>
              <w:jc w:val="center"/>
              <w:rPr>
                <w:sz w:val="19"/>
                <w:szCs w:val="19"/>
              </w:rPr>
            </w:pPr>
            <w:r w:rsidRPr="00B510A2">
              <w:rPr>
                <w:sz w:val="19"/>
                <w:szCs w:val="19"/>
              </w:rPr>
              <w:t>NA</w:t>
            </w:r>
          </w:p>
        </w:tc>
        <w:tc>
          <w:tcPr>
            <w:tcW w:w="200" w:type="pct"/>
            <w:shd w:val="clear" w:color="auto" w:fill="E2EFD9" w:themeFill="accent6" w:themeFillTint="33"/>
            <w:vAlign w:val="center"/>
          </w:tcPr>
          <w:p w14:paraId="37A31669"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069F7FC2"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2FF4F624"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6393938D"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2F906536" w14:textId="77777777" w:rsidR="00003CA8" w:rsidRPr="00036649" w:rsidRDefault="00003CA8" w:rsidP="00003CA8">
            <w:pPr>
              <w:contextualSpacing/>
              <w:jc w:val="center"/>
              <w:rPr>
                <w:sz w:val="19"/>
                <w:szCs w:val="19"/>
                <w:highlight w:val="yellow"/>
              </w:rPr>
            </w:pPr>
            <w:r w:rsidRPr="00B510A2">
              <w:rPr>
                <w:sz w:val="19"/>
                <w:szCs w:val="19"/>
              </w:rPr>
              <w:t>√</w:t>
            </w:r>
          </w:p>
        </w:tc>
        <w:tc>
          <w:tcPr>
            <w:tcW w:w="200" w:type="pct"/>
            <w:shd w:val="clear" w:color="auto" w:fill="E2EFD9" w:themeFill="accent6" w:themeFillTint="33"/>
            <w:vAlign w:val="center"/>
          </w:tcPr>
          <w:p w14:paraId="51878C0D" w14:textId="77777777" w:rsidR="00003CA8" w:rsidRPr="00BB2DA7" w:rsidRDefault="00003CA8" w:rsidP="00003CA8">
            <w:pPr>
              <w:contextualSpacing/>
              <w:jc w:val="center"/>
              <w:rPr>
                <w:sz w:val="19"/>
                <w:szCs w:val="19"/>
              </w:rPr>
            </w:pPr>
            <w:r w:rsidRPr="00BB2DA7">
              <w:rPr>
                <w:sz w:val="19"/>
                <w:szCs w:val="19"/>
              </w:rPr>
              <w:t>√</w:t>
            </w:r>
          </w:p>
        </w:tc>
        <w:tc>
          <w:tcPr>
            <w:tcW w:w="200" w:type="pct"/>
            <w:shd w:val="clear" w:color="auto" w:fill="E2EFD9" w:themeFill="accent6" w:themeFillTint="33"/>
            <w:vAlign w:val="center"/>
          </w:tcPr>
          <w:p w14:paraId="12EF5BC2" w14:textId="228F0649" w:rsidR="00003CA8" w:rsidRPr="00BB2DA7" w:rsidRDefault="00003CA8" w:rsidP="00003CA8">
            <w:pPr>
              <w:contextualSpacing/>
              <w:jc w:val="center"/>
              <w:rPr>
                <w:sz w:val="19"/>
                <w:szCs w:val="19"/>
              </w:rPr>
            </w:pPr>
            <w:r w:rsidRPr="00BB2DA7">
              <w:rPr>
                <w:sz w:val="19"/>
                <w:szCs w:val="19"/>
              </w:rPr>
              <w:t>√</w:t>
            </w:r>
          </w:p>
        </w:tc>
        <w:tc>
          <w:tcPr>
            <w:tcW w:w="200" w:type="pct"/>
            <w:shd w:val="clear" w:color="auto" w:fill="E2EFD9" w:themeFill="accent6" w:themeFillTint="33"/>
            <w:vAlign w:val="center"/>
          </w:tcPr>
          <w:p w14:paraId="5814BAD8" w14:textId="7CABADAD" w:rsidR="00003CA8" w:rsidRPr="000C68ED" w:rsidRDefault="00003CA8" w:rsidP="00003CA8">
            <w:pPr>
              <w:contextualSpacing/>
              <w:jc w:val="center"/>
              <w:rPr>
                <w:sz w:val="19"/>
                <w:szCs w:val="19"/>
                <w:highlight w:val="yellow"/>
              </w:rPr>
            </w:pPr>
            <w:r w:rsidRPr="00017EF7">
              <w:rPr>
                <w:sz w:val="19"/>
                <w:szCs w:val="19"/>
              </w:rPr>
              <w:t>√</w:t>
            </w:r>
          </w:p>
        </w:tc>
        <w:tc>
          <w:tcPr>
            <w:tcW w:w="678" w:type="pct"/>
            <w:shd w:val="clear" w:color="auto" w:fill="E2EFD9" w:themeFill="accent6" w:themeFillTint="33"/>
            <w:vAlign w:val="center"/>
          </w:tcPr>
          <w:p w14:paraId="3BB759E4" w14:textId="77777777" w:rsidR="00003CA8" w:rsidRDefault="00003CA8" w:rsidP="00003CA8">
            <w:pPr>
              <w:contextualSpacing/>
              <w:jc w:val="center"/>
              <w:rPr>
                <w:sz w:val="19"/>
                <w:szCs w:val="19"/>
              </w:rPr>
            </w:pPr>
            <w:r w:rsidRPr="00017EF7">
              <w:rPr>
                <w:sz w:val="19"/>
                <w:szCs w:val="19"/>
              </w:rPr>
              <w:t>√</w:t>
            </w:r>
          </w:p>
          <w:p w14:paraId="05AD14E2" w14:textId="46C3F335" w:rsidR="00C27CA0" w:rsidRPr="00017EF7" w:rsidRDefault="00C27CA0" w:rsidP="00003CA8">
            <w:pPr>
              <w:contextualSpacing/>
              <w:jc w:val="center"/>
              <w:rPr>
                <w:sz w:val="19"/>
                <w:szCs w:val="19"/>
              </w:rPr>
            </w:pPr>
            <w:r>
              <w:rPr>
                <w:sz w:val="19"/>
                <w:szCs w:val="19"/>
              </w:rPr>
              <w:t>(Figure C</w:t>
            </w:r>
            <w:r w:rsidR="00236D91">
              <w:rPr>
                <w:sz w:val="19"/>
                <w:szCs w:val="19"/>
              </w:rPr>
              <w:t>10</w:t>
            </w:r>
            <w:r>
              <w:rPr>
                <w:sz w:val="19"/>
                <w:szCs w:val="19"/>
              </w:rPr>
              <w:t>, Appendix C)</w:t>
            </w:r>
          </w:p>
        </w:tc>
      </w:tr>
      <w:tr w:rsidR="00003CA8" w:rsidRPr="00B510A2" w14:paraId="0FBF6194" w14:textId="5C06DF04" w:rsidTr="00CF10A2">
        <w:trPr>
          <w:cantSplit/>
          <w:trHeight w:val="20"/>
        </w:trPr>
        <w:tc>
          <w:tcPr>
            <w:tcW w:w="2520" w:type="pct"/>
            <w:vAlign w:val="center"/>
          </w:tcPr>
          <w:p w14:paraId="6D0C2341" w14:textId="77777777" w:rsidR="00003CA8" w:rsidRPr="00B510A2" w:rsidRDefault="00003CA8" w:rsidP="00003CA8">
            <w:pPr>
              <w:contextualSpacing/>
              <w:jc w:val="left"/>
              <w:rPr>
                <w:sz w:val="19"/>
                <w:szCs w:val="19"/>
              </w:rPr>
            </w:pPr>
            <w:r w:rsidRPr="00B510A2">
              <w:rPr>
                <w:sz w:val="19"/>
                <w:szCs w:val="19"/>
              </w:rPr>
              <w:lastRenderedPageBreak/>
              <w:t>Did the length-frequency distribution for Murray rainbowfish and carp gudgeon, include size classes representing YOY in the Gorge zone?</w:t>
            </w:r>
          </w:p>
        </w:tc>
        <w:tc>
          <w:tcPr>
            <w:tcW w:w="200" w:type="pct"/>
            <w:shd w:val="clear" w:color="auto" w:fill="E2EFD9" w:themeFill="accent6" w:themeFillTint="33"/>
            <w:vAlign w:val="center"/>
          </w:tcPr>
          <w:p w14:paraId="05B177E4"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0451224D"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379D877D"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3163A3FF"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56974274" w14:textId="77777777" w:rsidR="00003CA8" w:rsidRPr="00BB2DA7" w:rsidRDefault="00003CA8" w:rsidP="00003CA8">
            <w:pPr>
              <w:contextualSpacing/>
              <w:jc w:val="center"/>
              <w:rPr>
                <w:sz w:val="19"/>
                <w:szCs w:val="19"/>
              </w:rPr>
            </w:pPr>
            <w:r w:rsidRPr="00BB2DA7">
              <w:rPr>
                <w:sz w:val="19"/>
                <w:szCs w:val="19"/>
              </w:rPr>
              <w:t>√</w:t>
            </w:r>
          </w:p>
        </w:tc>
        <w:tc>
          <w:tcPr>
            <w:tcW w:w="200" w:type="pct"/>
            <w:shd w:val="clear" w:color="auto" w:fill="E2EFD9" w:themeFill="accent6" w:themeFillTint="33"/>
            <w:vAlign w:val="center"/>
          </w:tcPr>
          <w:p w14:paraId="03DD4DA9"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5BF906FD" w14:textId="77777777" w:rsidR="00003CA8" w:rsidRPr="00BB2DA7" w:rsidRDefault="00003CA8" w:rsidP="00003CA8">
            <w:pPr>
              <w:contextualSpacing/>
              <w:jc w:val="center"/>
              <w:rPr>
                <w:sz w:val="19"/>
                <w:szCs w:val="19"/>
              </w:rPr>
            </w:pPr>
            <w:r w:rsidRPr="00BB2DA7">
              <w:rPr>
                <w:sz w:val="19"/>
                <w:szCs w:val="19"/>
              </w:rPr>
              <w:t>√</w:t>
            </w:r>
          </w:p>
        </w:tc>
        <w:tc>
          <w:tcPr>
            <w:tcW w:w="200" w:type="pct"/>
            <w:shd w:val="clear" w:color="auto" w:fill="E2EFD9" w:themeFill="accent6" w:themeFillTint="33"/>
            <w:vAlign w:val="center"/>
          </w:tcPr>
          <w:p w14:paraId="275193F3" w14:textId="63F0D5E4" w:rsidR="00003CA8" w:rsidRPr="00BB2DA7" w:rsidRDefault="00003CA8" w:rsidP="00003CA8">
            <w:pPr>
              <w:contextualSpacing/>
              <w:jc w:val="center"/>
              <w:rPr>
                <w:sz w:val="19"/>
                <w:szCs w:val="19"/>
              </w:rPr>
            </w:pPr>
            <w:r w:rsidRPr="00BB2DA7">
              <w:rPr>
                <w:sz w:val="19"/>
                <w:szCs w:val="19"/>
              </w:rPr>
              <w:t>√</w:t>
            </w:r>
          </w:p>
        </w:tc>
        <w:tc>
          <w:tcPr>
            <w:tcW w:w="200" w:type="pct"/>
            <w:shd w:val="clear" w:color="auto" w:fill="E2EFD9" w:themeFill="accent6" w:themeFillTint="33"/>
            <w:vAlign w:val="center"/>
          </w:tcPr>
          <w:p w14:paraId="7B8DF365" w14:textId="6132D004" w:rsidR="00003CA8" w:rsidRPr="000C68ED" w:rsidRDefault="00003CA8" w:rsidP="00003CA8">
            <w:pPr>
              <w:contextualSpacing/>
              <w:jc w:val="center"/>
              <w:rPr>
                <w:sz w:val="19"/>
                <w:szCs w:val="19"/>
                <w:highlight w:val="yellow"/>
              </w:rPr>
            </w:pPr>
            <w:r w:rsidRPr="00017EF7">
              <w:rPr>
                <w:sz w:val="19"/>
                <w:szCs w:val="19"/>
              </w:rPr>
              <w:t>√</w:t>
            </w:r>
          </w:p>
        </w:tc>
        <w:tc>
          <w:tcPr>
            <w:tcW w:w="678" w:type="pct"/>
            <w:shd w:val="clear" w:color="auto" w:fill="E2EFD9" w:themeFill="accent6" w:themeFillTint="33"/>
            <w:vAlign w:val="center"/>
          </w:tcPr>
          <w:p w14:paraId="0EA69025" w14:textId="47901EDB" w:rsidR="00003CA8" w:rsidRPr="00017EF7" w:rsidRDefault="00003CA8" w:rsidP="00C27CA0">
            <w:pPr>
              <w:contextualSpacing/>
              <w:jc w:val="center"/>
              <w:rPr>
                <w:sz w:val="19"/>
                <w:szCs w:val="19"/>
              </w:rPr>
            </w:pPr>
            <w:r w:rsidRPr="00E95D91">
              <w:rPr>
                <w:sz w:val="19"/>
                <w:szCs w:val="19"/>
              </w:rPr>
              <w:t>√</w:t>
            </w:r>
          </w:p>
        </w:tc>
      </w:tr>
      <w:tr w:rsidR="00003CA8" w:rsidRPr="00B510A2" w14:paraId="1F8ACE62" w14:textId="26F4A04D" w:rsidTr="002A7484">
        <w:trPr>
          <w:cantSplit/>
          <w:trHeight w:val="20"/>
        </w:trPr>
        <w:tc>
          <w:tcPr>
            <w:tcW w:w="2520" w:type="pct"/>
            <w:vAlign w:val="center"/>
          </w:tcPr>
          <w:p w14:paraId="3C0F3638" w14:textId="77777777" w:rsidR="00003CA8" w:rsidRPr="00B510A2" w:rsidRDefault="00003CA8" w:rsidP="00003CA8">
            <w:pPr>
              <w:contextualSpacing/>
              <w:jc w:val="left"/>
              <w:rPr>
                <w:sz w:val="19"/>
                <w:szCs w:val="19"/>
              </w:rPr>
            </w:pPr>
            <w:r w:rsidRPr="00036649">
              <w:rPr>
                <w:sz w:val="19"/>
                <w:szCs w:val="19"/>
              </w:rPr>
              <w:t xml:space="preserve">Did the relative abundance of common carp in the Gorge zone increase during the current year, relative to the previous year, </w:t>
            </w:r>
            <w:r>
              <w:rPr>
                <w:sz w:val="19"/>
                <w:szCs w:val="19"/>
              </w:rPr>
              <w:t>in the absence of an increase in the</w:t>
            </w:r>
            <w:r w:rsidRPr="00036649">
              <w:rPr>
                <w:sz w:val="19"/>
                <w:szCs w:val="19"/>
              </w:rPr>
              <w:t xml:space="preserve"> relative abundances of flow-dependent native species decreased</w:t>
            </w:r>
            <w:r>
              <w:rPr>
                <w:sz w:val="19"/>
                <w:szCs w:val="19"/>
              </w:rPr>
              <w:t>?*</w:t>
            </w:r>
            <w:r w:rsidRPr="00B510A2">
              <w:rPr>
                <w:sz w:val="19"/>
                <w:szCs w:val="19"/>
              </w:rPr>
              <w:t>**</w:t>
            </w:r>
          </w:p>
        </w:tc>
        <w:tc>
          <w:tcPr>
            <w:tcW w:w="200" w:type="pct"/>
            <w:shd w:val="clear" w:color="auto" w:fill="D9D9D9" w:themeFill="background1" w:themeFillShade="D9"/>
            <w:vAlign w:val="center"/>
          </w:tcPr>
          <w:p w14:paraId="2E9FD8D0" w14:textId="77777777" w:rsidR="00003CA8" w:rsidRPr="00B510A2" w:rsidRDefault="00003CA8" w:rsidP="00003CA8">
            <w:pPr>
              <w:contextualSpacing/>
              <w:jc w:val="center"/>
              <w:rPr>
                <w:sz w:val="19"/>
                <w:szCs w:val="19"/>
              </w:rPr>
            </w:pPr>
            <w:r w:rsidRPr="00B510A2">
              <w:rPr>
                <w:sz w:val="19"/>
                <w:szCs w:val="19"/>
              </w:rPr>
              <w:t>NA</w:t>
            </w:r>
          </w:p>
        </w:tc>
        <w:tc>
          <w:tcPr>
            <w:tcW w:w="200" w:type="pct"/>
            <w:shd w:val="clear" w:color="auto" w:fill="FFCCCC"/>
            <w:vAlign w:val="center"/>
          </w:tcPr>
          <w:p w14:paraId="454D6E91"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FFCCCC"/>
            <w:vAlign w:val="center"/>
          </w:tcPr>
          <w:p w14:paraId="469783B2"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3DA42765" w14:textId="77777777" w:rsidR="00003CA8" w:rsidRPr="00B510A2" w:rsidRDefault="00003CA8" w:rsidP="00003CA8">
            <w:pPr>
              <w:contextualSpacing/>
              <w:jc w:val="center"/>
              <w:rPr>
                <w:sz w:val="19"/>
                <w:szCs w:val="19"/>
              </w:rPr>
            </w:pPr>
            <w:r w:rsidRPr="00B510A2">
              <w:rPr>
                <w:sz w:val="19"/>
                <w:szCs w:val="19"/>
              </w:rPr>
              <w:t>X</w:t>
            </w:r>
          </w:p>
        </w:tc>
        <w:tc>
          <w:tcPr>
            <w:tcW w:w="200" w:type="pct"/>
            <w:shd w:val="clear" w:color="auto" w:fill="E2EFD9" w:themeFill="accent6" w:themeFillTint="33"/>
            <w:vAlign w:val="center"/>
          </w:tcPr>
          <w:p w14:paraId="5D881E76" w14:textId="77777777" w:rsidR="00003CA8" w:rsidRPr="00B510A2" w:rsidRDefault="00003CA8" w:rsidP="00003CA8">
            <w:pPr>
              <w:contextualSpacing/>
              <w:jc w:val="center"/>
              <w:rPr>
                <w:sz w:val="19"/>
                <w:szCs w:val="19"/>
                <w:highlight w:val="yellow"/>
              </w:rPr>
            </w:pPr>
            <w:r w:rsidRPr="00B40848">
              <w:rPr>
                <w:sz w:val="19"/>
                <w:szCs w:val="19"/>
              </w:rPr>
              <w:t>X</w:t>
            </w:r>
          </w:p>
        </w:tc>
        <w:tc>
          <w:tcPr>
            <w:tcW w:w="200" w:type="pct"/>
            <w:shd w:val="clear" w:color="auto" w:fill="E2EFD9" w:themeFill="accent6" w:themeFillTint="33"/>
            <w:vAlign w:val="center"/>
          </w:tcPr>
          <w:p w14:paraId="4A058DBA" w14:textId="77777777" w:rsidR="00003CA8" w:rsidRPr="00B510A2" w:rsidRDefault="00003CA8" w:rsidP="00003CA8">
            <w:pPr>
              <w:contextualSpacing/>
              <w:jc w:val="center"/>
              <w:rPr>
                <w:sz w:val="19"/>
                <w:szCs w:val="19"/>
              </w:rPr>
            </w:pPr>
            <w:r w:rsidRPr="00B40848">
              <w:rPr>
                <w:sz w:val="19"/>
                <w:szCs w:val="19"/>
              </w:rPr>
              <w:t>X</w:t>
            </w:r>
          </w:p>
        </w:tc>
        <w:tc>
          <w:tcPr>
            <w:tcW w:w="200" w:type="pct"/>
            <w:shd w:val="clear" w:color="auto" w:fill="E2EFD9" w:themeFill="accent6" w:themeFillTint="33"/>
            <w:vAlign w:val="center"/>
          </w:tcPr>
          <w:p w14:paraId="521AF1E2" w14:textId="77777777" w:rsidR="00003CA8" w:rsidRPr="0061740E" w:rsidRDefault="00003CA8" w:rsidP="00003CA8">
            <w:pPr>
              <w:contextualSpacing/>
              <w:jc w:val="center"/>
              <w:rPr>
                <w:sz w:val="19"/>
                <w:szCs w:val="19"/>
              </w:rPr>
            </w:pPr>
            <w:r w:rsidRPr="0061740E">
              <w:rPr>
                <w:sz w:val="19"/>
                <w:szCs w:val="19"/>
              </w:rPr>
              <w:t>X</w:t>
            </w:r>
          </w:p>
        </w:tc>
        <w:tc>
          <w:tcPr>
            <w:tcW w:w="200" w:type="pct"/>
            <w:shd w:val="clear" w:color="auto" w:fill="E2EFD9" w:themeFill="accent6" w:themeFillTint="33"/>
            <w:vAlign w:val="center"/>
          </w:tcPr>
          <w:p w14:paraId="101B8129" w14:textId="4D495B01" w:rsidR="00003CA8" w:rsidRPr="0061740E" w:rsidRDefault="00003CA8" w:rsidP="00003CA8">
            <w:pPr>
              <w:contextualSpacing/>
              <w:jc w:val="center"/>
              <w:rPr>
                <w:sz w:val="19"/>
                <w:szCs w:val="19"/>
              </w:rPr>
            </w:pPr>
            <w:r w:rsidRPr="0061740E">
              <w:rPr>
                <w:sz w:val="19"/>
                <w:szCs w:val="19"/>
              </w:rPr>
              <w:t>X</w:t>
            </w:r>
          </w:p>
        </w:tc>
        <w:tc>
          <w:tcPr>
            <w:tcW w:w="200" w:type="pct"/>
            <w:shd w:val="clear" w:color="auto" w:fill="FDCFC7"/>
            <w:vAlign w:val="center"/>
          </w:tcPr>
          <w:p w14:paraId="175E8115" w14:textId="686F0A07" w:rsidR="00003CA8" w:rsidRPr="00003CA8" w:rsidRDefault="00003CA8" w:rsidP="00003CA8">
            <w:pPr>
              <w:contextualSpacing/>
              <w:jc w:val="center"/>
              <w:rPr>
                <w:sz w:val="19"/>
                <w:szCs w:val="19"/>
              </w:rPr>
            </w:pPr>
            <w:r w:rsidRPr="00E95D91">
              <w:rPr>
                <w:sz w:val="19"/>
                <w:szCs w:val="19"/>
              </w:rPr>
              <w:t>√</w:t>
            </w:r>
          </w:p>
        </w:tc>
        <w:tc>
          <w:tcPr>
            <w:tcW w:w="678" w:type="pct"/>
            <w:shd w:val="clear" w:color="auto" w:fill="D9D9D9" w:themeFill="background1" w:themeFillShade="D9"/>
            <w:vAlign w:val="center"/>
          </w:tcPr>
          <w:p w14:paraId="11B6810B" w14:textId="30E2C435" w:rsidR="00003CA8" w:rsidRPr="00E95D91" w:rsidRDefault="002A7484" w:rsidP="00003CA8">
            <w:pPr>
              <w:contextualSpacing/>
              <w:jc w:val="center"/>
              <w:rPr>
                <w:sz w:val="19"/>
                <w:szCs w:val="19"/>
              </w:rPr>
            </w:pPr>
            <w:r>
              <w:rPr>
                <w:sz w:val="19"/>
                <w:szCs w:val="19"/>
              </w:rPr>
              <w:t>NA</w:t>
            </w:r>
          </w:p>
        </w:tc>
      </w:tr>
      <w:tr w:rsidR="00003CA8" w:rsidRPr="00B510A2" w14:paraId="0EA9F1A4" w14:textId="21813906" w:rsidTr="002A7484">
        <w:trPr>
          <w:cantSplit/>
          <w:trHeight w:val="20"/>
        </w:trPr>
        <w:tc>
          <w:tcPr>
            <w:tcW w:w="2520" w:type="pct"/>
            <w:vAlign w:val="center"/>
          </w:tcPr>
          <w:p w14:paraId="2B1C5195" w14:textId="77777777" w:rsidR="00003CA8" w:rsidRPr="00B510A2" w:rsidRDefault="00003CA8" w:rsidP="00003CA8">
            <w:pPr>
              <w:contextualSpacing/>
              <w:jc w:val="left"/>
              <w:rPr>
                <w:sz w:val="19"/>
                <w:szCs w:val="19"/>
              </w:rPr>
            </w:pPr>
            <w:r w:rsidRPr="00B510A2">
              <w:rPr>
                <w:sz w:val="19"/>
                <w:szCs w:val="19"/>
              </w:rPr>
              <w:t xml:space="preserve">Did the estimated biomass of common carp in the Gorge zone increase during the current year, relative to the previous year, </w:t>
            </w:r>
            <w:r>
              <w:rPr>
                <w:sz w:val="19"/>
                <w:szCs w:val="19"/>
              </w:rPr>
              <w:t>in the absence of an increase in</w:t>
            </w:r>
            <w:r w:rsidRPr="00B510A2">
              <w:rPr>
                <w:sz w:val="19"/>
                <w:szCs w:val="19"/>
              </w:rPr>
              <w:t xml:space="preserve"> the estimated biomass of flow-dependent native species decreased?*</w:t>
            </w:r>
            <w:r>
              <w:rPr>
                <w:sz w:val="19"/>
                <w:szCs w:val="19"/>
              </w:rPr>
              <w:t>*</w:t>
            </w:r>
            <w:r w:rsidRPr="00B510A2">
              <w:rPr>
                <w:sz w:val="19"/>
                <w:szCs w:val="19"/>
              </w:rPr>
              <w:t>*</w:t>
            </w:r>
          </w:p>
        </w:tc>
        <w:tc>
          <w:tcPr>
            <w:tcW w:w="200" w:type="pct"/>
            <w:shd w:val="clear" w:color="auto" w:fill="D9D9D9" w:themeFill="background1" w:themeFillShade="D9"/>
            <w:vAlign w:val="center"/>
          </w:tcPr>
          <w:p w14:paraId="78727BA5" w14:textId="77777777" w:rsidR="00003CA8" w:rsidRPr="00B510A2" w:rsidRDefault="00003CA8" w:rsidP="00003CA8">
            <w:pPr>
              <w:contextualSpacing/>
              <w:jc w:val="center"/>
              <w:rPr>
                <w:sz w:val="19"/>
                <w:szCs w:val="19"/>
              </w:rPr>
            </w:pPr>
            <w:r w:rsidRPr="00B510A2">
              <w:rPr>
                <w:sz w:val="19"/>
                <w:szCs w:val="19"/>
              </w:rPr>
              <w:t>NA</w:t>
            </w:r>
          </w:p>
        </w:tc>
        <w:tc>
          <w:tcPr>
            <w:tcW w:w="200" w:type="pct"/>
            <w:shd w:val="clear" w:color="auto" w:fill="FFCCCC"/>
            <w:vAlign w:val="center"/>
          </w:tcPr>
          <w:p w14:paraId="5AFE63D3" w14:textId="77777777" w:rsidR="00003CA8" w:rsidRPr="00B510A2" w:rsidRDefault="00003CA8" w:rsidP="00003CA8">
            <w:pPr>
              <w:contextualSpacing/>
              <w:jc w:val="center"/>
              <w:rPr>
                <w:sz w:val="19"/>
                <w:szCs w:val="19"/>
              </w:rPr>
            </w:pPr>
            <w:r w:rsidRPr="00B510A2">
              <w:rPr>
                <w:sz w:val="19"/>
                <w:szCs w:val="19"/>
              </w:rPr>
              <w:t>√</w:t>
            </w:r>
          </w:p>
        </w:tc>
        <w:tc>
          <w:tcPr>
            <w:tcW w:w="200" w:type="pct"/>
            <w:shd w:val="clear" w:color="auto" w:fill="E2EFD9" w:themeFill="accent6" w:themeFillTint="33"/>
            <w:vAlign w:val="center"/>
          </w:tcPr>
          <w:p w14:paraId="6C486B4B" w14:textId="77777777" w:rsidR="00003CA8" w:rsidRPr="00B510A2" w:rsidRDefault="00003CA8" w:rsidP="00003CA8">
            <w:pPr>
              <w:contextualSpacing/>
              <w:jc w:val="center"/>
              <w:rPr>
                <w:sz w:val="19"/>
                <w:szCs w:val="19"/>
              </w:rPr>
            </w:pPr>
            <w:r>
              <w:rPr>
                <w:sz w:val="19"/>
                <w:szCs w:val="19"/>
              </w:rPr>
              <w:t>X</w:t>
            </w:r>
          </w:p>
        </w:tc>
        <w:tc>
          <w:tcPr>
            <w:tcW w:w="200" w:type="pct"/>
            <w:shd w:val="clear" w:color="auto" w:fill="E2EFD9" w:themeFill="accent6" w:themeFillTint="33"/>
            <w:vAlign w:val="center"/>
          </w:tcPr>
          <w:p w14:paraId="31490DB0" w14:textId="77777777" w:rsidR="00003CA8" w:rsidRPr="00B510A2" w:rsidRDefault="00003CA8" w:rsidP="00003CA8">
            <w:pPr>
              <w:contextualSpacing/>
              <w:jc w:val="center"/>
              <w:rPr>
                <w:sz w:val="19"/>
                <w:szCs w:val="19"/>
              </w:rPr>
            </w:pPr>
            <w:r>
              <w:rPr>
                <w:sz w:val="19"/>
                <w:szCs w:val="19"/>
              </w:rPr>
              <w:t>X</w:t>
            </w:r>
          </w:p>
        </w:tc>
        <w:tc>
          <w:tcPr>
            <w:tcW w:w="200" w:type="pct"/>
            <w:shd w:val="clear" w:color="auto" w:fill="E2EFD9" w:themeFill="accent6" w:themeFillTint="33"/>
            <w:vAlign w:val="center"/>
          </w:tcPr>
          <w:p w14:paraId="5A9EF313" w14:textId="77777777" w:rsidR="00003CA8" w:rsidRDefault="00003CA8" w:rsidP="00003CA8">
            <w:pPr>
              <w:contextualSpacing/>
              <w:jc w:val="center"/>
              <w:rPr>
                <w:sz w:val="19"/>
                <w:szCs w:val="19"/>
              </w:rPr>
            </w:pPr>
            <w:r>
              <w:rPr>
                <w:sz w:val="19"/>
                <w:szCs w:val="19"/>
              </w:rPr>
              <w:t>X</w:t>
            </w:r>
          </w:p>
        </w:tc>
        <w:tc>
          <w:tcPr>
            <w:tcW w:w="200" w:type="pct"/>
            <w:shd w:val="clear" w:color="auto" w:fill="E2EFD9" w:themeFill="accent6" w:themeFillTint="33"/>
            <w:vAlign w:val="center"/>
          </w:tcPr>
          <w:p w14:paraId="1EE00D73" w14:textId="77777777" w:rsidR="00003CA8" w:rsidRPr="008E2DA7" w:rsidRDefault="00003CA8" w:rsidP="00003CA8">
            <w:pPr>
              <w:contextualSpacing/>
              <w:jc w:val="center"/>
              <w:rPr>
                <w:sz w:val="19"/>
                <w:szCs w:val="19"/>
                <w:highlight w:val="yellow"/>
              </w:rPr>
            </w:pPr>
            <w:r>
              <w:rPr>
                <w:sz w:val="19"/>
                <w:szCs w:val="19"/>
              </w:rPr>
              <w:t>X</w:t>
            </w:r>
          </w:p>
        </w:tc>
        <w:tc>
          <w:tcPr>
            <w:tcW w:w="200" w:type="pct"/>
            <w:shd w:val="clear" w:color="auto" w:fill="E2EFD9" w:themeFill="accent6" w:themeFillTint="33"/>
            <w:vAlign w:val="center"/>
          </w:tcPr>
          <w:p w14:paraId="1470BDB0" w14:textId="77777777" w:rsidR="00003CA8" w:rsidRPr="0061740E" w:rsidRDefault="00003CA8" w:rsidP="00003CA8">
            <w:pPr>
              <w:contextualSpacing/>
              <w:jc w:val="center"/>
              <w:rPr>
                <w:sz w:val="19"/>
                <w:szCs w:val="19"/>
              </w:rPr>
            </w:pPr>
            <w:r w:rsidRPr="0061740E">
              <w:rPr>
                <w:sz w:val="19"/>
                <w:szCs w:val="19"/>
              </w:rPr>
              <w:t>X</w:t>
            </w:r>
          </w:p>
        </w:tc>
        <w:tc>
          <w:tcPr>
            <w:tcW w:w="200" w:type="pct"/>
            <w:shd w:val="clear" w:color="auto" w:fill="FFCCCC"/>
            <w:vAlign w:val="center"/>
          </w:tcPr>
          <w:p w14:paraId="734E2759" w14:textId="229DD820" w:rsidR="00003CA8" w:rsidRPr="00B510A2" w:rsidRDefault="00003CA8" w:rsidP="00003CA8">
            <w:pPr>
              <w:contextualSpacing/>
              <w:jc w:val="center"/>
              <w:rPr>
                <w:sz w:val="19"/>
                <w:szCs w:val="19"/>
              </w:rPr>
            </w:pPr>
            <w:r w:rsidRPr="00B510A2">
              <w:rPr>
                <w:sz w:val="19"/>
                <w:szCs w:val="19"/>
              </w:rPr>
              <w:t>√</w:t>
            </w:r>
          </w:p>
        </w:tc>
        <w:tc>
          <w:tcPr>
            <w:tcW w:w="200" w:type="pct"/>
            <w:shd w:val="clear" w:color="auto" w:fill="FDCFC7"/>
            <w:vAlign w:val="center"/>
          </w:tcPr>
          <w:p w14:paraId="4429B24C" w14:textId="7641ECF8" w:rsidR="00003CA8" w:rsidRPr="000C68ED" w:rsidRDefault="00003CA8" w:rsidP="00003CA8">
            <w:pPr>
              <w:contextualSpacing/>
              <w:jc w:val="center"/>
              <w:rPr>
                <w:sz w:val="19"/>
                <w:szCs w:val="19"/>
                <w:highlight w:val="yellow"/>
              </w:rPr>
            </w:pPr>
            <w:r w:rsidRPr="000E5935">
              <w:rPr>
                <w:sz w:val="19"/>
                <w:szCs w:val="19"/>
              </w:rPr>
              <w:t>√</w:t>
            </w:r>
          </w:p>
        </w:tc>
        <w:tc>
          <w:tcPr>
            <w:tcW w:w="678" w:type="pct"/>
            <w:shd w:val="clear" w:color="auto" w:fill="D9D9D9" w:themeFill="background1" w:themeFillShade="D9"/>
            <w:vAlign w:val="center"/>
          </w:tcPr>
          <w:p w14:paraId="16AB8B7D" w14:textId="5CD16EEC" w:rsidR="00003CA8" w:rsidRPr="00F775A4" w:rsidRDefault="002A7484" w:rsidP="00003CA8">
            <w:pPr>
              <w:contextualSpacing/>
              <w:jc w:val="center"/>
              <w:rPr>
                <w:sz w:val="19"/>
                <w:szCs w:val="19"/>
              </w:rPr>
            </w:pPr>
            <w:r>
              <w:rPr>
                <w:sz w:val="19"/>
                <w:szCs w:val="19"/>
              </w:rPr>
              <w:t>NA</w:t>
            </w:r>
          </w:p>
          <w:p w14:paraId="75754D3B" w14:textId="68591582" w:rsidR="00003CA8" w:rsidRPr="000E5935" w:rsidRDefault="00003CA8" w:rsidP="00003CA8">
            <w:pPr>
              <w:contextualSpacing/>
              <w:jc w:val="center"/>
              <w:rPr>
                <w:sz w:val="19"/>
                <w:szCs w:val="19"/>
              </w:rPr>
            </w:pPr>
          </w:p>
        </w:tc>
      </w:tr>
    </w:tbl>
    <w:p w14:paraId="28A7E6DD" w14:textId="77777777" w:rsidR="00420794" w:rsidRDefault="00420794" w:rsidP="00420794">
      <w:pPr>
        <w:rPr>
          <w:sz w:val="18"/>
        </w:rPr>
      </w:pPr>
      <w:r>
        <w:rPr>
          <w:sz w:val="18"/>
        </w:rPr>
        <w:t>*</w:t>
      </w:r>
      <w:r w:rsidRPr="00AF698F">
        <w:t xml:space="preserve"> </w:t>
      </w:r>
      <w:r w:rsidRPr="00AF698F">
        <w:rPr>
          <w:sz w:val="18"/>
        </w:rPr>
        <w:t>These results should be interpreted with caution, given the large error estimate.</w:t>
      </w:r>
    </w:p>
    <w:p w14:paraId="4C506E4C" w14:textId="77777777" w:rsidR="00420794" w:rsidRPr="00D632F9" w:rsidRDefault="00420794" w:rsidP="00420794">
      <w:pPr>
        <w:rPr>
          <w:sz w:val="18"/>
        </w:rPr>
      </w:pPr>
      <w:r>
        <w:rPr>
          <w:sz w:val="18"/>
        </w:rPr>
        <w:t>*</w:t>
      </w:r>
      <w:r w:rsidRPr="00D632F9">
        <w:rPr>
          <w:sz w:val="18"/>
        </w:rPr>
        <w:t>*</w:t>
      </w:r>
      <w:r>
        <w:rPr>
          <w:sz w:val="18"/>
        </w:rPr>
        <w:t xml:space="preserve"> </w:t>
      </w:r>
      <w:r w:rsidRPr="00D632F9">
        <w:rPr>
          <w:sz w:val="18"/>
        </w:rPr>
        <w:t>Bony herring were not assessed as a target species during 2014.</w:t>
      </w:r>
    </w:p>
    <w:p w14:paraId="6260B079" w14:textId="242634DA" w:rsidR="00003CA8" w:rsidRDefault="00420794" w:rsidP="00003CA8">
      <w:r w:rsidRPr="00D632F9">
        <w:rPr>
          <w:sz w:val="18"/>
        </w:rPr>
        <w:t>*</w:t>
      </w:r>
      <w:r>
        <w:rPr>
          <w:sz w:val="18"/>
        </w:rPr>
        <w:t>*</w:t>
      </w:r>
      <w:r w:rsidRPr="00D632F9">
        <w:rPr>
          <w:sz w:val="18"/>
        </w:rPr>
        <w:t xml:space="preserve">* </w:t>
      </w:r>
      <w:r>
        <w:rPr>
          <w:sz w:val="18"/>
        </w:rPr>
        <w:t xml:space="preserve">Since the 2019-20 report, the calculations used to answer the evaluation question were changed from an approach using ratios to better reflect the ecological target of the LTWP. </w:t>
      </w:r>
      <w:r w:rsidRPr="00D632F9">
        <w:rPr>
          <w:sz w:val="18"/>
        </w:rPr>
        <w:t xml:space="preserve">To remove sampling season bias, only sites sampled during autumn 2017 were used in comparisons against </w:t>
      </w:r>
      <w:r w:rsidR="007F0E9C">
        <w:rPr>
          <w:sz w:val="18"/>
        </w:rPr>
        <w:t>other years</w:t>
      </w:r>
      <w:r w:rsidRPr="00D632F9">
        <w:rPr>
          <w:sz w:val="18"/>
        </w:rPr>
        <w:t xml:space="preserve">. </w:t>
      </w:r>
      <w:r w:rsidR="007F0E9C">
        <w:rPr>
          <w:sz w:val="18"/>
        </w:rPr>
        <w:t xml:space="preserve">Questions were not evaluated for 2024 because all </w:t>
      </w:r>
      <w:r w:rsidR="00AC3664">
        <w:rPr>
          <w:sz w:val="18"/>
        </w:rPr>
        <w:t xml:space="preserve">sites </w:t>
      </w:r>
      <w:r w:rsidR="007F0E9C">
        <w:rPr>
          <w:sz w:val="18"/>
        </w:rPr>
        <w:t>except one w</w:t>
      </w:r>
      <w:r w:rsidR="00AC3664">
        <w:rPr>
          <w:sz w:val="18"/>
        </w:rPr>
        <w:t>ere</w:t>
      </w:r>
      <w:r w:rsidR="007F0E9C">
        <w:rPr>
          <w:sz w:val="18"/>
        </w:rPr>
        <w:t xml:space="preserve"> sampled after late May. </w:t>
      </w:r>
      <w:r w:rsidRPr="00D632F9">
        <w:rPr>
          <w:sz w:val="18"/>
        </w:rPr>
        <w:t xml:space="preserve">Common carp were not weighed as part of the Fish (channel) sampling, so biomass was estimated by converting fork lengths </w:t>
      </w:r>
      <w:r w:rsidR="00FD5A3A">
        <w:rPr>
          <w:sz w:val="18"/>
        </w:rPr>
        <w:t xml:space="preserve">(Figure C11 in Appendix C) </w:t>
      </w:r>
      <w:r w:rsidRPr="00D632F9">
        <w:rPr>
          <w:sz w:val="18"/>
        </w:rPr>
        <w:t>to weights based on a FL–mass equation in Vilizzi and Walker (1999).</w:t>
      </w:r>
      <w:r w:rsidR="007F0E9C">
        <w:rPr>
          <w:sz w:val="18"/>
        </w:rPr>
        <w:t xml:space="preserve"> </w:t>
      </w:r>
    </w:p>
    <w:p w14:paraId="665BA2C2" w14:textId="6AEB5D21" w:rsidR="00420794" w:rsidRDefault="00420794">
      <w:pPr>
        <w:spacing w:before="0" w:after="160" w:line="259" w:lineRule="auto"/>
        <w:jc w:val="left"/>
        <w:rPr>
          <w:rFonts w:eastAsiaTheme="majorEastAsia" w:cstheme="majorBidi"/>
          <w:b/>
          <w:bCs/>
          <w:caps/>
          <w:color w:val="44546A" w:themeColor="text2"/>
          <w:sz w:val="32"/>
          <w:szCs w:val="28"/>
        </w:rPr>
      </w:pPr>
      <w:r>
        <w:br w:type="page"/>
      </w:r>
    </w:p>
    <w:p w14:paraId="325F0AF8" w14:textId="77777777" w:rsidR="00003CA8" w:rsidRDefault="00003CA8" w:rsidP="00707C9D">
      <w:pPr>
        <w:pStyle w:val="Heading1"/>
        <w:numPr>
          <w:ilvl w:val="0"/>
          <w:numId w:val="0"/>
        </w:numPr>
        <w:ind w:left="851" w:hanging="851"/>
        <w:sectPr w:rsidR="00003CA8" w:rsidSect="00003CA8">
          <w:pgSz w:w="16838" w:h="11906" w:orient="landscape"/>
          <w:pgMar w:top="1440" w:right="1440" w:bottom="1440" w:left="1440" w:header="709" w:footer="709" w:gutter="0"/>
          <w:cols w:space="708"/>
          <w:docGrid w:linePitch="360"/>
        </w:sectPr>
      </w:pPr>
    </w:p>
    <w:p w14:paraId="4FAA2964" w14:textId="79524C95" w:rsidR="001922D0" w:rsidRPr="00EA0232" w:rsidRDefault="001922D0" w:rsidP="00707C9D">
      <w:pPr>
        <w:pStyle w:val="Heading1"/>
        <w:numPr>
          <w:ilvl w:val="0"/>
          <w:numId w:val="0"/>
        </w:numPr>
        <w:ind w:left="851" w:hanging="851"/>
      </w:pPr>
      <w:bookmarkStart w:id="649" w:name="_Toc200467876"/>
      <w:r w:rsidRPr="00EA0232">
        <w:lastRenderedPageBreak/>
        <w:t>Acronyms</w:t>
      </w:r>
      <w:bookmarkEnd w:id="647"/>
      <w:bookmarkEnd w:id="649"/>
    </w:p>
    <w:tbl>
      <w:tblPr>
        <w:tblW w:w="0" w:type="auto"/>
        <w:tblInd w:w="91" w:type="dxa"/>
        <w:tblLayout w:type="fixed"/>
        <w:tblLook w:val="04A0" w:firstRow="1" w:lastRow="0" w:firstColumn="1" w:lastColumn="0" w:noHBand="0" w:noVBand="1"/>
      </w:tblPr>
      <w:tblGrid>
        <w:gridCol w:w="1327"/>
        <w:gridCol w:w="7602"/>
      </w:tblGrid>
      <w:tr w:rsidR="001922D0" w:rsidRPr="004E0E6F" w14:paraId="672281D1" w14:textId="77777777" w:rsidTr="00130828">
        <w:trPr>
          <w:trHeight w:val="20"/>
        </w:trPr>
        <w:tc>
          <w:tcPr>
            <w:tcW w:w="1327" w:type="dxa"/>
            <w:tcBorders>
              <w:top w:val="nil"/>
              <w:left w:val="nil"/>
              <w:bottom w:val="nil"/>
              <w:right w:val="nil"/>
            </w:tcBorders>
            <w:noWrap/>
          </w:tcPr>
          <w:p w14:paraId="4E02B4DF" w14:textId="540F1639" w:rsidR="001922D0" w:rsidRPr="00130828" w:rsidRDefault="001922D0" w:rsidP="00130828">
            <w:pPr>
              <w:spacing w:before="0" w:after="0" w:line="240" w:lineRule="auto"/>
              <w:contextualSpacing/>
              <w:jc w:val="left"/>
              <w:rPr>
                <w:rFonts w:cs="Calibri"/>
                <w:b/>
                <w:bCs/>
                <w:color w:val="E46D0A"/>
                <w:sz w:val="2"/>
                <w:szCs w:val="2"/>
              </w:rPr>
            </w:pPr>
          </w:p>
        </w:tc>
        <w:tc>
          <w:tcPr>
            <w:tcW w:w="7602" w:type="dxa"/>
            <w:tcBorders>
              <w:top w:val="nil"/>
              <w:left w:val="nil"/>
              <w:bottom w:val="nil"/>
              <w:right w:val="nil"/>
            </w:tcBorders>
            <w:noWrap/>
          </w:tcPr>
          <w:p w14:paraId="58E1BD28" w14:textId="0E2D44A0" w:rsidR="001922D0" w:rsidRPr="00130828" w:rsidRDefault="001922D0" w:rsidP="00130828">
            <w:pPr>
              <w:spacing w:before="0" w:after="0" w:line="240" w:lineRule="auto"/>
              <w:contextualSpacing/>
              <w:jc w:val="left"/>
              <w:rPr>
                <w:rFonts w:cs="Calibri"/>
                <w:color w:val="222222"/>
                <w:sz w:val="2"/>
                <w:szCs w:val="2"/>
              </w:rPr>
            </w:pPr>
          </w:p>
        </w:tc>
      </w:tr>
      <w:tr w:rsidR="00130828" w:rsidRPr="004E0E6F" w14:paraId="7EB9C236" w14:textId="77777777" w:rsidTr="00130828">
        <w:trPr>
          <w:trHeight w:val="312"/>
        </w:trPr>
        <w:tc>
          <w:tcPr>
            <w:tcW w:w="1327" w:type="dxa"/>
            <w:tcBorders>
              <w:top w:val="nil"/>
              <w:left w:val="nil"/>
              <w:bottom w:val="nil"/>
              <w:right w:val="nil"/>
            </w:tcBorders>
            <w:noWrap/>
          </w:tcPr>
          <w:p w14:paraId="66D76CEB" w14:textId="113C5782" w:rsidR="00130828" w:rsidRPr="00CF78F9" w:rsidRDefault="00130828" w:rsidP="00130828">
            <w:pPr>
              <w:spacing w:after="0" w:line="240" w:lineRule="auto"/>
              <w:contextualSpacing/>
              <w:jc w:val="left"/>
              <w:rPr>
                <w:rFonts w:cs="Calibri"/>
                <w:b/>
                <w:bCs/>
                <w:color w:val="auto"/>
                <w:sz w:val="19"/>
                <w:szCs w:val="19"/>
              </w:rPr>
            </w:pPr>
            <w:r w:rsidRPr="00CF78F9">
              <w:rPr>
                <w:rFonts w:cs="Calibri"/>
                <w:b/>
                <w:bCs/>
                <w:color w:val="auto"/>
                <w:sz w:val="19"/>
                <w:szCs w:val="19"/>
              </w:rPr>
              <w:t>AHD</w:t>
            </w:r>
          </w:p>
        </w:tc>
        <w:tc>
          <w:tcPr>
            <w:tcW w:w="7602" w:type="dxa"/>
            <w:tcBorders>
              <w:top w:val="nil"/>
              <w:left w:val="nil"/>
              <w:bottom w:val="nil"/>
              <w:right w:val="nil"/>
            </w:tcBorders>
            <w:noWrap/>
          </w:tcPr>
          <w:p w14:paraId="717A5FCA" w14:textId="79AE6E7C" w:rsidR="00130828" w:rsidRPr="004E0E6F" w:rsidRDefault="00130828" w:rsidP="00130828">
            <w:pPr>
              <w:spacing w:after="0" w:line="240" w:lineRule="auto"/>
              <w:contextualSpacing/>
              <w:jc w:val="left"/>
              <w:rPr>
                <w:rFonts w:cs="Calibri"/>
                <w:color w:val="222222"/>
                <w:sz w:val="19"/>
                <w:szCs w:val="19"/>
              </w:rPr>
            </w:pPr>
            <w:r w:rsidRPr="004E0E6F">
              <w:rPr>
                <w:rFonts w:cs="Calibri"/>
                <w:color w:val="222222"/>
                <w:sz w:val="19"/>
                <w:szCs w:val="19"/>
              </w:rPr>
              <w:t>Australian Height Datum</w:t>
            </w:r>
          </w:p>
        </w:tc>
      </w:tr>
      <w:tr w:rsidR="00FE09DE" w:rsidRPr="004E0E6F" w14:paraId="093D467F" w14:textId="77777777" w:rsidTr="00130828">
        <w:trPr>
          <w:trHeight w:val="312"/>
        </w:trPr>
        <w:tc>
          <w:tcPr>
            <w:tcW w:w="1327" w:type="dxa"/>
            <w:tcBorders>
              <w:top w:val="nil"/>
              <w:left w:val="nil"/>
              <w:bottom w:val="nil"/>
              <w:right w:val="nil"/>
            </w:tcBorders>
            <w:noWrap/>
          </w:tcPr>
          <w:p w14:paraId="3CD33115" w14:textId="6EAF6345" w:rsidR="00FE09DE" w:rsidRPr="00CF78F9" w:rsidRDefault="00FE09DE" w:rsidP="00130828">
            <w:pPr>
              <w:spacing w:after="0" w:line="240" w:lineRule="auto"/>
              <w:contextualSpacing/>
              <w:jc w:val="left"/>
              <w:rPr>
                <w:rFonts w:cs="Calibri"/>
                <w:b/>
                <w:bCs/>
                <w:color w:val="auto"/>
                <w:sz w:val="19"/>
                <w:szCs w:val="19"/>
              </w:rPr>
            </w:pPr>
            <w:r w:rsidRPr="00CF78F9">
              <w:rPr>
                <w:rFonts w:cs="Calibri"/>
                <w:b/>
                <w:bCs/>
                <w:color w:val="auto"/>
                <w:sz w:val="19"/>
                <w:szCs w:val="19"/>
              </w:rPr>
              <w:t>BCR</w:t>
            </w:r>
          </w:p>
        </w:tc>
        <w:tc>
          <w:tcPr>
            <w:tcW w:w="7602" w:type="dxa"/>
            <w:tcBorders>
              <w:top w:val="nil"/>
              <w:left w:val="nil"/>
              <w:bottom w:val="nil"/>
              <w:right w:val="nil"/>
            </w:tcBorders>
            <w:noWrap/>
          </w:tcPr>
          <w:p w14:paraId="0D0EBB8A" w14:textId="395154E6" w:rsidR="00FE09DE" w:rsidRPr="004E0E6F" w:rsidRDefault="00FE09DE" w:rsidP="00130828">
            <w:pPr>
              <w:spacing w:after="0" w:line="240" w:lineRule="auto"/>
              <w:contextualSpacing/>
              <w:jc w:val="left"/>
              <w:rPr>
                <w:rFonts w:cs="Calibri"/>
                <w:color w:val="222222"/>
                <w:sz w:val="19"/>
                <w:szCs w:val="19"/>
              </w:rPr>
            </w:pPr>
            <w:r>
              <w:rPr>
                <w:rFonts w:cs="Calibri"/>
                <w:color w:val="222222"/>
                <w:sz w:val="19"/>
                <w:szCs w:val="19"/>
              </w:rPr>
              <w:t>B</w:t>
            </w:r>
            <w:r w:rsidRPr="00FE09DE">
              <w:rPr>
                <w:rFonts w:cs="Calibri"/>
                <w:color w:val="222222"/>
                <w:sz w:val="19"/>
                <w:szCs w:val="19"/>
              </w:rPr>
              <w:t>acterial community respiration</w:t>
            </w:r>
          </w:p>
        </w:tc>
      </w:tr>
      <w:tr w:rsidR="00FE09DE" w:rsidRPr="004E0E6F" w14:paraId="462D2EE8" w14:textId="77777777" w:rsidTr="00130828">
        <w:trPr>
          <w:trHeight w:val="312"/>
        </w:trPr>
        <w:tc>
          <w:tcPr>
            <w:tcW w:w="1327" w:type="dxa"/>
            <w:tcBorders>
              <w:top w:val="nil"/>
              <w:left w:val="nil"/>
              <w:bottom w:val="nil"/>
              <w:right w:val="nil"/>
            </w:tcBorders>
            <w:noWrap/>
          </w:tcPr>
          <w:p w14:paraId="26226938" w14:textId="1E0B4767" w:rsidR="00FE09DE" w:rsidRPr="00CF78F9" w:rsidRDefault="00FE09DE" w:rsidP="00130828">
            <w:pPr>
              <w:spacing w:after="0" w:line="240" w:lineRule="auto"/>
              <w:contextualSpacing/>
              <w:jc w:val="left"/>
              <w:rPr>
                <w:rFonts w:cs="Calibri"/>
                <w:b/>
                <w:bCs/>
                <w:color w:val="auto"/>
                <w:sz w:val="19"/>
                <w:szCs w:val="19"/>
              </w:rPr>
            </w:pPr>
            <w:r w:rsidRPr="00CF78F9">
              <w:rPr>
                <w:rFonts w:cs="Calibri"/>
                <w:b/>
                <w:bCs/>
                <w:color w:val="auto"/>
                <w:sz w:val="19"/>
                <w:szCs w:val="19"/>
              </w:rPr>
              <w:t>BGE</w:t>
            </w:r>
          </w:p>
        </w:tc>
        <w:tc>
          <w:tcPr>
            <w:tcW w:w="7602" w:type="dxa"/>
            <w:tcBorders>
              <w:top w:val="nil"/>
              <w:left w:val="nil"/>
              <w:bottom w:val="nil"/>
              <w:right w:val="nil"/>
            </w:tcBorders>
            <w:noWrap/>
          </w:tcPr>
          <w:p w14:paraId="112B5373" w14:textId="3A25AA5F" w:rsidR="00FE09DE" w:rsidRPr="004E0E6F" w:rsidRDefault="00FE09DE" w:rsidP="00130828">
            <w:pPr>
              <w:spacing w:after="0" w:line="240" w:lineRule="auto"/>
              <w:contextualSpacing/>
              <w:jc w:val="left"/>
              <w:rPr>
                <w:rFonts w:cs="Calibri"/>
                <w:color w:val="222222"/>
                <w:sz w:val="19"/>
                <w:szCs w:val="19"/>
              </w:rPr>
            </w:pPr>
            <w:r>
              <w:rPr>
                <w:rFonts w:cs="Calibri"/>
                <w:color w:val="222222"/>
                <w:sz w:val="19"/>
                <w:szCs w:val="19"/>
              </w:rPr>
              <w:t>B</w:t>
            </w:r>
            <w:r w:rsidRPr="00FE09DE">
              <w:rPr>
                <w:rFonts w:cs="Calibri"/>
                <w:color w:val="222222"/>
                <w:sz w:val="19"/>
                <w:szCs w:val="19"/>
              </w:rPr>
              <w:t>acterial growth efficiency</w:t>
            </w:r>
          </w:p>
        </w:tc>
      </w:tr>
      <w:tr w:rsidR="00FE09DE" w:rsidRPr="004E0E6F" w14:paraId="0ADCE7D5" w14:textId="77777777" w:rsidTr="00130828">
        <w:trPr>
          <w:trHeight w:val="312"/>
        </w:trPr>
        <w:tc>
          <w:tcPr>
            <w:tcW w:w="1327" w:type="dxa"/>
            <w:tcBorders>
              <w:top w:val="nil"/>
              <w:left w:val="nil"/>
              <w:bottom w:val="nil"/>
              <w:right w:val="nil"/>
            </w:tcBorders>
            <w:noWrap/>
          </w:tcPr>
          <w:p w14:paraId="2D6952A1" w14:textId="48E9AC11" w:rsidR="00FE09DE" w:rsidRPr="00CF78F9" w:rsidRDefault="00FE09DE" w:rsidP="00130828">
            <w:pPr>
              <w:spacing w:after="0" w:line="240" w:lineRule="auto"/>
              <w:contextualSpacing/>
              <w:jc w:val="left"/>
              <w:rPr>
                <w:rFonts w:cs="Calibri"/>
                <w:b/>
                <w:bCs/>
                <w:color w:val="auto"/>
                <w:sz w:val="19"/>
                <w:szCs w:val="19"/>
              </w:rPr>
            </w:pPr>
            <w:r w:rsidRPr="00CF78F9">
              <w:rPr>
                <w:rFonts w:cs="Calibri"/>
                <w:b/>
                <w:bCs/>
                <w:color w:val="auto"/>
                <w:sz w:val="19"/>
                <w:szCs w:val="19"/>
              </w:rPr>
              <w:t>BNP</w:t>
            </w:r>
          </w:p>
        </w:tc>
        <w:tc>
          <w:tcPr>
            <w:tcW w:w="7602" w:type="dxa"/>
            <w:tcBorders>
              <w:top w:val="nil"/>
              <w:left w:val="nil"/>
              <w:bottom w:val="nil"/>
              <w:right w:val="nil"/>
            </w:tcBorders>
            <w:noWrap/>
          </w:tcPr>
          <w:p w14:paraId="3C93BD96" w14:textId="4477FE32" w:rsidR="00FE09DE" w:rsidRPr="004E0E6F" w:rsidRDefault="00FE09DE" w:rsidP="00130828">
            <w:pPr>
              <w:spacing w:after="0" w:line="240" w:lineRule="auto"/>
              <w:contextualSpacing/>
              <w:jc w:val="left"/>
              <w:rPr>
                <w:rFonts w:cs="Calibri"/>
                <w:color w:val="222222"/>
                <w:sz w:val="19"/>
                <w:szCs w:val="19"/>
              </w:rPr>
            </w:pPr>
            <w:r>
              <w:rPr>
                <w:rFonts w:cs="Calibri"/>
                <w:color w:val="222222"/>
                <w:sz w:val="19"/>
                <w:szCs w:val="19"/>
              </w:rPr>
              <w:t>B</w:t>
            </w:r>
            <w:r w:rsidRPr="00FE09DE">
              <w:rPr>
                <w:rFonts w:cs="Calibri"/>
                <w:color w:val="222222"/>
                <w:sz w:val="19"/>
                <w:szCs w:val="19"/>
              </w:rPr>
              <w:t>acterial net production</w:t>
            </w:r>
          </w:p>
        </w:tc>
      </w:tr>
      <w:tr w:rsidR="00061DDC" w:rsidRPr="004E0E6F" w14:paraId="594CF5BF" w14:textId="77777777" w:rsidTr="00130828">
        <w:trPr>
          <w:trHeight w:val="312"/>
        </w:trPr>
        <w:tc>
          <w:tcPr>
            <w:tcW w:w="1327" w:type="dxa"/>
            <w:tcBorders>
              <w:top w:val="nil"/>
              <w:left w:val="nil"/>
              <w:bottom w:val="nil"/>
              <w:right w:val="nil"/>
            </w:tcBorders>
            <w:noWrap/>
          </w:tcPr>
          <w:p w14:paraId="7DD93DA8" w14:textId="5402F5DB" w:rsidR="00061DDC" w:rsidRPr="00CF78F9" w:rsidRDefault="00061DDC" w:rsidP="00130828">
            <w:pPr>
              <w:spacing w:after="0" w:line="240" w:lineRule="auto"/>
              <w:contextualSpacing/>
              <w:jc w:val="left"/>
              <w:rPr>
                <w:rFonts w:cs="Calibri"/>
                <w:b/>
                <w:bCs/>
                <w:color w:val="auto"/>
                <w:sz w:val="19"/>
                <w:szCs w:val="19"/>
              </w:rPr>
            </w:pPr>
            <w:r w:rsidRPr="00CF78F9">
              <w:rPr>
                <w:rFonts w:cs="Calibri"/>
                <w:b/>
                <w:bCs/>
                <w:color w:val="auto"/>
                <w:sz w:val="19"/>
                <w:szCs w:val="19"/>
              </w:rPr>
              <w:t>CDM</w:t>
            </w:r>
          </w:p>
        </w:tc>
        <w:tc>
          <w:tcPr>
            <w:tcW w:w="7602" w:type="dxa"/>
            <w:tcBorders>
              <w:top w:val="nil"/>
              <w:left w:val="nil"/>
              <w:bottom w:val="nil"/>
              <w:right w:val="nil"/>
            </w:tcBorders>
            <w:noWrap/>
          </w:tcPr>
          <w:p w14:paraId="121F6406" w14:textId="249A2A05" w:rsidR="00061DDC" w:rsidRPr="004E0E6F" w:rsidRDefault="00061DDC" w:rsidP="00130828">
            <w:pPr>
              <w:spacing w:after="0" w:line="240" w:lineRule="auto"/>
              <w:contextualSpacing/>
              <w:jc w:val="left"/>
              <w:rPr>
                <w:rFonts w:cs="Calibri"/>
                <w:color w:val="222222"/>
                <w:sz w:val="19"/>
                <w:szCs w:val="19"/>
              </w:rPr>
            </w:pPr>
            <w:r w:rsidRPr="00061DDC">
              <w:rPr>
                <w:rFonts w:cs="Calibri"/>
                <w:color w:val="222222"/>
                <w:sz w:val="19"/>
                <w:szCs w:val="19"/>
              </w:rPr>
              <w:t>Coorong Dynamic Model</w:t>
            </w:r>
          </w:p>
        </w:tc>
      </w:tr>
      <w:tr w:rsidR="001922D0" w:rsidRPr="004E0E6F" w14:paraId="7802DBAB" w14:textId="77777777" w:rsidTr="00130828">
        <w:trPr>
          <w:trHeight w:val="312"/>
        </w:trPr>
        <w:tc>
          <w:tcPr>
            <w:tcW w:w="1327" w:type="dxa"/>
            <w:tcBorders>
              <w:top w:val="nil"/>
              <w:left w:val="nil"/>
              <w:bottom w:val="nil"/>
              <w:right w:val="nil"/>
            </w:tcBorders>
            <w:noWrap/>
            <w:hideMark/>
          </w:tcPr>
          <w:p w14:paraId="31DB2A69"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CEW</w:t>
            </w:r>
          </w:p>
        </w:tc>
        <w:tc>
          <w:tcPr>
            <w:tcW w:w="7602" w:type="dxa"/>
            <w:tcBorders>
              <w:top w:val="nil"/>
              <w:left w:val="nil"/>
              <w:bottom w:val="nil"/>
              <w:right w:val="nil"/>
            </w:tcBorders>
            <w:noWrap/>
            <w:hideMark/>
          </w:tcPr>
          <w:p w14:paraId="3FF6BECF"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Commonwealth environmental water</w:t>
            </w:r>
          </w:p>
        </w:tc>
      </w:tr>
      <w:tr w:rsidR="001922D0" w:rsidRPr="004E0E6F" w14:paraId="14293B53" w14:textId="77777777" w:rsidTr="00130828">
        <w:trPr>
          <w:trHeight w:val="312"/>
        </w:trPr>
        <w:tc>
          <w:tcPr>
            <w:tcW w:w="1327" w:type="dxa"/>
            <w:tcBorders>
              <w:top w:val="nil"/>
              <w:left w:val="nil"/>
              <w:bottom w:val="nil"/>
              <w:right w:val="nil"/>
            </w:tcBorders>
            <w:noWrap/>
          </w:tcPr>
          <w:p w14:paraId="20B23279" w14:textId="7203DBD1" w:rsidR="001922D0" w:rsidRPr="00CF78F9" w:rsidRDefault="0036587D" w:rsidP="00130828">
            <w:pPr>
              <w:spacing w:after="0" w:line="240" w:lineRule="auto"/>
              <w:contextualSpacing/>
              <w:jc w:val="left"/>
              <w:rPr>
                <w:rFonts w:cs="Calibri"/>
                <w:b/>
                <w:bCs/>
                <w:color w:val="auto"/>
                <w:sz w:val="19"/>
                <w:szCs w:val="19"/>
              </w:rPr>
            </w:pPr>
            <w:r w:rsidRPr="00CF78F9">
              <w:rPr>
                <w:rFonts w:cs="Calibri"/>
                <w:b/>
                <w:bCs/>
                <w:color w:val="auto"/>
                <w:sz w:val="19"/>
                <w:szCs w:val="19"/>
              </w:rPr>
              <w:t>CEWH</w:t>
            </w:r>
          </w:p>
        </w:tc>
        <w:tc>
          <w:tcPr>
            <w:tcW w:w="7602" w:type="dxa"/>
            <w:tcBorders>
              <w:top w:val="nil"/>
              <w:left w:val="nil"/>
              <w:bottom w:val="nil"/>
              <w:right w:val="nil"/>
            </w:tcBorders>
            <w:noWrap/>
          </w:tcPr>
          <w:p w14:paraId="6F470F77" w14:textId="7B4390A9"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 xml:space="preserve">Commonwealth Environmental </w:t>
            </w:r>
            <w:r w:rsidR="0036587D">
              <w:rPr>
                <w:rFonts w:cs="Calibri"/>
                <w:sz w:val="19"/>
                <w:szCs w:val="19"/>
              </w:rPr>
              <w:t>Water Holder</w:t>
            </w:r>
          </w:p>
        </w:tc>
      </w:tr>
      <w:tr w:rsidR="00AA20D1" w:rsidRPr="004E0E6F" w14:paraId="06D927C9" w14:textId="77777777" w:rsidTr="00130828">
        <w:trPr>
          <w:trHeight w:val="312"/>
        </w:trPr>
        <w:tc>
          <w:tcPr>
            <w:tcW w:w="1327" w:type="dxa"/>
            <w:tcBorders>
              <w:top w:val="nil"/>
              <w:left w:val="nil"/>
              <w:bottom w:val="nil"/>
              <w:right w:val="nil"/>
            </w:tcBorders>
            <w:noWrap/>
          </w:tcPr>
          <w:p w14:paraId="01EF495C" w14:textId="1F6FAAF5" w:rsidR="00AA20D1" w:rsidRPr="00CF78F9" w:rsidRDefault="00AA20D1" w:rsidP="00130828">
            <w:pPr>
              <w:spacing w:after="0" w:line="240" w:lineRule="auto"/>
              <w:contextualSpacing/>
              <w:jc w:val="left"/>
              <w:rPr>
                <w:rFonts w:cs="Calibri"/>
                <w:b/>
                <w:bCs/>
                <w:color w:val="auto"/>
                <w:sz w:val="19"/>
                <w:szCs w:val="19"/>
              </w:rPr>
            </w:pPr>
            <w:r w:rsidRPr="00CF78F9">
              <w:rPr>
                <w:rFonts w:cs="Calibri"/>
                <w:b/>
                <w:bCs/>
                <w:color w:val="auto"/>
                <w:sz w:val="19"/>
                <w:szCs w:val="19"/>
              </w:rPr>
              <w:t>CI</w:t>
            </w:r>
          </w:p>
        </w:tc>
        <w:tc>
          <w:tcPr>
            <w:tcW w:w="7602" w:type="dxa"/>
            <w:tcBorders>
              <w:top w:val="nil"/>
              <w:left w:val="nil"/>
              <w:bottom w:val="nil"/>
              <w:right w:val="nil"/>
            </w:tcBorders>
            <w:noWrap/>
          </w:tcPr>
          <w:p w14:paraId="53DE00FF" w14:textId="2B82102D" w:rsidR="00AA20D1" w:rsidRPr="004E0E6F" w:rsidRDefault="00AA20D1" w:rsidP="00130828">
            <w:pPr>
              <w:spacing w:after="0" w:line="240" w:lineRule="auto"/>
              <w:contextualSpacing/>
              <w:jc w:val="left"/>
              <w:rPr>
                <w:rFonts w:cs="Calibri"/>
                <w:sz w:val="19"/>
                <w:szCs w:val="19"/>
              </w:rPr>
            </w:pPr>
            <w:r>
              <w:rPr>
                <w:rFonts w:cs="Calibri"/>
                <w:sz w:val="19"/>
                <w:szCs w:val="19"/>
              </w:rPr>
              <w:t>Confidence interval</w:t>
            </w:r>
          </w:p>
        </w:tc>
      </w:tr>
      <w:tr w:rsidR="00FE3EAD" w:rsidRPr="004E0E6F" w14:paraId="468082E2" w14:textId="77777777" w:rsidTr="00130828">
        <w:trPr>
          <w:trHeight w:val="312"/>
        </w:trPr>
        <w:tc>
          <w:tcPr>
            <w:tcW w:w="1327" w:type="dxa"/>
            <w:tcBorders>
              <w:top w:val="nil"/>
              <w:left w:val="nil"/>
              <w:bottom w:val="nil"/>
              <w:right w:val="nil"/>
            </w:tcBorders>
            <w:noWrap/>
          </w:tcPr>
          <w:p w14:paraId="600BA351" w14:textId="40EB27C4" w:rsidR="00FE3EAD" w:rsidRPr="00CF78F9" w:rsidRDefault="00FE3EAD" w:rsidP="00130828">
            <w:pPr>
              <w:spacing w:after="0" w:line="240" w:lineRule="auto"/>
              <w:contextualSpacing/>
              <w:jc w:val="left"/>
              <w:rPr>
                <w:rFonts w:cs="Calibri"/>
                <w:b/>
                <w:bCs/>
                <w:color w:val="auto"/>
                <w:sz w:val="19"/>
                <w:szCs w:val="19"/>
              </w:rPr>
            </w:pPr>
            <w:r w:rsidRPr="00CF78F9">
              <w:rPr>
                <w:rFonts w:cs="Calibri"/>
                <w:b/>
                <w:bCs/>
                <w:color w:val="auto"/>
                <w:sz w:val="19"/>
                <w:szCs w:val="19"/>
              </w:rPr>
              <w:t>CLLMM</w:t>
            </w:r>
          </w:p>
        </w:tc>
        <w:tc>
          <w:tcPr>
            <w:tcW w:w="7602" w:type="dxa"/>
            <w:tcBorders>
              <w:top w:val="nil"/>
              <w:left w:val="nil"/>
              <w:bottom w:val="nil"/>
              <w:right w:val="nil"/>
            </w:tcBorders>
            <w:noWrap/>
          </w:tcPr>
          <w:p w14:paraId="3985364A" w14:textId="0600D038" w:rsidR="00FE3EAD" w:rsidRPr="004E0E6F" w:rsidRDefault="00240C43" w:rsidP="00130828">
            <w:pPr>
              <w:spacing w:after="0" w:line="240" w:lineRule="auto"/>
              <w:contextualSpacing/>
              <w:jc w:val="left"/>
              <w:rPr>
                <w:rFonts w:cs="Calibri"/>
                <w:sz w:val="19"/>
                <w:szCs w:val="19"/>
              </w:rPr>
            </w:pPr>
            <w:r>
              <w:rPr>
                <w:rFonts w:cs="Calibri"/>
                <w:sz w:val="19"/>
                <w:szCs w:val="19"/>
              </w:rPr>
              <w:t>Coorong, Lower Lakes and Murray Mouth</w:t>
            </w:r>
          </w:p>
        </w:tc>
      </w:tr>
      <w:tr w:rsidR="00405698" w:rsidRPr="004E0E6F" w14:paraId="61360777" w14:textId="77777777" w:rsidTr="00130828">
        <w:trPr>
          <w:trHeight w:val="312"/>
        </w:trPr>
        <w:tc>
          <w:tcPr>
            <w:tcW w:w="1327" w:type="dxa"/>
            <w:tcBorders>
              <w:top w:val="nil"/>
              <w:left w:val="nil"/>
              <w:bottom w:val="nil"/>
              <w:right w:val="nil"/>
            </w:tcBorders>
            <w:noWrap/>
          </w:tcPr>
          <w:p w14:paraId="664DF605" w14:textId="01CD554B" w:rsidR="00405698" w:rsidRPr="00CF78F9" w:rsidRDefault="00405698" w:rsidP="00130828">
            <w:pPr>
              <w:spacing w:after="0" w:line="240" w:lineRule="auto"/>
              <w:contextualSpacing/>
              <w:jc w:val="left"/>
              <w:rPr>
                <w:rFonts w:cs="Calibri"/>
                <w:b/>
                <w:bCs/>
                <w:color w:val="auto"/>
                <w:sz w:val="19"/>
                <w:szCs w:val="19"/>
              </w:rPr>
            </w:pPr>
            <w:r w:rsidRPr="00CF78F9">
              <w:rPr>
                <w:rFonts w:cs="Calibri"/>
                <w:b/>
                <w:bCs/>
                <w:color w:val="auto"/>
                <w:sz w:val="19"/>
                <w:szCs w:val="19"/>
              </w:rPr>
              <w:t>CPUE</w:t>
            </w:r>
          </w:p>
        </w:tc>
        <w:tc>
          <w:tcPr>
            <w:tcW w:w="7602" w:type="dxa"/>
            <w:tcBorders>
              <w:top w:val="nil"/>
              <w:left w:val="nil"/>
              <w:bottom w:val="nil"/>
              <w:right w:val="nil"/>
            </w:tcBorders>
            <w:noWrap/>
          </w:tcPr>
          <w:p w14:paraId="57E40238" w14:textId="4F062BED" w:rsidR="00405698" w:rsidRDefault="00405698" w:rsidP="00130828">
            <w:pPr>
              <w:spacing w:after="0" w:line="240" w:lineRule="auto"/>
              <w:contextualSpacing/>
              <w:jc w:val="left"/>
              <w:rPr>
                <w:rFonts w:cs="Calibri"/>
                <w:sz w:val="19"/>
                <w:szCs w:val="19"/>
              </w:rPr>
            </w:pPr>
            <w:r>
              <w:rPr>
                <w:rFonts w:cs="Calibri"/>
                <w:sz w:val="19"/>
                <w:szCs w:val="19"/>
              </w:rPr>
              <w:t>Catch-per-unit-effort</w:t>
            </w:r>
          </w:p>
        </w:tc>
      </w:tr>
      <w:tr w:rsidR="00061DDC" w:rsidRPr="004E0E6F" w14:paraId="18E213A7" w14:textId="77777777" w:rsidTr="00130828">
        <w:trPr>
          <w:trHeight w:val="312"/>
        </w:trPr>
        <w:tc>
          <w:tcPr>
            <w:tcW w:w="1327" w:type="dxa"/>
            <w:tcBorders>
              <w:top w:val="nil"/>
              <w:left w:val="nil"/>
              <w:bottom w:val="nil"/>
              <w:right w:val="nil"/>
            </w:tcBorders>
            <w:noWrap/>
          </w:tcPr>
          <w:p w14:paraId="1D04DE22" w14:textId="192276A5" w:rsidR="00061DDC" w:rsidRPr="00CF78F9" w:rsidRDefault="00061DDC" w:rsidP="00130828">
            <w:pPr>
              <w:spacing w:after="0" w:line="240" w:lineRule="auto"/>
              <w:contextualSpacing/>
              <w:jc w:val="left"/>
              <w:rPr>
                <w:rFonts w:cs="Calibri"/>
                <w:b/>
                <w:bCs/>
                <w:color w:val="auto"/>
                <w:sz w:val="19"/>
                <w:szCs w:val="19"/>
              </w:rPr>
            </w:pPr>
            <w:r w:rsidRPr="00CF78F9">
              <w:rPr>
                <w:rFonts w:cs="Calibri"/>
                <w:b/>
                <w:bCs/>
                <w:color w:val="auto"/>
                <w:sz w:val="19"/>
                <w:szCs w:val="19"/>
              </w:rPr>
              <w:t>CSIRO</w:t>
            </w:r>
          </w:p>
        </w:tc>
        <w:tc>
          <w:tcPr>
            <w:tcW w:w="7602" w:type="dxa"/>
            <w:tcBorders>
              <w:top w:val="nil"/>
              <w:left w:val="nil"/>
              <w:bottom w:val="nil"/>
              <w:right w:val="nil"/>
            </w:tcBorders>
            <w:noWrap/>
          </w:tcPr>
          <w:p w14:paraId="5ECA7B1E" w14:textId="42E9E61A" w:rsidR="00061DDC" w:rsidRDefault="00061DDC" w:rsidP="00130828">
            <w:pPr>
              <w:spacing w:after="0" w:line="240" w:lineRule="auto"/>
              <w:contextualSpacing/>
              <w:jc w:val="left"/>
              <w:rPr>
                <w:rFonts w:cs="Calibri"/>
                <w:sz w:val="19"/>
                <w:szCs w:val="19"/>
              </w:rPr>
            </w:pPr>
            <w:r w:rsidRPr="00061DDC">
              <w:rPr>
                <w:rFonts w:cs="Calibri"/>
                <w:sz w:val="19"/>
                <w:szCs w:val="19"/>
              </w:rPr>
              <w:t>Commonwealth Scientific and Industrial Research Organisation</w:t>
            </w:r>
          </w:p>
        </w:tc>
      </w:tr>
      <w:tr w:rsidR="001922D0" w:rsidRPr="004E0E6F" w14:paraId="21E48A49" w14:textId="77777777" w:rsidTr="00130828">
        <w:trPr>
          <w:trHeight w:val="312"/>
        </w:trPr>
        <w:tc>
          <w:tcPr>
            <w:tcW w:w="1327" w:type="dxa"/>
            <w:tcBorders>
              <w:top w:val="nil"/>
              <w:left w:val="nil"/>
              <w:bottom w:val="nil"/>
              <w:right w:val="nil"/>
            </w:tcBorders>
            <w:noWrap/>
          </w:tcPr>
          <w:p w14:paraId="0CD592A2"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DEW</w:t>
            </w:r>
          </w:p>
        </w:tc>
        <w:tc>
          <w:tcPr>
            <w:tcW w:w="7602" w:type="dxa"/>
            <w:tcBorders>
              <w:top w:val="nil"/>
              <w:left w:val="nil"/>
              <w:bottom w:val="nil"/>
              <w:right w:val="nil"/>
            </w:tcBorders>
            <w:noWrap/>
          </w:tcPr>
          <w:p w14:paraId="7866FC28"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Department for Environment and Water</w:t>
            </w:r>
          </w:p>
        </w:tc>
      </w:tr>
      <w:tr w:rsidR="00FE09DE" w:rsidRPr="004E0E6F" w14:paraId="4C99579B" w14:textId="77777777" w:rsidTr="00130828">
        <w:trPr>
          <w:trHeight w:val="312"/>
        </w:trPr>
        <w:tc>
          <w:tcPr>
            <w:tcW w:w="1327" w:type="dxa"/>
            <w:tcBorders>
              <w:top w:val="nil"/>
              <w:left w:val="nil"/>
              <w:bottom w:val="nil"/>
              <w:right w:val="nil"/>
            </w:tcBorders>
            <w:noWrap/>
          </w:tcPr>
          <w:p w14:paraId="27907820" w14:textId="1498188C" w:rsidR="00FE09DE" w:rsidRPr="00CF78F9" w:rsidRDefault="00FE09DE" w:rsidP="00130828">
            <w:pPr>
              <w:spacing w:after="0" w:line="240" w:lineRule="auto"/>
              <w:contextualSpacing/>
              <w:jc w:val="left"/>
              <w:rPr>
                <w:rFonts w:cs="Calibri"/>
                <w:b/>
                <w:bCs/>
                <w:color w:val="auto"/>
                <w:sz w:val="19"/>
                <w:szCs w:val="19"/>
              </w:rPr>
            </w:pPr>
            <w:r w:rsidRPr="00CF78F9">
              <w:rPr>
                <w:rFonts w:cs="Calibri"/>
                <w:b/>
                <w:bCs/>
                <w:color w:val="auto"/>
                <w:sz w:val="19"/>
                <w:szCs w:val="19"/>
              </w:rPr>
              <w:t>DO</w:t>
            </w:r>
          </w:p>
        </w:tc>
        <w:tc>
          <w:tcPr>
            <w:tcW w:w="7602" w:type="dxa"/>
            <w:tcBorders>
              <w:top w:val="nil"/>
              <w:left w:val="nil"/>
              <w:bottom w:val="nil"/>
              <w:right w:val="nil"/>
            </w:tcBorders>
            <w:noWrap/>
          </w:tcPr>
          <w:p w14:paraId="6C5D2675" w14:textId="6576A841" w:rsidR="00FE09DE" w:rsidRPr="004E0E6F" w:rsidRDefault="00FE09DE" w:rsidP="00130828">
            <w:pPr>
              <w:spacing w:after="0" w:line="240" w:lineRule="auto"/>
              <w:contextualSpacing/>
              <w:jc w:val="left"/>
              <w:rPr>
                <w:rFonts w:cs="Calibri"/>
                <w:sz w:val="19"/>
                <w:szCs w:val="19"/>
              </w:rPr>
            </w:pPr>
            <w:r>
              <w:rPr>
                <w:rFonts w:cs="Calibri"/>
                <w:sz w:val="19"/>
                <w:szCs w:val="19"/>
              </w:rPr>
              <w:t>Dissolved oxygen</w:t>
            </w:r>
          </w:p>
        </w:tc>
      </w:tr>
      <w:tr w:rsidR="001922D0" w:rsidRPr="004E0E6F" w14:paraId="0F7759F3" w14:textId="77777777" w:rsidTr="00130828">
        <w:trPr>
          <w:trHeight w:val="312"/>
        </w:trPr>
        <w:tc>
          <w:tcPr>
            <w:tcW w:w="1327" w:type="dxa"/>
            <w:tcBorders>
              <w:top w:val="nil"/>
              <w:left w:val="nil"/>
              <w:bottom w:val="nil"/>
              <w:right w:val="nil"/>
            </w:tcBorders>
            <w:noWrap/>
          </w:tcPr>
          <w:p w14:paraId="5799E0D2"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DOC</w:t>
            </w:r>
          </w:p>
        </w:tc>
        <w:tc>
          <w:tcPr>
            <w:tcW w:w="7602" w:type="dxa"/>
            <w:tcBorders>
              <w:top w:val="nil"/>
              <w:left w:val="nil"/>
              <w:bottom w:val="nil"/>
              <w:right w:val="nil"/>
            </w:tcBorders>
            <w:noWrap/>
          </w:tcPr>
          <w:p w14:paraId="4552AB03"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Dissolved organic carbon</w:t>
            </w:r>
          </w:p>
        </w:tc>
      </w:tr>
      <w:tr w:rsidR="001922D0" w:rsidRPr="004E0E6F" w14:paraId="7EF56761" w14:textId="77777777" w:rsidTr="00130828">
        <w:trPr>
          <w:trHeight w:val="312"/>
        </w:trPr>
        <w:tc>
          <w:tcPr>
            <w:tcW w:w="1327" w:type="dxa"/>
            <w:tcBorders>
              <w:top w:val="nil"/>
              <w:left w:val="nil"/>
              <w:bottom w:val="nil"/>
              <w:right w:val="nil"/>
            </w:tcBorders>
            <w:noWrap/>
          </w:tcPr>
          <w:p w14:paraId="5B392563"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ER</w:t>
            </w:r>
          </w:p>
        </w:tc>
        <w:tc>
          <w:tcPr>
            <w:tcW w:w="7602" w:type="dxa"/>
            <w:tcBorders>
              <w:top w:val="nil"/>
              <w:left w:val="nil"/>
              <w:bottom w:val="nil"/>
              <w:right w:val="nil"/>
            </w:tcBorders>
            <w:noWrap/>
          </w:tcPr>
          <w:p w14:paraId="3A5C38A2"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Ecosystem respiration</w:t>
            </w:r>
          </w:p>
        </w:tc>
      </w:tr>
      <w:tr w:rsidR="001922D0" w:rsidRPr="004E0E6F" w14:paraId="634C6016" w14:textId="77777777" w:rsidTr="00130828">
        <w:trPr>
          <w:trHeight w:val="312"/>
        </w:trPr>
        <w:tc>
          <w:tcPr>
            <w:tcW w:w="1327" w:type="dxa"/>
            <w:tcBorders>
              <w:top w:val="nil"/>
              <w:left w:val="nil"/>
              <w:bottom w:val="nil"/>
              <w:right w:val="nil"/>
            </w:tcBorders>
            <w:noWrap/>
          </w:tcPr>
          <w:p w14:paraId="278BEDD9"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GPP</w:t>
            </w:r>
          </w:p>
        </w:tc>
        <w:tc>
          <w:tcPr>
            <w:tcW w:w="7602" w:type="dxa"/>
            <w:tcBorders>
              <w:top w:val="nil"/>
              <w:left w:val="nil"/>
              <w:bottom w:val="nil"/>
              <w:right w:val="nil"/>
            </w:tcBorders>
            <w:noWrap/>
          </w:tcPr>
          <w:p w14:paraId="3E30702E"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Gross primary production</w:t>
            </w:r>
          </w:p>
        </w:tc>
      </w:tr>
      <w:tr w:rsidR="00061DDC" w:rsidRPr="004E0E6F" w14:paraId="6B28CE45" w14:textId="77777777" w:rsidTr="00130828">
        <w:trPr>
          <w:trHeight w:val="312"/>
        </w:trPr>
        <w:tc>
          <w:tcPr>
            <w:tcW w:w="1327" w:type="dxa"/>
            <w:tcBorders>
              <w:top w:val="nil"/>
              <w:left w:val="nil"/>
              <w:bottom w:val="nil"/>
              <w:right w:val="nil"/>
            </w:tcBorders>
            <w:noWrap/>
          </w:tcPr>
          <w:p w14:paraId="55786858" w14:textId="3D54DB04" w:rsidR="00061DDC" w:rsidRPr="00CF78F9" w:rsidRDefault="00061DDC" w:rsidP="00130828">
            <w:pPr>
              <w:spacing w:after="0" w:line="240" w:lineRule="auto"/>
              <w:contextualSpacing/>
              <w:jc w:val="left"/>
              <w:rPr>
                <w:rFonts w:cs="Calibri"/>
                <w:b/>
                <w:bCs/>
                <w:color w:val="auto"/>
                <w:sz w:val="19"/>
                <w:szCs w:val="19"/>
              </w:rPr>
            </w:pPr>
            <w:r w:rsidRPr="00CF78F9">
              <w:rPr>
                <w:rFonts w:cs="Calibri"/>
                <w:b/>
                <w:bCs/>
                <w:color w:val="auto"/>
                <w:sz w:val="19"/>
                <w:szCs w:val="19"/>
              </w:rPr>
              <w:t>HCHB</w:t>
            </w:r>
          </w:p>
        </w:tc>
        <w:tc>
          <w:tcPr>
            <w:tcW w:w="7602" w:type="dxa"/>
            <w:tcBorders>
              <w:top w:val="nil"/>
              <w:left w:val="nil"/>
              <w:bottom w:val="nil"/>
              <w:right w:val="nil"/>
            </w:tcBorders>
            <w:noWrap/>
          </w:tcPr>
          <w:p w14:paraId="0747DE53" w14:textId="26EB42F8" w:rsidR="00061DDC" w:rsidRPr="004E0E6F" w:rsidRDefault="00061DDC" w:rsidP="00130828">
            <w:pPr>
              <w:spacing w:after="0" w:line="240" w:lineRule="auto"/>
              <w:contextualSpacing/>
              <w:jc w:val="left"/>
              <w:rPr>
                <w:rFonts w:cs="Calibri"/>
                <w:sz w:val="19"/>
                <w:szCs w:val="19"/>
              </w:rPr>
            </w:pPr>
            <w:r w:rsidRPr="00061DDC">
              <w:rPr>
                <w:rFonts w:cs="Calibri"/>
                <w:sz w:val="19"/>
                <w:szCs w:val="19"/>
              </w:rPr>
              <w:t>Healthy Coorong, Healthy Basin</w:t>
            </w:r>
          </w:p>
        </w:tc>
      </w:tr>
      <w:tr w:rsidR="001922D0" w:rsidRPr="004E0E6F" w14:paraId="3AB81539" w14:textId="77777777" w:rsidTr="00130828">
        <w:trPr>
          <w:trHeight w:val="312"/>
        </w:trPr>
        <w:tc>
          <w:tcPr>
            <w:tcW w:w="1327" w:type="dxa"/>
            <w:tcBorders>
              <w:top w:val="nil"/>
              <w:left w:val="nil"/>
              <w:bottom w:val="nil"/>
              <w:right w:val="nil"/>
            </w:tcBorders>
            <w:noWrap/>
          </w:tcPr>
          <w:p w14:paraId="040F21DC"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LMR</w:t>
            </w:r>
          </w:p>
        </w:tc>
        <w:tc>
          <w:tcPr>
            <w:tcW w:w="7602" w:type="dxa"/>
            <w:tcBorders>
              <w:top w:val="nil"/>
              <w:left w:val="nil"/>
              <w:bottom w:val="nil"/>
              <w:right w:val="nil"/>
            </w:tcBorders>
            <w:noWrap/>
          </w:tcPr>
          <w:p w14:paraId="53929DAF"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Lower Murray River (South Australian section of the Murray River).</w:t>
            </w:r>
          </w:p>
        </w:tc>
      </w:tr>
      <w:tr w:rsidR="001922D0" w:rsidRPr="004E0E6F" w14:paraId="78B88634" w14:textId="77777777" w:rsidTr="00130828">
        <w:trPr>
          <w:trHeight w:val="312"/>
        </w:trPr>
        <w:tc>
          <w:tcPr>
            <w:tcW w:w="1327" w:type="dxa"/>
            <w:tcBorders>
              <w:top w:val="nil"/>
              <w:left w:val="nil"/>
              <w:bottom w:val="nil"/>
              <w:right w:val="nil"/>
            </w:tcBorders>
            <w:noWrap/>
          </w:tcPr>
          <w:p w14:paraId="4312EC98"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LTIM</w:t>
            </w:r>
          </w:p>
        </w:tc>
        <w:tc>
          <w:tcPr>
            <w:tcW w:w="7602" w:type="dxa"/>
            <w:tcBorders>
              <w:top w:val="nil"/>
              <w:left w:val="nil"/>
              <w:bottom w:val="nil"/>
              <w:right w:val="nil"/>
            </w:tcBorders>
            <w:noWrap/>
          </w:tcPr>
          <w:p w14:paraId="480B6899"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Long-Term Intervention Monitoring</w:t>
            </w:r>
          </w:p>
        </w:tc>
      </w:tr>
      <w:tr w:rsidR="001922D0" w:rsidRPr="004E0E6F" w14:paraId="1230BFA5" w14:textId="77777777" w:rsidTr="00130828">
        <w:trPr>
          <w:trHeight w:val="312"/>
        </w:trPr>
        <w:tc>
          <w:tcPr>
            <w:tcW w:w="1327" w:type="dxa"/>
            <w:tcBorders>
              <w:top w:val="nil"/>
              <w:left w:val="nil"/>
              <w:bottom w:val="nil"/>
              <w:right w:val="nil"/>
            </w:tcBorders>
            <w:noWrap/>
          </w:tcPr>
          <w:p w14:paraId="5A0163D0"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M&amp;E</w:t>
            </w:r>
          </w:p>
        </w:tc>
        <w:tc>
          <w:tcPr>
            <w:tcW w:w="7602" w:type="dxa"/>
            <w:tcBorders>
              <w:top w:val="nil"/>
              <w:left w:val="nil"/>
              <w:bottom w:val="nil"/>
              <w:right w:val="nil"/>
            </w:tcBorders>
            <w:noWrap/>
          </w:tcPr>
          <w:p w14:paraId="025F0433"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Monitoring and Evaluation</w:t>
            </w:r>
          </w:p>
        </w:tc>
      </w:tr>
      <w:tr w:rsidR="001922D0" w:rsidRPr="004E0E6F" w14:paraId="6497C688" w14:textId="77777777" w:rsidTr="00130828">
        <w:trPr>
          <w:trHeight w:val="312"/>
        </w:trPr>
        <w:tc>
          <w:tcPr>
            <w:tcW w:w="1327" w:type="dxa"/>
            <w:tcBorders>
              <w:top w:val="nil"/>
              <w:left w:val="nil"/>
              <w:bottom w:val="nil"/>
              <w:right w:val="nil"/>
            </w:tcBorders>
            <w:noWrap/>
            <w:hideMark/>
          </w:tcPr>
          <w:p w14:paraId="7334C960"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MDB</w:t>
            </w:r>
          </w:p>
        </w:tc>
        <w:tc>
          <w:tcPr>
            <w:tcW w:w="7602" w:type="dxa"/>
            <w:tcBorders>
              <w:top w:val="nil"/>
              <w:left w:val="nil"/>
              <w:bottom w:val="nil"/>
              <w:right w:val="nil"/>
            </w:tcBorders>
            <w:noWrap/>
            <w:hideMark/>
          </w:tcPr>
          <w:p w14:paraId="4B1E4DB4"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Murray–Darling Basin</w:t>
            </w:r>
          </w:p>
        </w:tc>
      </w:tr>
      <w:tr w:rsidR="001922D0" w:rsidRPr="004E0E6F" w14:paraId="02AB8159" w14:textId="77777777" w:rsidTr="00130828">
        <w:trPr>
          <w:trHeight w:val="312"/>
        </w:trPr>
        <w:tc>
          <w:tcPr>
            <w:tcW w:w="1327" w:type="dxa"/>
            <w:tcBorders>
              <w:top w:val="nil"/>
              <w:left w:val="nil"/>
              <w:bottom w:val="nil"/>
              <w:right w:val="nil"/>
            </w:tcBorders>
            <w:noWrap/>
          </w:tcPr>
          <w:p w14:paraId="2DA84EF0"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MDBA</w:t>
            </w:r>
          </w:p>
        </w:tc>
        <w:tc>
          <w:tcPr>
            <w:tcW w:w="7602" w:type="dxa"/>
            <w:tcBorders>
              <w:top w:val="nil"/>
              <w:left w:val="nil"/>
              <w:bottom w:val="nil"/>
              <w:right w:val="nil"/>
            </w:tcBorders>
            <w:noWrap/>
          </w:tcPr>
          <w:p w14:paraId="2CE90682"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Murray–Darling Basin Authority</w:t>
            </w:r>
          </w:p>
        </w:tc>
      </w:tr>
      <w:tr w:rsidR="00BE5181" w:rsidRPr="004E0E6F" w14:paraId="5EC64B30" w14:textId="77777777" w:rsidTr="00130828">
        <w:trPr>
          <w:trHeight w:val="312"/>
        </w:trPr>
        <w:tc>
          <w:tcPr>
            <w:tcW w:w="1327" w:type="dxa"/>
            <w:tcBorders>
              <w:top w:val="nil"/>
              <w:left w:val="nil"/>
              <w:bottom w:val="nil"/>
              <w:right w:val="nil"/>
            </w:tcBorders>
            <w:noWrap/>
          </w:tcPr>
          <w:p w14:paraId="226200FE" w14:textId="0BF766C0" w:rsidR="00BE5181" w:rsidRPr="00CF78F9" w:rsidRDefault="00BE5181" w:rsidP="00130828">
            <w:pPr>
              <w:spacing w:after="0" w:line="240" w:lineRule="auto"/>
              <w:contextualSpacing/>
              <w:jc w:val="left"/>
              <w:rPr>
                <w:rFonts w:cs="Calibri"/>
                <w:b/>
                <w:bCs/>
                <w:color w:val="auto"/>
                <w:sz w:val="19"/>
                <w:szCs w:val="19"/>
              </w:rPr>
            </w:pPr>
            <w:r w:rsidRPr="00CF78F9">
              <w:rPr>
                <w:rFonts w:cs="Calibri"/>
                <w:b/>
                <w:bCs/>
                <w:color w:val="auto"/>
                <w:sz w:val="19"/>
                <w:szCs w:val="19"/>
              </w:rPr>
              <w:t>MER</w:t>
            </w:r>
          </w:p>
        </w:tc>
        <w:tc>
          <w:tcPr>
            <w:tcW w:w="7602" w:type="dxa"/>
            <w:tcBorders>
              <w:top w:val="nil"/>
              <w:left w:val="nil"/>
              <w:bottom w:val="nil"/>
              <w:right w:val="nil"/>
            </w:tcBorders>
            <w:noWrap/>
          </w:tcPr>
          <w:p w14:paraId="24CCC5A0" w14:textId="22A8EDEC" w:rsidR="00BE5181" w:rsidRPr="004E0E6F" w:rsidRDefault="00BE5181" w:rsidP="00130828">
            <w:pPr>
              <w:spacing w:after="0" w:line="240" w:lineRule="auto"/>
              <w:contextualSpacing/>
              <w:jc w:val="left"/>
              <w:rPr>
                <w:rFonts w:cs="Calibri"/>
                <w:sz w:val="19"/>
                <w:szCs w:val="19"/>
              </w:rPr>
            </w:pPr>
            <w:r>
              <w:rPr>
                <w:rFonts w:cs="Calibri"/>
                <w:sz w:val="19"/>
                <w:szCs w:val="19"/>
              </w:rPr>
              <w:t>Monitoring, Evaluation and Research</w:t>
            </w:r>
          </w:p>
        </w:tc>
      </w:tr>
      <w:tr w:rsidR="00FE09DE" w:rsidRPr="004E0E6F" w14:paraId="16706601" w14:textId="77777777" w:rsidTr="00130828">
        <w:trPr>
          <w:trHeight w:val="312"/>
        </w:trPr>
        <w:tc>
          <w:tcPr>
            <w:tcW w:w="1327" w:type="dxa"/>
            <w:tcBorders>
              <w:top w:val="nil"/>
              <w:left w:val="nil"/>
              <w:bottom w:val="nil"/>
              <w:right w:val="nil"/>
            </w:tcBorders>
            <w:noWrap/>
          </w:tcPr>
          <w:p w14:paraId="452E35A8" w14:textId="2161A4A1" w:rsidR="00FE09DE" w:rsidRPr="00CF78F9" w:rsidRDefault="00FE09DE" w:rsidP="00130828">
            <w:pPr>
              <w:spacing w:after="0" w:line="240" w:lineRule="auto"/>
              <w:contextualSpacing/>
              <w:jc w:val="left"/>
              <w:rPr>
                <w:rFonts w:cs="Calibri"/>
                <w:b/>
                <w:bCs/>
                <w:color w:val="auto"/>
                <w:sz w:val="19"/>
                <w:szCs w:val="19"/>
              </w:rPr>
            </w:pPr>
            <w:r w:rsidRPr="00CF78F9">
              <w:rPr>
                <w:rFonts w:cs="Calibri"/>
                <w:b/>
                <w:bCs/>
                <w:color w:val="auto"/>
                <w:sz w:val="19"/>
                <w:szCs w:val="19"/>
              </w:rPr>
              <w:t>NEP</w:t>
            </w:r>
          </w:p>
        </w:tc>
        <w:tc>
          <w:tcPr>
            <w:tcW w:w="7602" w:type="dxa"/>
            <w:tcBorders>
              <w:top w:val="nil"/>
              <w:left w:val="nil"/>
              <w:bottom w:val="nil"/>
              <w:right w:val="nil"/>
            </w:tcBorders>
            <w:noWrap/>
          </w:tcPr>
          <w:p w14:paraId="18CD48D9" w14:textId="2322C611" w:rsidR="00FE09DE" w:rsidRDefault="00FE09DE" w:rsidP="00130828">
            <w:pPr>
              <w:spacing w:after="0" w:line="240" w:lineRule="auto"/>
              <w:contextualSpacing/>
              <w:jc w:val="left"/>
              <w:rPr>
                <w:rFonts w:cs="Calibri"/>
                <w:sz w:val="19"/>
                <w:szCs w:val="19"/>
              </w:rPr>
            </w:pPr>
            <w:r>
              <w:rPr>
                <w:rFonts w:cs="Calibri"/>
                <w:sz w:val="19"/>
                <w:szCs w:val="19"/>
              </w:rPr>
              <w:t>Net ecosystem production</w:t>
            </w:r>
          </w:p>
        </w:tc>
      </w:tr>
      <w:tr w:rsidR="001922D0" w:rsidRPr="004E0E6F" w14:paraId="6913F543" w14:textId="77777777" w:rsidTr="00130828">
        <w:trPr>
          <w:trHeight w:val="312"/>
        </w:trPr>
        <w:tc>
          <w:tcPr>
            <w:tcW w:w="1327" w:type="dxa"/>
            <w:tcBorders>
              <w:top w:val="nil"/>
              <w:left w:val="nil"/>
              <w:bottom w:val="nil"/>
              <w:right w:val="nil"/>
            </w:tcBorders>
            <w:noWrap/>
          </w:tcPr>
          <w:p w14:paraId="088DD7D3"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NPL</w:t>
            </w:r>
          </w:p>
        </w:tc>
        <w:tc>
          <w:tcPr>
            <w:tcW w:w="7602" w:type="dxa"/>
            <w:tcBorders>
              <w:top w:val="nil"/>
              <w:left w:val="nil"/>
              <w:bottom w:val="nil"/>
              <w:right w:val="nil"/>
            </w:tcBorders>
            <w:noWrap/>
          </w:tcPr>
          <w:p w14:paraId="449D7EBD"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Normal pool level</w:t>
            </w:r>
          </w:p>
        </w:tc>
      </w:tr>
      <w:tr w:rsidR="001922D0" w:rsidRPr="004E0E6F" w14:paraId="58C89DDE" w14:textId="77777777" w:rsidTr="00130828">
        <w:trPr>
          <w:trHeight w:val="312"/>
        </w:trPr>
        <w:tc>
          <w:tcPr>
            <w:tcW w:w="1327" w:type="dxa"/>
            <w:tcBorders>
              <w:top w:val="nil"/>
              <w:left w:val="nil"/>
              <w:bottom w:val="nil"/>
              <w:right w:val="nil"/>
            </w:tcBorders>
            <w:noWrap/>
          </w:tcPr>
          <w:p w14:paraId="3DB4E960" w14:textId="0BE0D7C6"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 xml:space="preserve">NSW </w:t>
            </w:r>
            <w:r w:rsidR="008A70C9" w:rsidRPr="00CF78F9">
              <w:rPr>
                <w:rFonts w:cs="Calibri"/>
                <w:b/>
                <w:bCs/>
                <w:color w:val="auto"/>
                <w:sz w:val="19"/>
                <w:szCs w:val="19"/>
              </w:rPr>
              <w:t>DPIE</w:t>
            </w:r>
          </w:p>
        </w:tc>
        <w:tc>
          <w:tcPr>
            <w:tcW w:w="7602" w:type="dxa"/>
            <w:tcBorders>
              <w:top w:val="nil"/>
              <w:left w:val="nil"/>
              <w:bottom w:val="nil"/>
              <w:right w:val="nil"/>
            </w:tcBorders>
            <w:noWrap/>
          </w:tcPr>
          <w:p w14:paraId="6069E024" w14:textId="59588239" w:rsidR="001922D0" w:rsidRPr="004E0E6F" w:rsidRDefault="008A70C9" w:rsidP="00130828">
            <w:pPr>
              <w:spacing w:after="0" w:line="240" w:lineRule="auto"/>
              <w:contextualSpacing/>
              <w:jc w:val="left"/>
              <w:rPr>
                <w:rFonts w:cs="Calibri"/>
                <w:sz w:val="19"/>
                <w:szCs w:val="19"/>
              </w:rPr>
            </w:pPr>
            <w:r w:rsidRPr="008A70C9">
              <w:rPr>
                <w:rFonts w:cs="Calibri"/>
                <w:sz w:val="19"/>
                <w:szCs w:val="19"/>
              </w:rPr>
              <w:t>New South Wales Department of Planning, Industry and Environment</w:t>
            </w:r>
          </w:p>
        </w:tc>
      </w:tr>
      <w:tr w:rsidR="00245A27" w:rsidRPr="004E0E6F" w14:paraId="6F04D397" w14:textId="77777777" w:rsidTr="00130828">
        <w:trPr>
          <w:trHeight w:val="312"/>
        </w:trPr>
        <w:tc>
          <w:tcPr>
            <w:tcW w:w="1327" w:type="dxa"/>
            <w:tcBorders>
              <w:top w:val="nil"/>
              <w:left w:val="nil"/>
              <w:bottom w:val="nil"/>
              <w:right w:val="nil"/>
            </w:tcBorders>
            <w:noWrap/>
          </w:tcPr>
          <w:p w14:paraId="5C6C0693" w14:textId="7E3DF7A3" w:rsidR="00245A27" w:rsidRPr="00CF78F9" w:rsidRDefault="00245A27" w:rsidP="00130828">
            <w:pPr>
              <w:spacing w:after="0" w:line="240" w:lineRule="auto"/>
              <w:contextualSpacing/>
              <w:jc w:val="left"/>
              <w:rPr>
                <w:rFonts w:cs="Calibri"/>
                <w:b/>
                <w:bCs/>
                <w:color w:val="auto"/>
                <w:sz w:val="19"/>
                <w:szCs w:val="19"/>
              </w:rPr>
            </w:pPr>
            <w:r w:rsidRPr="00CF78F9">
              <w:rPr>
                <w:rFonts w:cs="Calibri"/>
                <w:b/>
                <w:bCs/>
                <w:color w:val="auto"/>
                <w:sz w:val="19"/>
                <w:szCs w:val="19"/>
              </w:rPr>
              <w:t>PCR</w:t>
            </w:r>
          </w:p>
        </w:tc>
        <w:tc>
          <w:tcPr>
            <w:tcW w:w="7602" w:type="dxa"/>
            <w:tcBorders>
              <w:top w:val="nil"/>
              <w:left w:val="nil"/>
              <w:bottom w:val="nil"/>
              <w:right w:val="nil"/>
            </w:tcBorders>
            <w:noWrap/>
          </w:tcPr>
          <w:p w14:paraId="37450CB2" w14:textId="603BECF9" w:rsidR="00245A27" w:rsidRPr="008A70C9" w:rsidRDefault="00245A27" w:rsidP="00130828">
            <w:pPr>
              <w:spacing w:after="0" w:line="240" w:lineRule="auto"/>
              <w:contextualSpacing/>
              <w:jc w:val="left"/>
              <w:rPr>
                <w:rFonts w:cs="Calibri"/>
                <w:sz w:val="19"/>
                <w:szCs w:val="19"/>
              </w:rPr>
            </w:pPr>
            <w:r>
              <w:rPr>
                <w:rFonts w:cs="Calibri"/>
                <w:sz w:val="19"/>
                <w:szCs w:val="19"/>
              </w:rPr>
              <w:t>P</w:t>
            </w:r>
            <w:r w:rsidRPr="00245A27">
              <w:rPr>
                <w:rFonts w:cs="Calibri"/>
                <w:sz w:val="19"/>
                <w:szCs w:val="19"/>
              </w:rPr>
              <w:t>hytoplankton community respiration</w:t>
            </w:r>
          </w:p>
        </w:tc>
      </w:tr>
      <w:tr w:rsidR="00FE09DE" w:rsidRPr="004E0E6F" w14:paraId="3EF424A9" w14:textId="77777777" w:rsidTr="00130828">
        <w:trPr>
          <w:trHeight w:val="312"/>
        </w:trPr>
        <w:tc>
          <w:tcPr>
            <w:tcW w:w="1327" w:type="dxa"/>
            <w:tcBorders>
              <w:top w:val="nil"/>
              <w:left w:val="nil"/>
              <w:bottom w:val="nil"/>
              <w:right w:val="nil"/>
            </w:tcBorders>
            <w:noWrap/>
          </w:tcPr>
          <w:p w14:paraId="050D4DFE" w14:textId="39EC719E" w:rsidR="00FE09DE" w:rsidRPr="00CF78F9" w:rsidRDefault="00FE09DE" w:rsidP="00130828">
            <w:pPr>
              <w:spacing w:after="0" w:line="240" w:lineRule="auto"/>
              <w:contextualSpacing/>
              <w:jc w:val="left"/>
              <w:rPr>
                <w:rFonts w:cs="Calibri"/>
                <w:b/>
                <w:bCs/>
                <w:color w:val="auto"/>
                <w:sz w:val="19"/>
                <w:szCs w:val="19"/>
              </w:rPr>
            </w:pPr>
            <w:r w:rsidRPr="00CF78F9">
              <w:rPr>
                <w:rFonts w:cs="Calibri"/>
                <w:b/>
                <w:bCs/>
                <w:color w:val="auto"/>
                <w:sz w:val="19"/>
                <w:szCs w:val="19"/>
              </w:rPr>
              <w:t>PNP</w:t>
            </w:r>
          </w:p>
        </w:tc>
        <w:tc>
          <w:tcPr>
            <w:tcW w:w="7602" w:type="dxa"/>
            <w:tcBorders>
              <w:top w:val="nil"/>
              <w:left w:val="nil"/>
              <w:bottom w:val="nil"/>
              <w:right w:val="nil"/>
            </w:tcBorders>
            <w:noWrap/>
          </w:tcPr>
          <w:p w14:paraId="6A75A97E" w14:textId="6E6DEF4D" w:rsidR="00FE09DE" w:rsidRPr="008A70C9" w:rsidRDefault="00FE09DE" w:rsidP="00130828">
            <w:pPr>
              <w:spacing w:after="0" w:line="240" w:lineRule="auto"/>
              <w:contextualSpacing/>
              <w:jc w:val="left"/>
              <w:rPr>
                <w:rFonts w:cs="Calibri"/>
                <w:sz w:val="19"/>
                <w:szCs w:val="19"/>
              </w:rPr>
            </w:pPr>
            <w:r>
              <w:rPr>
                <w:rFonts w:cs="Calibri"/>
                <w:sz w:val="19"/>
                <w:szCs w:val="19"/>
              </w:rPr>
              <w:t>Phytoplankton net production</w:t>
            </w:r>
          </w:p>
        </w:tc>
      </w:tr>
      <w:tr w:rsidR="001922D0" w:rsidRPr="004E0E6F" w14:paraId="1FC48B5B" w14:textId="77777777" w:rsidTr="00130828">
        <w:trPr>
          <w:trHeight w:val="312"/>
        </w:trPr>
        <w:tc>
          <w:tcPr>
            <w:tcW w:w="1327" w:type="dxa"/>
            <w:tcBorders>
              <w:top w:val="nil"/>
              <w:left w:val="nil"/>
              <w:bottom w:val="nil"/>
              <w:right w:val="nil"/>
            </w:tcBorders>
            <w:noWrap/>
            <w:hideMark/>
          </w:tcPr>
          <w:p w14:paraId="235D30DB"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PSU</w:t>
            </w:r>
          </w:p>
        </w:tc>
        <w:tc>
          <w:tcPr>
            <w:tcW w:w="7602" w:type="dxa"/>
            <w:tcBorders>
              <w:top w:val="nil"/>
              <w:left w:val="nil"/>
              <w:bottom w:val="nil"/>
              <w:right w:val="nil"/>
            </w:tcBorders>
            <w:noWrap/>
            <w:hideMark/>
          </w:tcPr>
          <w:p w14:paraId="492807EB"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Practical salinity units</w:t>
            </w:r>
          </w:p>
        </w:tc>
      </w:tr>
      <w:tr w:rsidR="001922D0" w:rsidRPr="004E0E6F" w14:paraId="717DFB08" w14:textId="77777777" w:rsidTr="00130828">
        <w:trPr>
          <w:trHeight w:val="312"/>
        </w:trPr>
        <w:tc>
          <w:tcPr>
            <w:tcW w:w="1327" w:type="dxa"/>
            <w:tcBorders>
              <w:top w:val="nil"/>
              <w:left w:val="nil"/>
              <w:bottom w:val="nil"/>
              <w:right w:val="nil"/>
            </w:tcBorders>
            <w:noWrap/>
          </w:tcPr>
          <w:p w14:paraId="5222D263"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RMIF</w:t>
            </w:r>
          </w:p>
        </w:tc>
        <w:tc>
          <w:tcPr>
            <w:tcW w:w="7602" w:type="dxa"/>
            <w:tcBorders>
              <w:top w:val="nil"/>
              <w:left w:val="nil"/>
              <w:bottom w:val="nil"/>
              <w:right w:val="nil"/>
            </w:tcBorders>
            <w:noWrap/>
          </w:tcPr>
          <w:p w14:paraId="1CEDFFE0"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River Murray Increased Flows</w:t>
            </w:r>
          </w:p>
        </w:tc>
      </w:tr>
      <w:tr w:rsidR="00061DDC" w:rsidRPr="004E0E6F" w14:paraId="519DBB9B" w14:textId="77777777" w:rsidTr="00130828">
        <w:trPr>
          <w:trHeight w:val="312"/>
        </w:trPr>
        <w:tc>
          <w:tcPr>
            <w:tcW w:w="1327" w:type="dxa"/>
            <w:tcBorders>
              <w:top w:val="nil"/>
              <w:left w:val="nil"/>
              <w:bottom w:val="nil"/>
              <w:right w:val="nil"/>
            </w:tcBorders>
            <w:noWrap/>
          </w:tcPr>
          <w:p w14:paraId="15D3E52F" w14:textId="230346E5" w:rsidR="00061DDC" w:rsidRPr="00CF78F9" w:rsidRDefault="00061DDC" w:rsidP="00130828">
            <w:pPr>
              <w:spacing w:after="0" w:line="240" w:lineRule="auto"/>
              <w:contextualSpacing/>
              <w:jc w:val="left"/>
              <w:rPr>
                <w:rFonts w:cs="Calibri"/>
                <w:b/>
                <w:bCs/>
                <w:color w:val="auto"/>
                <w:sz w:val="19"/>
                <w:szCs w:val="19"/>
              </w:rPr>
            </w:pPr>
            <w:r w:rsidRPr="00CF78F9">
              <w:rPr>
                <w:rFonts w:cs="Calibri"/>
                <w:b/>
                <w:bCs/>
                <w:color w:val="auto"/>
                <w:sz w:val="19"/>
                <w:szCs w:val="19"/>
              </w:rPr>
              <w:t>SARDI</w:t>
            </w:r>
          </w:p>
        </w:tc>
        <w:tc>
          <w:tcPr>
            <w:tcW w:w="7602" w:type="dxa"/>
            <w:tcBorders>
              <w:top w:val="nil"/>
              <w:left w:val="nil"/>
              <w:bottom w:val="nil"/>
              <w:right w:val="nil"/>
            </w:tcBorders>
            <w:noWrap/>
          </w:tcPr>
          <w:p w14:paraId="7D0C080C" w14:textId="5E27EAFF" w:rsidR="00061DDC" w:rsidRPr="004E0E6F" w:rsidRDefault="00061DDC" w:rsidP="00130828">
            <w:pPr>
              <w:spacing w:after="0" w:line="240" w:lineRule="auto"/>
              <w:contextualSpacing/>
              <w:jc w:val="left"/>
              <w:rPr>
                <w:rFonts w:cs="Calibri"/>
                <w:sz w:val="19"/>
                <w:szCs w:val="19"/>
              </w:rPr>
            </w:pPr>
            <w:r w:rsidRPr="00061DDC">
              <w:rPr>
                <w:rFonts w:cs="Calibri"/>
                <w:sz w:val="19"/>
                <w:szCs w:val="19"/>
              </w:rPr>
              <w:t>South Australian Research and Development Institute</w:t>
            </w:r>
          </w:p>
        </w:tc>
      </w:tr>
      <w:tr w:rsidR="001922D0" w:rsidRPr="004E0E6F" w14:paraId="07C90683" w14:textId="77777777" w:rsidTr="00130828">
        <w:trPr>
          <w:trHeight w:val="312"/>
        </w:trPr>
        <w:tc>
          <w:tcPr>
            <w:tcW w:w="1327" w:type="dxa"/>
            <w:tcBorders>
              <w:top w:val="nil"/>
              <w:left w:val="nil"/>
              <w:bottom w:val="nil"/>
              <w:right w:val="nil"/>
            </w:tcBorders>
            <w:noWrap/>
            <w:hideMark/>
          </w:tcPr>
          <w:p w14:paraId="091446C3"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TL</w:t>
            </w:r>
          </w:p>
        </w:tc>
        <w:tc>
          <w:tcPr>
            <w:tcW w:w="7602" w:type="dxa"/>
            <w:tcBorders>
              <w:top w:val="nil"/>
              <w:left w:val="nil"/>
              <w:bottom w:val="nil"/>
              <w:right w:val="nil"/>
            </w:tcBorders>
            <w:noWrap/>
            <w:hideMark/>
          </w:tcPr>
          <w:p w14:paraId="69EB6D32"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Total length</w:t>
            </w:r>
          </w:p>
        </w:tc>
      </w:tr>
      <w:tr w:rsidR="001922D0" w:rsidRPr="004E0E6F" w14:paraId="5BC3A2D0" w14:textId="77777777" w:rsidTr="00130828">
        <w:trPr>
          <w:trHeight w:val="312"/>
        </w:trPr>
        <w:tc>
          <w:tcPr>
            <w:tcW w:w="1327" w:type="dxa"/>
            <w:tcBorders>
              <w:top w:val="nil"/>
              <w:left w:val="nil"/>
              <w:bottom w:val="nil"/>
              <w:right w:val="nil"/>
            </w:tcBorders>
            <w:noWrap/>
          </w:tcPr>
          <w:p w14:paraId="460B7FEB"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TLM</w:t>
            </w:r>
          </w:p>
        </w:tc>
        <w:tc>
          <w:tcPr>
            <w:tcW w:w="7602" w:type="dxa"/>
            <w:tcBorders>
              <w:top w:val="nil"/>
              <w:left w:val="nil"/>
              <w:bottom w:val="nil"/>
              <w:right w:val="nil"/>
            </w:tcBorders>
            <w:noWrap/>
          </w:tcPr>
          <w:p w14:paraId="42373A48"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The Living Murray</w:t>
            </w:r>
          </w:p>
        </w:tc>
      </w:tr>
      <w:tr w:rsidR="00AA20D1" w:rsidRPr="004E0E6F" w14:paraId="6770026D" w14:textId="77777777" w:rsidTr="00130828">
        <w:trPr>
          <w:trHeight w:val="312"/>
        </w:trPr>
        <w:tc>
          <w:tcPr>
            <w:tcW w:w="1327" w:type="dxa"/>
            <w:tcBorders>
              <w:top w:val="nil"/>
              <w:left w:val="nil"/>
              <w:bottom w:val="nil"/>
              <w:right w:val="nil"/>
            </w:tcBorders>
            <w:noWrap/>
          </w:tcPr>
          <w:p w14:paraId="18C5DEC5" w14:textId="32A12264" w:rsidR="00AA20D1" w:rsidRPr="00CF78F9" w:rsidRDefault="00AA20D1" w:rsidP="00130828">
            <w:pPr>
              <w:spacing w:after="0" w:line="240" w:lineRule="auto"/>
              <w:contextualSpacing/>
              <w:jc w:val="left"/>
              <w:rPr>
                <w:rFonts w:cs="Calibri"/>
                <w:b/>
                <w:bCs/>
                <w:color w:val="auto"/>
                <w:sz w:val="19"/>
                <w:szCs w:val="19"/>
              </w:rPr>
            </w:pPr>
            <w:r w:rsidRPr="00CF78F9">
              <w:rPr>
                <w:rFonts w:cs="Calibri"/>
                <w:b/>
                <w:bCs/>
                <w:color w:val="auto"/>
                <w:sz w:val="19"/>
                <w:szCs w:val="19"/>
              </w:rPr>
              <w:t>TN</w:t>
            </w:r>
          </w:p>
        </w:tc>
        <w:tc>
          <w:tcPr>
            <w:tcW w:w="7602" w:type="dxa"/>
            <w:tcBorders>
              <w:top w:val="nil"/>
              <w:left w:val="nil"/>
              <w:bottom w:val="nil"/>
              <w:right w:val="nil"/>
            </w:tcBorders>
            <w:noWrap/>
          </w:tcPr>
          <w:p w14:paraId="79FFDA8B" w14:textId="0A054723" w:rsidR="00AA20D1" w:rsidRPr="004E0E6F" w:rsidRDefault="00AA20D1" w:rsidP="00130828">
            <w:pPr>
              <w:spacing w:after="0" w:line="240" w:lineRule="auto"/>
              <w:contextualSpacing/>
              <w:jc w:val="left"/>
              <w:rPr>
                <w:rFonts w:cs="Calibri"/>
                <w:sz w:val="19"/>
                <w:szCs w:val="19"/>
              </w:rPr>
            </w:pPr>
            <w:r>
              <w:rPr>
                <w:rFonts w:cs="Calibri"/>
                <w:sz w:val="19"/>
                <w:szCs w:val="19"/>
              </w:rPr>
              <w:t>Total nitrogen</w:t>
            </w:r>
          </w:p>
        </w:tc>
      </w:tr>
      <w:tr w:rsidR="00AA20D1" w:rsidRPr="004E0E6F" w14:paraId="3F5F61C8" w14:textId="77777777" w:rsidTr="00130828">
        <w:trPr>
          <w:trHeight w:val="312"/>
        </w:trPr>
        <w:tc>
          <w:tcPr>
            <w:tcW w:w="1327" w:type="dxa"/>
            <w:tcBorders>
              <w:top w:val="nil"/>
              <w:left w:val="nil"/>
              <w:bottom w:val="nil"/>
              <w:right w:val="nil"/>
            </w:tcBorders>
            <w:noWrap/>
          </w:tcPr>
          <w:p w14:paraId="62E6306F" w14:textId="5EF8BCB7" w:rsidR="00AA20D1" w:rsidRPr="00CF78F9" w:rsidRDefault="00AA20D1" w:rsidP="00130828">
            <w:pPr>
              <w:spacing w:after="0" w:line="240" w:lineRule="auto"/>
              <w:contextualSpacing/>
              <w:jc w:val="left"/>
              <w:rPr>
                <w:rFonts w:cs="Calibri"/>
                <w:b/>
                <w:bCs/>
                <w:color w:val="auto"/>
                <w:sz w:val="19"/>
                <w:szCs w:val="19"/>
              </w:rPr>
            </w:pPr>
            <w:r w:rsidRPr="00CF78F9">
              <w:rPr>
                <w:rFonts w:cs="Calibri"/>
                <w:b/>
                <w:bCs/>
                <w:color w:val="auto"/>
                <w:sz w:val="19"/>
                <w:szCs w:val="19"/>
              </w:rPr>
              <w:t>TP</w:t>
            </w:r>
          </w:p>
        </w:tc>
        <w:tc>
          <w:tcPr>
            <w:tcW w:w="7602" w:type="dxa"/>
            <w:tcBorders>
              <w:top w:val="nil"/>
              <w:left w:val="nil"/>
              <w:bottom w:val="nil"/>
              <w:right w:val="nil"/>
            </w:tcBorders>
            <w:noWrap/>
          </w:tcPr>
          <w:p w14:paraId="33DCF994" w14:textId="0A6868AB" w:rsidR="00AA20D1" w:rsidRDefault="00AA20D1" w:rsidP="00130828">
            <w:pPr>
              <w:spacing w:after="0" w:line="240" w:lineRule="auto"/>
              <w:contextualSpacing/>
              <w:jc w:val="left"/>
              <w:rPr>
                <w:rFonts w:cs="Calibri"/>
                <w:sz w:val="19"/>
                <w:szCs w:val="19"/>
              </w:rPr>
            </w:pPr>
            <w:r>
              <w:rPr>
                <w:rFonts w:cs="Calibri"/>
                <w:sz w:val="19"/>
                <w:szCs w:val="19"/>
              </w:rPr>
              <w:t>Total phosphorus</w:t>
            </w:r>
          </w:p>
        </w:tc>
      </w:tr>
      <w:tr w:rsidR="001922D0" w:rsidRPr="004E0E6F" w14:paraId="300BCDC0" w14:textId="77777777" w:rsidTr="00130828">
        <w:trPr>
          <w:trHeight w:val="312"/>
        </w:trPr>
        <w:tc>
          <w:tcPr>
            <w:tcW w:w="1327" w:type="dxa"/>
            <w:tcBorders>
              <w:top w:val="nil"/>
              <w:left w:val="nil"/>
              <w:bottom w:val="nil"/>
              <w:right w:val="nil"/>
            </w:tcBorders>
            <w:noWrap/>
          </w:tcPr>
          <w:p w14:paraId="7B49EA6A"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VEWH</w:t>
            </w:r>
          </w:p>
        </w:tc>
        <w:tc>
          <w:tcPr>
            <w:tcW w:w="7602" w:type="dxa"/>
            <w:tcBorders>
              <w:top w:val="nil"/>
              <w:left w:val="nil"/>
              <w:bottom w:val="nil"/>
              <w:right w:val="nil"/>
            </w:tcBorders>
            <w:noWrap/>
          </w:tcPr>
          <w:p w14:paraId="5DB2D114"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Victorian Environmental Water Holder</w:t>
            </w:r>
          </w:p>
        </w:tc>
      </w:tr>
      <w:tr w:rsidR="00FE09DE" w:rsidRPr="004E0E6F" w14:paraId="18571F0B" w14:textId="77777777" w:rsidTr="00130828">
        <w:trPr>
          <w:trHeight w:val="312"/>
        </w:trPr>
        <w:tc>
          <w:tcPr>
            <w:tcW w:w="1327" w:type="dxa"/>
            <w:tcBorders>
              <w:top w:val="nil"/>
              <w:left w:val="nil"/>
              <w:bottom w:val="nil"/>
              <w:right w:val="nil"/>
            </w:tcBorders>
            <w:noWrap/>
          </w:tcPr>
          <w:p w14:paraId="75E40095" w14:textId="4749E7DF" w:rsidR="00FE09DE" w:rsidRPr="00CF78F9" w:rsidRDefault="00FE09DE" w:rsidP="00130828">
            <w:pPr>
              <w:spacing w:after="0" w:line="240" w:lineRule="auto"/>
              <w:contextualSpacing/>
              <w:jc w:val="left"/>
              <w:rPr>
                <w:rFonts w:cs="Calibri"/>
                <w:b/>
                <w:bCs/>
                <w:color w:val="auto"/>
                <w:sz w:val="19"/>
                <w:szCs w:val="19"/>
              </w:rPr>
            </w:pPr>
            <w:r w:rsidRPr="00CF78F9">
              <w:rPr>
                <w:rFonts w:cs="Calibri"/>
                <w:b/>
                <w:bCs/>
                <w:color w:val="auto"/>
                <w:sz w:val="19"/>
                <w:szCs w:val="19"/>
              </w:rPr>
              <w:t>WoD</w:t>
            </w:r>
          </w:p>
        </w:tc>
        <w:tc>
          <w:tcPr>
            <w:tcW w:w="7602" w:type="dxa"/>
            <w:tcBorders>
              <w:top w:val="nil"/>
              <w:left w:val="nil"/>
              <w:bottom w:val="nil"/>
              <w:right w:val="nil"/>
            </w:tcBorders>
            <w:noWrap/>
          </w:tcPr>
          <w:p w14:paraId="46F74D23" w14:textId="08C0C6F9" w:rsidR="00FE09DE" w:rsidRPr="004E0E6F" w:rsidRDefault="00FE09DE" w:rsidP="00130828">
            <w:pPr>
              <w:spacing w:after="0" w:line="240" w:lineRule="auto"/>
              <w:contextualSpacing/>
              <w:jc w:val="left"/>
              <w:rPr>
                <w:rFonts w:cs="Calibri"/>
                <w:sz w:val="19"/>
                <w:szCs w:val="19"/>
              </w:rPr>
            </w:pPr>
            <w:r>
              <w:rPr>
                <w:rFonts w:cs="Calibri"/>
                <w:sz w:val="19"/>
                <w:szCs w:val="19"/>
              </w:rPr>
              <w:t>Without development</w:t>
            </w:r>
          </w:p>
        </w:tc>
      </w:tr>
      <w:tr w:rsidR="001922D0" w:rsidRPr="004E0E6F" w14:paraId="55D626CF" w14:textId="77777777" w:rsidTr="00130828">
        <w:trPr>
          <w:trHeight w:val="312"/>
        </w:trPr>
        <w:tc>
          <w:tcPr>
            <w:tcW w:w="1327" w:type="dxa"/>
            <w:tcBorders>
              <w:top w:val="nil"/>
              <w:left w:val="nil"/>
              <w:bottom w:val="nil"/>
              <w:right w:val="nil"/>
            </w:tcBorders>
            <w:noWrap/>
          </w:tcPr>
          <w:p w14:paraId="4FE0FE4A" w14:textId="77777777" w:rsidR="001922D0" w:rsidRPr="00CF78F9" w:rsidRDefault="001922D0" w:rsidP="00130828">
            <w:pPr>
              <w:spacing w:after="0" w:line="240" w:lineRule="auto"/>
              <w:contextualSpacing/>
              <w:jc w:val="left"/>
              <w:rPr>
                <w:rFonts w:cs="Calibri"/>
                <w:b/>
                <w:bCs/>
                <w:color w:val="auto"/>
                <w:sz w:val="19"/>
                <w:szCs w:val="19"/>
              </w:rPr>
            </w:pPr>
            <w:r w:rsidRPr="00CF78F9">
              <w:rPr>
                <w:rFonts w:cs="Calibri"/>
                <w:b/>
                <w:bCs/>
                <w:color w:val="auto"/>
                <w:sz w:val="19"/>
                <w:szCs w:val="19"/>
              </w:rPr>
              <w:t>YOY</w:t>
            </w:r>
          </w:p>
        </w:tc>
        <w:tc>
          <w:tcPr>
            <w:tcW w:w="7602" w:type="dxa"/>
            <w:tcBorders>
              <w:top w:val="nil"/>
              <w:left w:val="nil"/>
              <w:bottom w:val="nil"/>
              <w:right w:val="nil"/>
            </w:tcBorders>
            <w:noWrap/>
          </w:tcPr>
          <w:p w14:paraId="058837ED" w14:textId="77777777" w:rsidR="001922D0" w:rsidRPr="004E0E6F" w:rsidRDefault="001922D0" w:rsidP="00130828">
            <w:pPr>
              <w:spacing w:after="0" w:line="240" w:lineRule="auto"/>
              <w:contextualSpacing/>
              <w:jc w:val="left"/>
              <w:rPr>
                <w:rFonts w:cs="Calibri"/>
                <w:sz w:val="19"/>
                <w:szCs w:val="19"/>
              </w:rPr>
            </w:pPr>
            <w:r w:rsidRPr="004E0E6F">
              <w:rPr>
                <w:rFonts w:cs="Calibri"/>
                <w:sz w:val="19"/>
                <w:szCs w:val="19"/>
              </w:rPr>
              <w:t>Young-of-year</w:t>
            </w:r>
          </w:p>
        </w:tc>
      </w:tr>
    </w:tbl>
    <w:p w14:paraId="5A5E0249" w14:textId="0C91927F" w:rsidR="001922D0" w:rsidRDefault="001922D0"/>
    <w:p w14:paraId="47ADCE9B" w14:textId="77777777" w:rsidR="001922D0" w:rsidRDefault="001922D0">
      <w:pPr>
        <w:spacing w:before="0" w:after="160" w:line="259" w:lineRule="auto"/>
        <w:jc w:val="left"/>
      </w:pPr>
      <w:r>
        <w:br w:type="page"/>
      </w:r>
    </w:p>
    <w:p w14:paraId="71DBDA2F" w14:textId="77777777" w:rsidR="001922D0" w:rsidRPr="00EA0232" w:rsidRDefault="001922D0" w:rsidP="00707C9D">
      <w:pPr>
        <w:pStyle w:val="Heading1"/>
        <w:numPr>
          <w:ilvl w:val="0"/>
          <w:numId w:val="0"/>
        </w:numPr>
        <w:ind w:left="851" w:hanging="851"/>
      </w:pPr>
      <w:bookmarkStart w:id="650" w:name="_Toc3558351"/>
      <w:bookmarkStart w:id="651" w:name="_Toc200467877"/>
      <w:r>
        <w:lastRenderedPageBreak/>
        <w:t>Glossary</w:t>
      </w:r>
      <w:bookmarkEnd w:id="650"/>
      <w:bookmarkEnd w:id="651"/>
    </w:p>
    <w:tbl>
      <w:tblPr>
        <w:tblW w:w="0" w:type="auto"/>
        <w:tblInd w:w="91" w:type="dxa"/>
        <w:tblLayout w:type="fixed"/>
        <w:tblLook w:val="04A0" w:firstRow="1" w:lastRow="0" w:firstColumn="1" w:lastColumn="0" w:noHBand="0" w:noVBand="1"/>
      </w:tblPr>
      <w:tblGrid>
        <w:gridCol w:w="1894"/>
        <w:gridCol w:w="7035"/>
      </w:tblGrid>
      <w:tr w:rsidR="001922D0" w:rsidRPr="004E0E6F" w14:paraId="653CA306" w14:textId="77777777" w:rsidTr="00D6493B">
        <w:trPr>
          <w:cantSplit/>
          <w:trHeight w:val="283"/>
        </w:trPr>
        <w:tc>
          <w:tcPr>
            <w:tcW w:w="1894" w:type="dxa"/>
            <w:tcBorders>
              <w:top w:val="nil"/>
              <w:left w:val="nil"/>
              <w:bottom w:val="nil"/>
              <w:right w:val="nil"/>
            </w:tcBorders>
            <w:noWrap/>
          </w:tcPr>
          <w:p w14:paraId="1A4E4107" w14:textId="77777777" w:rsidR="001922D0" w:rsidRPr="00CF78F9" w:rsidRDefault="001922D0" w:rsidP="00D632F9">
            <w:pPr>
              <w:spacing w:before="0" w:after="40" w:line="240" w:lineRule="auto"/>
              <w:rPr>
                <w:rFonts w:cs="Calibri"/>
                <w:b/>
                <w:bCs/>
                <w:color w:val="auto"/>
                <w:sz w:val="19"/>
                <w:szCs w:val="19"/>
              </w:rPr>
            </w:pPr>
            <w:r w:rsidRPr="00CF78F9">
              <w:rPr>
                <w:rFonts w:cs="Calibri"/>
                <w:b/>
                <w:bCs/>
                <w:color w:val="auto"/>
                <w:sz w:val="19"/>
                <w:szCs w:val="19"/>
              </w:rPr>
              <w:t>Allochthonous</w:t>
            </w:r>
          </w:p>
        </w:tc>
        <w:tc>
          <w:tcPr>
            <w:tcW w:w="7035" w:type="dxa"/>
            <w:tcBorders>
              <w:top w:val="nil"/>
              <w:left w:val="nil"/>
              <w:bottom w:val="nil"/>
              <w:right w:val="nil"/>
            </w:tcBorders>
            <w:noWrap/>
          </w:tcPr>
          <w:p w14:paraId="47215813" w14:textId="77777777" w:rsidR="001922D0" w:rsidRPr="004E0E6F" w:rsidRDefault="001922D0" w:rsidP="00D632F9">
            <w:pPr>
              <w:spacing w:before="0" w:after="40" w:line="240" w:lineRule="auto"/>
              <w:rPr>
                <w:rFonts w:cs="Calibri"/>
                <w:color w:val="auto"/>
                <w:sz w:val="19"/>
                <w:szCs w:val="19"/>
              </w:rPr>
            </w:pPr>
            <w:r w:rsidRPr="004E0E6F">
              <w:rPr>
                <w:rFonts w:cs="Calibri"/>
                <w:color w:val="auto"/>
                <w:sz w:val="19"/>
                <w:szCs w:val="19"/>
              </w:rPr>
              <w:t xml:space="preserve">Refers to foreign or outside sources. For example, organic matter of an allochthonous source is that which has been produced outside of the river channel, e.g. terrestrial or floodplain material.  </w:t>
            </w:r>
          </w:p>
        </w:tc>
      </w:tr>
      <w:tr w:rsidR="001922D0" w:rsidRPr="004E0E6F" w14:paraId="04A6BC6E" w14:textId="77777777" w:rsidTr="00D6493B">
        <w:trPr>
          <w:cantSplit/>
          <w:trHeight w:val="283"/>
        </w:trPr>
        <w:tc>
          <w:tcPr>
            <w:tcW w:w="1894" w:type="dxa"/>
            <w:tcBorders>
              <w:top w:val="nil"/>
              <w:left w:val="nil"/>
              <w:bottom w:val="nil"/>
              <w:right w:val="nil"/>
            </w:tcBorders>
            <w:noWrap/>
          </w:tcPr>
          <w:p w14:paraId="6246FA04" w14:textId="77777777" w:rsidR="001922D0" w:rsidRPr="00CF78F9" w:rsidRDefault="001922D0" w:rsidP="00D632F9">
            <w:pPr>
              <w:spacing w:before="0" w:after="40" w:line="240" w:lineRule="auto"/>
              <w:rPr>
                <w:rFonts w:cs="Calibri"/>
                <w:b/>
                <w:bCs/>
                <w:color w:val="auto"/>
                <w:sz w:val="19"/>
                <w:szCs w:val="19"/>
              </w:rPr>
            </w:pPr>
            <w:r w:rsidRPr="00CF78F9">
              <w:rPr>
                <w:rFonts w:cs="Calibri"/>
                <w:b/>
                <w:bCs/>
                <w:color w:val="auto"/>
                <w:sz w:val="19"/>
                <w:szCs w:val="19"/>
              </w:rPr>
              <w:t>Autochthonous</w:t>
            </w:r>
          </w:p>
        </w:tc>
        <w:tc>
          <w:tcPr>
            <w:tcW w:w="7035" w:type="dxa"/>
            <w:tcBorders>
              <w:top w:val="nil"/>
              <w:left w:val="nil"/>
              <w:bottom w:val="nil"/>
              <w:right w:val="nil"/>
            </w:tcBorders>
            <w:noWrap/>
          </w:tcPr>
          <w:p w14:paraId="57F24750" w14:textId="77777777" w:rsidR="001922D0" w:rsidRPr="004E0E6F" w:rsidRDefault="001922D0" w:rsidP="00D632F9">
            <w:pPr>
              <w:spacing w:before="0" w:after="40" w:line="240" w:lineRule="auto"/>
              <w:rPr>
                <w:rFonts w:cs="Calibri"/>
                <w:color w:val="auto"/>
                <w:sz w:val="19"/>
                <w:szCs w:val="19"/>
              </w:rPr>
            </w:pPr>
            <w:r w:rsidRPr="004E0E6F">
              <w:rPr>
                <w:rFonts w:cs="Calibri"/>
                <w:color w:val="auto"/>
                <w:sz w:val="19"/>
                <w:szCs w:val="19"/>
              </w:rPr>
              <w:t xml:space="preserve">Refers to local sources. For example, organic matter of an autochthonous source is that which has been produced within the river channel. </w:t>
            </w:r>
          </w:p>
        </w:tc>
      </w:tr>
      <w:tr w:rsidR="001922D0" w:rsidRPr="004E0E6F" w14:paraId="70D6C4E3" w14:textId="77777777" w:rsidTr="00D6493B">
        <w:trPr>
          <w:cantSplit/>
          <w:trHeight w:val="283"/>
        </w:trPr>
        <w:tc>
          <w:tcPr>
            <w:tcW w:w="1894" w:type="dxa"/>
            <w:tcBorders>
              <w:top w:val="nil"/>
              <w:left w:val="nil"/>
              <w:bottom w:val="nil"/>
              <w:right w:val="nil"/>
            </w:tcBorders>
            <w:noWrap/>
          </w:tcPr>
          <w:p w14:paraId="0B977ED0" w14:textId="77777777" w:rsidR="001922D0" w:rsidRPr="00CF78F9" w:rsidRDefault="001922D0" w:rsidP="00D632F9">
            <w:pPr>
              <w:spacing w:before="0" w:after="40" w:line="240" w:lineRule="auto"/>
              <w:rPr>
                <w:rFonts w:cs="Calibri"/>
                <w:b/>
                <w:bCs/>
                <w:color w:val="auto"/>
                <w:sz w:val="19"/>
                <w:szCs w:val="19"/>
              </w:rPr>
            </w:pPr>
            <w:r w:rsidRPr="00CF78F9">
              <w:rPr>
                <w:rFonts w:cs="Calibri"/>
                <w:b/>
                <w:bCs/>
                <w:color w:val="auto"/>
                <w:sz w:val="19"/>
                <w:szCs w:val="19"/>
              </w:rPr>
              <w:t>Base flow</w:t>
            </w:r>
          </w:p>
        </w:tc>
        <w:tc>
          <w:tcPr>
            <w:tcW w:w="7035" w:type="dxa"/>
            <w:tcBorders>
              <w:top w:val="nil"/>
              <w:left w:val="nil"/>
              <w:bottom w:val="nil"/>
              <w:right w:val="nil"/>
            </w:tcBorders>
            <w:noWrap/>
          </w:tcPr>
          <w:p w14:paraId="4DE8A38A" w14:textId="79D29853" w:rsidR="001922D0" w:rsidRPr="004E0E6F" w:rsidRDefault="001922D0" w:rsidP="00D632F9">
            <w:pPr>
              <w:spacing w:before="0" w:after="40" w:line="240" w:lineRule="auto"/>
              <w:rPr>
                <w:rFonts w:cs="Calibri"/>
                <w:color w:val="auto"/>
                <w:sz w:val="19"/>
                <w:szCs w:val="19"/>
              </w:rPr>
            </w:pPr>
            <w:r w:rsidRPr="004E0E6F">
              <w:rPr>
                <w:rFonts w:cs="Calibri"/>
                <w:color w:val="auto"/>
                <w:sz w:val="19"/>
                <w:szCs w:val="19"/>
              </w:rPr>
              <w:t xml:space="preserve">Flows that are confined to the low flow part </w:t>
            </w:r>
            <w:r w:rsidR="000E012E">
              <w:rPr>
                <w:rFonts w:cs="Calibri"/>
                <w:color w:val="auto"/>
                <w:sz w:val="19"/>
                <w:szCs w:val="19"/>
              </w:rPr>
              <w:t>within</w:t>
            </w:r>
            <w:r w:rsidRPr="004E0E6F">
              <w:rPr>
                <w:rFonts w:cs="Calibri"/>
                <w:color w:val="auto"/>
                <w:sz w:val="19"/>
                <w:szCs w:val="19"/>
              </w:rPr>
              <w:t xml:space="preserve"> the river channel.</w:t>
            </w:r>
          </w:p>
        </w:tc>
      </w:tr>
      <w:tr w:rsidR="001922D0" w:rsidRPr="004E0E6F" w14:paraId="675C1E6D" w14:textId="77777777" w:rsidTr="00D6493B">
        <w:trPr>
          <w:cantSplit/>
          <w:trHeight w:val="283"/>
        </w:trPr>
        <w:tc>
          <w:tcPr>
            <w:tcW w:w="1894" w:type="dxa"/>
            <w:tcBorders>
              <w:top w:val="nil"/>
              <w:left w:val="nil"/>
              <w:bottom w:val="nil"/>
              <w:right w:val="nil"/>
            </w:tcBorders>
            <w:noWrap/>
          </w:tcPr>
          <w:p w14:paraId="7A4C3DE9" w14:textId="77777777" w:rsidR="001922D0" w:rsidRPr="00CF78F9" w:rsidRDefault="001922D0" w:rsidP="00D632F9">
            <w:pPr>
              <w:spacing w:before="0" w:after="40" w:line="240" w:lineRule="auto"/>
              <w:rPr>
                <w:rFonts w:cs="Calibri"/>
                <w:b/>
                <w:bCs/>
                <w:color w:val="auto"/>
                <w:sz w:val="19"/>
                <w:szCs w:val="19"/>
              </w:rPr>
            </w:pPr>
            <w:r w:rsidRPr="00CF78F9">
              <w:rPr>
                <w:rFonts w:cs="Calibri"/>
                <w:b/>
                <w:bCs/>
                <w:color w:val="auto"/>
                <w:sz w:val="19"/>
                <w:szCs w:val="19"/>
              </w:rPr>
              <w:t>Biofilm</w:t>
            </w:r>
          </w:p>
        </w:tc>
        <w:tc>
          <w:tcPr>
            <w:tcW w:w="7035" w:type="dxa"/>
            <w:tcBorders>
              <w:top w:val="nil"/>
              <w:left w:val="nil"/>
              <w:bottom w:val="nil"/>
              <w:right w:val="nil"/>
            </w:tcBorders>
            <w:noWrap/>
          </w:tcPr>
          <w:p w14:paraId="59F000D0" w14:textId="77777777" w:rsidR="001922D0" w:rsidRPr="004E0E6F" w:rsidRDefault="001922D0" w:rsidP="00D632F9">
            <w:pPr>
              <w:spacing w:before="0" w:after="40" w:line="240" w:lineRule="auto"/>
              <w:rPr>
                <w:rFonts w:cs="Calibri"/>
                <w:color w:val="auto"/>
                <w:sz w:val="19"/>
                <w:szCs w:val="19"/>
              </w:rPr>
            </w:pPr>
            <w:r w:rsidRPr="004E0E6F">
              <w:rPr>
                <w:rFonts w:cs="Calibri"/>
                <w:color w:val="auto"/>
                <w:sz w:val="19"/>
                <w:szCs w:val="19"/>
              </w:rPr>
              <w:t>A collection of microorganisms (e.g. bacteria) attached as a ‘film’ on living (e.g. tree root) and non-living (e.g. wooden pylon) surfaces.</w:t>
            </w:r>
          </w:p>
        </w:tc>
      </w:tr>
      <w:tr w:rsidR="00C01B82" w:rsidRPr="004E0E6F" w14:paraId="0E46F3AA" w14:textId="77777777" w:rsidTr="00D6493B">
        <w:trPr>
          <w:cantSplit/>
          <w:trHeight w:val="283"/>
        </w:trPr>
        <w:tc>
          <w:tcPr>
            <w:tcW w:w="1894" w:type="dxa"/>
            <w:tcBorders>
              <w:top w:val="nil"/>
              <w:left w:val="nil"/>
              <w:bottom w:val="nil"/>
              <w:right w:val="nil"/>
            </w:tcBorders>
            <w:noWrap/>
          </w:tcPr>
          <w:p w14:paraId="5A2182FE" w14:textId="0AAE959A" w:rsidR="00C01B82" w:rsidRPr="00CF78F9" w:rsidRDefault="00C01B82" w:rsidP="00D632F9">
            <w:pPr>
              <w:spacing w:before="0" w:after="40" w:line="240" w:lineRule="auto"/>
              <w:rPr>
                <w:rFonts w:cs="Calibri"/>
                <w:b/>
                <w:bCs/>
                <w:color w:val="auto"/>
                <w:sz w:val="19"/>
                <w:szCs w:val="19"/>
              </w:rPr>
            </w:pPr>
            <w:r w:rsidRPr="00CF78F9">
              <w:rPr>
                <w:rFonts w:cs="Calibri"/>
                <w:b/>
                <w:bCs/>
                <w:color w:val="auto"/>
                <w:sz w:val="19"/>
                <w:szCs w:val="19"/>
              </w:rPr>
              <w:t>Direct trade</w:t>
            </w:r>
          </w:p>
        </w:tc>
        <w:tc>
          <w:tcPr>
            <w:tcW w:w="7035" w:type="dxa"/>
            <w:tcBorders>
              <w:top w:val="nil"/>
              <w:left w:val="nil"/>
              <w:bottom w:val="nil"/>
              <w:right w:val="nil"/>
            </w:tcBorders>
            <w:noWrap/>
          </w:tcPr>
          <w:p w14:paraId="52AB3CC3" w14:textId="2E529863" w:rsidR="00C01B82" w:rsidRPr="004E0E6F" w:rsidRDefault="00C01B82" w:rsidP="00D632F9">
            <w:pPr>
              <w:spacing w:before="0" w:after="40" w:line="240" w:lineRule="auto"/>
              <w:rPr>
                <w:rFonts w:cs="Calibri"/>
                <w:color w:val="auto"/>
                <w:sz w:val="19"/>
                <w:szCs w:val="19"/>
              </w:rPr>
            </w:pPr>
            <w:r w:rsidRPr="00C01B82">
              <w:rPr>
                <w:rFonts w:cs="Calibri"/>
                <w:color w:val="auto"/>
                <w:sz w:val="19"/>
                <w:szCs w:val="19"/>
              </w:rPr>
              <w:t>“Direct trade” refers to an order for a specified volume of environmental water to be delivered at the South Australian border. Typically a timing and profile for the delivery is specified and river operators can meet the order by providing water from any available source.</w:t>
            </w:r>
          </w:p>
        </w:tc>
      </w:tr>
      <w:tr w:rsidR="001922D0" w:rsidRPr="004E0E6F" w14:paraId="54A77256" w14:textId="77777777" w:rsidTr="00D6493B">
        <w:trPr>
          <w:cantSplit/>
          <w:trHeight w:val="283"/>
        </w:trPr>
        <w:tc>
          <w:tcPr>
            <w:tcW w:w="1894" w:type="dxa"/>
            <w:tcBorders>
              <w:top w:val="nil"/>
              <w:left w:val="nil"/>
              <w:bottom w:val="nil"/>
              <w:right w:val="nil"/>
            </w:tcBorders>
            <w:noWrap/>
          </w:tcPr>
          <w:p w14:paraId="540826E5" w14:textId="77777777" w:rsidR="001922D0" w:rsidRPr="00CF78F9" w:rsidRDefault="001922D0" w:rsidP="00D632F9">
            <w:pPr>
              <w:spacing w:before="0" w:after="40" w:line="240" w:lineRule="auto"/>
              <w:jc w:val="left"/>
              <w:rPr>
                <w:rFonts w:cs="Calibri"/>
                <w:b/>
                <w:bCs/>
                <w:color w:val="auto"/>
                <w:sz w:val="19"/>
                <w:szCs w:val="19"/>
              </w:rPr>
            </w:pPr>
            <w:r w:rsidRPr="00CF78F9">
              <w:rPr>
                <w:rFonts w:cs="Calibri"/>
                <w:b/>
                <w:bCs/>
                <w:color w:val="auto"/>
                <w:sz w:val="19"/>
                <w:szCs w:val="19"/>
              </w:rPr>
              <w:t>Flood or flooding</w:t>
            </w:r>
          </w:p>
        </w:tc>
        <w:tc>
          <w:tcPr>
            <w:tcW w:w="7035" w:type="dxa"/>
            <w:tcBorders>
              <w:top w:val="nil"/>
              <w:left w:val="nil"/>
              <w:bottom w:val="nil"/>
              <w:right w:val="nil"/>
            </w:tcBorders>
            <w:noWrap/>
          </w:tcPr>
          <w:p w14:paraId="57C8FD3A" w14:textId="77777777" w:rsidR="001922D0" w:rsidRPr="004E0E6F" w:rsidRDefault="001922D0" w:rsidP="00D632F9">
            <w:pPr>
              <w:spacing w:before="0" w:after="40" w:line="240" w:lineRule="auto"/>
              <w:rPr>
                <w:rFonts w:cs="Calibri"/>
                <w:color w:val="auto"/>
                <w:sz w:val="19"/>
                <w:szCs w:val="19"/>
              </w:rPr>
            </w:pPr>
            <w:r w:rsidRPr="004E0E6F">
              <w:rPr>
                <w:rFonts w:cs="Calibri"/>
                <w:color w:val="auto"/>
                <w:sz w:val="19"/>
                <w:szCs w:val="19"/>
              </w:rPr>
              <w:t>Refers to flows that are overbank. In South Australia, this is deemed to be above bankfull flow (45,000 ML/d).</w:t>
            </w:r>
          </w:p>
        </w:tc>
      </w:tr>
      <w:tr w:rsidR="005330B4" w:rsidRPr="004E0E6F" w14:paraId="4DE16364" w14:textId="77777777" w:rsidTr="00D6493B">
        <w:trPr>
          <w:cantSplit/>
          <w:trHeight w:val="283"/>
        </w:trPr>
        <w:tc>
          <w:tcPr>
            <w:tcW w:w="1894" w:type="dxa"/>
            <w:tcBorders>
              <w:top w:val="nil"/>
              <w:left w:val="nil"/>
              <w:bottom w:val="nil"/>
              <w:right w:val="nil"/>
            </w:tcBorders>
            <w:noWrap/>
          </w:tcPr>
          <w:p w14:paraId="56BA4DEF" w14:textId="56D51F31" w:rsidR="005330B4" w:rsidRPr="00CF78F9" w:rsidRDefault="005330B4" w:rsidP="00D632F9">
            <w:pPr>
              <w:spacing w:before="0" w:after="40" w:line="240" w:lineRule="auto"/>
              <w:jc w:val="left"/>
              <w:rPr>
                <w:rFonts w:cs="Calibri"/>
                <w:b/>
                <w:bCs/>
                <w:color w:val="auto"/>
                <w:sz w:val="19"/>
                <w:szCs w:val="19"/>
              </w:rPr>
            </w:pPr>
            <w:r w:rsidRPr="00CF78F9">
              <w:rPr>
                <w:rFonts w:cs="Calibri"/>
                <w:b/>
                <w:bCs/>
                <w:color w:val="auto"/>
                <w:sz w:val="19"/>
                <w:szCs w:val="19"/>
              </w:rPr>
              <w:t>Flow integrity</w:t>
            </w:r>
          </w:p>
        </w:tc>
        <w:tc>
          <w:tcPr>
            <w:tcW w:w="7035" w:type="dxa"/>
            <w:tcBorders>
              <w:top w:val="nil"/>
              <w:left w:val="nil"/>
              <w:bottom w:val="nil"/>
              <w:right w:val="nil"/>
            </w:tcBorders>
            <w:noWrap/>
          </w:tcPr>
          <w:p w14:paraId="444CB5A5" w14:textId="0FE74464" w:rsidR="005330B4" w:rsidRPr="004E0E6F" w:rsidRDefault="002B3806" w:rsidP="00D632F9">
            <w:pPr>
              <w:spacing w:before="0" w:after="40" w:line="240" w:lineRule="auto"/>
              <w:rPr>
                <w:rFonts w:cs="Calibri"/>
                <w:color w:val="auto"/>
                <w:sz w:val="19"/>
                <w:szCs w:val="19"/>
              </w:rPr>
            </w:pPr>
            <w:r>
              <w:rPr>
                <w:rFonts w:cs="Calibri"/>
                <w:color w:val="auto"/>
                <w:sz w:val="19"/>
                <w:szCs w:val="19"/>
              </w:rPr>
              <w:t>The preservation of flow characteristics of a parcel of water</w:t>
            </w:r>
            <w:r w:rsidR="002A34C3">
              <w:rPr>
                <w:rFonts w:cs="Calibri"/>
                <w:color w:val="auto"/>
                <w:sz w:val="19"/>
                <w:szCs w:val="19"/>
              </w:rPr>
              <w:t>,</w:t>
            </w:r>
            <w:r>
              <w:rPr>
                <w:rFonts w:cs="Calibri"/>
                <w:color w:val="auto"/>
                <w:sz w:val="19"/>
                <w:szCs w:val="19"/>
              </w:rPr>
              <w:t xml:space="preserve"> including the flow volume and water quality</w:t>
            </w:r>
            <w:r w:rsidR="00846960">
              <w:rPr>
                <w:rFonts w:cs="Calibri"/>
                <w:color w:val="auto"/>
                <w:sz w:val="19"/>
                <w:szCs w:val="19"/>
              </w:rPr>
              <w:t xml:space="preserve"> (constituents)</w:t>
            </w:r>
            <w:r w:rsidR="002A34C3">
              <w:rPr>
                <w:rFonts w:cs="Calibri"/>
                <w:color w:val="auto"/>
                <w:sz w:val="19"/>
                <w:szCs w:val="19"/>
              </w:rPr>
              <w:t>, from its upstream source</w:t>
            </w:r>
            <w:r w:rsidR="00DB00B7">
              <w:rPr>
                <w:rFonts w:cs="Calibri"/>
                <w:color w:val="auto"/>
                <w:sz w:val="19"/>
                <w:szCs w:val="19"/>
              </w:rPr>
              <w:t xml:space="preserve"> to downstream river systems or reaches</w:t>
            </w:r>
            <w:r>
              <w:rPr>
                <w:rFonts w:cs="Calibri"/>
                <w:color w:val="auto"/>
                <w:sz w:val="19"/>
                <w:szCs w:val="19"/>
              </w:rPr>
              <w:t xml:space="preserve">.  </w:t>
            </w:r>
          </w:p>
        </w:tc>
      </w:tr>
      <w:tr w:rsidR="001922D0" w:rsidRPr="004E0E6F" w14:paraId="7FC8F2E4" w14:textId="77777777" w:rsidTr="00D6493B">
        <w:trPr>
          <w:cantSplit/>
          <w:trHeight w:val="283"/>
        </w:trPr>
        <w:tc>
          <w:tcPr>
            <w:tcW w:w="1894" w:type="dxa"/>
            <w:tcBorders>
              <w:top w:val="nil"/>
              <w:left w:val="nil"/>
              <w:bottom w:val="nil"/>
              <w:right w:val="nil"/>
            </w:tcBorders>
            <w:noWrap/>
          </w:tcPr>
          <w:p w14:paraId="36DA2608" w14:textId="77777777" w:rsidR="001922D0" w:rsidRPr="00CF78F9" w:rsidRDefault="001922D0" w:rsidP="00D632F9">
            <w:pPr>
              <w:spacing w:before="0" w:after="40" w:line="240" w:lineRule="auto"/>
              <w:jc w:val="left"/>
              <w:rPr>
                <w:rFonts w:cs="Calibri"/>
                <w:b/>
                <w:bCs/>
                <w:color w:val="auto"/>
                <w:sz w:val="19"/>
                <w:szCs w:val="19"/>
              </w:rPr>
            </w:pPr>
            <w:r w:rsidRPr="00CF78F9">
              <w:rPr>
                <w:rFonts w:cs="Calibri"/>
                <w:b/>
                <w:bCs/>
                <w:color w:val="auto"/>
                <w:sz w:val="19"/>
                <w:szCs w:val="19"/>
              </w:rPr>
              <w:t>Freshes (flow)</w:t>
            </w:r>
          </w:p>
        </w:tc>
        <w:tc>
          <w:tcPr>
            <w:tcW w:w="7035" w:type="dxa"/>
            <w:tcBorders>
              <w:top w:val="nil"/>
              <w:left w:val="nil"/>
              <w:bottom w:val="nil"/>
              <w:right w:val="nil"/>
            </w:tcBorders>
            <w:noWrap/>
          </w:tcPr>
          <w:p w14:paraId="69F1E41C" w14:textId="77777777" w:rsidR="001922D0" w:rsidRPr="004E0E6F" w:rsidRDefault="001922D0" w:rsidP="00D632F9">
            <w:pPr>
              <w:spacing w:before="0" w:after="40" w:line="240" w:lineRule="auto"/>
              <w:rPr>
                <w:rFonts w:cs="Calibri"/>
                <w:color w:val="auto"/>
                <w:sz w:val="19"/>
                <w:szCs w:val="19"/>
              </w:rPr>
            </w:pPr>
            <w:r w:rsidRPr="004E0E6F">
              <w:rPr>
                <w:rFonts w:cs="Calibri"/>
                <w:color w:val="auto"/>
                <w:sz w:val="19"/>
                <w:szCs w:val="19"/>
              </w:rPr>
              <w:t>Flows greater than base flow but below bank level.</w:t>
            </w:r>
          </w:p>
        </w:tc>
      </w:tr>
      <w:tr w:rsidR="001922D0" w:rsidRPr="004E0E6F" w14:paraId="49B9A67F" w14:textId="77777777" w:rsidTr="00D6493B">
        <w:trPr>
          <w:cantSplit/>
          <w:trHeight w:val="283"/>
        </w:trPr>
        <w:tc>
          <w:tcPr>
            <w:tcW w:w="1894" w:type="dxa"/>
            <w:tcBorders>
              <w:top w:val="nil"/>
              <w:left w:val="nil"/>
              <w:bottom w:val="nil"/>
              <w:right w:val="nil"/>
            </w:tcBorders>
            <w:noWrap/>
          </w:tcPr>
          <w:p w14:paraId="5B1B042C" w14:textId="77777777" w:rsidR="001922D0" w:rsidRPr="00CF78F9" w:rsidRDefault="001922D0" w:rsidP="00D632F9">
            <w:pPr>
              <w:spacing w:before="0" w:after="40" w:line="240" w:lineRule="auto"/>
              <w:rPr>
                <w:rFonts w:cs="Calibri"/>
                <w:b/>
                <w:bCs/>
                <w:color w:val="auto"/>
                <w:sz w:val="19"/>
                <w:szCs w:val="19"/>
              </w:rPr>
            </w:pPr>
            <w:r w:rsidRPr="00CF78F9">
              <w:rPr>
                <w:rFonts w:cs="Calibri"/>
                <w:b/>
                <w:bCs/>
                <w:color w:val="auto"/>
                <w:sz w:val="19"/>
                <w:szCs w:val="19"/>
              </w:rPr>
              <w:t>Epibenthic</w:t>
            </w:r>
          </w:p>
        </w:tc>
        <w:tc>
          <w:tcPr>
            <w:tcW w:w="7035" w:type="dxa"/>
            <w:tcBorders>
              <w:top w:val="nil"/>
              <w:left w:val="nil"/>
              <w:bottom w:val="nil"/>
              <w:right w:val="nil"/>
            </w:tcBorders>
            <w:noWrap/>
          </w:tcPr>
          <w:p w14:paraId="367BE2D4" w14:textId="77777777" w:rsidR="001922D0" w:rsidRPr="004E0E6F" w:rsidRDefault="001922D0" w:rsidP="00D632F9">
            <w:pPr>
              <w:spacing w:before="0" w:after="40" w:line="240" w:lineRule="auto"/>
              <w:rPr>
                <w:rFonts w:cs="Calibri"/>
                <w:color w:val="auto"/>
                <w:sz w:val="19"/>
                <w:szCs w:val="19"/>
              </w:rPr>
            </w:pPr>
            <w:r w:rsidRPr="004E0E6F">
              <w:rPr>
                <w:rFonts w:cs="Calibri"/>
                <w:color w:val="auto"/>
                <w:sz w:val="19"/>
                <w:szCs w:val="19"/>
              </w:rPr>
              <w:t>Organisms living on the surface of sediment.</w:t>
            </w:r>
          </w:p>
        </w:tc>
      </w:tr>
      <w:tr w:rsidR="001922D0" w:rsidRPr="004E0E6F" w14:paraId="57B12E33" w14:textId="77777777" w:rsidTr="00D6493B">
        <w:trPr>
          <w:cantSplit/>
          <w:trHeight w:val="283"/>
        </w:trPr>
        <w:tc>
          <w:tcPr>
            <w:tcW w:w="1894" w:type="dxa"/>
            <w:tcBorders>
              <w:top w:val="nil"/>
              <w:left w:val="nil"/>
              <w:bottom w:val="nil"/>
              <w:right w:val="nil"/>
            </w:tcBorders>
            <w:noWrap/>
          </w:tcPr>
          <w:p w14:paraId="72353AEA" w14:textId="77777777" w:rsidR="001922D0" w:rsidRPr="00CF78F9" w:rsidRDefault="001922D0" w:rsidP="00D632F9">
            <w:pPr>
              <w:spacing w:before="0" w:after="40" w:line="240" w:lineRule="auto"/>
              <w:rPr>
                <w:rFonts w:cs="Calibri"/>
                <w:b/>
                <w:bCs/>
                <w:color w:val="auto"/>
                <w:sz w:val="19"/>
                <w:szCs w:val="19"/>
              </w:rPr>
            </w:pPr>
            <w:r w:rsidRPr="00CF78F9">
              <w:rPr>
                <w:rFonts w:cs="Calibri"/>
                <w:b/>
                <w:bCs/>
                <w:color w:val="auto"/>
                <w:sz w:val="19"/>
                <w:szCs w:val="19"/>
              </w:rPr>
              <w:t>Epiphytic</w:t>
            </w:r>
          </w:p>
        </w:tc>
        <w:tc>
          <w:tcPr>
            <w:tcW w:w="7035" w:type="dxa"/>
            <w:tcBorders>
              <w:top w:val="nil"/>
              <w:left w:val="nil"/>
              <w:bottom w:val="nil"/>
              <w:right w:val="nil"/>
            </w:tcBorders>
            <w:noWrap/>
          </w:tcPr>
          <w:p w14:paraId="7F22089B" w14:textId="77777777" w:rsidR="001922D0" w:rsidRPr="004E0E6F" w:rsidRDefault="001922D0" w:rsidP="00D632F9">
            <w:pPr>
              <w:spacing w:before="0" w:after="40" w:line="240" w:lineRule="auto"/>
              <w:rPr>
                <w:rFonts w:cs="Calibri"/>
                <w:color w:val="auto"/>
                <w:sz w:val="19"/>
                <w:szCs w:val="19"/>
              </w:rPr>
            </w:pPr>
            <w:r w:rsidRPr="004E0E6F">
              <w:rPr>
                <w:rFonts w:cs="Calibri"/>
                <w:color w:val="auto"/>
                <w:sz w:val="19"/>
                <w:szCs w:val="19"/>
              </w:rPr>
              <w:t>Organisms that are attached to plants.</w:t>
            </w:r>
          </w:p>
        </w:tc>
      </w:tr>
      <w:tr w:rsidR="00065519" w:rsidRPr="004E0E6F" w14:paraId="59BA9E92" w14:textId="77777777" w:rsidTr="00D6493B">
        <w:trPr>
          <w:cantSplit/>
          <w:trHeight w:val="283"/>
        </w:trPr>
        <w:tc>
          <w:tcPr>
            <w:tcW w:w="1894" w:type="dxa"/>
            <w:tcBorders>
              <w:top w:val="nil"/>
              <w:left w:val="nil"/>
              <w:bottom w:val="nil"/>
              <w:right w:val="nil"/>
            </w:tcBorders>
            <w:noWrap/>
          </w:tcPr>
          <w:p w14:paraId="1513D8A4" w14:textId="499F05CB" w:rsidR="00065519" w:rsidRPr="00CF78F9" w:rsidRDefault="00065519" w:rsidP="00D632F9">
            <w:pPr>
              <w:spacing w:before="0" w:after="40" w:line="240" w:lineRule="auto"/>
              <w:rPr>
                <w:rFonts w:cs="Calibri"/>
                <w:b/>
                <w:bCs/>
                <w:color w:val="auto"/>
                <w:sz w:val="19"/>
                <w:szCs w:val="19"/>
              </w:rPr>
            </w:pPr>
            <w:r w:rsidRPr="00CF78F9">
              <w:rPr>
                <w:rFonts w:cs="Calibri"/>
                <w:b/>
                <w:bCs/>
                <w:color w:val="auto"/>
                <w:sz w:val="19"/>
                <w:szCs w:val="19"/>
              </w:rPr>
              <w:t>Hatch date</w:t>
            </w:r>
          </w:p>
        </w:tc>
        <w:tc>
          <w:tcPr>
            <w:tcW w:w="7035" w:type="dxa"/>
            <w:tcBorders>
              <w:top w:val="nil"/>
              <w:left w:val="nil"/>
              <w:bottom w:val="nil"/>
              <w:right w:val="nil"/>
            </w:tcBorders>
            <w:noWrap/>
          </w:tcPr>
          <w:p w14:paraId="356AB550" w14:textId="1BA8E95B" w:rsidR="00065519" w:rsidRPr="004E0E6F" w:rsidRDefault="006D4F8E" w:rsidP="00D632F9">
            <w:pPr>
              <w:spacing w:before="0" w:after="40" w:line="240" w:lineRule="auto"/>
              <w:rPr>
                <w:rFonts w:cs="Calibri"/>
                <w:color w:val="auto"/>
                <w:sz w:val="19"/>
                <w:szCs w:val="19"/>
              </w:rPr>
            </w:pPr>
            <w:r>
              <w:rPr>
                <w:rFonts w:cs="Calibri"/>
                <w:color w:val="auto"/>
                <w:sz w:val="19"/>
                <w:szCs w:val="19"/>
              </w:rPr>
              <w:t>The date at which fish emerge from their eggs, which is one day prior to a fish laying its first daily growth increment on an otolith.</w:t>
            </w:r>
          </w:p>
        </w:tc>
      </w:tr>
      <w:tr w:rsidR="001922D0" w:rsidRPr="004E0E6F" w14:paraId="765989AE" w14:textId="77777777" w:rsidTr="00D6493B">
        <w:trPr>
          <w:cantSplit/>
          <w:trHeight w:val="283"/>
        </w:trPr>
        <w:tc>
          <w:tcPr>
            <w:tcW w:w="1894" w:type="dxa"/>
            <w:tcBorders>
              <w:top w:val="nil"/>
              <w:left w:val="nil"/>
              <w:bottom w:val="nil"/>
              <w:right w:val="nil"/>
            </w:tcBorders>
            <w:noWrap/>
          </w:tcPr>
          <w:p w14:paraId="43463929" w14:textId="77777777" w:rsidR="001922D0" w:rsidRPr="00CF78F9" w:rsidRDefault="001922D0" w:rsidP="00D632F9">
            <w:pPr>
              <w:spacing w:before="0" w:after="40" w:line="240" w:lineRule="auto"/>
              <w:rPr>
                <w:rFonts w:cs="Calibri"/>
                <w:b/>
                <w:bCs/>
                <w:color w:val="auto"/>
                <w:sz w:val="19"/>
                <w:szCs w:val="19"/>
              </w:rPr>
            </w:pPr>
            <w:r w:rsidRPr="00CF78F9">
              <w:rPr>
                <w:rFonts w:cs="Calibri"/>
                <w:b/>
                <w:bCs/>
                <w:color w:val="auto"/>
                <w:sz w:val="19"/>
                <w:szCs w:val="19"/>
              </w:rPr>
              <w:t>Heleoplankton</w:t>
            </w:r>
          </w:p>
        </w:tc>
        <w:tc>
          <w:tcPr>
            <w:tcW w:w="7035" w:type="dxa"/>
            <w:tcBorders>
              <w:top w:val="nil"/>
              <w:left w:val="nil"/>
              <w:bottom w:val="nil"/>
              <w:right w:val="nil"/>
            </w:tcBorders>
            <w:noWrap/>
          </w:tcPr>
          <w:p w14:paraId="780BC38A" w14:textId="77777777" w:rsidR="001922D0" w:rsidRPr="004E0E6F" w:rsidRDefault="001922D0" w:rsidP="00D632F9">
            <w:pPr>
              <w:spacing w:before="0" w:after="40" w:line="240" w:lineRule="auto"/>
              <w:rPr>
                <w:rFonts w:cs="Calibri"/>
                <w:color w:val="auto"/>
                <w:sz w:val="19"/>
                <w:szCs w:val="19"/>
              </w:rPr>
            </w:pPr>
            <w:r w:rsidRPr="004E0E6F">
              <w:rPr>
                <w:sz w:val="19"/>
                <w:szCs w:val="19"/>
              </w:rPr>
              <w:t>Plankton derived from billabongs and other floodplain still, generally-vegetated, waters.</w:t>
            </w:r>
          </w:p>
        </w:tc>
      </w:tr>
      <w:tr w:rsidR="001922D0" w:rsidRPr="004E0E6F" w14:paraId="318D7BCE" w14:textId="77777777" w:rsidTr="00D6493B">
        <w:trPr>
          <w:cantSplit/>
          <w:trHeight w:val="283"/>
        </w:trPr>
        <w:tc>
          <w:tcPr>
            <w:tcW w:w="1894" w:type="dxa"/>
            <w:tcBorders>
              <w:top w:val="nil"/>
              <w:left w:val="nil"/>
              <w:bottom w:val="nil"/>
              <w:right w:val="nil"/>
            </w:tcBorders>
            <w:noWrap/>
          </w:tcPr>
          <w:p w14:paraId="6403BE7C" w14:textId="77777777" w:rsidR="001922D0" w:rsidRPr="00CF78F9" w:rsidRDefault="001922D0" w:rsidP="00D632F9">
            <w:pPr>
              <w:spacing w:before="0" w:after="40" w:line="240" w:lineRule="auto"/>
              <w:rPr>
                <w:rFonts w:cs="Calibri"/>
                <w:b/>
                <w:bCs/>
                <w:i/>
                <w:color w:val="auto"/>
                <w:sz w:val="19"/>
                <w:szCs w:val="19"/>
              </w:rPr>
            </w:pPr>
            <w:r w:rsidRPr="00CF78F9">
              <w:rPr>
                <w:rFonts w:cs="Calibri"/>
                <w:b/>
                <w:bCs/>
                <w:i/>
                <w:color w:val="auto"/>
                <w:sz w:val="19"/>
                <w:szCs w:val="19"/>
              </w:rPr>
              <w:t>In situ</w:t>
            </w:r>
          </w:p>
        </w:tc>
        <w:tc>
          <w:tcPr>
            <w:tcW w:w="7035" w:type="dxa"/>
            <w:tcBorders>
              <w:top w:val="nil"/>
              <w:left w:val="nil"/>
              <w:bottom w:val="nil"/>
              <w:right w:val="nil"/>
            </w:tcBorders>
            <w:noWrap/>
          </w:tcPr>
          <w:p w14:paraId="7EAF98FF" w14:textId="77777777" w:rsidR="001922D0" w:rsidRPr="004E0E6F" w:rsidRDefault="001922D0" w:rsidP="00D632F9">
            <w:pPr>
              <w:spacing w:before="0" w:after="40" w:line="240" w:lineRule="auto"/>
              <w:rPr>
                <w:sz w:val="19"/>
                <w:szCs w:val="19"/>
              </w:rPr>
            </w:pPr>
            <w:r w:rsidRPr="004E0E6F">
              <w:rPr>
                <w:sz w:val="19"/>
                <w:szCs w:val="19"/>
              </w:rPr>
              <w:t xml:space="preserve">Used to describe monitoring </w:t>
            </w:r>
            <w:r w:rsidRPr="004B7AA2">
              <w:rPr>
                <w:iCs/>
                <w:sz w:val="19"/>
                <w:szCs w:val="19"/>
              </w:rPr>
              <w:t>in</w:t>
            </w:r>
            <w:r w:rsidRPr="004E0E6F">
              <w:rPr>
                <w:sz w:val="19"/>
                <w:szCs w:val="19"/>
              </w:rPr>
              <w:t xml:space="preserve"> the field. </w:t>
            </w:r>
          </w:p>
        </w:tc>
      </w:tr>
      <w:tr w:rsidR="001922D0" w:rsidRPr="004E0E6F" w14:paraId="764F90E0" w14:textId="77777777" w:rsidTr="00D6493B">
        <w:trPr>
          <w:cantSplit/>
          <w:trHeight w:val="283"/>
        </w:trPr>
        <w:tc>
          <w:tcPr>
            <w:tcW w:w="1894" w:type="dxa"/>
            <w:tcBorders>
              <w:top w:val="nil"/>
              <w:left w:val="nil"/>
              <w:bottom w:val="nil"/>
              <w:right w:val="nil"/>
            </w:tcBorders>
            <w:noWrap/>
          </w:tcPr>
          <w:p w14:paraId="1BD34968" w14:textId="77777777" w:rsidR="001922D0" w:rsidRPr="00CF78F9" w:rsidRDefault="001922D0" w:rsidP="00D632F9">
            <w:pPr>
              <w:spacing w:before="0" w:after="40" w:line="240" w:lineRule="auto"/>
              <w:rPr>
                <w:rFonts w:cs="Calibri"/>
                <w:b/>
                <w:bCs/>
                <w:color w:val="auto"/>
                <w:sz w:val="19"/>
                <w:szCs w:val="19"/>
              </w:rPr>
            </w:pPr>
            <w:r w:rsidRPr="00CF78F9">
              <w:rPr>
                <w:rFonts w:cs="Calibri"/>
                <w:b/>
                <w:bCs/>
                <w:color w:val="auto"/>
                <w:sz w:val="19"/>
                <w:szCs w:val="19"/>
              </w:rPr>
              <w:t>Lentic</w:t>
            </w:r>
          </w:p>
        </w:tc>
        <w:tc>
          <w:tcPr>
            <w:tcW w:w="7035" w:type="dxa"/>
            <w:tcBorders>
              <w:top w:val="nil"/>
              <w:left w:val="nil"/>
              <w:bottom w:val="nil"/>
              <w:right w:val="nil"/>
            </w:tcBorders>
            <w:noWrap/>
          </w:tcPr>
          <w:p w14:paraId="13B3DDC5" w14:textId="77777777" w:rsidR="001922D0" w:rsidRPr="004E0E6F" w:rsidRDefault="001922D0" w:rsidP="00D632F9">
            <w:pPr>
              <w:spacing w:before="0" w:after="40" w:line="240" w:lineRule="auto"/>
              <w:rPr>
                <w:rFonts w:cs="Calibri"/>
                <w:color w:val="auto"/>
                <w:sz w:val="19"/>
                <w:szCs w:val="19"/>
              </w:rPr>
            </w:pPr>
            <w:r w:rsidRPr="004E0E6F">
              <w:rPr>
                <w:rFonts w:cs="Calibri"/>
                <w:color w:val="auto"/>
                <w:sz w:val="19"/>
                <w:szCs w:val="19"/>
              </w:rPr>
              <w:t>Refers to slower water velocities associated with ‘pool water’ habitat in highly regulated systems, typically median velocities of approximately ≤0.3 m/s.</w:t>
            </w:r>
          </w:p>
        </w:tc>
      </w:tr>
      <w:tr w:rsidR="001922D0" w:rsidRPr="004E0E6F" w14:paraId="036A65F7" w14:textId="77777777" w:rsidTr="00D6493B">
        <w:trPr>
          <w:cantSplit/>
          <w:trHeight w:val="283"/>
        </w:trPr>
        <w:tc>
          <w:tcPr>
            <w:tcW w:w="1894" w:type="dxa"/>
            <w:tcBorders>
              <w:top w:val="nil"/>
              <w:left w:val="nil"/>
              <w:bottom w:val="nil"/>
              <w:right w:val="nil"/>
            </w:tcBorders>
            <w:noWrap/>
          </w:tcPr>
          <w:p w14:paraId="761AC640" w14:textId="370AA2D5" w:rsidR="00A462F2" w:rsidRDefault="001922D0" w:rsidP="00D632F9">
            <w:pPr>
              <w:spacing w:before="0" w:after="40" w:line="240" w:lineRule="auto"/>
              <w:rPr>
                <w:rFonts w:cs="Calibri"/>
                <w:b/>
                <w:bCs/>
                <w:color w:val="auto"/>
                <w:sz w:val="19"/>
                <w:szCs w:val="19"/>
              </w:rPr>
            </w:pPr>
            <w:r w:rsidRPr="00CF78F9">
              <w:rPr>
                <w:rFonts w:cs="Calibri"/>
                <w:b/>
                <w:bCs/>
                <w:color w:val="auto"/>
                <w:sz w:val="19"/>
                <w:szCs w:val="19"/>
              </w:rPr>
              <w:t>Littoral</w:t>
            </w:r>
          </w:p>
          <w:p w14:paraId="61A2C75B" w14:textId="3EC3C17F" w:rsidR="00A462F2" w:rsidRDefault="00A462F2" w:rsidP="00D632F9">
            <w:pPr>
              <w:spacing w:before="0" w:after="40" w:line="240" w:lineRule="auto"/>
              <w:rPr>
                <w:rFonts w:cs="Calibri"/>
                <w:b/>
                <w:bCs/>
                <w:color w:val="auto"/>
                <w:sz w:val="19"/>
                <w:szCs w:val="19"/>
              </w:rPr>
            </w:pPr>
            <w:r>
              <w:rPr>
                <w:rFonts w:cs="Calibri"/>
                <w:b/>
                <w:bCs/>
                <w:color w:val="auto"/>
                <w:sz w:val="19"/>
                <w:szCs w:val="19"/>
              </w:rPr>
              <w:t>Lotic</w:t>
            </w:r>
          </w:p>
          <w:p w14:paraId="6575D80F" w14:textId="77777777" w:rsidR="00A462F2" w:rsidRPr="00CF78F9" w:rsidRDefault="00A462F2" w:rsidP="00D632F9">
            <w:pPr>
              <w:spacing w:before="0" w:after="40" w:line="240" w:lineRule="auto"/>
              <w:rPr>
                <w:rFonts w:cs="Calibri"/>
                <w:b/>
                <w:bCs/>
                <w:color w:val="auto"/>
                <w:sz w:val="19"/>
                <w:szCs w:val="19"/>
              </w:rPr>
            </w:pPr>
          </w:p>
        </w:tc>
        <w:tc>
          <w:tcPr>
            <w:tcW w:w="7035" w:type="dxa"/>
            <w:tcBorders>
              <w:top w:val="nil"/>
              <w:left w:val="nil"/>
              <w:bottom w:val="nil"/>
              <w:right w:val="nil"/>
            </w:tcBorders>
            <w:noWrap/>
          </w:tcPr>
          <w:p w14:paraId="5F7E1B78" w14:textId="77777777" w:rsidR="001922D0" w:rsidRDefault="001922D0" w:rsidP="00D632F9">
            <w:pPr>
              <w:spacing w:before="0" w:after="40" w:line="240" w:lineRule="auto"/>
              <w:rPr>
                <w:rFonts w:cs="Calibri"/>
                <w:color w:val="auto"/>
                <w:sz w:val="19"/>
                <w:szCs w:val="19"/>
              </w:rPr>
            </w:pPr>
            <w:r w:rsidRPr="004E0E6F">
              <w:rPr>
                <w:rFonts w:cs="Calibri"/>
                <w:color w:val="auto"/>
                <w:sz w:val="19"/>
                <w:szCs w:val="19"/>
              </w:rPr>
              <w:t>The margin along the bank of the river.</w:t>
            </w:r>
          </w:p>
          <w:p w14:paraId="74EEACDC" w14:textId="42465AFB" w:rsidR="00A462F2" w:rsidRPr="004E0E6F" w:rsidRDefault="00A462F2" w:rsidP="00D632F9">
            <w:pPr>
              <w:spacing w:before="0" w:after="40" w:line="240" w:lineRule="auto"/>
              <w:rPr>
                <w:rFonts w:cs="Calibri"/>
                <w:color w:val="auto"/>
                <w:sz w:val="19"/>
                <w:szCs w:val="19"/>
              </w:rPr>
            </w:pPr>
            <w:r w:rsidRPr="004E0E6F">
              <w:rPr>
                <w:rFonts w:cs="Calibri"/>
                <w:color w:val="auto"/>
                <w:sz w:val="19"/>
                <w:szCs w:val="19"/>
              </w:rPr>
              <w:t xml:space="preserve">Refers to flowing water, typically </w:t>
            </w:r>
            <w:r>
              <w:rPr>
                <w:rFonts w:cs="Calibri"/>
                <w:color w:val="auto"/>
                <w:sz w:val="19"/>
                <w:szCs w:val="19"/>
              </w:rPr>
              <w:t xml:space="preserve">with </w:t>
            </w:r>
            <w:r w:rsidRPr="004E0E6F">
              <w:rPr>
                <w:rFonts w:cs="Calibri"/>
                <w:color w:val="auto"/>
                <w:sz w:val="19"/>
                <w:szCs w:val="19"/>
              </w:rPr>
              <w:t xml:space="preserve">median velocities of approximately </w:t>
            </w:r>
            <w:r w:rsidRPr="004E0E6F">
              <w:rPr>
                <w:sz w:val="19"/>
                <w:szCs w:val="19"/>
              </w:rPr>
              <w:t>&gt;</w:t>
            </w:r>
            <w:r w:rsidRPr="004E0E6F">
              <w:rPr>
                <w:rFonts w:cs="Calibri"/>
                <w:color w:val="auto"/>
                <w:sz w:val="19"/>
                <w:szCs w:val="19"/>
              </w:rPr>
              <w:t>0.3 m/s.</w:t>
            </w:r>
          </w:p>
        </w:tc>
      </w:tr>
      <w:tr w:rsidR="007535A2" w:rsidRPr="004E0E6F" w14:paraId="6DEDCAEE" w14:textId="77777777" w:rsidTr="00D6493B">
        <w:trPr>
          <w:cantSplit/>
          <w:trHeight w:val="283"/>
        </w:trPr>
        <w:tc>
          <w:tcPr>
            <w:tcW w:w="1894" w:type="dxa"/>
            <w:tcBorders>
              <w:top w:val="nil"/>
              <w:left w:val="nil"/>
              <w:bottom w:val="nil"/>
              <w:right w:val="nil"/>
            </w:tcBorders>
            <w:noWrap/>
          </w:tcPr>
          <w:p w14:paraId="4EC73905" w14:textId="0B54AED6" w:rsidR="007535A2" w:rsidRPr="00CF78F9" w:rsidRDefault="007535A2" w:rsidP="00D632F9">
            <w:pPr>
              <w:spacing w:before="0" w:after="40" w:line="240" w:lineRule="auto"/>
              <w:rPr>
                <w:rFonts w:cs="Calibri"/>
                <w:b/>
                <w:bCs/>
                <w:color w:val="auto"/>
                <w:sz w:val="19"/>
                <w:szCs w:val="19"/>
              </w:rPr>
            </w:pPr>
            <w:r w:rsidRPr="00CF78F9">
              <w:rPr>
                <w:rFonts w:cs="Calibri"/>
                <w:b/>
                <w:bCs/>
                <w:color w:val="auto"/>
                <w:sz w:val="19"/>
                <w:szCs w:val="19"/>
              </w:rPr>
              <w:t>Lower Murray</w:t>
            </w:r>
          </w:p>
        </w:tc>
        <w:tc>
          <w:tcPr>
            <w:tcW w:w="7035" w:type="dxa"/>
            <w:tcBorders>
              <w:top w:val="nil"/>
              <w:left w:val="nil"/>
              <w:bottom w:val="nil"/>
              <w:right w:val="nil"/>
            </w:tcBorders>
            <w:noWrap/>
          </w:tcPr>
          <w:p w14:paraId="4BE366DB" w14:textId="36E1F365" w:rsidR="007535A2" w:rsidRPr="004E0E6F" w:rsidRDefault="00757B42" w:rsidP="00D632F9">
            <w:pPr>
              <w:spacing w:before="0" w:after="40" w:line="240" w:lineRule="auto"/>
              <w:rPr>
                <w:rFonts w:cs="Calibri"/>
                <w:color w:val="auto"/>
                <w:sz w:val="19"/>
                <w:szCs w:val="19"/>
              </w:rPr>
            </w:pPr>
            <w:r>
              <w:rPr>
                <w:rFonts w:cs="Calibri"/>
                <w:color w:val="auto"/>
                <w:sz w:val="19"/>
                <w:szCs w:val="19"/>
              </w:rPr>
              <w:t>Term used to describe the Selected Area of monitoring, which includes the Lower Murray River (see below) and the Coorong, Lower Lakes and Murray Mouth (CLLMM).</w:t>
            </w:r>
          </w:p>
        </w:tc>
      </w:tr>
      <w:tr w:rsidR="007535A2" w:rsidRPr="004E0E6F" w14:paraId="05DD2784" w14:textId="77777777" w:rsidTr="00D6493B">
        <w:trPr>
          <w:cantSplit/>
          <w:trHeight w:val="283"/>
        </w:trPr>
        <w:tc>
          <w:tcPr>
            <w:tcW w:w="1894" w:type="dxa"/>
            <w:tcBorders>
              <w:top w:val="nil"/>
              <w:left w:val="nil"/>
              <w:bottom w:val="nil"/>
              <w:right w:val="nil"/>
            </w:tcBorders>
            <w:noWrap/>
          </w:tcPr>
          <w:p w14:paraId="4F1F2C0A" w14:textId="6A710995" w:rsidR="007535A2" w:rsidRPr="00CF78F9" w:rsidRDefault="007535A2" w:rsidP="00D632F9">
            <w:pPr>
              <w:spacing w:before="0" w:after="40" w:line="240" w:lineRule="auto"/>
              <w:rPr>
                <w:rFonts w:cs="Calibri"/>
                <w:b/>
                <w:bCs/>
                <w:color w:val="auto"/>
                <w:sz w:val="19"/>
                <w:szCs w:val="19"/>
              </w:rPr>
            </w:pPr>
            <w:r w:rsidRPr="00CF78F9">
              <w:rPr>
                <w:rFonts w:cs="Calibri"/>
                <w:b/>
                <w:bCs/>
                <w:color w:val="auto"/>
                <w:sz w:val="19"/>
                <w:szCs w:val="19"/>
              </w:rPr>
              <w:t>Lower Murray River (LMR)</w:t>
            </w:r>
          </w:p>
        </w:tc>
        <w:tc>
          <w:tcPr>
            <w:tcW w:w="7035" w:type="dxa"/>
            <w:tcBorders>
              <w:top w:val="nil"/>
              <w:left w:val="nil"/>
              <w:bottom w:val="nil"/>
              <w:right w:val="nil"/>
            </w:tcBorders>
            <w:noWrap/>
          </w:tcPr>
          <w:p w14:paraId="79E94A87" w14:textId="098A9603" w:rsidR="007535A2" w:rsidRPr="004E0E6F" w:rsidRDefault="007535A2" w:rsidP="00D632F9">
            <w:pPr>
              <w:spacing w:before="0" w:after="40" w:line="240" w:lineRule="auto"/>
              <w:rPr>
                <w:rFonts w:cs="Calibri"/>
                <w:color w:val="auto"/>
                <w:sz w:val="19"/>
                <w:szCs w:val="19"/>
              </w:rPr>
            </w:pPr>
            <w:r>
              <w:rPr>
                <w:rFonts w:cs="Calibri"/>
                <w:color w:val="auto"/>
                <w:sz w:val="19"/>
                <w:szCs w:val="19"/>
              </w:rPr>
              <w:t xml:space="preserve">Defined as the main channel of the Murray River between Wellington and </w:t>
            </w:r>
            <w:r w:rsidR="00757B42">
              <w:rPr>
                <w:rFonts w:cs="Calibri"/>
                <w:color w:val="auto"/>
                <w:sz w:val="19"/>
                <w:szCs w:val="19"/>
              </w:rPr>
              <w:t>the South Australian border</w:t>
            </w:r>
            <w:r w:rsidR="00EA1B9C">
              <w:rPr>
                <w:rFonts w:cs="Calibri"/>
                <w:color w:val="auto"/>
                <w:sz w:val="19"/>
                <w:szCs w:val="19"/>
              </w:rPr>
              <w:t xml:space="preserve">, unless otherwise specified in text (e.g. Murray River </w:t>
            </w:r>
            <w:r w:rsidR="00917953">
              <w:rPr>
                <w:rFonts w:cs="Calibri"/>
                <w:color w:val="auto"/>
                <w:sz w:val="19"/>
                <w:szCs w:val="19"/>
              </w:rPr>
              <w:t xml:space="preserve">downstream of </w:t>
            </w:r>
            <w:r w:rsidR="00EA1B9C">
              <w:rPr>
                <w:rFonts w:cs="Calibri"/>
                <w:color w:val="auto"/>
                <w:sz w:val="19"/>
                <w:szCs w:val="19"/>
              </w:rPr>
              <w:t>the Darling River junction)</w:t>
            </w:r>
            <w:r w:rsidR="004319B2">
              <w:rPr>
                <w:rFonts w:cs="Calibri"/>
                <w:color w:val="auto"/>
                <w:sz w:val="19"/>
                <w:szCs w:val="19"/>
              </w:rPr>
              <w:t>.</w:t>
            </w:r>
          </w:p>
        </w:tc>
      </w:tr>
      <w:tr w:rsidR="001922D0" w:rsidRPr="004E0E6F" w14:paraId="35901DAF" w14:textId="77777777" w:rsidTr="00D6493B">
        <w:trPr>
          <w:cantSplit/>
          <w:trHeight w:val="283"/>
        </w:trPr>
        <w:tc>
          <w:tcPr>
            <w:tcW w:w="1894" w:type="dxa"/>
            <w:tcBorders>
              <w:top w:val="nil"/>
              <w:left w:val="nil"/>
              <w:bottom w:val="nil"/>
              <w:right w:val="nil"/>
            </w:tcBorders>
            <w:noWrap/>
          </w:tcPr>
          <w:p w14:paraId="23D679E4" w14:textId="6F0DC2C3" w:rsidR="001922D0" w:rsidRPr="00CF78F9" w:rsidRDefault="001922D0" w:rsidP="00D632F9">
            <w:pPr>
              <w:spacing w:before="0" w:after="40" w:line="240" w:lineRule="auto"/>
              <w:rPr>
                <w:rFonts w:cs="Calibri"/>
                <w:b/>
                <w:bCs/>
                <w:color w:val="auto"/>
                <w:sz w:val="19"/>
                <w:szCs w:val="19"/>
              </w:rPr>
            </w:pPr>
          </w:p>
        </w:tc>
        <w:tc>
          <w:tcPr>
            <w:tcW w:w="7035" w:type="dxa"/>
            <w:tcBorders>
              <w:top w:val="nil"/>
              <w:left w:val="nil"/>
              <w:bottom w:val="nil"/>
              <w:right w:val="nil"/>
            </w:tcBorders>
            <w:noWrap/>
          </w:tcPr>
          <w:p w14:paraId="760EEC67" w14:textId="11D329D2" w:rsidR="001922D0" w:rsidRPr="004E0E6F" w:rsidRDefault="001922D0" w:rsidP="00D632F9">
            <w:pPr>
              <w:spacing w:before="0" w:after="40" w:line="240" w:lineRule="auto"/>
              <w:rPr>
                <w:rFonts w:cs="Calibri"/>
                <w:color w:val="auto"/>
                <w:sz w:val="19"/>
                <w:szCs w:val="19"/>
              </w:rPr>
            </w:pPr>
          </w:p>
        </w:tc>
      </w:tr>
      <w:tr w:rsidR="00772BB5" w:rsidRPr="004E0E6F" w14:paraId="164356E1" w14:textId="77777777" w:rsidTr="00D6493B">
        <w:trPr>
          <w:cantSplit/>
          <w:trHeight w:val="283"/>
        </w:trPr>
        <w:tc>
          <w:tcPr>
            <w:tcW w:w="1894" w:type="dxa"/>
            <w:tcBorders>
              <w:top w:val="nil"/>
              <w:left w:val="nil"/>
              <w:bottom w:val="nil"/>
              <w:right w:val="nil"/>
            </w:tcBorders>
            <w:noWrap/>
          </w:tcPr>
          <w:p w14:paraId="6BCD9F76" w14:textId="46E120B1" w:rsidR="00772BB5" w:rsidRPr="00CF78F9" w:rsidRDefault="00772BB5" w:rsidP="00772BB5">
            <w:pPr>
              <w:spacing w:before="0" w:after="40" w:line="240" w:lineRule="auto"/>
              <w:rPr>
                <w:rFonts w:cs="Calibri"/>
                <w:b/>
                <w:bCs/>
                <w:color w:val="auto"/>
                <w:sz w:val="19"/>
                <w:szCs w:val="19"/>
              </w:rPr>
            </w:pPr>
            <w:r w:rsidRPr="00CF78F9">
              <w:rPr>
                <w:rFonts w:cs="Calibri"/>
                <w:b/>
                <w:bCs/>
                <w:color w:val="auto"/>
                <w:sz w:val="19"/>
                <w:szCs w:val="19"/>
              </w:rPr>
              <w:t>Primary productivity</w:t>
            </w:r>
          </w:p>
        </w:tc>
        <w:tc>
          <w:tcPr>
            <w:tcW w:w="7035" w:type="dxa"/>
            <w:tcBorders>
              <w:top w:val="nil"/>
              <w:left w:val="nil"/>
              <w:bottom w:val="nil"/>
              <w:right w:val="nil"/>
            </w:tcBorders>
            <w:noWrap/>
          </w:tcPr>
          <w:p w14:paraId="4A6B6D0D" w14:textId="45AFF008" w:rsidR="00772BB5" w:rsidRPr="004E0E6F" w:rsidRDefault="00772BB5" w:rsidP="00772BB5">
            <w:pPr>
              <w:spacing w:before="0" w:after="40" w:line="240" w:lineRule="auto"/>
              <w:rPr>
                <w:rFonts w:cs="Calibri"/>
                <w:color w:val="auto"/>
                <w:sz w:val="19"/>
                <w:szCs w:val="19"/>
              </w:rPr>
            </w:pPr>
            <w:r w:rsidRPr="004E0E6F">
              <w:rPr>
                <w:rFonts w:cs="Calibri"/>
                <w:color w:val="auto"/>
                <w:sz w:val="19"/>
                <w:szCs w:val="19"/>
              </w:rPr>
              <w:t>The rate at which energy is converted to organic substances by autotrophs (e.g. algae and plants) during photosynthesis.</w:t>
            </w:r>
          </w:p>
        </w:tc>
      </w:tr>
      <w:tr w:rsidR="00772BB5" w:rsidRPr="004E0E6F" w14:paraId="74F371E1" w14:textId="77777777" w:rsidTr="00D6493B">
        <w:trPr>
          <w:cantSplit/>
          <w:trHeight w:val="283"/>
        </w:trPr>
        <w:tc>
          <w:tcPr>
            <w:tcW w:w="1894" w:type="dxa"/>
            <w:tcBorders>
              <w:top w:val="nil"/>
              <w:left w:val="nil"/>
              <w:bottom w:val="nil"/>
              <w:right w:val="nil"/>
            </w:tcBorders>
            <w:noWrap/>
          </w:tcPr>
          <w:p w14:paraId="4DE7986B" w14:textId="77777777" w:rsidR="00772BB5" w:rsidRDefault="00772BB5" w:rsidP="00772BB5">
            <w:pPr>
              <w:spacing w:before="0" w:after="40" w:line="240" w:lineRule="auto"/>
              <w:rPr>
                <w:rFonts w:cs="Calibri"/>
                <w:b/>
                <w:bCs/>
                <w:color w:val="auto"/>
                <w:sz w:val="19"/>
                <w:szCs w:val="19"/>
              </w:rPr>
            </w:pPr>
            <w:r w:rsidRPr="00CF78F9">
              <w:rPr>
                <w:rFonts w:cs="Calibri"/>
                <w:b/>
                <w:bCs/>
                <w:color w:val="auto"/>
                <w:sz w:val="19"/>
                <w:szCs w:val="19"/>
              </w:rPr>
              <w:t>Pulse (flow)</w:t>
            </w:r>
          </w:p>
          <w:p w14:paraId="1DFE7D25" w14:textId="77777777" w:rsidR="00A462F2" w:rsidRDefault="00A462F2" w:rsidP="004B7AA2">
            <w:pPr>
              <w:spacing w:before="0" w:after="0" w:line="240" w:lineRule="auto"/>
              <w:rPr>
                <w:rFonts w:cs="Calibri"/>
                <w:b/>
                <w:bCs/>
                <w:color w:val="auto"/>
                <w:sz w:val="19"/>
                <w:szCs w:val="19"/>
              </w:rPr>
            </w:pPr>
          </w:p>
          <w:p w14:paraId="4CD94981" w14:textId="77777777" w:rsidR="00A462F2" w:rsidRDefault="00A462F2" w:rsidP="004B7AA2">
            <w:pPr>
              <w:spacing w:before="0" w:after="0" w:line="240" w:lineRule="auto"/>
              <w:rPr>
                <w:rFonts w:cs="Calibri"/>
                <w:b/>
                <w:bCs/>
                <w:color w:val="auto"/>
                <w:sz w:val="19"/>
                <w:szCs w:val="19"/>
              </w:rPr>
            </w:pPr>
          </w:p>
          <w:p w14:paraId="74CF9C8F" w14:textId="4CC07FB8" w:rsidR="00A462F2" w:rsidRPr="00CF78F9" w:rsidRDefault="00A462F2" w:rsidP="00772BB5">
            <w:pPr>
              <w:spacing w:before="0" w:after="40" w:line="240" w:lineRule="auto"/>
              <w:rPr>
                <w:rFonts w:cs="Calibri"/>
                <w:b/>
                <w:bCs/>
                <w:color w:val="auto"/>
                <w:sz w:val="19"/>
                <w:szCs w:val="19"/>
              </w:rPr>
            </w:pPr>
            <w:r>
              <w:rPr>
                <w:rFonts w:cs="Calibri"/>
                <w:b/>
                <w:bCs/>
                <w:color w:val="auto"/>
                <w:sz w:val="19"/>
                <w:szCs w:val="19"/>
              </w:rPr>
              <w:t>QSA</w:t>
            </w:r>
          </w:p>
        </w:tc>
        <w:tc>
          <w:tcPr>
            <w:tcW w:w="7035" w:type="dxa"/>
            <w:tcBorders>
              <w:top w:val="nil"/>
              <w:left w:val="nil"/>
              <w:bottom w:val="nil"/>
              <w:right w:val="nil"/>
            </w:tcBorders>
            <w:noWrap/>
          </w:tcPr>
          <w:p w14:paraId="31F8B238" w14:textId="77777777" w:rsidR="00772BB5" w:rsidRDefault="00772BB5" w:rsidP="00772BB5">
            <w:pPr>
              <w:spacing w:before="0" w:after="40" w:line="240" w:lineRule="auto"/>
              <w:rPr>
                <w:rFonts w:cs="Calibri"/>
                <w:color w:val="auto"/>
                <w:sz w:val="19"/>
                <w:szCs w:val="19"/>
              </w:rPr>
            </w:pPr>
            <w:r w:rsidRPr="004E0E6F">
              <w:rPr>
                <w:rFonts w:cs="Calibri"/>
                <w:color w:val="auto"/>
                <w:sz w:val="19"/>
                <w:szCs w:val="19"/>
              </w:rPr>
              <w:t>A description given to the shape of a hydrograph that is characterised by an increase in discharge, followed by a decrease in discharge, often of similar slope.</w:t>
            </w:r>
          </w:p>
          <w:p w14:paraId="5BB61FEB" w14:textId="4E9F8C86" w:rsidR="00A462F2" w:rsidRPr="004E0E6F" w:rsidRDefault="00A462F2" w:rsidP="00772BB5">
            <w:pPr>
              <w:spacing w:before="0" w:after="40" w:line="240" w:lineRule="auto"/>
              <w:rPr>
                <w:rFonts w:cs="Calibri"/>
                <w:color w:val="auto"/>
                <w:sz w:val="19"/>
                <w:szCs w:val="19"/>
              </w:rPr>
            </w:pPr>
            <w:r>
              <w:rPr>
                <w:rFonts w:cs="Calibri"/>
                <w:color w:val="auto"/>
                <w:sz w:val="19"/>
                <w:szCs w:val="19"/>
              </w:rPr>
              <w:t>Murray River discharge (Q) to South Australia at the SA-NSW border.</w:t>
            </w:r>
          </w:p>
        </w:tc>
      </w:tr>
      <w:tr w:rsidR="00772BB5" w:rsidRPr="004E0E6F" w14:paraId="434BE0B1" w14:textId="77777777" w:rsidTr="00D6493B">
        <w:trPr>
          <w:cantSplit/>
          <w:trHeight w:val="283"/>
        </w:trPr>
        <w:tc>
          <w:tcPr>
            <w:tcW w:w="1894" w:type="dxa"/>
            <w:tcBorders>
              <w:top w:val="nil"/>
              <w:left w:val="nil"/>
              <w:bottom w:val="nil"/>
              <w:right w:val="nil"/>
            </w:tcBorders>
            <w:noWrap/>
          </w:tcPr>
          <w:p w14:paraId="3A64BA14" w14:textId="77777777" w:rsidR="00772BB5" w:rsidRPr="00CF78F9" w:rsidRDefault="00772BB5" w:rsidP="00772BB5">
            <w:pPr>
              <w:spacing w:before="0" w:after="40" w:line="240" w:lineRule="auto"/>
              <w:rPr>
                <w:rFonts w:cs="Calibri"/>
                <w:b/>
                <w:bCs/>
                <w:color w:val="auto"/>
                <w:sz w:val="19"/>
                <w:szCs w:val="19"/>
              </w:rPr>
            </w:pPr>
            <w:r w:rsidRPr="00CF78F9">
              <w:rPr>
                <w:rFonts w:cs="Calibri"/>
                <w:b/>
                <w:bCs/>
                <w:color w:val="auto"/>
                <w:sz w:val="19"/>
                <w:szCs w:val="19"/>
              </w:rPr>
              <w:t>Recruitment (reproduction)</w:t>
            </w:r>
          </w:p>
        </w:tc>
        <w:tc>
          <w:tcPr>
            <w:tcW w:w="7035" w:type="dxa"/>
            <w:tcBorders>
              <w:top w:val="nil"/>
              <w:left w:val="nil"/>
              <w:bottom w:val="nil"/>
              <w:right w:val="nil"/>
            </w:tcBorders>
            <w:noWrap/>
          </w:tcPr>
          <w:p w14:paraId="45435620" w14:textId="77777777" w:rsidR="00772BB5" w:rsidRPr="004E0E6F" w:rsidRDefault="00772BB5" w:rsidP="00772BB5">
            <w:pPr>
              <w:spacing w:before="0" w:after="40" w:line="240" w:lineRule="auto"/>
              <w:rPr>
                <w:rFonts w:cs="Calibri"/>
                <w:color w:val="auto"/>
                <w:sz w:val="19"/>
                <w:szCs w:val="19"/>
              </w:rPr>
            </w:pPr>
            <w:r w:rsidRPr="004E0E6F">
              <w:rPr>
                <w:rFonts w:cs="Calibri"/>
                <w:color w:val="auto"/>
                <w:sz w:val="19"/>
                <w:szCs w:val="19"/>
              </w:rPr>
              <w:t xml:space="preserve">Refers to individuals passing the critical stages of early life (e.g. larval) and becoming juveniles in a population, described here as age 0+ years. </w:t>
            </w:r>
          </w:p>
        </w:tc>
      </w:tr>
      <w:tr w:rsidR="00772BB5" w:rsidRPr="004E0E6F" w14:paraId="056B0D6D" w14:textId="77777777" w:rsidTr="00D6493B">
        <w:trPr>
          <w:cantSplit/>
          <w:trHeight w:val="283"/>
        </w:trPr>
        <w:tc>
          <w:tcPr>
            <w:tcW w:w="1894" w:type="dxa"/>
            <w:tcBorders>
              <w:top w:val="nil"/>
              <w:left w:val="nil"/>
              <w:bottom w:val="nil"/>
              <w:right w:val="nil"/>
            </w:tcBorders>
            <w:noWrap/>
          </w:tcPr>
          <w:p w14:paraId="50F7C2B0" w14:textId="77777777" w:rsidR="00772BB5" w:rsidRPr="00CF78F9" w:rsidRDefault="00772BB5" w:rsidP="00772BB5">
            <w:pPr>
              <w:spacing w:before="0" w:after="40" w:line="240" w:lineRule="auto"/>
              <w:rPr>
                <w:rFonts w:cs="Calibri"/>
                <w:b/>
                <w:bCs/>
                <w:color w:val="auto"/>
                <w:sz w:val="19"/>
                <w:szCs w:val="19"/>
              </w:rPr>
            </w:pPr>
            <w:r w:rsidRPr="00CF78F9">
              <w:rPr>
                <w:rFonts w:cs="Calibri"/>
                <w:b/>
                <w:bCs/>
                <w:color w:val="auto"/>
                <w:sz w:val="19"/>
                <w:szCs w:val="19"/>
              </w:rPr>
              <w:t>Respiration (ecosystem)</w:t>
            </w:r>
          </w:p>
        </w:tc>
        <w:tc>
          <w:tcPr>
            <w:tcW w:w="7035" w:type="dxa"/>
            <w:tcBorders>
              <w:top w:val="nil"/>
              <w:left w:val="nil"/>
              <w:bottom w:val="nil"/>
              <w:right w:val="nil"/>
            </w:tcBorders>
            <w:noWrap/>
          </w:tcPr>
          <w:p w14:paraId="4BF4B25A" w14:textId="77777777" w:rsidR="00772BB5" w:rsidRPr="004E0E6F" w:rsidRDefault="00772BB5" w:rsidP="00772BB5">
            <w:pPr>
              <w:spacing w:before="0" w:after="40" w:line="240" w:lineRule="auto"/>
              <w:rPr>
                <w:rFonts w:cs="Calibri"/>
                <w:color w:val="auto"/>
                <w:sz w:val="19"/>
                <w:szCs w:val="19"/>
              </w:rPr>
            </w:pPr>
            <w:r w:rsidRPr="004E0E6F">
              <w:rPr>
                <w:rFonts w:cs="Calibri"/>
                <w:color w:val="auto"/>
                <w:sz w:val="19"/>
                <w:szCs w:val="19"/>
              </w:rPr>
              <w:t>Ecosystem respiration is the measure of oxygen depletion in water by respiring animals.</w:t>
            </w:r>
          </w:p>
        </w:tc>
      </w:tr>
      <w:tr w:rsidR="00772BB5" w:rsidRPr="004E0E6F" w14:paraId="1DE0293B" w14:textId="77777777" w:rsidTr="00D6493B">
        <w:trPr>
          <w:cantSplit/>
          <w:trHeight w:val="283"/>
        </w:trPr>
        <w:tc>
          <w:tcPr>
            <w:tcW w:w="1894" w:type="dxa"/>
            <w:tcBorders>
              <w:top w:val="nil"/>
              <w:left w:val="nil"/>
              <w:bottom w:val="nil"/>
              <w:right w:val="nil"/>
            </w:tcBorders>
            <w:noWrap/>
          </w:tcPr>
          <w:p w14:paraId="76EEC332" w14:textId="77777777" w:rsidR="00772BB5" w:rsidRPr="00CF78F9" w:rsidRDefault="00772BB5" w:rsidP="00772BB5">
            <w:pPr>
              <w:spacing w:before="0" w:after="40" w:line="240" w:lineRule="auto"/>
              <w:rPr>
                <w:rFonts w:cs="Calibri"/>
                <w:b/>
                <w:bCs/>
                <w:color w:val="auto"/>
                <w:sz w:val="19"/>
                <w:szCs w:val="19"/>
              </w:rPr>
            </w:pPr>
            <w:r w:rsidRPr="00CF78F9">
              <w:rPr>
                <w:rFonts w:cs="Calibri"/>
                <w:b/>
                <w:bCs/>
                <w:color w:val="auto"/>
                <w:sz w:val="19"/>
                <w:szCs w:val="19"/>
              </w:rPr>
              <w:lastRenderedPageBreak/>
              <w:t>RMIF</w:t>
            </w:r>
          </w:p>
        </w:tc>
        <w:tc>
          <w:tcPr>
            <w:tcW w:w="7035" w:type="dxa"/>
            <w:tcBorders>
              <w:top w:val="nil"/>
              <w:left w:val="nil"/>
              <w:bottom w:val="nil"/>
              <w:right w:val="nil"/>
            </w:tcBorders>
            <w:noWrap/>
          </w:tcPr>
          <w:p w14:paraId="40C342A2" w14:textId="77777777" w:rsidR="00772BB5" w:rsidRPr="004E0E6F" w:rsidRDefault="00772BB5" w:rsidP="00772BB5">
            <w:pPr>
              <w:spacing w:before="0" w:after="40" w:line="240" w:lineRule="auto"/>
              <w:rPr>
                <w:rFonts w:cs="Calibri"/>
                <w:color w:val="auto"/>
                <w:sz w:val="19"/>
                <w:szCs w:val="19"/>
              </w:rPr>
            </w:pPr>
            <w:r w:rsidRPr="004E0E6F">
              <w:rPr>
                <w:color w:val="auto"/>
                <w:sz w:val="19"/>
                <w:szCs w:val="19"/>
              </w:rPr>
              <w:t>River Murray Increased Flows: a type of environmental water. Water entitlements recovered under the Snowy Water Initiative (established in 2002) via infrastructure upgrades and water purchase, which receive annual allocations and are used to supply environmental water to the Snowy River (Snowy River Increased Flows, SRIF) and River Murray (RMIF).</w:t>
            </w:r>
          </w:p>
        </w:tc>
      </w:tr>
      <w:tr w:rsidR="00772BB5" w:rsidRPr="004E0E6F" w14:paraId="60B02BBC" w14:textId="77777777" w:rsidTr="00D6493B">
        <w:trPr>
          <w:cantSplit/>
          <w:trHeight w:val="283"/>
        </w:trPr>
        <w:tc>
          <w:tcPr>
            <w:tcW w:w="1894" w:type="dxa"/>
            <w:tcBorders>
              <w:top w:val="nil"/>
              <w:left w:val="nil"/>
              <w:bottom w:val="nil"/>
              <w:right w:val="nil"/>
            </w:tcBorders>
            <w:noWrap/>
          </w:tcPr>
          <w:p w14:paraId="4E894571" w14:textId="4400A580" w:rsidR="00772BB5" w:rsidRPr="00CF78F9" w:rsidRDefault="00772BB5" w:rsidP="00772BB5">
            <w:pPr>
              <w:spacing w:before="0" w:after="40" w:line="240" w:lineRule="auto"/>
              <w:rPr>
                <w:rFonts w:cs="Calibri"/>
                <w:b/>
                <w:bCs/>
                <w:color w:val="auto"/>
                <w:sz w:val="19"/>
                <w:szCs w:val="19"/>
              </w:rPr>
            </w:pPr>
            <w:r w:rsidRPr="00CF78F9">
              <w:rPr>
                <w:rFonts w:cs="Calibri"/>
                <w:b/>
                <w:bCs/>
                <w:color w:val="auto"/>
                <w:sz w:val="19"/>
                <w:szCs w:val="19"/>
              </w:rPr>
              <w:t>Salt flux</w:t>
            </w:r>
          </w:p>
        </w:tc>
        <w:tc>
          <w:tcPr>
            <w:tcW w:w="7035" w:type="dxa"/>
            <w:tcBorders>
              <w:top w:val="nil"/>
              <w:left w:val="nil"/>
              <w:bottom w:val="nil"/>
              <w:right w:val="nil"/>
            </w:tcBorders>
            <w:noWrap/>
          </w:tcPr>
          <w:p w14:paraId="0339EFC6" w14:textId="21795F34" w:rsidR="00772BB5" w:rsidRPr="004E0E6F" w:rsidRDefault="00772BB5" w:rsidP="00772BB5">
            <w:pPr>
              <w:spacing w:before="0" w:after="40" w:line="240" w:lineRule="auto"/>
              <w:rPr>
                <w:rFonts w:cs="Calibri"/>
                <w:color w:val="auto"/>
                <w:sz w:val="19"/>
                <w:szCs w:val="19"/>
              </w:rPr>
            </w:pPr>
            <w:r>
              <w:rPr>
                <w:rFonts w:cs="Calibri"/>
                <w:color w:val="auto"/>
                <w:sz w:val="19"/>
                <w:szCs w:val="19"/>
              </w:rPr>
              <w:t>The measure (mass/time) of the movement of salt over a given area or point.</w:t>
            </w:r>
          </w:p>
        </w:tc>
      </w:tr>
      <w:tr w:rsidR="00772BB5" w:rsidRPr="004E0E6F" w14:paraId="0FFC5574" w14:textId="77777777" w:rsidTr="00D6493B">
        <w:trPr>
          <w:cantSplit/>
          <w:trHeight w:val="283"/>
        </w:trPr>
        <w:tc>
          <w:tcPr>
            <w:tcW w:w="1894" w:type="dxa"/>
            <w:tcBorders>
              <w:top w:val="nil"/>
              <w:left w:val="nil"/>
              <w:bottom w:val="nil"/>
              <w:right w:val="nil"/>
            </w:tcBorders>
            <w:noWrap/>
          </w:tcPr>
          <w:p w14:paraId="3B4E00B6" w14:textId="18E0F749" w:rsidR="00772BB5" w:rsidRPr="00CF78F9" w:rsidRDefault="00772BB5" w:rsidP="00772BB5">
            <w:pPr>
              <w:spacing w:before="0" w:after="40" w:line="240" w:lineRule="auto"/>
              <w:rPr>
                <w:rFonts w:cs="Calibri"/>
                <w:b/>
                <w:bCs/>
                <w:color w:val="auto"/>
                <w:sz w:val="19"/>
                <w:szCs w:val="19"/>
              </w:rPr>
            </w:pPr>
            <w:r w:rsidRPr="00CF78F9">
              <w:rPr>
                <w:rFonts w:cs="Calibri"/>
                <w:b/>
                <w:bCs/>
                <w:color w:val="auto"/>
                <w:sz w:val="19"/>
                <w:szCs w:val="19"/>
              </w:rPr>
              <w:t>Slackwater</w:t>
            </w:r>
          </w:p>
        </w:tc>
        <w:tc>
          <w:tcPr>
            <w:tcW w:w="7035" w:type="dxa"/>
            <w:tcBorders>
              <w:top w:val="nil"/>
              <w:left w:val="nil"/>
              <w:bottom w:val="nil"/>
              <w:right w:val="nil"/>
            </w:tcBorders>
            <w:noWrap/>
          </w:tcPr>
          <w:p w14:paraId="3A7E07C1" w14:textId="125A8404" w:rsidR="00772BB5" w:rsidRDefault="00772BB5" w:rsidP="00BB0D40">
            <w:pPr>
              <w:spacing w:before="0" w:after="40" w:line="240" w:lineRule="auto"/>
              <w:rPr>
                <w:rFonts w:cs="Calibri"/>
                <w:color w:val="auto"/>
                <w:sz w:val="19"/>
                <w:szCs w:val="19"/>
              </w:rPr>
            </w:pPr>
            <w:r>
              <w:rPr>
                <w:rFonts w:cs="Calibri"/>
                <w:color w:val="auto"/>
                <w:sz w:val="19"/>
                <w:szCs w:val="19"/>
              </w:rPr>
              <w:t>Waters</w:t>
            </w:r>
            <w:r w:rsidRPr="00772BB5">
              <w:rPr>
                <w:rFonts w:cs="Calibri"/>
                <w:color w:val="auto"/>
                <w:sz w:val="19"/>
                <w:szCs w:val="19"/>
              </w:rPr>
              <w:t xml:space="preserve"> with mean velocities &lt;0.1 m</w:t>
            </w:r>
            <w:r>
              <w:rPr>
                <w:rFonts w:cs="Calibri"/>
                <w:color w:val="auto"/>
                <w:sz w:val="19"/>
                <w:szCs w:val="19"/>
              </w:rPr>
              <w:t>/s. Slackwater habitats are typically associated with proximity to broader fast-flowing reaches</w:t>
            </w:r>
            <w:r w:rsidR="00BB0D40">
              <w:rPr>
                <w:rFonts w:cs="Calibri"/>
                <w:color w:val="auto"/>
                <w:sz w:val="19"/>
                <w:szCs w:val="19"/>
              </w:rPr>
              <w:t xml:space="preserve"> and </w:t>
            </w:r>
            <w:r w:rsidRPr="00772BB5">
              <w:rPr>
                <w:rFonts w:cs="Calibri"/>
                <w:color w:val="auto"/>
                <w:sz w:val="19"/>
                <w:szCs w:val="19"/>
              </w:rPr>
              <w:t>high velocity difference</w:t>
            </w:r>
            <w:r w:rsidR="00BB0D40">
              <w:rPr>
                <w:rFonts w:cs="Calibri"/>
                <w:color w:val="auto"/>
                <w:sz w:val="19"/>
                <w:szCs w:val="19"/>
              </w:rPr>
              <w:t>s</w:t>
            </w:r>
            <w:r w:rsidRPr="00772BB5">
              <w:rPr>
                <w:rFonts w:cs="Calibri"/>
                <w:color w:val="auto"/>
                <w:sz w:val="19"/>
                <w:szCs w:val="19"/>
              </w:rPr>
              <w:t xml:space="preserve"> (e.g. &gt;0.3 m</w:t>
            </w:r>
            <w:r w:rsidR="00BB0D40">
              <w:rPr>
                <w:rFonts w:cs="Calibri"/>
                <w:color w:val="auto"/>
                <w:sz w:val="19"/>
                <w:szCs w:val="19"/>
              </w:rPr>
              <w:t>/s</w:t>
            </w:r>
            <w:r w:rsidRPr="00772BB5">
              <w:rPr>
                <w:rFonts w:cs="Calibri"/>
                <w:color w:val="auto"/>
                <w:sz w:val="19"/>
                <w:szCs w:val="19"/>
              </w:rPr>
              <w:t xml:space="preserve">). </w:t>
            </w:r>
            <w:r w:rsidR="00BB0D40">
              <w:rPr>
                <w:rFonts w:cs="Calibri"/>
                <w:color w:val="auto"/>
                <w:sz w:val="19"/>
                <w:szCs w:val="19"/>
              </w:rPr>
              <w:t>Murray cod larvae show a preference for these habitats.</w:t>
            </w:r>
          </w:p>
        </w:tc>
      </w:tr>
      <w:tr w:rsidR="00772BB5" w:rsidRPr="004E0E6F" w14:paraId="1098B7DF" w14:textId="77777777" w:rsidTr="00D6493B">
        <w:trPr>
          <w:cantSplit/>
          <w:trHeight w:val="283"/>
        </w:trPr>
        <w:tc>
          <w:tcPr>
            <w:tcW w:w="1894" w:type="dxa"/>
            <w:noWrap/>
          </w:tcPr>
          <w:p w14:paraId="5841FD14" w14:textId="5F6A9981" w:rsidR="00772BB5" w:rsidRPr="00CF78F9" w:rsidRDefault="00772BB5" w:rsidP="00772BB5">
            <w:pPr>
              <w:spacing w:before="0" w:after="40" w:line="240" w:lineRule="auto"/>
              <w:rPr>
                <w:rFonts w:cs="Calibri"/>
                <w:b/>
                <w:bCs/>
                <w:color w:val="auto"/>
                <w:sz w:val="19"/>
                <w:szCs w:val="19"/>
              </w:rPr>
            </w:pPr>
            <w:r w:rsidRPr="00CF78F9">
              <w:rPr>
                <w:rFonts w:cs="Calibri"/>
                <w:b/>
                <w:bCs/>
                <w:color w:val="auto"/>
                <w:sz w:val="19"/>
                <w:szCs w:val="19"/>
              </w:rPr>
              <w:t>Southern connected Basin</w:t>
            </w:r>
          </w:p>
        </w:tc>
        <w:tc>
          <w:tcPr>
            <w:tcW w:w="7035" w:type="dxa"/>
            <w:noWrap/>
          </w:tcPr>
          <w:p w14:paraId="7696C1E0" w14:textId="341C88D2" w:rsidR="00772BB5" w:rsidRPr="004E0E6F" w:rsidRDefault="00772BB5" w:rsidP="00772BB5">
            <w:pPr>
              <w:spacing w:before="0" w:after="40" w:line="240" w:lineRule="auto"/>
              <w:rPr>
                <w:sz w:val="19"/>
                <w:szCs w:val="19"/>
              </w:rPr>
            </w:pPr>
            <w:r>
              <w:rPr>
                <w:rFonts w:cs="Calibri"/>
                <w:color w:val="auto"/>
                <w:sz w:val="19"/>
                <w:szCs w:val="19"/>
              </w:rPr>
              <w:t>The southern c</w:t>
            </w:r>
            <w:r w:rsidRPr="00D14223">
              <w:rPr>
                <w:rFonts w:cs="Calibri"/>
                <w:color w:val="auto"/>
                <w:sz w:val="19"/>
                <w:szCs w:val="19"/>
              </w:rPr>
              <w:t>onnected Basin is a network of the Murray River and all tributaries that flow into it between the Hume Dam and the sea. The Lower Darling (below Menindee Lakes) is considered part of the Southern Connected Basin, whilst all rivers upstream of Menindee Lakes are considered as the Northern Basin.</w:t>
            </w:r>
          </w:p>
        </w:tc>
      </w:tr>
      <w:tr w:rsidR="00772BB5" w:rsidRPr="004E0E6F" w14:paraId="13CF3F5C" w14:textId="77777777" w:rsidTr="00D6493B">
        <w:trPr>
          <w:cantSplit/>
          <w:trHeight w:val="283"/>
        </w:trPr>
        <w:tc>
          <w:tcPr>
            <w:tcW w:w="1894" w:type="dxa"/>
            <w:noWrap/>
          </w:tcPr>
          <w:p w14:paraId="16848559" w14:textId="2CE6C2B4" w:rsidR="00772BB5" w:rsidRPr="00CF78F9" w:rsidRDefault="00772BB5" w:rsidP="00772BB5">
            <w:pPr>
              <w:spacing w:before="0" w:after="40" w:line="240" w:lineRule="auto"/>
              <w:rPr>
                <w:rFonts w:cs="Calibri"/>
                <w:b/>
                <w:bCs/>
                <w:color w:val="auto"/>
                <w:sz w:val="19"/>
                <w:szCs w:val="19"/>
              </w:rPr>
            </w:pPr>
          </w:p>
        </w:tc>
        <w:tc>
          <w:tcPr>
            <w:tcW w:w="7035" w:type="dxa"/>
            <w:noWrap/>
          </w:tcPr>
          <w:p w14:paraId="74FC72DB" w14:textId="5D1ECA79" w:rsidR="00772BB5" w:rsidRDefault="00772BB5" w:rsidP="00772BB5">
            <w:pPr>
              <w:spacing w:before="0" w:after="40" w:line="240" w:lineRule="auto"/>
              <w:rPr>
                <w:rFonts w:cs="Calibri"/>
                <w:color w:val="auto"/>
                <w:sz w:val="19"/>
                <w:szCs w:val="19"/>
              </w:rPr>
            </w:pPr>
          </w:p>
        </w:tc>
      </w:tr>
      <w:tr w:rsidR="00772BB5" w:rsidRPr="004E0E6F" w14:paraId="5C14117E" w14:textId="77777777" w:rsidTr="00D6493B">
        <w:trPr>
          <w:cantSplit/>
          <w:trHeight w:val="283"/>
        </w:trPr>
        <w:tc>
          <w:tcPr>
            <w:tcW w:w="1894" w:type="dxa"/>
            <w:tcBorders>
              <w:top w:val="nil"/>
              <w:left w:val="nil"/>
              <w:bottom w:val="nil"/>
              <w:right w:val="nil"/>
            </w:tcBorders>
            <w:noWrap/>
          </w:tcPr>
          <w:p w14:paraId="7B8A85C9" w14:textId="77777777" w:rsidR="00772BB5" w:rsidRPr="00CF78F9" w:rsidRDefault="00772BB5" w:rsidP="00772BB5">
            <w:pPr>
              <w:spacing w:before="0" w:after="40" w:line="240" w:lineRule="auto"/>
              <w:rPr>
                <w:rFonts w:cs="Calibri"/>
                <w:b/>
                <w:bCs/>
                <w:color w:val="auto"/>
                <w:sz w:val="19"/>
                <w:szCs w:val="19"/>
              </w:rPr>
            </w:pPr>
            <w:r w:rsidRPr="00CF78F9">
              <w:rPr>
                <w:rFonts w:cs="Calibri"/>
                <w:b/>
                <w:bCs/>
                <w:color w:val="auto"/>
                <w:sz w:val="19"/>
                <w:szCs w:val="19"/>
              </w:rPr>
              <w:t>Unregulated flows</w:t>
            </w:r>
          </w:p>
        </w:tc>
        <w:tc>
          <w:tcPr>
            <w:tcW w:w="7035" w:type="dxa"/>
            <w:tcBorders>
              <w:top w:val="nil"/>
              <w:left w:val="nil"/>
              <w:bottom w:val="nil"/>
              <w:right w:val="nil"/>
            </w:tcBorders>
            <w:noWrap/>
          </w:tcPr>
          <w:p w14:paraId="0C3B5AB9" w14:textId="77777777" w:rsidR="00772BB5" w:rsidRPr="004E0E6F" w:rsidRDefault="00772BB5" w:rsidP="00772BB5">
            <w:pPr>
              <w:spacing w:before="0" w:after="40" w:line="240" w:lineRule="auto"/>
              <w:rPr>
                <w:color w:val="auto"/>
                <w:sz w:val="19"/>
                <w:szCs w:val="19"/>
              </w:rPr>
            </w:pPr>
            <w:r w:rsidRPr="004E0E6F">
              <w:rPr>
                <w:sz w:val="19"/>
                <w:szCs w:val="19"/>
              </w:rPr>
              <w:t xml:space="preserve">Unregulated flows occur when water in the system exceeds demands and are declared to be unregulated by the appropriate authority (source: </w:t>
            </w:r>
            <w:hyperlink r:id="rId169" w:history="1">
              <w:r w:rsidRPr="004E0E6F">
                <w:rPr>
                  <w:rStyle w:val="Hyperlink"/>
                  <w:rFonts w:eastAsiaTheme="majorEastAsia"/>
                  <w:sz w:val="19"/>
                  <w:szCs w:val="19"/>
                </w:rPr>
                <w:t>http://www.bom.gov.au/water/awid/id-1026.shtml</w:t>
              </w:r>
            </w:hyperlink>
            <w:r w:rsidRPr="004E0E6F">
              <w:rPr>
                <w:sz w:val="19"/>
                <w:szCs w:val="19"/>
              </w:rPr>
              <w:t>). They can be driven by substantial rainfall from upper tributaries, spills from headwork storages and rainfall rejection events.</w:t>
            </w:r>
          </w:p>
        </w:tc>
      </w:tr>
      <w:tr w:rsidR="00772BB5" w:rsidRPr="004E0E6F" w14:paraId="14506956" w14:textId="77777777" w:rsidTr="00D6493B">
        <w:trPr>
          <w:cantSplit/>
          <w:trHeight w:val="283"/>
        </w:trPr>
        <w:tc>
          <w:tcPr>
            <w:tcW w:w="1894" w:type="dxa"/>
            <w:tcBorders>
              <w:top w:val="nil"/>
              <w:left w:val="nil"/>
              <w:bottom w:val="nil"/>
              <w:right w:val="nil"/>
            </w:tcBorders>
            <w:noWrap/>
          </w:tcPr>
          <w:p w14:paraId="08F00803" w14:textId="77777777" w:rsidR="00772BB5" w:rsidRPr="00CF78F9" w:rsidRDefault="00772BB5" w:rsidP="00772BB5">
            <w:pPr>
              <w:spacing w:before="0" w:after="40" w:line="240" w:lineRule="auto"/>
              <w:rPr>
                <w:rFonts w:cs="Calibri"/>
                <w:b/>
                <w:bCs/>
                <w:color w:val="auto"/>
                <w:sz w:val="19"/>
                <w:szCs w:val="19"/>
              </w:rPr>
            </w:pPr>
            <w:r w:rsidRPr="00CF78F9">
              <w:rPr>
                <w:rFonts w:cs="Calibri"/>
                <w:b/>
                <w:bCs/>
                <w:color w:val="auto"/>
                <w:sz w:val="19"/>
                <w:szCs w:val="19"/>
              </w:rPr>
              <w:t>Weir pool</w:t>
            </w:r>
          </w:p>
        </w:tc>
        <w:tc>
          <w:tcPr>
            <w:tcW w:w="7035" w:type="dxa"/>
            <w:tcBorders>
              <w:top w:val="nil"/>
              <w:left w:val="nil"/>
              <w:bottom w:val="nil"/>
              <w:right w:val="nil"/>
            </w:tcBorders>
            <w:noWrap/>
          </w:tcPr>
          <w:p w14:paraId="7B700A84" w14:textId="0731D13D" w:rsidR="00772BB5" w:rsidRPr="004E0E6F" w:rsidRDefault="00772BB5" w:rsidP="00772BB5">
            <w:pPr>
              <w:spacing w:before="0" w:after="40" w:line="240" w:lineRule="auto"/>
              <w:rPr>
                <w:sz w:val="19"/>
                <w:szCs w:val="19"/>
              </w:rPr>
            </w:pPr>
            <w:r>
              <w:rPr>
                <w:rFonts w:cs="Calibri"/>
                <w:color w:val="auto"/>
                <w:sz w:val="19"/>
                <w:szCs w:val="19"/>
              </w:rPr>
              <w:t>The area of water upstream of a weir that is influenced by the weir. In this report, a weir pool is often referred to as the stretch of river between two weirs and includes tailwater habitat. For example, Weir Pool 1 is the stretch of river between Weir 1 and 2.</w:t>
            </w:r>
          </w:p>
        </w:tc>
      </w:tr>
    </w:tbl>
    <w:p w14:paraId="788E77A9" w14:textId="77777777" w:rsidR="000A65FC" w:rsidRDefault="000A65FC" w:rsidP="009A6F22"/>
    <w:sectPr w:rsidR="000A65FC" w:rsidSect="00003CA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7A7E6" w14:textId="77777777" w:rsidR="001D16BD" w:rsidRDefault="001D16BD" w:rsidP="00CC1E80">
      <w:pPr>
        <w:spacing w:before="0" w:after="0" w:line="240" w:lineRule="auto"/>
      </w:pPr>
      <w:r>
        <w:separator/>
      </w:r>
    </w:p>
  </w:endnote>
  <w:endnote w:type="continuationSeparator" w:id="0">
    <w:p w14:paraId="1C738668" w14:textId="77777777" w:rsidR="001D16BD" w:rsidRDefault="001D16BD" w:rsidP="00CC1E80">
      <w:pPr>
        <w:spacing w:before="0" w:after="0" w:line="240" w:lineRule="auto"/>
      </w:pPr>
      <w:r>
        <w:continuationSeparator/>
      </w:r>
    </w:p>
  </w:endnote>
  <w:endnote w:type="continuationNotice" w:id="1">
    <w:p w14:paraId="4214ADCE" w14:textId="77777777" w:rsidR="001D16BD" w:rsidRDefault="001D16B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icrosoft Himalaya">
    <w:panose1 w:val="01010100010101010101"/>
    <w:charset w:val="00"/>
    <w:family w:val="auto"/>
    <w:pitch w:val="variable"/>
    <w:sig w:usb0="80000003" w:usb1="00010000" w:usb2="0000004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Frutiger LT Std 45 Light">
    <w:altName w:val="Times New Roman"/>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onsolas">
    <w:panose1 w:val="020B0609020204030204"/>
    <w:charset w:val="00"/>
    <w:family w:val="modern"/>
    <w:pitch w:val="fixed"/>
    <w:sig w:usb0="E00006FF" w:usb1="0000FCFF" w:usb2="00000001" w:usb3="00000000" w:csb0="0000019F" w:csb1="00000000"/>
  </w:font>
  <w:font w:name="Arial Bold">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Bold">
    <w:altName w:val="Calibri"/>
    <w:panose1 w:val="00000000000000000000"/>
    <w:charset w:val="00"/>
    <w:family w:val="swiss"/>
    <w:notTrueType/>
    <w:pitch w:val="default"/>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enturyGothic">
    <w:altName w:val="Century Gothic"/>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D2BB4" w14:textId="38CF1FCD" w:rsidR="00562E5A" w:rsidRDefault="00AE0EE7">
    <w:pPr>
      <w:pStyle w:val="Footer"/>
    </w:pPr>
    <w:r>
      <w:rPr>
        <w:noProof/>
      </w:rPr>
      <mc:AlternateContent>
        <mc:Choice Requires="wps">
          <w:drawing>
            <wp:anchor distT="0" distB="0" distL="0" distR="0" simplePos="0" relativeHeight="251658268" behindDoc="0" locked="0" layoutInCell="1" allowOverlap="1" wp14:anchorId="1E2C25E3" wp14:editId="5257E0A4">
              <wp:simplePos x="635" y="635"/>
              <wp:positionH relativeFrom="page">
                <wp:align>center</wp:align>
              </wp:positionH>
              <wp:positionV relativeFrom="page">
                <wp:align>bottom</wp:align>
              </wp:positionV>
              <wp:extent cx="551815" cy="480695"/>
              <wp:effectExtent l="0" t="0" r="635" b="0"/>
              <wp:wrapNone/>
              <wp:docPr id="2017741634"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4F7B1E22" w14:textId="413FDDE3"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2C25E3" id="_x0000_t202" coordsize="21600,21600" o:spt="202" path="m,l,21600r21600,l21600,xe">
              <v:stroke joinstyle="miter"/>
              <v:path gradientshapeok="t" o:connecttype="rect"/>
            </v:shapetype>
            <v:shape id="Text Box 20" o:spid="_x0000_s1032" type="#_x0000_t202" alt="OFFICIAL" style="position:absolute;left:0;text-align:left;margin-left:0;margin-top:0;width:43.45pt;height:37.85pt;z-index:2516582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Gy+DgIAABwEAAAOAAAAZHJzL2Uyb0RvYy54bWysU8Fu2zAMvQ/YPwi6L7aDpUiNOEXaIsOA&#10;oC2QDj0rshQbkERBUmJnXz9KjpOt22noRaZJ6pF8fFrc9VqRo3C+BVPRYpJTIgyHujX7iv54XX+Z&#10;U+IDMzVTYERFT8LTu+XnT4vOlmIKDahaOIIgxpedrWgTgi2zzPNGaOYnYIXBoASnWcBft89qxzpE&#10;1yqb5vlN1oGrrQMuvEfv4xCky4QvpeDhWUovAlEVxd5COl06d/HMlgtW7h2zTcvPbbD/6EKz1mDR&#10;C9QjC4wcXPsXlG65Aw8yTDjoDKRsuUgz4DRF/m6abcOsSLMgOd5eaPIfB8ufjlv74kjo76HHBUZC&#10;OutLj844Ty+djl/slGAcKTxdaBN9IByds1kxL2aUcAx9nec3t7OIkl0vW+fDNwGaRKOiDreSyGLH&#10;jQ9D6pgSaxlYt0qlzSjzhwMxoye7dhit0O960tYVnY7d76A+4VAOhn17y9ctlt4wH16YwwXjHCja&#10;8IyHVNBVFM4WJQ24n//yx3zkHaOUdCiYihpUNCXqu8F9RG2NhhuNXTKK23yWY9wc9AOgDAt8EZYn&#10;E70uqNGUDvQbynkVC2GIGY7lKrobzYcwKBefAxerVUpCGVkWNmZreYSOdEUuX/s35uyZ8ICbeoJR&#10;Tax8x/uQG296uzoEZD8tJVI7EHlmHCWY1np+LlHjv/+nrOujXv4CAAD//wMAUEsDBBQABgAIAAAA&#10;IQBUS1sW2wAAAAMBAAAPAAAAZHJzL2Rvd25yZXYueG1sTI/NbsIwEITvSH0Hayv1Bg4gfhrioAqp&#10;J6pKQC+9GXtJAvE6ijcQ3r5uL/Sy0mhGM99m697V4optqDwpGI8SEEjG24oKBV+H9+ESRGBNVtee&#10;UMEdA6zzp0GmU+tvtMPrngsRSyikWkHJ3KRSBlOi02HkG6TonXzrNEfZFtK2+hbLXS0nSTKXTlcU&#10;F0rd4KZEc9l3TsFsxx/dJx2m3/3kft42GzM9bY1SL8/92woEY8+PMPziR3TII9PRd2SDqBXER/jv&#10;Rm85fwVxVLCYLUDmmfzPnv8AAAD//wMAUEsBAi0AFAAGAAgAAAAhALaDOJL+AAAA4QEAABMAAAAA&#10;AAAAAAAAAAAAAAAAAFtDb250ZW50X1R5cGVzXS54bWxQSwECLQAUAAYACAAAACEAOP0h/9YAAACU&#10;AQAACwAAAAAAAAAAAAAAAAAvAQAAX3JlbHMvLnJlbHNQSwECLQAUAAYACAAAACEA0ixsvg4CAAAc&#10;BAAADgAAAAAAAAAAAAAAAAAuAgAAZHJzL2Uyb0RvYy54bWxQSwECLQAUAAYACAAAACEAVEtbFtsA&#10;AAADAQAADwAAAAAAAAAAAAAAAABoBAAAZHJzL2Rvd25yZXYueG1sUEsFBgAAAAAEAAQA8wAAAHAF&#10;AAAAAA==&#10;" filled="f" stroked="f">
              <v:textbox style="mso-fit-shape-to-text:t" inset="0,0,0,15pt">
                <w:txbxContent>
                  <w:p w14:paraId="4F7B1E22" w14:textId="413FDDE3"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D16569">
      <w:rPr>
        <w:noProof/>
      </w:rPr>
      <mc:AlternateContent>
        <mc:Choice Requires="wps">
          <w:drawing>
            <wp:anchor distT="0" distB="0" distL="0" distR="0" simplePos="0" relativeHeight="251658243" behindDoc="0" locked="0" layoutInCell="1" allowOverlap="1" wp14:anchorId="26B74387" wp14:editId="46229C33">
              <wp:simplePos x="0" y="0"/>
              <wp:positionH relativeFrom="page">
                <wp:align>center</wp:align>
              </wp:positionH>
              <wp:positionV relativeFrom="page">
                <wp:align>bottom</wp:align>
              </wp:positionV>
              <wp:extent cx="443865" cy="443865"/>
              <wp:effectExtent l="0" t="0" r="0" b="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7F59E10D" w14:textId="361B9DDE" w:rsidR="00562E5A" w:rsidRPr="00562E5A" w:rsidRDefault="00562E5A"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6B74387" id="Text Box 81" o:spid="_x0000_s1033" type="#_x0000_t202" style="position:absolute;left:0;text-align:left;margin-left:0;margin-top:0;width:34.95pt;height:34.95pt;z-index:251658243;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3FwIAADUEAAAOAAAAZHJzL2Uyb0RvYy54bWysU8tu2zAQvBfoPxC815LzQiJYDtwELgoY&#10;SQCnyJmiSEsoySVI2pL79V1Skt2mPRW9UKvd5T5mhov7XityEM63YEo6n+WUCMOhbs2upN9e159u&#10;KfGBmZopMKKkR+Hp/fLjh0VnC3EBDahaOIJFjC86W9ImBFtkmeeN0MzPwAqDQQlOs4C/bpfVjnVY&#10;XavsIs9vsg5cbR1w4T16H4cgXab6UgoenqX0IhBVUpwtpNOls4pntlywYueYbVo+jsH+YQrNWoNN&#10;T6UeWWBk79o/SumWO/Agw4yDzkDKlou0A24zz99ts22YFWkXBMfbE0z+/5XlT4etfXEk9J+hRwLT&#10;Et5ugH/3iE3WWV+MORFTX3jMjov20un4xRUIXkRsjyc8RR8IR+fV1eXtzTUlHEOjHWueL1vnwxcB&#10;mkSjpA7pSgOww8aHIXVKib0MrFulEmXK/ObAmtGTxh0mjLOGvupJW5f0MvIcPRXUR9zWwSAEb/m6&#10;xdYb5sMLc8g87oFqDs94SAVdSWG0KGnA/fibP+YjIRilpEMlldSg1ClRXw0SFUU3GW4yqmTM7/Lr&#10;HONmrx8A9TnHp2J5MtHrgppM6UC/oc5XsRGGmOHYrqTVZD6EQdL4TrhYrVIS6suysDFbyydeI5av&#10;/RtzdgQ8IFNPMMmMFe9wH3Ij0N6u9gHRT6ScgRwRR20mWsd3FMX/63/KOr/25U8AAAD//wMAUEsD&#10;BBQABgAIAAAAIQA37dH42QAAAAMBAAAPAAAAZHJzL2Rvd25yZXYueG1sTI9BT8MwDIXvSPyHyEjc&#10;WMomJlaaTmgSpyGkbVy4eYnXFhqnatyt+/cEOLCLn6xnvfe5WI6+VUfqYxPYwP0kA0Vsg2u4MvC+&#10;e7l7BBUF2WEbmAycKcKyvL4qMHfhxBs6bqVSKYRjjgZqkS7XOtqaPMZJ6IiTdwi9R0lrX2nX4ymF&#10;+1ZPs2yuPTacGmrsaFWT/doO3sDDRl6HN97NPsbp+XPdrezssLbG3N6Mz0+ghEb5P4Yf/IQOZWLa&#10;h4FdVK2B9Ij8zuTNFwtQ+z/VZaEv2ctvAAAA//8DAFBLAQItABQABgAIAAAAIQC2gziS/gAAAOEB&#10;AAATAAAAAAAAAAAAAAAAAAAAAABbQ29udGVudF9UeXBlc10ueG1sUEsBAi0AFAAGAAgAAAAhADj9&#10;If/WAAAAlAEAAAsAAAAAAAAAAAAAAAAALwEAAF9yZWxzLy5yZWxzUEsBAi0AFAAGAAgAAAAhAD/8&#10;kTcXAgAANQQAAA4AAAAAAAAAAAAAAAAALgIAAGRycy9lMm9Eb2MueG1sUEsBAi0AFAAGAAgAAAAh&#10;ADft0fjZAAAAAwEAAA8AAAAAAAAAAAAAAAAAcQQAAGRycy9kb3ducmV2LnhtbFBLBQYAAAAABAAE&#10;APMAAAB3BQAAAAA=&#10;" filled="f" stroked="f">
              <v:textbox style="mso-fit-shape-to-text:t" inset="0,0,0,15pt">
                <w:txbxContent>
                  <w:p w14:paraId="7F59E10D" w14:textId="361B9DDE" w:rsidR="00562E5A" w:rsidRPr="00562E5A" w:rsidRDefault="00562E5A"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1538" w14:textId="1D0C9ADD" w:rsidR="00AE69FC" w:rsidRDefault="00AE69FC" w:rsidP="00D632F9">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7B5D" w14:textId="47FFC10A" w:rsidR="00562E5A" w:rsidRDefault="00AE0EE7">
    <w:pPr>
      <w:pStyle w:val="Footer"/>
    </w:pPr>
    <w:r>
      <w:rPr>
        <w:noProof/>
      </w:rPr>
      <mc:AlternateContent>
        <mc:Choice Requires="wps">
          <w:drawing>
            <wp:anchor distT="0" distB="0" distL="0" distR="0" simplePos="0" relativeHeight="251658270" behindDoc="0" locked="0" layoutInCell="1" allowOverlap="1" wp14:anchorId="53E4DD97" wp14:editId="1D18159D">
              <wp:simplePos x="635" y="635"/>
              <wp:positionH relativeFrom="page">
                <wp:align>center</wp:align>
              </wp:positionH>
              <wp:positionV relativeFrom="page">
                <wp:align>bottom</wp:align>
              </wp:positionV>
              <wp:extent cx="551815" cy="480695"/>
              <wp:effectExtent l="0" t="0" r="635" b="0"/>
              <wp:wrapNone/>
              <wp:docPr id="1041436815"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567B1EC6" w14:textId="4C587EA6"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E4DD97" id="_x0000_t202" coordsize="21600,21600" o:spt="202" path="m,l,21600r21600,l21600,xe">
              <v:stroke joinstyle="miter"/>
              <v:path gradientshapeok="t" o:connecttype="rect"/>
            </v:shapetype>
            <v:shape id="Text Box 23" o:spid="_x0000_s1036" type="#_x0000_t202" alt="OFFICIAL" style="position:absolute;left:0;text-align:left;margin-left:0;margin-top:0;width:43.45pt;height:37.85pt;z-index:2516582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aZIDgIAABwEAAAOAAAAZHJzL2Uyb0RvYy54bWysU8Fu2zAMvQ/YPwi6L7aLJUiNOEXaIsOA&#10;oC2QDj0rshQbkERBUmJnXz9KjpOt22noRaZJ6pF8fFrc9VqRo3C+BVPRYpJTIgyHujX7iv54XX+Z&#10;U+IDMzVTYERFT8LTu+XnT4vOluIGGlC1cARBjC87W9EmBFtmmeeN0MxPwAqDQQlOs4C/bp/VjnWI&#10;rlV2k+ezrANXWwdceI/exyFIlwlfSsHDs5ReBKIqir2FdLp07uKZLRes3Dtmm5af22D/0YVmrcGi&#10;F6hHFhg5uPYvKN1yBx5kmHDQGUjZcpFmwGmK/N0024ZZkWZBcry90OQ/DpY/Hbf2xZHQ30OPC4yE&#10;dNaXHp1xnl46Hb/YKcE4Uni60Cb6QDg6p9NiXkwp4Rj6Os9nt9OIkl0vW+fDNwGaRKOiDreSyGLH&#10;jQ9D6pgSaxlYt0qlzSjzhwMxoye7dhit0O960tYVnY3d76A+4VAOhn17y9ctlt4wH16YwwXjHCja&#10;8IyHVNBVFM4WJQ24n//yx3zkHaOUdCiYihpUNCXqu8F9RG2NhhuNXTKK23yaY9wc9AOgDAt8EZYn&#10;E70uqNGUDvQbynkVC2GIGY7lKrobzYcwKBefAxerVUpCGVkWNmZreYSOdEUuX/s35uyZ8ICbeoJR&#10;Tax8x/uQG296uzoEZD8tJVI7EHlmHCWY1np+LlHjv/+nrOujXv4CAAD//wMAUEsDBBQABgAIAAAA&#10;IQBUS1sW2wAAAAMBAAAPAAAAZHJzL2Rvd25yZXYueG1sTI/NbsIwEITvSH0Hayv1Bg4gfhrioAqp&#10;J6pKQC+9GXtJAvE6ijcQ3r5uL/Sy0mhGM99m697V4optqDwpGI8SEEjG24oKBV+H9+ESRGBNVtee&#10;UMEdA6zzp0GmU+tvtMPrngsRSyikWkHJ3KRSBlOi02HkG6TonXzrNEfZFtK2+hbLXS0nSTKXTlcU&#10;F0rd4KZEc9l3TsFsxx/dJx2m3/3kft42GzM9bY1SL8/92woEY8+PMPziR3TII9PRd2SDqBXER/jv&#10;Rm85fwVxVLCYLUDmmfzPnv8AAAD//wMAUEsBAi0AFAAGAAgAAAAhALaDOJL+AAAA4QEAABMAAAAA&#10;AAAAAAAAAAAAAAAAAFtDb250ZW50X1R5cGVzXS54bWxQSwECLQAUAAYACAAAACEAOP0h/9YAAACU&#10;AQAACwAAAAAAAAAAAAAAAAAvAQAAX3JlbHMvLnJlbHNQSwECLQAUAAYACAAAACEAZtGmSA4CAAAc&#10;BAAADgAAAAAAAAAAAAAAAAAuAgAAZHJzL2Uyb0RvYy54bWxQSwECLQAUAAYACAAAACEAVEtbFtsA&#10;AAADAQAADwAAAAAAAAAAAAAAAABoBAAAZHJzL2Rvd25yZXYueG1sUEsFBgAAAAAEAAQA8wAAAHAF&#10;AAAAAA==&#10;" filled="f" stroked="f">
              <v:textbox style="mso-fit-shape-to-text:t" inset="0,0,0,15pt">
                <w:txbxContent>
                  <w:p w14:paraId="567B1EC6" w14:textId="4C587EA6"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D16569">
      <w:rPr>
        <w:noProof/>
      </w:rPr>
      <mc:AlternateContent>
        <mc:Choice Requires="wps">
          <w:drawing>
            <wp:anchor distT="0" distB="0" distL="0" distR="0" simplePos="0" relativeHeight="251658245" behindDoc="0" locked="0" layoutInCell="1" allowOverlap="1" wp14:anchorId="6358F221" wp14:editId="67ABE1BB">
              <wp:simplePos x="0" y="0"/>
              <wp:positionH relativeFrom="page">
                <wp:align>center</wp:align>
              </wp:positionH>
              <wp:positionV relativeFrom="page">
                <wp:align>bottom</wp:align>
              </wp:positionV>
              <wp:extent cx="443865" cy="443865"/>
              <wp:effectExtent l="0" t="0"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5EABC7AB" w14:textId="7F17E5B3" w:rsidR="00562E5A" w:rsidRPr="00562E5A" w:rsidRDefault="00562E5A"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358F221" id="Text Box 59" o:spid="_x0000_s1037" type="#_x0000_t202" style="position:absolute;left:0;text-align:left;margin-left:0;margin-top:0;width:34.95pt;height:34.95pt;z-index:251658245;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VvBFwIAADUEAAAOAAAAZHJzL2Uyb0RvYy54bWysU01v2zAMvQ/YfxB0X+x0bdcZcYqsRYYB&#10;QVsgHXqWZSk2JomCpMTOfv0o2U66bqdhF5kmKX6897S47bUiB+F8C6ak81lOiTAc6tbsSvr9ef3h&#10;hhIfmKmZAiNKehSe3i7fv1t0thAX0ICqhSNYxPiisyVtQrBFlnneCM38DKwwGJTgNAv463ZZ7ViH&#10;1bXKLvL8OuvA1dYBF96j934I0mWqL6Xg4VFKLwJRJcXZQjpdOqt4ZssFK3aO2abl4xjsH6bQrDXY&#10;9FTqngVG9q79o5RuuQMPMsw46AykbLlIO+A28/zNNtuGWZF2QXC8PcHk/19Z/nDY2idHQv8FeiQw&#10;LeHtBvgPj9hknfXFmBMx9YXH7LhoL52OX1yB4EXE9njCU/SBcHReXn68ub6ihGNotGPN82XrfPgq&#10;QJNolNQhXWkAdtj4MKROKbGXgXWrVKJMmd8cWDN60rjDhHHW0Fc9aeuSfoo8R08F9RG3dTAIwVu+&#10;brH1hvnwxBwyj3ugmsMjHlJBV1IYLUoacD//5o/5SAhGKelQSSU1KHVK1DeDREXRTYabjCoZ88/5&#10;VY5xs9d3gPqc41OxPJnodUFNpnSgX1Dnq9gIQ8xwbFfSajLvwiBpfCdcrFYpCfVlWdiYreUTrxHL&#10;5/6FOTsCHpCpB5hkxoo3uA+5EWhvV/uA6CdSzkCOiKM2E63jO4rif/2fss6vffkLAAD//wMAUEsD&#10;BBQABgAIAAAAIQA37dH42QAAAAMBAAAPAAAAZHJzL2Rvd25yZXYueG1sTI9BT8MwDIXvSPyHyEjc&#10;WMomJlaaTmgSpyGkbVy4eYnXFhqnatyt+/cEOLCLn6xnvfe5WI6+VUfqYxPYwP0kA0Vsg2u4MvC+&#10;e7l7BBUF2WEbmAycKcKyvL4qMHfhxBs6bqVSKYRjjgZqkS7XOtqaPMZJ6IiTdwi9R0lrX2nX4ymF&#10;+1ZPs2yuPTacGmrsaFWT/doO3sDDRl6HN97NPsbp+XPdrezssLbG3N6Mz0+ghEb5P4Yf/IQOZWLa&#10;h4FdVK2B9Ij8zuTNFwtQ+z/VZaEv2ctvAAAA//8DAFBLAQItABQABgAIAAAAIQC2gziS/gAAAOEB&#10;AAATAAAAAAAAAAAAAAAAAAAAAABbQ29udGVudF9UeXBlc10ueG1sUEsBAi0AFAAGAAgAAAAhADj9&#10;If/WAAAAlAEAAAsAAAAAAAAAAAAAAAAALwEAAF9yZWxzLy5yZWxzUEsBAi0AFAAGAAgAAAAhAIsB&#10;W8EXAgAANQQAAA4AAAAAAAAAAAAAAAAALgIAAGRycy9lMm9Eb2MueG1sUEsBAi0AFAAGAAgAAAAh&#10;ADft0fjZAAAAAwEAAA8AAAAAAAAAAAAAAAAAcQQAAGRycy9kb3ducmV2LnhtbFBLBQYAAAAABAAE&#10;APMAAAB3BQAAAAA=&#10;" filled="f" stroked="f">
              <v:textbox style="mso-fit-shape-to-text:t" inset="0,0,0,15pt">
                <w:txbxContent>
                  <w:p w14:paraId="5EABC7AB" w14:textId="7F17E5B3" w:rsidR="00562E5A" w:rsidRPr="00562E5A" w:rsidRDefault="00562E5A"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26F87" w14:textId="4CBEE6BE" w:rsidR="00AE69FC" w:rsidRDefault="00AE69FC" w:rsidP="00C5731E">
    <w:pPr>
      <w:pStyle w:val="Footer"/>
    </w:pPr>
    <w:r>
      <w:t xml:space="preserve">Ye </w:t>
    </w:r>
    <w:r w:rsidRPr="00FA5207">
      <w:rPr>
        <w:i/>
      </w:rPr>
      <w:t>et al.</w:t>
    </w:r>
    <w:r>
      <w:t xml:space="preserve"> 202</w:t>
    </w:r>
    <w:r w:rsidR="00316D8E">
      <w:t>5</w:t>
    </w:r>
    <w:r>
      <w:t xml:space="preserve">    CEW</w:t>
    </w:r>
    <w:r w:rsidR="002558D4">
      <w:t>H</w:t>
    </w:r>
    <w:r>
      <w:t xml:space="preserve"> </w:t>
    </w:r>
    <w:r w:rsidR="00636414">
      <w:t>Flow-</w:t>
    </w:r>
    <w:r>
      <w:t>MER Technical Report</w:t>
    </w:r>
    <w:r w:rsidRPr="00A62C74">
      <w:t xml:space="preserve">. </w:t>
    </w:r>
    <w:r w:rsidRPr="00627C14">
      <w:rPr>
        <w:i/>
      </w:rPr>
      <w:t xml:space="preserve">Lower Murray </w:t>
    </w:r>
    <w:r>
      <w:rPr>
        <w:i/>
      </w:rPr>
      <w:t xml:space="preserve">Selected Area, </w:t>
    </w:r>
    <w:r w:rsidRPr="00627C14">
      <w:rPr>
        <w:i/>
      </w:rPr>
      <w:t>20</w:t>
    </w:r>
    <w:r w:rsidR="00192E6D">
      <w:rPr>
        <w:i/>
      </w:rPr>
      <w:t>19–</w:t>
    </w:r>
    <w:r>
      <w:rPr>
        <w:i/>
      </w:rPr>
      <w:t>2</w:t>
    </w:r>
    <w:r w:rsidR="00192E6D">
      <w:rPr>
        <w:i/>
      </w:rPr>
      <w:t>02</w:t>
    </w:r>
    <w:r w:rsidR="00C5731E">
      <w:rPr>
        <w:i/>
      </w:rPr>
      <w:t xml:space="preserve">4  </w:t>
    </w:r>
    <w:r>
      <w:fldChar w:fldCharType="begin"/>
    </w:r>
    <w:r>
      <w:instrText xml:space="preserve"> PAGE   \* MERGEFORMAT </w:instrText>
    </w:r>
    <w:r>
      <w:fldChar w:fldCharType="separate"/>
    </w:r>
    <w:r>
      <w:rPr>
        <w:noProof/>
      </w:rPr>
      <w:t>49</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E16E" w14:textId="14878ECB" w:rsidR="00562E5A" w:rsidRDefault="00AE0EE7">
    <w:pPr>
      <w:pStyle w:val="Footer"/>
    </w:pPr>
    <w:r>
      <w:rPr>
        <w:noProof/>
      </w:rPr>
      <mc:AlternateContent>
        <mc:Choice Requires="wps">
          <w:drawing>
            <wp:anchor distT="0" distB="0" distL="0" distR="0" simplePos="0" relativeHeight="251658269" behindDoc="0" locked="0" layoutInCell="1" allowOverlap="1" wp14:anchorId="0481A477" wp14:editId="2487F97F">
              <wp:simplePos x="635" y="635"/>
              <wp:positionH relativeFrom="page">
                <wp:align>center</wp:align>
              </wp:positionH>
              <wp:positionV relativeFrom="page">
                <wp:align>bottom</wp:align>
              </wp:positionV>
              <wp:extent cx="551815" cy="480695"/>
              <wp:effectExtent l="0" t="0" r="635" b="0"/>
              <wp:wrapNone/>
              <wp:docPr id="1998149336"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19EB3651" w14:textId="6F8F780C"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81A477" id="_x0000_t202" coordsize="21600,21600" o:spt="202" path="m,l,21600r21600,l21600,xe">
              <v:stroke joinstyle="miter"/>
              <v:path gradientshapeok="t" o:connecttype="rect"/>
            </v:shapetype>
            <v:shape id="Text Box 22" o:spid="_x0000_s1040" type="#_x0000_t202" alt="OFFICIAL" style="position:absolute;left:0;text-align:left;margin-left:0;margin-top:0;width:43.45pt;height:37.85pt;z-index:25165826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rCiDQIAAB0EAAAOAAAAZHJzL2Uyb0RvYy54bWysU01v2zAMvQ/YfxB0X2wXS5EacYqsRYYB&#10;QVsgHXpWZCk2IIsCpcTOfv0oJU62bqdhF5kmKX689zS/HzrDDgp9C7bixSTnTFkJdWt3Ff/+uvo0&#10;48wHYWthwKqKH5Xn94uPH+a9K9UNNGBqhYyKWF/2ruJNCK7MMi8b1Qk/AacsBTVgJwL94i6rUfRU&#10;vTPZTZ7fZj1g7RCk8p68j6cgX6T6WisZnrX2KjBTcZotpBPTuY1ntpiLcofCNa08jyH+YYpOtJaa&#10;Xko9iiDYHts/SnWtRPCgw0RCl4HWrVRpB9qmyN9ts2mEU2kXAse7C0z+/5WVT4eNe0EWhi8wEIER&#10;kN750pMz7jNo7OKXJmUUJwiPF9jUEJgk53RazIopZ5JCn2f57d00Vsmulx368FVBx6JRcSRWElji&#10;sPbhlDqmxF4WVq0xiRljf3NQzejJrhNGKwzbgbU1TZ/4jK4t1EfaCuFEuHdy1VLvtfDhRSAxTIuQ&#10;asMzHdpAX3E4W5w1gD/+5o/5BDxFOetJMRW3JGnOzDdLhERxjQaOxjYZxV0+zSlu990DkA4LehJO&#10;JpO8GMxoaoTujfS8jI0oJKykdhXfjuZDOEmX3oNUy2VKIh05EdZ242QsHfGKYL4ObwLdGfFAVD3B&#10;KCdRvgP+lBtverfcB4I/sXIF8gw5aTDxen4vUeS//qes66te/AQAAP//AwBQSwMEFAAGAAgAAAAh&#10;AFRLWxbbAAAAAwEAAA8AAABkcnMvZG93bnJldi54bWxMj81uwjAQhO9IfQdrK/UGDiB+GuKgCqkn&#10;qkpAL70Ze0kC8TqKNxDevm4v9LLSaEYz32br3tXiim2oPCkYjxIQSMbbigoFX4f34RJEYE1W155Q&#10;wR0DrPOnQaZT62+0w+ueCxFLKKRaQcncpFIGU6LTYeQbpOidfOs0R9kW0rb6FstdLSdJMpdOVxQX&#10;St3gpkRz2XdOwWzHH90nHabf/eR+3jYbMz1tjVIvz/3bCgRjz48w/OJHdMgj09F3ZIOoFcRH+O9G&#10;bzl/BXFUsJgtQOaZ/M+e/wAAAP//AwBQSwECLQAUAAYACAAAACEAtoM4kv4AAADhAQAAEwAAAAAA&#10;AAAAAAAAAAAAAAAAW0NvbnRlbnRfVHlwZXNdLnhtbFBLAQItABQABgAIAAAAIQA4/SH/1gAAAJQB&#10;AAALAAAAAAAAAAAAAAAAAC8BAABfcmVscy8ucmVsc1BLAQItABQABgAIAAAAIQAJSrCiDQIAAB0E&#10;AAAOAAAAAAAAAAAAAAAAAC4CAABkcnMvZTJvRG9jLnhtbFBLAQItABQABgAIAAAAIQBUS1sW2wAA&#10;AAMBAAAPAAAAAAAAAAAAAAAAAGcEAABkcnMvZG93bnJldi54bWxQSwUGAAAAAAQABADzAAAAbwUA&#10;AAAA&#10;" filled="f" stroked="f">
              <v:textbox style="mso-fit-shape-to-text:t" inset="0,0,0,15pt">
                <w:txbxContent>
                  <w:p w14:paraId="19EB3651" w14:textId="6F8F780C"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D16569">
      <w:rPr>
        <w:noProof/>
      </w:rPr>
      <mc:AlternateContent>
        <mc:Choice Requires="wps">
          <w:drawing>
            <wp:anchor distT="0" distB="0" distL="0" distR="0" simplePos="0" relativeHeight="251658244" behindDoc="0" locked="0" layoutInCell="1" allowOverlap="1" wp14:anchorId="1D12844B" wp14:editId="2BCDE2EE">
              <wp:simplePos x="0" y="0"/>
              <wp:positionH relativeFrom="page">
                <wp:align>center</wp:align>
              </wp:positionH>
              <wp:positionV relativeFrom="page">
                <wp:align>bottom</wp:align>
              </wp:positionV>
              <wp:extent cx="443865" cy="44386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101A3A03" w14:textId="593038B7" w:rsidR="00562E5A" w:rsidRPr="00562E5A" w:rsidRDefault="00562E5A"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D12844B" id="Text Box 16" o:spid="_x0000_s1041" type="#_x0000_t202" style="position:absolute;left:0;text-align:left;margin-left:0;margin-top:0;width:34.95pt;height:34.95pt;z-index:25165824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Q5yFwIAADYEAAAOAAAAZHJzL2Uyb0RvYy54bWysU01v2zAMvQ/YfxB0X+x0bdEZcYqsRYYB&#10;QVsgHXpWZCk2JosCpcTufv0o2U62bqdhF5kmKX6897S47VvDjgp9A7bk81nOmbISqsbuS/7tef3h&#10;hjMfhK2EAatK/qo8v12+f7foXKEuoAZTKWRUxPqicyWvQ3BFlnlZq1b4GThlKagBWxHoF/dZhaKj&#10;6q3JLvL8OusAK4cglffkvR+CfJnqa61keNTaq8BMyWm2kE5M5y6e2XIhij0KVzdyHEP8wxStaCw1&#10;PZW6F0GwAzZ/lGobieBBh5mENgOtG6nSDrTNPH+zzbYWTqVdCBzvTjD5/1dWPhy37glZ6D9DTwSm&#10;JbzbgPzuCZusc74YcyKmvvCUHRftNbbxSyswukjYvp7wVH1gkpyXlx9vrq84kxQa7VjzfNmhD18U&#10;tCwaJUeiKw0gjhsfhtQpJfaysG6MSZQZ+5uDakZPGneYMM4a+l3PmorWmkeio2sH1SutizAowTu5&#10;bqj3RvjwJJCop0VIzuGRDm2gKzmMFmc14I+/+WM+MUJRzjqSUsktaZ0z89USU1F1k4GTsUvG/FN+&#10;lVPcHto7IIHO6a04mUzyYjCTqRHaFxL6KjaikLCS2pV8N5l3YdA0PRSpVquURAJzImzs1smJ2Ajm&#10;c/8i0I2IB6LqASadieIN8ENuRNq71SEQ/ImVM5Aj5CTOxOv4kKL6f/1PWefnvvwJAAD//wMAUEsD&#10;BBQABgAIAAAAIQA37dH42QAAAAMBAAAPAAAAZHJzL2Rvd25yZXYueG1sTI9BT8MwDIXvSPyHyEjc&#10;WMomJlaaTmgSpyGkbVy4eYnXFhqnatyt+/cEOLCLn6xnvfe5WI6+VUfqYxPYwP0kA0Vsg2u4MvC+&#10;e7l7BBUF2WEbmAycKcKyvL4qMHfhxBs6bqVSKYRjjgZqkS7XOtqaPMZJ6IiTdwi9R0lrX2nX4ymF&#10;+1ZPs2yuPTacGmrsaFWT/doO3sDDRl6HN97NPsbp+XPdrezssLbG3N6Mz0+ghEb5P4Yf/IQOZWLa&#10;h4FdVK2B9Ij8zuTNFwtQ+z/VZaEv2ctvAAAA//8DAFBLAQItABQABgAIAAAAIQC2gziS/gAAAOEB&#10;AAATAAAAAAAAAAAAAAAAAAAAAABbQ29udGVudF9UeXBlc10ueG1sUEsBAi0AFAAGAAgAAAAhADj9&#10;If/WAAAAlAEAAAsAAAAAAAAAAAAAAAAALwEAAF9yZWxzLy5yZWxzUEsBAi0AFAAGAAgAAAAhACs5&#10;DnIXAgAANgQAAA4AAAAAAAAAAAAAAAAALgIAAGRycy9lMm9Eb2MueG1sUEsBAi0AFAAGAAgAAAAh&#10;ADft0fjZAAAAAwEAAA8AAAAAAAAAAAAAAAAAcQQAAGRycy9kb3ducmV2LnhtbFBLBQYAAAAABAAE&#10;APMAAAB3BQAAAAA=&#10;" filled="f" stroked="f">
              <v:textbox style="mso-fit-shape-to-text:t" inset="0,0,0,15pt">
                <w:txbxContent>
                  <w:p w14:paraId="101A3A03" w14:textId="593038B7" w:rsidR="00562E5A" w:rsidRPr="00562E5A" w:rsidRDefault="00562E5A"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C3E2E" w14:textId="5B0F54F7" w:rsidR="00C67593" w:rsidRDefault="00AE0EE7">
    <w:pPr>
      <w:pStyle w:val="Footer"/>
    </w:pPr>
    <w:r>
      <w:rPr>
        <w:noProof/>
      </w:rPr>
      <mc:AlternateContent>
        <mc:Choice Requires="wps">
          <w:drawing>
            <wp:anchor distT="0" distB="0" distL="0" distR="0" simplePos="0" relativeHeight="251658272" behindDoc="0" locked="0" layoutInCell="1" allowOverlap="1" wp14:anchorId="463F2B53" wp14:editId="2F33B7F1">
              <wp:simplePos x="635" y="635"/>
              <wp:positionH relativeFrom="page">
                <wp:align>center</wp:align>
              </wp:positionH>
              <wp:positionV relativeFrom="page">
                <wp:align>bottom</wp:align>
              </wp:positionV>
              <wp:extent cx="551815" cy="480695"/>
              <wp:effectExtent l="0" t="0" r="635" b="0"/>
              <wp:wrapNone/>
              <wp:docPr id="1751234611"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0AEC6C33" w14:textId="2AFF9444"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3F2B53" id="_x0000_t202" coordsize="21600,21600" o:spt="202" path="m,l,21600r21600,l21600,xe">
              <v:stroke joinstyle="miter"/>
              <v:path gradientshapeok="t" o:connecttype="rect"/>
            </v:shapetype>
            <v:shape id="Text Box 26" o:spid="_x0000_s1044" type="#_x0000_t202" alt="OFFICIAL" style="position:absolute;left:0;text-align:left;margin-left:0;margin-top:0;width:43.45pt;height:37.85pt;z-index:2516582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3pUDwIAAB0EAAAOAAAAZHJzL2Uyb0RvYy54bWysU8Fu2zAMvQ/YPwi6L7aLpkiNOEXWIsOA&#10;oC2QDj0rshQbkERBUmJnXz9KjpOu7WnYRaZJ6pF8fJrf9VqRg3C+BVPRYpJTIgyHujW7iv56WX2b&#10;UeIDMzVTYERFj8LTu8XXL/POluIKGlC1cARBjC87W9EmBFtmmeeN0MxPwAqDQQlOs4C/bpfVjnWI&#10;rlV2lec3WQeutg648B69D0OQLhK+lIKHJym9CERVFHsL6XTp3MYzW8xZuXPMNi0/tcH+oQvNWoNF&#10;z1APLDCyd+0HKN1yBx5kmHDQGUjZcpFmwGmK/N00m4ZZkWZBcrw90+T/Hyx/PGzssyOh/w49LjAS&#10;0llfenTGeXrpdPxipwTjSOHxTJvoA+HonE6LWTGlhGPoepbf3E4jSna5bJ0PPwRoEo2KOtxKIosd&#10;1j4MqWNKrGVg1SqVNqPMXw7EjJ7s0mG0Qr/tSVtj99dj+1uojziVg2Hh3vJVi7XXzIdn5nDDOAiq&#10;NjzhIRV0FYWTRUkD7vdn/piPxGOUkg4VU1GDkqZE/TS4kCiu0XCjsU1GcZtPc4ybvb4H1GGBT8Ly&#10;ZKLXBTWa0oF+RT0vYyEMMcOxXEW3o3kfBunie+BiuUxJqCPLwtpsLI/Qka9I5kv/ypw9MR5wVY8w&#10;yomV74gfcuNNb5f7gPSnrURuByJPlKMG015P7yWK/O1/yrq86sUfAAAA//8DAFBLAwQUAAYACAAA&#10;ACEAVEtbFtsAAAADAQAADwAAAGRycy9kb3ducmV2LnhtbEyPzW7CMBCE70h9B2sr9QYOIH4a4qAK&#10;qSeqSkAvvRl7SQLxOoo3EN6+bi/0stJoRjPfZuve1eKKbag8KRiPEhBIxtuKCgVfh/fhEkRgTVbX&#10;nlDBHQOs86dBplPrb7TD654LEUsopFpBydykUgZTotNh5Buk6J186zRH2RbStvoWy10tJ0kyl05X&#10;FBdK3eCmRHPZd07BbMcf3Scdpt/95H7eNhszPW2NUi/P/dsKBGPPjzD84kd0yCPT0Xdkg6gVxEf4&#10;70ZvOX8FcVSwmC1A5pn8z57/AAAA//8DAFBLAQItABQABgAIAAAAIQC2gziS/gAAAOEBAAATAAAA&#10;AAAAAAAAAAAAAAAAAABbQ29udGVudF9UeXBlc10ueG1sUEsBAi0AFAAGAAgAAAAhADj9If/WAAAA&#10;lAEAAAsAAAAAAAAAAAAAAAAALwEAAF9yZWxzLy5yZWxzUEsBAi0AFAAGAAgAAAAhAL23elQPAgAA&#10;HQQAAA4AAAAAAAAAAAAAAAAALgIAAGRycy9lMm9Eb2MueG1sUEsBAi0AFAAGAAgAAAAhAFRLWxbb&#10;AAAAAwEAAA8AAAAAAAAAAAAAAAAAaQQAAGRycy9kb3ducmV2LnhtbFBLBQYAAAAABAAEAPMAAABx&#10;BQAAAAA=&#10;" filled="f" stroked="f">
              <v:textbox style="mso-fit-shape-to-text:t" inset="0,0,0,15pt">
                <w:txbxContent>
                  <w:p w14:paraId="0AEC6C33" w14:textId="2AFF9444"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C67593">
      <w:rPr>
        <w:noProof/>
      </w:rPr>
      <mc:AlternateContent>
        <mc:Choice Requires="wps">
          <w:drawing>
            <wp:anchor distT="0" distB="0" distL="0" distR="0" simplePos="0" relativeHeight="251658249" behindDoc="0" locked="0" layoutInCell="1" allowOverlap="1" wp14:anchorId="18BC2110" wp14:editId="044D1E76">
              <wp:simplePos x="0" y="0"/>
              <wp:positionH relativeFrom="page">
                <wp:align>center</wp:align>
              </wp:positionH>
              <wp:positionV relativeFrom="page">
                <wp:align>bottom</wp:align>
              </wp:positionV>
              <wp:extent cx="443865" cy="443865"/>
              <wp:effectExtent l="0" t="0" r="0" b="0"/>
              <wp:wrapNone/>
              <wp:docPr id="2030452040" name="Text Box 2030452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003D3FFA"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8BC2110" id="Text Box 2030452040" o:spid="_x0000_s1045" type="#_x0000_t202" style="position:absolute;left:0;text-align:left;margin-left:0;margin-top:0;width:34.95pt;height:34.95pt;z-index:251658249;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MSEFwIAADYEAAAOAAAAZHJzL2Uyb0RvYy54bWysU01v2zAMvQ/YfxB0X+x0TdEZcYqsRYYB&#10;QVsgHXqWZSk2JomCpMTOfv0o2U62bqdhF5kmKX6897S867UiR+F8C6ak81lOiTAc6tbsS/rtZfPh&#10;lhIfmKmZAiNKehKe3q3ev1t2thBX0ICqhSNYxPiisyVtQrBFlnneCM38DKwwGJTgNAv46/ZZ7ViH&#10;1bXKrvL8JuvA1dYBF96j92EI0lWqL6Xg4UlKLwJRJcXZQjpdOqt4ZqslK/aO2abl4xjsH6bQrDXY&#10;9FzqgQVGDq79o5RuuQMPMsw46AykbLlIO+A28/zNNruGWZF2QXC8PcPk/19Z/njc2WdHQv8ZeiQw&#10;LeHtFvh3j9hknfXFmBMx9YXH7LhoL52OX1yB4EXE9nTGU/SBcHReX3+8vVlQwjE02rHm5bJ1PnwR&#10;oEk0SuqQrjQAO259GFKnlNjLwKZVKlGmzG8OrBk9adxhwjhr6KuetDWutYhER1cF9QnXdTAowVu+&#10;abH3lvnwzBxSj4ugnMMTHlJBV1IYLUoacD/+5o/5yAhGKelQSiU1qHVK1FeDTEXVTYabjCoZ80/5&#10;Ise4Oeh7QIHO8a1Ynkz0uqAmUzrQryj0dWyEIWY4titpNZn3YdA0PhQu1uuUhAKzLGzNzvKJ2Ajm&#10;S//KnB0RD0jVI0w6Y8Ub4IfciLS360NA+BMrFyBHyFGcidfxIUX1//qfsi7PffUTAAD//wMAUEsD&#10;BBQABgAIAAAAIQA37dH42QAAAAMBAAAPAAAAZHJzL2Rvd25yZXYueG1sTI9BT8MwDIXvSPyHyEjc&#10;WMomJlaaTmgSpyGkbVy4eYnXFhqnatyt+/cEOLCLn6xnvfe5WI6+VUfqYxPYwP0kA0Vsg2u4MvC+&#10;e7l7BBUF2WEbmAycKcKyvL4qMHfhxBs6bqVSKYRjjgZqkS7XOtqaPMZJ6IiTdwi9R0lrX2nX4ymF&#10;+1ZPs2yuPTacGmrsaFWT/doO3sDDRl6HN97NPsbp+XPdrezssLbG3N6Mz0+ghEb5P4Yf/IQOZWLa&#10;h4FdVK2B9Ij8zuTNFwtQ+z/VZaEv2ctvAAAA//8DAFBLAQItABQABgAIAAAAIQC2gziS/gAAAOEB&#10;AAATAAAAAAAAAAAAAAAAAAAAAABbQ29udGVudF9UeXBlc10ueG1sUEsBAi0AFAAGAAgAAAAhADj9&#10;If/WAAAAlAEAAAsAAAAAAAAAAAAAAAAALwEAAF9yZWxzLy5yZWxzUEsBAi0AFAAGAAgAAAAhAJ/E&#10;xIQXAgAANgQAAA4AAAAAAAAAAAAAAAAALgIAAGRycy9lMm9Eb2MueG1sUEsBAi0AFAAGAAgAAAAh&#10;ADft0fjZAAAAAwEAAA8AAAAAAAAAAAAAAAAAcQQAAGRycy9kb3ducmV2LnhtbFBLBQYAAAAABAAE&#10;APMAAAB3BQAAAAA=&#10;" filled="f" stroked="f">
              <v:textbox style="mso-fit-shape-to-text:t" inset="0,0,0,15pt">
                <w:txbxContent>
                  <w:p w14:paraId="003D3FFA"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569AA" w14:textId="281B4804" w:rsidR="006C7C7C" w:rsidRDefault="003406FE" w:rsidP="003406FE">
    <w:pPr>
      <w:pStyle w:val="Footer"/>
      <w:jc w:val="center"/>
    </w:pPr>
    <w:r>
      <w:t xml:space="preserve">Ye </w:t>
    </w:r>
    <w:r w:rsidRPr="00FA5207">
      <w:rPr>
        <w:i/>
      </w:rPr>
      <w:t>et al.</w:t>
    </w:r>
    <w:r>
      <w:t xml:space="preserve"> 2025    CEWH Flow-MER Technical Report</w:t>
    </w:r>
    <w:r w:rsidRPr="00A62C74">
      <w:t xml:space="preserve">. </w:t>
    </w:r>
    <w:r w:rsidRPr="00627C14">
      <w:rPr>
        <w:i/>
      </w:rPr>
      <w:t xml:space="preserve">Lower Murray </w:t>
    </w:r>
    <w:r>
      <w:rPr>
        <w:i/>
      </w:rPr>
      <w:t xml:space="preserve">Selected Area, </w:t>
    </w:r>
    <w:r w:rsidRPr="00627C14">
      <w:rPr>
        <w:i/>
      </w:rPr>
      <w:t>20</w:t>
    </w:r>
    <w:r>
      <w:rPr>
        <w:i/>
      </w:rPr>
      <w:t xml:space="preserve">19–2024  </w:t>
    </w:r>
    <w:r>
      <w:fldChar w:fldCharType="begin"/>
    </w:r>
    <w:r>
      <w:instrText xml:space="preserve"> PAGE   \* MERGEFORMAT </w:instrText>
    </w:r>
    <w:r>
      <w:fldChar w:fldCharType="separate"/>
    </w:r>
    <w:r>
      <w:t>21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473B" w14:textId="763B7EB7" w:rsidR="00C67593" w:rsidRDefault="00AE0EE7">
    <w:pPr>
      <w:pStyle w:val="Footer"/>
    </w:pPr>
    <w:r>
      <w:rPr>
        <w:noProof/>
      </w:rPr>
      <mc:AlternateContent>
        <mc:Choice Requires="wps">
          <w:drawing>
            <wp:anchor distT="0" distB="0" distL="0" distR="0" simplePos="0" relativeHeight="251658271" behindDoc="0" locked="0" layoutInCell="1" allowOverlap="1" wp14:anchorId="5A28A7F1" wp14:editId="4CADE24A">
              <wp:simplePos x="635" y="635"/>
              <wp:positionH relativeFrom="page">
                <wp:align>center</wp:align>
              </wp:positionH>
              <wp:positionV relativeFrom="page">
                <wp:align>bottom</wp:align>
              </wp:positionV>
              <wp:extent cx="551815" cy="480695"/>
              <wp:effectExtent l="0" t="0" r="635" b="0"/>
              <wp:wrapNone/>
              <wp:docPr id="637986941"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4C8C1B8C" w14:textId="3609B9CE"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28A7F1" id="_x0000_t202" coordsize="21600,21600" o:spt="202" path="m,l,21600r21600,l21600,xe">
              <v:stroke joinstyle="miter"/>
              <v:path gradientshapeok="t" o:connecttype="rect"/>
            </v:shapetype>
            <v:shape id="Text Box 25" o:spid="_x0000_s1048" type="#_x0000_t202" alt="OFFICIAL" style="position:absolute;left:0;text-align:left;margin-left:0;margin-top:0;width:43.45pt;height:37.85pt;z-index:25165827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1SUDgIAAB0EAAAOAAAAZHJzL2Uyb0RvYy54bWysU8Fu2zAMvQ/YPwi6L7aLpUiNOEXWIsOA&#10;oC2QDj3LshQbkERBUmJnXz9KjpOt22nYRaZJ6pF8fFreD1qRo3C+A1PRYpZTIgyHpjP7in5/3Xxa&#10;UOIDMw1TYERFT8LT+9XHD8veluIGWlCNcARBjC97W9E2BFtmmeet0MzPwAqDQQlOs4C/bp81jvWI&#10;rlV2k+e3WQ+usQ648B69j2OQrhK+lIKHZym9CERVFHsL6XTprOOZrZas3Dtm246f22D/0IVmncGi&#10;F6hHFhg5uO4PKN1xBx5kmHHQGUjZcZFmwGmK/N00u5ZZkWZBcry90OT/Hyx/Ou7siyNh+AIDLjAS&#10;0ltfenTGeQbpdPxipwTjSOHpQpsYAuHonM+LRTGnhGPo8yK/vZtHlOx62TofvgrQJBoVdbiVRBY7&#10;bn0YU6eUWMvAplMqbUaZ3xyIGT3ZtcNohaEeSNdg94up/RqaE07lYFy4t3zTYe0t8+GFOdwwDoKq&#10;Dc94SAV9ReFsUdKC+/E3f8xH4jFKSY+KqahBSVOivhlcSBTXZLjJqJNR3OXzHOPmoB8AdVjgk7A8&#10;meh1QU2mdKDfUM/rWAhDzHAsV9F6Mh/CKF18D1ys1ykJdWRZ2Jqd5RE68hXJfB3emLNnxgOu6gkm&#10;ObHyHfFjbrzp7foQkP60lcjtSOSZctRg2uv5vUSR//qfsq6vevUTAAD//wMAUEsDBBQABgAIAAAA&#10;IQBUS1sW2wAAAAMBAAAPAAAAZHJzL2Rvd25yZXYueG1sTI/NbsIwEITvSH0Hayv1Bg4gfhrioAqp&#10;J6pKQC+9GXtJAvE6ijcQ3r5uL/Sy0mhGM99m697V4optqDwpGI8SEEjG24oKBV+H9+ESRGBNVtee&#10;UMEdA6zzp0GmU+tvtMPrngsRSyikWkHJ3KRSBlOi02HkG6TonXzrNEfZFtK2+hbLXS0nSTKXTlcU&#10;F0rd4KZEc9l3TsFsxx/dJx2m3/3kft42GzM9bY1SL8/92woEY8+PMPziR3TII9PRd2SDqBXER/jv&#10;Rm85fwVxVLCYLUDmmfzPnv8AAAD//wMAUEsBAi0AFAAGAAgAAAAhALaDOJL+AAAA4QEAABMAAAAA&#10;AAAAAAAAAAAAAAAAAFtDb250ZW50X1R5cGVzXS54bWxQSwECLQAUAAYACAAAACEAOP0h/9YAAACU&#10;AQAACwAAAAAAAAAAAAAAAAAvAQAAX3JlbHMvLnJlbHNQSwECLQAUAAYACAAAACEAILdUlA4CAAAd&#10;BAAADgAAAAAAAAAAAAAAAAAuAgAAZHJzL2Uyb0RvYy54bWxQSwECLQAUAAYACAAAACEAVEtbFtsA&#10;AAADAQAADwAAAAAAAAAAAAAAAABoBAAAZHJzL2Rvd25yZXYueG1sUEsFBgAAAAAEAAQA8wAAAHAF&#10;AAAAAA==&#10;" filled="f" stroked="f">
              <v:textbox style="mso-fit-shape-to-text:t" inset="0,0,0,15pt">
                <w:txbxContent>
                  <w:p w14:paraId="4C8C1B8C" w14:textId="3609B9CE"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C67593">
      <w:rPr>
        <w:noProof/>
      </w:rPr>
      <mc:AlternateContent>
        <mc:Choice Requires="wps">
          <w:drawing>
            <wp:anchor distT="0" distB="0" distL="0" distR="0" simplePos="0" relativeHeight="251658248" behindDoc="0" locked="0" layoutInCell="1" allowOverlap="1" wp14:anchorId="6394A125" wp14:editId="57F6FA55">
              <wp:simplePos x="0" y="0"/>
              <wp:positionH relativeFrom="page">
                <wp:align>center</wp:align>
              </wp:positionH>
              <wp:positionV relativeFrom="page">
                <wp:align>bottom</wp:align>
              </wp:positionV>
              <wp:extent cx="443865" cy="443865"/>
              <wp:effectExtent l="0" t="0" r="0" b="0"/>
              <wp:wrapNone/>
              <wp:docPr id="2030452042" name="Text Box 2030452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36D9A4E3"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394A125" id="Text Box 2030452042" o:spid="_x0000_s1049" type="#_x0000_t202" style="position:absolute;left:0;text-align:left;margin-left:0;margin-top:0;width:34.95pt;height:34.95pt;z-index:25165824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OpEGAIAADYEAAAOAAAAZHJzL2Uyb0RvYy54bWysU01v2zAMvQ/YfxB0X+x0bdEacYqsRYYB&#10;QVsgHXqWZSk2JomCpMTOfv0o2U66bqdhF5kmKX6897S467UiB+F8C6ak81lOiTAc6tbsSvr9Zf3p&#10;hhIfmKmZAiNKehSe3i0/flh0thAX0ICqhSNYxPiisyVtQrBFlnneCM38DKwwGJTgNAv463ZZ7ViH&#10;1bXKLvL8OuvA1dYBF96j92EI0mWqL6Xg4UlKLwJRJcXZQjpdOqt4ZssFK3aO2abl4xjsH6bQrDXY&#10;9FTqgQVG9q79o5RuuQMPMsw46AykbLlIO+A28/zdNtuGWZF2QXC8PcHk/19Z/njY2mdHQv8FeiQw&#10;LeHtBvgPj9hknfXFmBMx9YXH7LhoL52OX1yB4EXE9njCU/SBcHReXn6+ub6ihGNotGPN82XrfPgq&#10;QJNolNQhXWkAdtj4MKROKbGXgXWrVKJMmd8cWDN60rjDhHHW0Fc9aWtc6zYSHV0V1Edc18GgBG/5&#10;usXeG+bDM3NIPS6Ccg5PeEgFXUlhtChpwP38mz/mIyMYpaRDKZXUoNYpUd8MMhVVNxluMqpkzG/z&#10;qxzjZq/vAQU6x7dieTLR64KaTOlAv6LQV7ERhpjh2K6k1WTeh0HT+FC4WK1SEgrMsrAxW8snYiOY&#10;L/0rc3ZEPCBVjzDpjBXvgB9yI9LervYB4U+snIEcIUdxJl7HhxTV//Y/ZZ2f+/IXAAAA//8DAFBL&#10;AwQUAAYACAAAACEAN+3R+NkAAAADAQAADwAAAGRycy9kb3ducmV2LnhtbEyPQU/DMAyF70j8h8hI&#10;3FjKJiZWmk5oEqchpG1cuHmJ1xYap2rcrfv3BDiwi5+sZ733uViOvlVH6mMT2MD9JANFbINruDLw&#10;vnu5ewQVBdlhG5gMnCnCsry+KjB34cQbOm6lUimEY44GapEu1zramjzGSeiIk3cIvUdJa19p1+Mp&#10;hftWT7Nsrj02nBpq7GhVk/3aDt7Aw0ZehzfezT7G6flz3a3s7LC2xtzejM9PoIRG+T+GH/yEDmVi&#10;2oeBXVStgfSI/M7kzRcLUPs/1WWhL9nLbwAAAP//AwBQSwECLQAUAAYACAAAACEAtoM4kv4AAADh&#10;AQAAEwAAAAAAAAAAAAAAAAAAAAAAW0NvbnRlbnRfVHlwZXNdLnhtbFBLAQItABQABgAIAAAAIQA4&#10;/SH/1gAAAJQBAAALAAAAAAAAAAAAAAAAAC8BAABfcmVscy8ucmVsc1BLAQItABQABgAIAAAAIQAC&#10;xOpEGAIAADYEAAAOAAAAAAAAAAAAAAAAAC4CAABkcnMvZTJvRG9jLnhtbFBLAQItABQABgAIAAAA&#10;IQA37dH42QAAAAMBAAAPAAAAAAAAAAAAAAAAAHIEAABkcnMvZG93bnJldi54bWxQSwUGAAAAAAQA&#10;BADzAAAAeAUAAAAA&#10;" filled="f" stroked="f">
              <v:textbox style="mso-fit-shape-to-text:t" inset="0,0,0,15pt">
                <w:txbxContent>
                  <w:p w14:paraId="36D9A4E3"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B03E8" w14:textId="63791D67" w:rsidR="00C67593" w:rsidRDefault="00AE0EE7">
    <w:pPr>
      <w:pStyle w:val="Footer"/>
    </w:pPr>
    <w:r>
      <w:rPr>
        <w:noProof/>
      </w:rPr>
      <mc:AlternateContent>
        <mc:Choice Requires="wps">
          <w:drawing>
            <wp:anchor distT="0" distB="0" distL="0" distR="0" simplePos="0" relativeHeight="251658274" behindDoc="0" locked="0" layoutInCell="1" allowOverlap="1" wp14:anchorId="610DA354" wp14:editId="389DCCB3">
              <wp:simplePos x="635" y="635"/>
              <wp:positionH relativeFrom="page">
                <wp:align>center</wp:align>
              </wp:positionH>
              <wp:positionV relativeFrom="page">
                <wp:align>bottom</wp:align>
              </wp:positionV>
              <wp:extent cx="551815" cy="480695"/>
              <wp:effectExtent l="0" t="0" r="635" b="0"/>
              <wp:wrapNone/>
              <wp:docPr id="187902148"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29C52245" w14:textId="0AC084FD"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0DA354" id="_x0000_t202" coordsize="21600,21600" o:spt="202" path="m,l,21600r21600,l21600,xe">
              <v:stroke joinstyle="miter"/>
              <v:path gradientshapeok="t" o:connecttype="rect"/>
            </v:shapetype>
            <v:shape id="Text Box 29" o:spid="_x0000_s1052" type="#_x0000_t202" alt="OFFICIAL" style="position:absolute;left:0;text-align:left;margin-left:0;margin-top:0;width:43.45pt;height:37.85pt;z-index:25165827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ZaMDwIAAB0EAAAOAAAAZHJzL2Uyb0RvYy54bWysU8Fu2zAMvQ/YPwi6L7aDpUiNOEXaIsOA&#10;oC2QDj0rshQbkERBUmJnXz9KjpOt22noRaZJ6pF8fFrc9VqRo3C+BVPRYpJTIgyHujX7iv54XX+Z&#10;U+IDMzVTYERFT8LTu+XnT4vOlmIKDahaOIIgxpedrWgTgi2zzPNGaOYnYIXBoASnWcBft89qxzpE&#10;1yqb5vlN1oGrrQMuvEfv4xCky4QvpeDhWUovAlEVxd5COl06d/HMlgtW7h2zTcvPbbD/6EKz1mDR&#10;C9QjC4wcXPsXlG65Aw8yTDjoDKRsuUgz4DRF/m6abcOsSLMgOd5eaPIfB8ufjlv74kjo76HHBUZC&#10;OutLj844Ty+djl/slGAcKTxdaBN9IByds1kxL2aUcAx9nec3t7OIkl0vW+fDNwGaRKOiDreSyGLH&#10;jQ9D6pgSaxlYt0qlzSjzhwMxoye7dhit0O960tYVnU7H9ndQn3AqB8PCveXrFmtvmA8vzOGGcRBU&#10;bXjGQyroKgpni5IG3M9/+WM+Eo9RSjpUTEUNSpoS9d3gQqK4RsONxi4ZxW0+yzFuDvoBUIcFPgnL&#10;k4leF9RoSgf6DfW8ioUwxAzHchXdjeZDGKSL74GL1SoloY4sCxuztTxCR74ima/9G3P2zHjAVT3B&#10;KCdWviN+yI03vV0dAtKfthK5HYg8U44aTHs9v5co8t//U9b1VS9/AQAA//8DAFBLAwQUAAYACAAA&#10;ACEAVEtbFtsAAAADAQAADwAAAGRycy9kb3ducmV2LnhtbEyPzW7CMBCE70h9B2sr9QYOIH4a4qAK&#10;qSeqSkAvvRl7SQLxOoo3EN6+bi/0stJoRjPfZuve1eKKbag8KRiPEhBIxtuKCgVfh/fhEkRgTVbX&#10;nlDBHQOs86dBplPrb7TD654LEUsopFpBydykUgZTotNh5Buk6J186zRH2RbStvoWy10tJ0kyl05X&#10;FBdK3eCmRHPZd07BbMcf3Scdpt/95H7eNhszPW2NUi/P/dsKBGPPjzD84kd0yCPT0Xdkg6gVxEf4&#10;70ZvOX8FcVSwmC1A5pn8z57/AAAA//8DAFBLAQItABQABgAIAAAAIQC2gziS/gAAAOEBAAATAAAA&#10;AAAAAAAAAAAAAAAAAABbQ29udGVudF9UeXBlc10ueG1sUEsBAi0AFAAGAAgAAAAhADj9If/WAAAA&#10;lAEAAAsAAAAAAAAAAAAAAAAALwEAAF9yZWxzLy5yZWxzUEsBAi0AFAAGAAgAAAAhAD3FlowPAgAA&#10;HQQAAA4AAAAAAAAAAAAAAAAALgIAAGRycy9lMm9Eb2MueG1sUEsBAi0AFAAGAAgAAAAhAFRLWxbb&#10;AAAAAwEAAA8AAAAAAAAAAAAAAAAAaQQAAGRycy9kb3ducmV2LnhtbFBLBQYAAAAABAAEAPMAAABx&#10;BQAAAAA=&#10;" filled="f" stroked="f">
              <v:textbox style="mso-fit-shape-to-text:t" inset="0,0,0,15pt">
                <w:txbxContent>
                  <w:p w14:paraId="29C52245" w14:textId="0AC084FD"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C67593">
      <w:rPr>
        <w:noProof/>
      </w:rPr>
      <mc:AlternateContent>
        <mc:Choice Requires="wps">
          <w:drawing>
            <wp:anchor distT="0" distB="0" distL="0" distR="0" simplePos="0" relativeHeight="251658253" behindDoc="0" locked="0" layoutInCell="1" allowOverlap="1" wp14:anchorId="2F2914F7" wp14:editId="561624DE">
              <wp:simplePos x="0" y="0"/>
              <wp:positionH relativeFrom="page">
                <wp:align>center</wp:align>
              </wp:positionH>
              <wp:positionV relativeFrom="page">
                <wp:align>bottom</wp:align>
              </wp:positionV>
              <wp:extent cx="443865" cy="443865"/>
              <wp:effectExtent l="0" t="0" r="0" b="0"/>
              <wp:wrapNone/>
              <wp:docPr id="2030452044" name="Text Box 2030452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4A9F3677"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F2914F7" id="Text Box 2030452044" o:spid="_x0000_s1053" type="#_x0000_t202" style="position:absolute;left:0;text-align:left;margin-left:0;margin-top:0;width:34.95pt;height:34.95pt;z-index:251658253;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ihcGAIAADYEAAAOAAAAZHJzL2Uyb0RvYy54bWysU8tu2zAQvBfoPxC815KdBxLBcuAmcFHA&#10;SAI4Rc40RVpCSS5B0pbcr++Skuw2zSnohVrtLvcxM5zfdVqRg3C+AVPS6SSnRBgOVWN2Jf3xsvpy&#10;Q4kPzFRMgRElPQpP7xafP81bW4gZ1KAq4QgWMb5obUnrEGyRZZ7XQjM/ASsMBiU4zQL+ul1WOdZi&#10;da2yWZ5fZy24yjrgwnv0PvRBukj1pRQ8PEnpRSCqpDhbSKdL5zae2WLOip1jtm74MAb7wBSaNQab&#10;nko9sMDI3jX/lNINd+BBhgkHnYGUDRdpB9xmmr/ZZlMzK9IuCI63J5j8/yvLHw8b++xI6L5ChwSm&#10;JbxdA//pEZustb4YciKmvvCYHRftpNPxiysQvIjYHk94ii4Qjs7Ly4ub6ytKOIYGO9Y8X7bOh28C&#10;NIlGSR3SlQZgh7UPfeqYEnsZWDVKJcqU+cuBNaMnjdtPGGcN3bYjTVXS2UUkOrq2UB1xXQe9Erzl&#10;qwZ7r5kPz8wh9bgIyjk84SEVtCWFwaKkBvfrPX/MR0YwSkmLUiqpQa1Tor4bZCqqbjTcaGyTMb3N&#10;r3KMm72+BxToFN+K5clErwtqNKUD/YpCX8ZGGGKGY7uSbkfzPvSaxofCxXKZklBgloW12Vg+EhvB&#10;fOlembMD4gGpeoRRZ6x4A3yfG5H2drkPCH9i5QzkADmKM/E6PKSo/j//U9b5uS9+AwAA//8DAFBL&#10;AwQUAAYACAAAACEAN+3R+NkAAAADAQAADwAAAGRycy9kb3ducmV2LnhtbEyPQU/DMAyF70j8h8hI&#10;3FjKJiZWmk5oEqchpG1cuHmJ1xYap2rcrfv3BDiwi5+sZ733uViOvlVH6mMT2MD9JANFbINruDLw&#10;vnu5ewQVBdlhG5gMnCnCsry+KjB34cQbOm6lUimEY44GapEu1zramjzGSeiIk3cIvUdJa19p1+Mp&#10;hftWT7Nsrj02nBpq7GhVk/3aDt7Aw0ZehzfezT7G6flz3a3s7LC2xtzejM9PoIRG+T+GH/yEDmVi&#10;2oeBXVStgfSI/M7kzRcLUPs/1WWhL9nLbwAAAP//AwBQSwECLQAUAAYACAAAACEAtoM4kv4AAADh&#10;AQAAEwAAAAAAAAAAAAAAAAAAAAAAW0NvbnRlbnRfVHlwZXNdLnhtbFBLAQItABQABgAIAAAAIQA4&#10;/SH/1gAAAJQBAAALAAAAAAAAAAAAAAAAAC8BAABfcmVscy8ucmVsc1BLAQItABQABgAIAAAAIQAf&#10;tihcGAIAADYEAAAOAAAAAAAAAAAAAAAAAC4CAABkcnMvZTJvRG9jLnhtbFBLAQItABQABgAIAAAA&#10;IQA37dH42QAAAAMBAAAPAAAAAAAAAAAAAAAAAHIEAABkcnMvZG93bnJldi54bWxQSwUGAAAAAAQA&#10;BADzAAAAeAUAAAAA&#10;" filled="f" stroked="f">
              <v:textbox style="mso-fit-shape-to-text:t" inset="0,0,0,15pt">
                <w:txbxContent>
                  <w:p w14:paraId="4A9F3677"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2F64E" w14:textId="463BEDF4" w:rsidR="006C7C7C" w:rsidRDefault="003406FE">
    <w:pPr>
      <w:pStyle w:val="Footer"/>
    </w:pPr>
    <w:r>
      <w:t xml:space="preserve">Ye </w:t>
    </w:r>
    <w:r w:rsidRPr="00FA5207">
      <w:rPr>
        <w:i/>
      </w:rPr>
      <w:t>et al.</w:t>
    </w:r>
    <w:r>
      <w:t xml:space="preserve"> 2025    CEWH Flow-MER Technical Report</w:t>
    </w:r>
    <w:r w:rsidRPr="00A62C74">
      <w:t xml:space="preserve">. </w:t>
    </w:r>
    <w:r w:rsidRPr="00627C14">
      <w:rPr>
        <w:i/>
      </w:rPr>
      <w:t xml:space="preserve">Lower Murray </w:t>
    </w:r>
    <w:r>
      <w:rPr>
        <w:i/>
      </w:rPr>
      <w:t xml:space="preserve">Selected Area, </w:t>
    </w:r>
    <w:r w:rsidRPr="00627C14">
      <w:rPr>
        <w:i/>
      </w:rPr>
      <w:t>20</w:t>
    </w:r>
    <w:r>
      <w:rPr>
        <w:i/>
      </w:rPr>
      <w:t xml:space="preserve">19–2024  </w:t>
    </w:r>
    <w:r>
      <w:fldChar w:fldCharType="begin"/>
    </w:r>
    <w:r>
      <w:instrText xml:space="preserve"> PAGE   \* MERGEFORMAT </w:instrText>
    </w:r>
    <w:r>
      <w:fldChar w:fldCharType="separate"/>
    </w:r>
    <w:r>
      <w:t>21</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72D4" w14:textId="3869DA0D" w:rsidR="00C67593" w:rsidRDefault="00AE0EE7">
    <w:pPr>
      <w:pStyle w:val="Footer"/>
    </w:pPr>
    <w:r>
      <w:rPr>
        <w:noProof/>
      </w:rPr>
      <mc:AlternateContent>
        <mc:Choice Requires="wps">
          <w:drawing>
            <wp:anchor distT="0" distB="0" distL="0" distR="0" simplePos="0" relativeHeight="251658273" behindDoc="0" locked="0" layoutInCell="1" allowOverlap="1" wp14:anchorId="66F157E7" wp14:editId="66DBE0C5">
              <wp:simplePos x="635" y="635"/>
              <wp:positionH relativeFrom="page">
                <wp:align>center</wp:align>
              </wp:positionH>
              <wp:positionV relativeFrom="page">
                <wp:align>bottom</wp:align>
              </wp:positionV>
              <wp:extent cx="551815" cy="480695"/>
              <wp:effectExtent l="0" t="0" r="635" b="0"/>
              <wp:wrapNone/>
              <wp:docPr id="904422365"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04DAAB05" w14:textId="53DFA16D"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F157E7" id="_x0000_t202" coordsize="21600,21600" o:spt="202" path="m,l,21600r21600,l21600,xe">
              <v:stroke joinstyle="miter"/>
              <v:path gradientshapeok="t" o:connecttype="rect"/>
            </v:shapetype>
            <v:shape id="Text Box 28" o:spid="_x0000_s1056" type="#_x0000_t202" alt="OFFICIAL" style="position:absolute;left:0;text-align:left;margin-left:0;margin-top:0;width:43.45pt;height:37.85pt;z-index:25165827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Fx6DwIAAB0EAAAOAAAAZHJzL2Uyb0RvYy54bWysU8Fu2zAMvQ/YPwi6L7aDJUiNOEXWIsOA&#10;oC2QDj0rshQbkERBUmJnXz9KjpOt22nYRaZJ6pF8fFre91qRk3C+BVPRYpJTIgyHujWHin5/3Xxa&#10;UOIDMzVTYERFz8LT+9XHD8vOlmIKDahaOIIgxpedrWgTgi2zzPNGaOYnYIXBoASnWcBfd8hqxzpE&#10;1yqb5vk868DV1gEX3qP3cQjSVcKXUvDwLKUXgaiKYm8hnS6d+3hmqyUrD47ZpuWXNtg/dKFZa7Do&#10;FeqRBUaOrv0DSrfcgQcZJhx0BlK2XKQZcJoifzfNrmFWpFmQHG+vNPn/B8ufTjv74kjov0CPC4yE&#10;dNaXHp1xnl46Hb/YKcE4Uni+0ib6QDg6Z7NiUcwo4Rj6vMjnd7OIkt0uW+fDVwGaRKOiDreSyGKn&#10;rQ9D6pgSaxnYtEqlzSjzmwMxoye7dRit0O970tYVnc7H9vdQn3EqB8PCveWbFmtvmQ8vzOGGcRBU&#10;bXjGQyroKgoXi5IG3I+/+WM+Eo9RSjpUTEUNSpoS9c3gQqK4RsONxj4ZxV0+yzFujvoBUIcFPgnL&#10;k4leF9RoSgf6DfW8joUwxAzHchXdj+ZDGKSL74GL9ToloY4sC1uzszxCR74ima/9G3P2wnjAVT3B&#10;KCdWviN+yI03vV0fA9KfthK5HYi8UI4aTHu9vJco8l//U9btVa9+AgAA//8DAFBLAwQUAAYACAAA&#10;ACEAVEtbFtsAAAADAQAADwAAAGRycy9kb3ducmV2LnhtbEyPzW7CMBCE70h9B2sr9QYOIH4a4qAK&#10;qSeqSkAvvRl7SQLxOoo3EN6+bi/0stJoRjPfZuve1eKKbag8KRiPEhBIxtuKCgVfh/fhEkRgTVbX&#10;nlDBHQOs86dBplPrb7TD654LEUsopFpBydykUgZTotNh5Buk6J186zRH2RbStvoWy10tJ0kyl05X&#10;FBdK3eCmRHPZd07BbMcf3Scdpt/95H7eNhszPW2NUi/P/dsKBGPPjzD84kd0yCPT0Xdkg6gVxEf4&#10;70ZvOX8FcVSwmC1A5pn8z57/AAAA//8DAFBLAQItABQABgAIAAAAIQC2gziS/gAAAOEBAAATAAAA&#10;AAAAAAAAAAAAAAAAAABbQ29udGVudF9UeXBlc10ueG1sUEsBAi0AFAAGAAgAAAAhADj9If/WAAAA&#10;lAEAAAsAAAAAAAAAAAAAAAAALwEAAF9yZWxzLy5yZWxzUEsBAi0AFAAGAAgAAAAhAIk4XHoPAgAA&#10;HQQAAA4AAAAAAAAAAAAAAAAALgIAAGRycy9lMm9Eb2MueG1sUEsBAi0AFAAGAAgAAAAhAFRLWxbb&#10;AAAAAwEAAA8AAAAAAAAAAAAAAAAAaQQAAGRycy9kb3ducmV2LnhtbFBLBQYAAAAABAAEAPMAAABx&#10;BQAAAAA=&#10;" filled="f" stroked="f">
              <v:textbox style="mso-fit-shape-to-text:t" inset="0,0,0,15pt">
                <w:txbxContent>
                  <w:p w14:paraId="04DAAB05" w14:textId="53DFA16D"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C67593">
      <w:rPr>
        <w:noProof/>
      </w:rPr>
      <mc:AlternateContent>
        <mc:Choice Requires="wps">
          <w:drawing>
            <wp:anchor distT="0" distB="0" distL="0" distR="0" simplePos="0" relativeHeight="251658252" behindDoc="0" locked="0" layoutInCell="1" allowOverlap="1" wp14:anchorId="6349BC5F" wp14:editId="1ECC7922">
              <wp:simplePos x="0" y="0"/>
              <wp:positionH relativeFrom="page">
                <wp:align>center</wp:align>
              </wp:positionH>
              <wp:positionV relativeFrom="page">
                <wp:align>bottom</wp:align>
              </wp:positionV>
              <wp:extent cx="443865" cy="443865"/>
              <wp:effectExtent l="0" t="0" r="0" b="0"/>
              <wp:wrapNone/>
              <wp:docPr id="2030452046" name="Text Box 2030452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36583CD8"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349BC5F" id="Text Box 2030452046" o:spid="_x0000_s1057" type="#_x0000_t202" style="position:absolute;left:0;text-align:left;margin-left:0;margin-top:0;width:34.95pt;height:34.95pt;z-index:25165825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KqGAIAADYEAAAOAAAAZHJzL2Uyb0RvYy54bWysU01v2zAMvQ/YfxB0X+xkbdcZcYqsRYYB&#10;QVsgHXpWZCk2JomCpMTOfv0o2U66tqdhF5kmKX689zS/6bQiB+F8A6ak00lOiTAcqsbsSvrzafXp&#10;mhIfmKmYAiNKehSe3iw+fpi3thAzqEFVwhEsYnzR2pLWIdgiyzyvhWZ+AlYYDEpwmgX8dbuscqzF&#10;6lplszy/ylpwlXXAhffoveuDdJHqSyl4eJDSi0BUSXG2kE6Xzm08s8WcFTvHbN3wYQz2D1No1hhs&#10;eip1xwIje9e8KaUb7sCDDBMOOgMpGy7SDrjNNH+1zaZmVqRdEBxvTzD5/1eW3x829tGR0H2DDglM&#10;S3i7Bv7LIzZZa30x5ERMfeExOy7aSafjF1cgeBGxPZ7wFF0gHJ0XF5+vry4p4Rga7FjzfNk6H74L&#10;0CQaJXVIVxqAHdY+9KljSuxlYNUolShT5i8H1oyeNG4/YZw1dNuONFVJZ18i0dG1heqI6zroleAt&#10;XzXYe818eGQOqcdFUM7hAQ+poC0pDBYlNbjf7/ljPjKCUUpalFJJDWqdEvXDIFNRdaPhRmObjOnX&#10;/DLHuNnrW0CBTvGtWJ5M9LqgRlM60M8o9GVshCFmOLYr6XY0b0OvaXwoXCyXKQkFZllYm43lI7ER&#10;zKfumTk7IB6QqnsYdcaKV8D3uRFpb5f7gPAnVs5ADpCjOBOvw0OK6n/5n7LOz33xBwAA//8DAFBL&#10;AwQUAAYACAAAACEAN+3R+NkAAAADAQAADwAAAGRycy9kb3ducmV2LnhtbEyPQU/DMAyF70j8h8hI&#10;3FjKJiZWmk5oEqchpG1cuHmJ1xYap2rcrfv3BDiwi5+sZ733uViOvlVH6mMT2MD9JANFbINruDLw&#10;vnu5ewQVBdlhG5gMnCnCsry+KjB34cQbOm6lUimEY44GapEu1zramjzGSeiIk3cIvUdJa19p1+Mp&#10;hftWT7Nsrj02nBpq7GhVk/3aDt7Aw0ZehzfezT7G6flz3a3s7LC2xtzejM9PoIRG+T+GH/yEDmVi&#10;2oeBXVStgfSI/M7kzRcLUPs/1WWhL9nLbwAAAP//AwBQSwECLQAUAAYACAAAACEAtoM4kv4AAADh&#10;AQAAEwAAAAAAAAAAAAAAAAAAAAAAW0NvbnRlbnRfVHlwZXNdLnhtbFBLAQItABQABgAIAAAAIQA4&#10;/SH/1gAAAJQBAAALAAAAAAAAAAAAAAAAAC8BAABfcmVscy8ucmVsc1BLAQItABQABgAIAAAAIQCr&#10;S+KqGAIAADYEAAAOAAAAAAAAAAAAAAAAAC4CAABkcnMvZTJvRG9jLnhtbFBLAQItABQABgAIAAAA&#10;IQA37dH42QAAAAMBAAAPAAAAAAAAAAAAAAAAAHIEAABkcnMvZG93bnJldi54bWxQSwUGAAAAAAQA&#10;BADzAAAAeAUAAAAA&#10;" filled="f" stroked="f">
              <v:textbox style="mso-fit-shape-to-text:t" inset="0,0,0,15pt">
                <w:txbxContent>
                  <w:p w14:paraId="36583CD8"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27569" w14:textId="36FE6153" w:rsidR="00C86C33" w:rsidRDefault="00AE0EE7">
    <w:pPr>
      <w:pStyle w:val="Footer"/>
    </w:pPr>
    <w:r>
      <w:rPr>
        <w:noProof/>
      </w:rPr>
      <mc:AlternateContent>
        <mc:Choice Requires="wps">
          <w:drawing>
            <wp:anchor distT="0" distB="0" distL="0" distR="0" simplePos="0" relativeHeight="251658276" behindDoc="0" locked="0" layoutInCell="1" allowOverlap="1" wp14:anchorId="21C43A5B" wp14:editId="6630F893">
              <wp:simplePos x="635" y="635"/>
              <wp:positionH relativeFrom="page">
                <wp:align>center</wp:align>
              </wp:positionH>
              <wp:positionV relativeFrom="page">
                <wp:align>bottom</wp:align>
              </wp:positionV>
              <wp:extent cx="551815" cy="480695"/>
              <wp:effectExtent l="0" t="0" r="635" b="0"/>
              <wp:wrapNone/>
              <wp:docPr id="449016645"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4644103F" w14:textId="77777777" w:rsidR="00AE0EE7" w:rsidRPr="00AE0EE7" w:rsidRDefault="00AE0EE7" w:rsidP="00AE0EE7">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C43A5B" id="_x0000_t202" coordsize="21600,21600" o:spt="202" path="m,l,21600r21600,l21600,xe">
              <v:stroke joinstyle="miter"/>
              <v:path gradientshapeok="t" o:connecttype="rect"/>
            </v:shapetype>
            <v:shape id="Text Box 32" o:spid="_x0000_s1059" type="#_x0000_t202" alt="OFFICIAL" style="position:absolute;left:0;text-align:left;margin-left:0;margin-top:0;width:43.45pt;height:37.85pt;z-index:2516582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X8DwIAAB0EAAAOAAAAZHJzL2Uyb0RvYy54bWysU8Fu2zAMvQ/YPwi6L7aDpUiMOEXWIsOA&#10;oC2QDj0rshQbkERBUmJnXz9KjpOt22nYRaZJ6pF8fFre91qRk3C+BVPRYpJTIgyHujWHin5/3Xya&#10;U+IDMzVTYERFz8LT+9XHD8vOlmIKDahaOIIgxpedrWgTgi2zzPNGaOYnYIXBoASnWcBfd8hqxzpE&#10;1yqb5vld1oGrrQMuvEfv4xCkq4QvpeDhWUovAlEVxd5COl069/HMVktWHhyzTcsvbbB/6EKz1mDR&#10;K9QjC4wcXfsHlG65Aw8yTDjoDKRsuUgz4DRF/m6aXcOsSLMgOd5eafL/D5Y/nXb2xZHQf4EeFxgJ&#10;6awvPTrjPL10On6xU4JxpPB8pU30gXB0zmbFvJhRwjH0eZ7fLWYRJbtdts6HrwI0iUZFHW4lkcVO&#10;Wx+G1DEl1jKwaZVKm1HmNwdiRk926zBaod/3pK0rOl2M7e+hPuNUDoaFe8s3LdbeMh9emMMN4yCo&#10;2vCMh1TQVRQuFiUNuB9/88d8JB6jlHSomIoalDQl6pvBhURxjYYbjX0yikU+yzFujvoBUIcFPgnL&#10;k4leF9RoSgf6DfW8joUwxAzHchXdj+ZDGKSL74GL9ToloY4sC1uzszxCR74ima/9G3P2wnjAVT3B&#10;KCdWviN+yI03vV0fA9KfthK5HYi8UI4aTHu9vJco8l//U9btVa9+AgAA//8DAFBLAwQUAAYACAAA&#10;ACEAVEtbFtsAAAADAQAADwAAAGRycy9kb3ducmV2LnhtbEyPzW7CMBCE70h9B2sr9QYOIH4a4qAK&#10;qSeqSkAvvRl7SQLxOoo3EN6+bi/0stJoRjPfZuve1eKKbag8KRiPEhBIxtuKCgVfh/fhEkRgTVbX&#10;nlDBHQOs86dBplPrb7TD654LEUsopFpBydykUgZTotNh5Buk6J186zRH2RbStvoWy10tJ0kyl05X&#10;FBdK3eCmRHPZd07BbMcf3Scdpt/95H7eNhszPW2NUi/P/dsKBGPPjzD84kd0yCPT0Xdkg6gVxEf4&#10;70ZvOX8FcVSwmC1A5pn8z57/AAAA//8DAFBLAQItABQABgAIAAAAIQC2gziS/gAAAOEBAAATAAAA&#10;AAAAAAAAAAAAAAAAAABbQ29udGVudF9UeXBlc10ueG1sUEsBAi0AFAAGAAgAAAAhADj9If/WAAAA&#10;lAEAAAsAAAAAAAAAAAAAAAAALwEAAF9yZWxzLy5yZWxzUEsBAi0AFAAGAAgAAAAhAKP5pfwPAgAA&#10;HQQAAA4AAAAAAAAAAAAAAAAALgIAAGRycy9lMm9Eb2MueG1sUEsBAi0AFAAGAAgAAAAhAFRLWxbb&#10;AAAAAwEAAA8AAAAAAAAAAAAAAAAAaQQAAGRycy9kb3ducmV2LnhtbFBLBQYAAAAABAAEAPMAAABx&#10;BQAAAAA=&#10;" filled="f" stroked="f">
              <v:textbox style="mso-fit-shape-to-text:t" inset="0,0,0,15pt">
                <w:txbxContent>
                  <w:p w14:paraId="4644103F" w14:textId="77777777" w:rsidR="00AE0EE7" w:rsidRPr="00AE0EE7" w:rsidRDefault="00AE0EE7" w:rsidP="00AE0EE7">
                    <w:pPr>
                      <w:spacing w:after="0"/>
                      <w:rPr>
                        <w:rFonts w:ascii="Calibri" w:eastAsia="Calibri" w:hAnsi="Calibri" w:cs="Calibri"/>
                        <w:noProof/>
                        <w:color w:val="FF0000"/>
                        <w:sz w:val="24"/>
                        <w:szCs w:val="24"/>
                      </w:rPr>
                    </w:pP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2FD06" w14:textId="62A1F531" w:rsidR="006C7C7C" w:rsidRDefault="002B7BD5">
    <w:pPr>
      <w:pStyle w:val="Footer"/>
    </w:pPr>
    <w:r>
      <w:t xml:space="preserve">Ye </w:t>
    </w:r>
    <w:r w:rsidRPr="00FA5207">
      <w:rPr>
        <w:i/>
      </w:rPr>
      <w:t>et al.</w:t>
    </w:r>
    <w:r>
      <w:t xml:space="preserve"> 2025    CEWH Flow-MER Technical Report</w:t>
    </w:r>
    <w:r w:rsidRPr="00A62C74">
      <w:t xml:space="preserve">. </w:t>
    </w:r>
    <w:r w:rsidRPr="00627C14">
      <w:rPr>
        <w:i/>
      </w:rPr>
      <w:t xml:space="preserve">Lower Murray </w:t>
    </w:r>
    <w:r>
      <w:rPr>
        <w:i/>
      </w:rPr>
      <w:t xml:space="preserve">Selected Area, </w:t>
    </w:r>
    <w:r w:rsidRPr="00627C14">
      <w:rPr>
        <w:i/>
      </w:rPr>
      <w:t>20</w:t>
    </w:r>
    <w:r>
      <w:rPr>
        <w:i/>
      </w:rPr>
      <w:t xml:space="preserve">19–2024  </w:t>
    </w:r>
    <w:r>
      <w:fldChar w:fldCharType="begin"/>
    </w:r>
    <w:r>
      <w:instrText xml:space="preserve"> PAGE   \* MERGEFORMAT </w:instrText>
    </w:r>
    <w:r>
      <w:fldChar w:fldCharType="separate"/>
    </w:r>
    <w:r>
      <w:t>13</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FADE7" w14:textId="0CE902F6" w:rsidR="00C86C33" w:rsidRDefault="00AE0EE7">
    <w:pPr>
      <w:pStyle w:val="Footer"/>
    </w:pPr>
    <w:r>
      <w:rPr>
        <w:noProof/>
      </w:rPr>
      <mc:AlternateContent>
        <mc:Choice Requires="wps">
          <w:drawing>
            <wp:anchor distT="0" distB="0" distL="0" distR="0" simplePos="0" relativeHeight="251658275" behindDoc="0" locked="0" layoutInCell="1" allowOverlap="1" wp14:anchorId="11B45CC3" wp14:editId="2965550C">
              <wp:simplePos x="635" y="635"/>
              <wp:positionH relativeFrom="page">
                <wp:align>center</wp:align>
              </wp:positionH>
              <wp:positionV relativeFrom="page">
                <wp:align>bottom</wp:align>
              </wp:positionV>
              <wp:extent cx="551815" cy="480695"/>
              <wp:effectExtent l="0" t="0" r="635" b="0"/>
              <wp:wrapNone/>
              <wp:docPr id="120447054"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46D13A1C" w14:textId="77777777" w:rsidR="00AE0EE7" w:rsidRPr="00AE0EE7" w:rsidRDefault="00AE0EE7" w:rsidP="00AE0EE7">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B45CC3" id="_x0000_t202" coordsize="21600,21600" o:spt="202" path="m,l,21600r21600,l21600,xe">
              <v:stroke joinstyle="miter"/>
              <v:path gradientshapeok="t" o:connecttype="rect"/>
            </v:shapetype>
            <v:shape id="Text Box 31" o:spid="_x0000_s1061" type="#_x0000_t202" alt="OFFICIAL" style="position:absolute;left:0;text-align:left;margin-left:0;margin-top:0;width:43.45pt;height:37.85pt;z-index:25165827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3/5DwIAAB0EAAAOAAAAZHJzL2Uyb0RvYy54bWysU8Fu2zAMvQ/YPwi6L7a7pUiNOEXWIsOA&#10;oC2QDj0rshQbkERBUmJnXz9KjpOu7WnYRaZJ6pF8fJrf9lqRg3C+BVPRYpJTIgyHujW7iv56Xn2Z&#10;UeIDMzVTYERFj8LT28XnT/POluIKGlC1cARBjC87W9EmBFtmmeeN0MxPwAqDQQlOs4C/bpfVjnWI&#10;rlV2lefXWQeutg648B6990OQLhK+lIKHRym9CERVFHsL6XTp3MYzW8xZuXPMNi0/tcH+oQvNWoNF&#10;z1D3LDCyd+07KN1yBx5kmHDQGUjZcpFmwGmK/M00m4ZZkWZBcrw90+T/Hyx/OGzskyOh/w49LjAS&#10;0llfenTGeXrpdPxipwTjSOHxTJvoA+HonE6LWTGlhGPo2yy/vplGlOxy2ToffgjQJBoVdbiVRBY7&#10;rH0YUseUWMvAqlUqbUaZvxyIGT3ZpcNohX7bk7au6Ndz+1uojziVg2Hh3vJVi7XXzIcn5nDDOAiq&#10;NjziIRV0FYWTRUkD7vdH/piPxGOUkg4VU1GDkqZE/TS4kCiu0XCjsU1GcZNPc4ybvb4D1GGBT8Ly&#10;ZKLXBTWa0oF+QT0vYyEMMcOxXEW3o3kXBunie+BiuUxJqCPLwtpsLI/Qka9I5nP/wpw9MR5wVQ8w&#10;yomVb4gfcuNNb5f7gPSnrURuByJPlKMG015P7yWK/PV/yrq86sUfAAAA//8DAFBLAwQUAAYACAAA&#10;ACEAVEtbFtsAAAADAQAADwAAAGRycy9kb3ducmV2LnhtbEyPzW7CMBCE70h9B2sr9QYOIH4a4qAK&#10;qSeqSkAvvRl7SQLxOoo3EN6+bi/0stJoRjPfZuve1eKKbag8KRiPEhBIxtuKCgVfh/fhEkRgTVbX&#10;nlDBHQOs86dBplPrb7TD654LEUsopFpBydykUgZTotNh5Buk6J186zRH2RbStvoWy10tJ0kyl05X&#10;FBdK3eCmRHPZd07BbMcf3Scdpt/95H7eNhszPW2NUi/P/dsKBGPPjzD84kd0yCPT0Xdkg6gVxEf4&#10;70ZvOX8FcVSwmC1A5pn8z57/AAAA//8DAFBLAQItABQABgAIAAAAIQC2gziS/gAAAOEBAAATAAAA&#10;AAAAAAAAAAAAAAAAAABbQ29udGVudF9UeXBlc10ueG1sUEsBAi0AFAAGAAgAAAAhADj9If/WAAAA&#10;lAEAAAsAAAAAAAAAAAAAAAAALwEAAF9yZWxzLy5yZWxzUEsBAi0AFAAGAAgAAAAhANCrf/kPAgAA&#10;HQQAAA4AAAAAAAAAAAAAAAAALgIAAGRycy9lMm9Eb2MueG1sUEsBAi0AFAAGAAgAAAAhAFRLWxbb&#10;AAAAAwEAAA8AAAAAAAAAAAAAAAAAaQQAAGRycy9kb3ducmV2LnhtbFBLBQYAAAAABAAEAPMAAABx&#10;BQAAAAA=&#10;" filled="f" stroked="f">
              <v:textbox style="mso-fit-shape-to-text:t" inset="0,0,0,15pt">
                <w:txbxContent>
                  <w:p w14:paraId="46D13A1C" w14:textId="77777777" w:rsidR="00AE0EE7" w:rsidRPr="00AE0EE7" w:rsidRDefault="00AE0EE7" w:rsidP="00AE0EE7">
                    <w:pPr>
                      <w:spacing w:after="0"/>
                      <w:rPr>
                        <w:rFonts w:ascii="Calibri" w:eastAsia="Calibri" w:hAnsi="Calibri" w:cs="Calibri"/>
                        <w:noProof/>
                        <w:color w:val="FF0000"/>
                        <w:sz w:val="24"/>
                        <w:szCs w:val="24"/>
                      </w:rPr>
                    </w:pP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26AFE" w14:textId="7DB640C0" w:rsidR="00452614" w:rsidRDefault="00AE0EE7">
    <w:pPr>
      <w:pStyle w:val="Footer"/>
    </w:pPr>
    <w:r>
      <w:rPr>
        <w:noProof/>
      </w:rPr>
      <mc:AlternateContent>
        <mc:Choice Requires="wps">
          <w:drawing>
            <wp:anchor distT="0" distB="0" distL="0" distR="0" simplePos="0" relativeHeight="251658278" behindDoc="0" locked="0" layoutInCell="1" allowOverlap="1" wp14:anchorId="26779B3B" wp14:editId="66997AE3">
              <wp:simplePos x="635" y="635"/>
              <wp:positionH relativeFrom="page">
                <wp:align>center</wp:align>
              </wp:positionH>
              <wp:positionV relativeFrom="page">
                <wp:align>bottom</wp:align>
              </wp:positionV>
              <wp:extent cx="551815" cy="480695"/>
              <wp:effectExtent l="0" t="0" r="635" b="0"/>
              <wp:wrapNone/>
              <wp:docPr id="807220264"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687B97E3" w14:textId="77777777" w:rsidR="00AE0EE7" w:rsidRPr="00AE0EE7" w:rsidRDefault="00AE0EE7" w:rsidP="00AE0EE7">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779B3B" id="_x0000_t202" coordsize="21600,21600" o:spt="202" path="m,l,21600r21600,l21600,xe">
              <v:stroke joinstyle="miter"/>
              <v:path gradientshapeok="t" o:connecttype="rect"/>
            </v:shapetype>
            <v:shape id="Text Box 35" o:spid="_x0000_s1063" type="#_x0000_t202" alt="OFFICIAL" style="position:absolute;left:0;text-align:left;margin-left:0;margin-top:0;width:43.45pt;height:37.85pt;z-index:25165827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RqCEAIAAB0EAAAOAAAAZHJzL2Uyb0RvYy54bWysU8Fu2zAMvQ/YPwi6L7bbpUiNOEXWIsOA&#10;oC2QDj0rshQbkERBUmJnXz9KjpOt66nYRaZJ6pF8fJrf9VqRg3C+BVPRYpJTIgyHujW7iv58WX2Z&#10;UeIDMzVTYERFj8LTu8XnT/POluIKGlC1cARBjC87W9EmBFtmmeeN0MxPwAqDQQlOs4C/bpfVjnWI&#10;rlV2lec3WQeutg648B69D0OQLhK+lIKHJym9CERVFHsL6XTp3MYzW8xZuXPMNi0/tcE+0IVmrcGi&#10;Z6gHFhjZu/YfKN1yBx5kmHDQGUjZcpFmwGmK/M00m4ZZkWZBcrw90+T/Hyx/PGzssyOh/wY9LjAS&#10;0llfenTGeXrpdPxipwTjSOHxTJvoA+HonE6LWTGlhGPo6yy/uZ1GlOxy2TofvgvQJBoVdbiVRBY7&#10;rH0YUseUWMvAqlUqbUaZvxyIGT3ZpcNohX7bk7au6PX12P4W6iNO5WBYuLd81WLtNfPhmTncMA6C&#10;qg1PeEgFXUXhZFHSgPv1nj/mI/EYpaRDxVTUoKQpUT8MLiSKazTcaGyTUdzm0xzjZq/vAXVY4JOw&#10;PJnodUGNpnSgX1HPy1gIQ8xwLFfR7Wjeh0G6+B64WC5TEurIsrA2G8sjdOQrkvnSvzJnT4wHXNUj&#10;jHJi5Rvih9x409vlPiD9aSuR24HIE+WowbTX03uJIv/zP2VdXvXiNwAAAP//AwBQSwMEFAAGAAgA&#10;AAAhAFRLWxbbAAAAAwEAAA8AAABkcnMvZG93bnJldi54bWxMj81uwjAQhO9IfQdrK/UGDiB+GuKg&#10;CqknqkpAL70Ze0kC8TqKNxDevm4v9LLSaEYz32br3tXiim2oPCkYjxIQSMbbigoFX4f34RJEYE1W&#10;155QwR0DrPOnQaZT62+0w+ueCxFLKKRaQcncpFIGU6LTYeQbpOidfOs0R9kW0rb6FstdLSdJMpdO&#10;VxQXSt3gpkRz2XdOwWzHH90nHabf/eR+3jYbMz1tjVIvz/3bCgRjz48w/OJHdMgj09F3ZIOoFcRH&#10;+O9Gbzl/BXFUsJgtQOaZ/M+e/wAAAP//AwBQSwECLQAUAAYACAAAACEAtoM4kv4AAADhAQAAEwAA&#10;AAAAAAAAAAAAAAAAAAAAW0NvbnRlbnRfVHlwZXNdLnhtbFBLAQItABQABgAIAAAAIQA4/SH/1gAA&#10;AJQBAAALAAAAAAAAAAAAAAAAAC8BAABfcmVscy8ucmVsc1BLAQItABQABgAIAAAAIQAK1RqCEAIA&#10;AB0EAAAOAAAAAAAAAAAAAAAAAC4CAABkcnMvZTJvRG9jLnhtbFBLAQItABQABgAIAAAAIQBUS1sW&#10;2wAAAAMBAAAPAAAAAAAAAAAAAAAAAGoEAABkcnMvZG93bnJldi54bWxQSwUGAAAAAAQABADzAAAA&#10;cgUAAAAA&#10;" filled="f" stroked="f">
              <v:textbox style="mso-fit-shape-to-text:t" inset="0,0,0,15pt">
                <w:txbxContent>
                  <w:p w14:paraId="687B97E3" w14:textId="77777777" w:rsidR="00AE0EE7" w:rsidRPr="00AE0EE7" w:rsidRDefault="00AE0EE7" w:rsidP="00AE0EE7">
                    <w:pPr>
                      <w:spacing w:after="0"/>
                      <w:rPr>
                        <w:rFonts w:ascii="Calibri" w:eastAsia="Calibri" w:hAnsi="Calibri" w:cs="Calibri"/>
                        <w:noProof/>
                        <w:color w:val="FF0000"/>
                        <w:sz w:val="24"/>
                        <w:szCs w:val="24"/>
                      </w:rPr>
                    </w:pP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D824" w14:textId="57F6746A" w:rsidR="006C7C7C" w:rsidRDefault="002B7BD5">
    <w:pPr>
      <w:pStyle w:val="Footer"/>
    </w:pPr>
    <w:r>
      <w:t xml:space="preserve">Ye </w:t>
    </w:r>
    <w:r w:rsidRPr="00FA5207">
      <w:rPr>
        <w:i/>
      </w:rPr>
      <w:t>et al.</w:t>
    </w:r>
    <w:r>
      <w:t xml:space="preserve"> 2025    CEWH Flow-MER Technical Report</w:t>
    </w:r>
    <w:r w:rsidRPr="00A62C74">
      <w:t xml:space="preserve">. </w:t>
    </w:r>
    <w:r w:rsidRPr="00627C14">
      <w:rPr>
        <w:i/>
      </w:rPr>
      <w:t xml:space="preserve">Lower Murray </w:t>
    </w:r>
    <w:r>
      <w:rPr>
        <w:i/>
      </w:rPr>
      <w:t xml:space="preserve">Selected Area, </w:t>
    </w:r>
    <w:r w:rsidRPr="00627C14">
      <w:rPr>
        <w:i/>
      </w:rPr>
      <w:t>20</w:t>
    </w:r>
    <w:r>
      <w:rPr>
        <w:i/>
      </w:rPr>
      <w:t xml:space="preserve">19–2024  </w:t>
    </w:r>
    <w:r>
      <w:fldChar w:fldCharType="begin"/>
    </w:r>
    <w:r>
      <w:instrText xml:space="preserve"> PAGE   \* MERGEFORMAT </w:instrText>
    </w:r>
    <w:r>
      <w:fldChar w:fldCharType="separate"/>
    </w:r>
    <w:r>
      <w:t>13</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2921D" w14:textId="2EAF0AE8" w:rsidR="00452614" w:rsidRDefault="00AE0EE7">
    <w:pPr>
      <w:pStyle w:val="Footer"/>
    </w:pPr>
    <w:r>
      <w:rPr>
        <w:noProof/>
      </w:rPr>
      <mc:AlternateContent>
        <mc:Choice Requires="wps">
          <w:drawing>
            <wp:anchor distT="0" distB="0" distL="0" distR="0" simplePos="0" relativeHeight="251658277" behindDoc="0" locked="0" layoutInCell="1" allowOverlap="1" wp14:anchorId="4E79E151" wp14:editId="6C21B72D">
              <wp:simplePos x="635" y="635"/>
              <wp:positionH relativeFrom="page">
                <wp:align>center</wp:align>
              </wp:positionH>
              <wp:positionV relativeFrom="page">
                <wp:align>bottom</wp:align>
              </wp:positionV>
              <wp:extent cx="551815" cy="480695"/>
              <wp:effectExtent l="0" t="0" r="635" b="0"/>
              <wp:wrapNone/>
              <wp:docPr id="672869000"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6806931E" w14:textId="77777777" w:rsidR="00AE0EE7" w:rsidRPr="00AE0EE7" w:rsidRDefault="00AE0EE7" w:rsidP="00AE0EE7">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79E151" id="_x0000_t202" coordsize="21600,21600" o:spt="202" path="m,l,21600r21600,l21600,xe">
              <v:stroke joinstyle="miter"/>
              <v:path gradientshapeok="t" o:connecttype="rect"/>
            </v:shapetype>
            <v:shape id="Text Box 34" o:spid="_x0000_s1065" type="#_x0000_t202" alt="OFFICIAL" style="position:absolute;left:0;text-align:left;margin-left:0;margin-top:0;width:43.45pt;height:37.85pt;z-index:25165827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UPDgIAAB0EAAAOAAAAZHJzL2Uyb0RvYy54bWysU8Fu2zAMvQ/YPwi6L7a7pUiNOEXWIsOA&#10;oC2QDj0rshQbkEWBUmJnXz9KiZuu22nYRaZJ6pF8fJrfDp1hB4W+BVvxYpJzpqyEurW7iv94Xn2a&#10;ceaDsLUwYFXFj8rz28XHD/PeleoKGjC1QkYg1pe9q3gTgiuzzMtGdcJPwClLQQ3YiUC/uMtqFD2h&#10;dya7yvPrrAesHYJU3pP3/hTki4SvtZLhUWuvAjMVp95COjGd23hmi7kodyhc08pzG+IfuuhEa6no&#10;K9S9CILtsf0DqmslggcdJhK6DLRupUoz0DRF/m6aTSOcSrMQOd690uT/H6x8OGzcE7IwfIWBFhgJ&#10;6Z0vPTnjPIPGLn6pU0ZxovD4SpsaApPknE6LWTHlTFLoyyy/vplGlOxy2aEP3xR0LBoVR9pKIksc&#10;1j6cUseUWMvCqjUmbcbY3xyEGT3ZpcNohWE7sLau+OdUOLq2UB9pKoTTwr2Tq5Zqr4UPTwJpwzQI&#10;qTY80qEN9BWHs8VZA/jzb/6YT8RTlLOeFFNxS5LmzHy3tJAortHA0dgmo7jJpznF7b67A9JhQU/C&#10;yWSSF4MZTY3QvZCel7EQhYSVVK7i29G8Cyfp0nuQarlMSaQjJ8LabpyM0JGvSObz8CLQnRkPtKoH&#10;GOUkynfEn3LjTe+W+0D0p61ciDxTThpMez2/lyjyt/8p6/KqF78AAAD//wMAUEsDBBQABgAIAAAA&#10;IQBUS1sW2wAAAAMBAAAPAAAAZHJzL2Rvd25yZXYueG1sTI/NbsIwEITvSH0Hayv1Bg4gfhrioAqp&#10;J6pKQC+9GXtJAvE6ijcQ3r5uL/Sy0mhGM99m697V4optqDwpGI8SEEjG24oKBV+H9+ESRGBNVtee&#10;UMEdA6zzp0GmU+tvtMPrngsRSyikWkHJ3KRSBlOi02HkG6TonXzrNEfZFtK2+hbLXS0nSTKXTlcU&#10;F0rd4KZEc9l3TsFsxx/dJx2m3/3kft42GzM9bY1SL8/92woEY8+PMPziR3TII9PRd2SDqBXER/jv&#10;Rm85fwVxVLCYLUDmmfzPnv8AAAD//wMAUEsBAi0AFAAGAAgAAAAhALaDOJL+AAAA4QEAABMAAAAA&#10;AAAAAAAAAAAAAAAAAFtDb250ZW50X1R5cGVzXS54bWxQSwECLQAUAAYACAAAACEAOP0h/9YAAACU&#10;AQAACwAAAAAAAAAAAAAAAAAvAQAAX3JlbHMvLnJlbHNQSwECLQAUAAYACAAAACEAZFa1Dw4CAAAd&#10;BAAADgAAAAAAAAAAAAAAAAAuAgAAZHJzL2Uyb0RvYy54bWxQSwECLQAUAAYACAAAACEAVEtbFtsA&#10;AAADAQAADwAAAAAAAAAAAAAAAABoBAAAZHJzL2Rvd25yZXYueG1sUEsFBgAAAAAEAAQA8wAAAHAF&#10;AAAAAA==&#10;" filled="f" stroked="f">
              <v:textbox style="mso-fit-shape-to-text:t" inset="0,0,0,15pt">
                <w:txbxContent>
                  <w:p w14:paraId="6806931E" w14:textId="77777777" w:rsidR="00AE0EE7" w:rsidRPr="00AE0EE7" w:rsidRDefault="00AE0EE7" w:rsidP="00AE0EE7">
                    <w:pPr>
                      <w:spacing w:after="0"/>
                      <w:rPr>
                        <w:rFonts w:ascii="Calibri" w:eastAsia="Calibri" w:hAnsi="Calibri" w:cs="Calibri"/>
                        <w:noProof/>
                        <w:color w:val="FF0000"/>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F0353" w14:textId="77777777" w:rsidR="001D16BD" w:rsidRDefault="001D16BD" w:rsidP="00CC1E80">
      <w:pPr>
        <w:spacing w:before="0" w:after="0" w:line="240" w:lineRule="auto"/>
      </w:pPr>
      <w:r>
        <w:separator/>
      </w:r>
    </w:p>
  </w:footnote>
  <w:footnote w:type="continuationSeparator" w:id="0">
    <w:p w14:paraId="3A244BFB" w14:textId="77777777" w:rsidR="001D16BD" w:rsidRDefault="001D16BD" w:rsidP="00CC1E80">
      <w:pPr>
        <w:spacing w:before="0" w:after="0" w:line="240" w:lineRule="auto"/>
      </w:pPr>
      <w:r>
        <w:continuationSeparator/>
      </w:r>
    </w:p>
  </w:footnote>
  <w:footnote w:type="continuationNotice" w:id="1">
    <w:p w14:paraId="60D0F704" w14:textId="77777777" w:rsidR="001D16BD" w:rsidRDefault="001D16BD">
      <w:pPr>
        <w:spacing w:before="0" w:after="0" w:line="240" w:lineRule="auto"/>
      </w:pPr>
    </w:p>
  </w:footnote>
  <w:footnote w:id="2">
    <w:p w14:paraId="461D498E" w14:textId="77777777" w:rsidR="006A2323" w:rsidRPr="001845B4" w:rsidRDefault="006A2323" w:rsidP="006A2323">
      <w:pPr>
        <w:pStyle w:val="FootnoteText"/>
        <w:rPr>
          <w:sz w:val="19"/>
          <w:szCs w:val="19"/>
        </w:rPr>
      </w:pPr>
      <w:r w:rsidRPr="001845B4">
        <w:rPr>
          <w:rStyle w:val="FootnoteReference"/>
          <w:sz w:val="19"/>
          <w:szCs w:val="19"/>
        </w:rPr>
        <w:footnoteRef/>
      </w:r>
      <w:r w:rsidRPr="001845B4">
        <w:rPr>
          <w:sz w:val="19"/>
          <w:szCs w:val="19"/>
        </w:rPr>
        <w:t xml:space="preserve"> </w:t>
      </w:r>
      <w:r>
        <w:rPr>
          <w:sz w:val="19"/>
          <w:szCs w:val="19"/>
        </w:rPr>
        <w:t xml:space="preserve"> Flow data in this report are modelled data (MDBA) calculated </w:t>
      </w:r>
      <w:r w:rsidRPr="00D943B0">
        <w:rPr>
          <w:sz w:val="19"/>
          <w:szCs w:val="19"/>
        </w:rPr>
        <w:t>at the South Australian border</w:t>
      </w:r>
      <w:r>
        <w:rPr>
          <w:sz w:val="19"/>
          <w:szCs w:val="19"/>
        </w:rPr>
        <w:t xml:space="preserve">. </w:t>
      </w:r>
    </w:p>
  </w:footnote>
  <w:footnote w:id="3">
    <w:p w14:paraId="406B4BA7" w14:textId="5934C09F" w:rsidR="00D06348" w:rsidRPr="009F6BAD" w:rsidRDefault="00D06348" w:rsidP="00D06348">
      <w:pPr>
        <w:pStyle w:val="FootnoteText"/>
        <w:rPr>
          <w:sz w:val="19"/>
          <w:szCs w:val="19"/>
        </w:rPr>
      </w:pPr>
      <w:r w:rsidRPr="001845B4">
        <w:rPr>
          <w:rStyle w:val="FootnoteReference"/>
          <w:rFonts w:eastAsiaTheme="majorEastAsia"/>
          <w:sz w:val="19"/>
          <w:szCs w:val="19"/>
        </w:rPr>
        <w:footnoteRef/>
      </w:r>
      <w:r w:rsidRPr="001845B4">
        <w:rPr>
          <w:sz w:val="19"/>
          <w:szCs w:val="19"/>
        </w:rPr>
        <w:t xml:space="preserve"> Environmental water volumes and percentages provided here are sourced from CEWH accounting data and exclude wetland pumping as this investigation focuses on the main channel of the LMR. See </w:t>
      </w:r>
      <w:r w:rsidRPr="001845B4">
        <w:rPr>
          <w:sz w:val="19"/>
          <w:szCs w:val="19"/>
        </w:rPr>
        <w:fldChar w:fldCharType="begin"/>
      </w:r>
      <w:r w:rsidRPr="001845B4">
        <w:rPr>
          <w:sz w:val="19"/>
          <w:szCs w:val="19"/>
        </w:rPr>
        <w:instrText xml:space="preserve"> REF _Ref155771888 \h </w:instrText>
      </w:r>
      <w:r>
        <w:rPr>
          <w:sz w:val="19"/>
          <w:szCs w:val="19"/>
        </w:rPr>
        <w:instrText xml:space="preserve"> \* MERGEFORMAT </w:instrText>
      </w:r>
      <w:r w:rsidRPr="001845B4">
        <w:rPr>
          <w:sz w:val="19"/>
          <w:szCs w:val="19"/>
        </w:rPr>
      </w:r>
      <w:r w:rsidRPr="001845B4">
        <w:rPr>
          <w:sz w:val="19"/>
          <w:szCs w:val="19"/>
        </w:rPr>
        <w:fldChar w:fldCharType="separate"/>
      </w:r>
      <w:r w:rsidR="00102828" w:rsidRPr="00102828">
        <w:rPr>
          <w:sz w:val="19"/>
          <w:szCs w:val="19"/>
        </w:rPr>
        <w:t xml:space="preserve">Table </w:t>
      </w:r>
      <w:r w:rsidR="00102828" w:rsidRPr="00102828">
        <w:rPr>
          <w:noProof/>
          <w:sz w:val="19"/>
          <w:szCs w:val="19"/>
        </w:rPr>
        <w:t>1</w:t>
      </w:r>
      <w:r w:rsidRPr="001845B4">
        <w:rPr>
          <w:sz w:val="19"/>
          <w:szCs w:val="19"/>
        </w:rPr>
        <w:fldChar w:fldCharType="end"/>
      </w:r>
      <w:r w:rsidRPr="001845B4">
        <w:rPr>
          <w:sz w:val="19"/>
          <w:szCs w:val="19"/>
        </w:rPr>
        <w:t xml:space="preserve"> for more information.</w:t>
      </w:r>
    </w:p>
  </w:footnote>
  <w:footnote w:id="4">
    <w:p w14:paraId="2B4748CD" w14:textId="77777777" w:rsidR="006E5AFC" w:rsidRDefault="006E5AFC" w:rsidP="006E5AFC">
      <w:pPr>
        <w:pStyle w:val="FootnoteText"/>
      </w:pPr>
      <w:r>
        <w:rPr>
          <w:rStyle w:val="FootnoteReference"/>
        </w:rPr>
        <w:footnoteRef/>
      </w:r>
      <w:r>
        <w:t xml:space="preserve"> Interquartile range (IQR) is a measure of variability, as the difference between the 75</w:t>
      </w:r>
      <w:r w:rsidRPr="0027355F">
        <w:rPr>
          <w:vertAlign w:val="superscript"/>
        </w:rPr>
        <w:t>th</w:t>
      </w:r>
      <w:r>
        <w:t xml:space="preserve"> and 25</w:t>
      </w:r>
      <w:r w:rsidRPr="0027355F">
        <w:rPr>
          <w:vertAlign w:val="superscript"/>
        </w:rPr>
        <w:t>th</w:t>
      </w:r>
      <w:r>
        <w:t xml:space="preserve"> percentile values for water level over the year. If the IQR increases, the variability must have increased.</w:t>
      </w:r>
    </w:p>
  </w:footnote>
  <w:footnote w:id="5">
    <w:p w14:paraId="3C4EF2DF" w14:textId="40D987CD" w:rsidR="009C7A34" w:rsidRPr="00421E0D" w:rsidRDefault="009C7A34" w:rsidP="00421E0D">
      <w:pPr>
        <w:pStyle w:val="FootnoteText"/>
        <w:spacing w:after="120"/>
      </w:pPr>
      <w:r w:rsidRPr="00421E0D">
        <w:rPr>
          <w:rStyle w:val="FootnoteReference"/>
        </w:rPr>
        <w:footnoteRef/>
      </w:r>
      <w:r w:rsidRPr="00421E0D">
        <w:t xml:space="preserve"> </w:t>
      </w:r>
      <w:r w:rsidR="00421E0D" w:rsidRPr="00421E0D">
        <w:t>The CEW</w:t>
      </w:r>
      <w:r w:rsidR="00C52932">
        <w:t>H</w:t>
      </w:r>
      <w:r w:rsidR="00421E0D" w:rsidRPr="00421E0D">
        <w:t xml:space="preserve"> </w:t>
      </w:r>
      <w:r w:rsidR="00636414">
        <w:t>Flow-</w:t>
      </w:r>
      <w:r w:rsidR="00421E0D" w:rsidRPr="00421E0D">
        <w:t>MER Project in the Lower Murray focuses on assessing ecological responses to environmental water delivery along the main river channel. Indicators are not set up to evaluate other types of actions such as floodplain regulator operation and wetland pumping.</w:t>
      </w:r>
    </w:p>
  </w:footnote>
  <w:footnote w:id="6">
    <w:p w14:paraId="07922DBD" w14:textId="2771A60C" w:rsidR="00AE69FC" w:rsidRDefault="00AE69FC">
      <w:pPr>
        <w:pStyle w:val="FootnoteText"/>
      </w:pPr>
      <w:r w:rsidRPr="00421E0D">
        <w:rPr>
          <w:rStyle w:val="FootnoteReference"/>
        </w:rPr>
        <w:footnoteRef/>
      </w:r>
      <w:r w:rsidRPr="00421E0D">
        <w:t xml:space="preserve"> </w:t>
      </w:r>
      <w:r w:rsidRPr="009A0AAF">
        <w:rPr>
          <w:i/>
          <w:iCs/>
        </w:rPr>
        <w:t>Hydrology (Channel)</w:t>
      </w:r>
      <w:r w:rsidRPr="00421E0D">
        <w:t xml:space="preserve"> does not directly address any specific CEW</w:t>
      </w:r>
      <w:r w:rsidR="00C52932">
        <w:t>H</w:t>
      </w:r>
      <w:r w:rsidRPr="00421E0D">
        <w:t xml:space="preserve"> evaluation question, but provides fundamental information for analysis and evaluation of monitoring outcomes against hydrological conditions and environmental water delivery for all other indicators. Results for this indicator are presented in Section </w:t>
      </w:r>
      <w:r w:rsidRPr="00421E0D">
        <w:fldChar w:fldCharType="begin"/>
      </w:r>
      <w:r w:rsidRPr="00421E0D">
        <w:instrText xml:space="preserve"> REF _Ref30588609 \r \h </w:instrText>
      </w:r>
      <w:r w:rsidR="00421E0D">
        <w:instrText xml:space="preserve"> \* MERGEFORMAT </w:instrText>
      </w:r>
      <w:r w:rsidRPr="00421E0D">
        <w:fldChar w:fldCharType="separate"/>
      </w:r>
      <w:r w:rsidR="00102828">
        <w:t>1.4</w:t>
      </w:r>
      <w:r w:rsidRPr="00421E0D">
        <w:fldChar w:fldCharType="end"/>
      </w:r>
      <w:r w:rsidRPr="00421E0D">
        <w:t>.</w:t>
      </w:r>
      <w:r w:rsidRPr="00E24BD1">
        <w:rPr>
          <w:sz w:val="18"/>
        </w:rPr>
        <w:t xml:space="preserve"> </w:t>
      </w:r>
      <w:r>
        <w:t xml:space="preserve"> </w:t>
      </w:r>
    </w:p>
  </w:footnote>
  <w:footnote w:id="7">
    <w:p w14:paraId="0150D5D5" w14:textId="77777777" w:rsidR="005742AA" w:rsidRDefault="005742AA" w:rsidP="005742AA">
      <w:pPr>
        <w:pStyle w:val="FootnoteText"/>
      </w:pPr>
      <w:r w:rsidRPr="0065397A">
        <w:rPr>
          <w:rStyle w:val="FootnoteReference"/>
          <w:szCs w:val="22"/>
        </w:rPr>
        <w:footnoteRef/>
      </w:r>
      <w:r w:rsidRPr="002A5DBE">
        <w:rPr>
          <w:sz w:val="18"/>
        </w:rPr>
        <w:t xml:space="preserve"> Molecules of water, nutrients, and the biological matter transported downstream often move slower than the wave front that is recorded as the change in flow discharge (Chow </w:t>
      </w:r>
      <w:r w:rsidRPr="00E24BD1">
        <w:rPr>
          <w:i/>
          <w:sz w:val="18"/>
        </w:rPr>
        <w:t>et al.</w:t>
      </w:r>
      <w:r w:rsidRPr="002A5DBE">
        <w:rPr>
          <w:sz w:val="18"/>
        </w:rPr>
        <w:t xml:space="preserve"> 1988). To account for this, the </w:t>
      </w:r>
      <w:r>
        <w:rPr>
          <w:sz w:val="18"/>
        </w:rPr>
        <w:t>Murray–Darling Basin Authority (</w:t>
      </w:r>
      <w:r w:rsidRPr="002A5DBE">
        <w:rPr>
          <w:sz w:val="18"/>
        </w:rPr>
        <w:t>MDBA</w:t>
      </w:r>
      <w:r>
        <w:rPr>
          <w:sz w:val="18"/>
        </w:rPr>
        <w:t>)</w:t>
      </w:r>
      <w:r w:rsidRPr="002A5DBE">
        <w:rPr>
          <w:sz w:val="18"/>
        </w:rPr>
        <w:t xml:space="preserve"> has used Bigmod salinity routines as a proxy for transport of biological matter, to estimate the proportion of the flow at the South Australian border that originated at different upstream tributaries. While acknowledging potential difference in travel time between salt and other matter, this approach is preferred over estimating travel times based on observed changes in flow along the main channel.</w:t>
      </w:r>
    </w:p>
  </w:footnote>
  <w:footnote w:id="8">
    <w:p w14:paraId="3FF5D831" w14:textId="77777777" w:rsidR="00C002ED" w:rsidRDefault="00C002ED" w:rsidP="00C002ED">
      <w:pPr>
        <w:pStyle w:val="FootnoteText"/>
      </w:pPr>
      <w:r>
        <w:rPr>
          <w:rStyle w:val="FootnoteReference"/>
        </w:rPr>
        <w:footnoteRef/>
      </w:r>
      <w:r>
        <w:t xml:space="preserve"> </w:t>
      </w:r>
      <w:r w:rsidRPr="00A00A6E">
        <w:t>‘Floodplain associated’ microinvertebrates are those that are thought to benefit from floodplain environments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44F5F" w14:textId="55F3B1B8" w:rsidR="00562E5A" w:rsidRDefault="00AE0EE7">
    <w:pPr>
      <w:pStyle w:val="Header"/>
    </w:pPr>
    <w:r>
      <w:rPr>
        <w:noProof/>
      </w:rPr>
      <mc:AlternateContent>
        <mc:Choice Requires="wps">
          <w:drawing>
            <wp:anchor distT="0" distB="0" distL="0" distR="0" simplePos="0" relativeHeight="251658257" behindDoc="0" locked="0" layoutInCell="1" allowOverlap="1" wp14:anchorId="743FF223" wp14:editId="1591F367">
              <wp:simplePos x="635" y="635"/>
              <wp:positionH relativeFrom="page">
                <wp:align>center</wp:align>
              </wp:positionH>
              <wp:positionV relativeFrom="page">
                <wp:align>top</wp:align>
              </wp:positionV>
              <wp:extent cx="551815" cy="480695"/>
              <wp:effectExtent l="0" t="0" r="635" b="14605"/>
              <wp:wrapNone/>
              <wp:docPr id="182648685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2DF25E7F" w14:textId="461FF578"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3FF223" id="_x0000_t202" coordsize="21600,21600" o:spt="202" path="m,l,21600r21600,l21600,xe">
              <v:stroke joinstyle="miter"/>
              <v:path gradientshapeok="t" o:connecttype="rect"/>
            </v:shapetype>
            <v:shape id="_x0000_s1030" type="#_x0000_t202" alt="OFFICIAL" style="position:absolute;left:0;text-align:left;margin-left:0;margin-top:0;width:43.45pt;height:37.85pt;z-index:25165825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cCQIAABUEAAAOAAAAZHJzL2Uyb0RvYy54bWysU8Fu2zAMvQ/YPwi6L7aLpUiNOEXWIsOA&#10;oC2QDj0rshQbkERBUmJnXz9KtpOt22nYRaZI+pF8fFre91qRk3C+BVPRYpZTIgyHujWHin5/3Xxa&#10;UOIDMzVTYERFz8LT+9XHD8vOluIGGlC1cARBjC87W9EmBFtmmeeN0MzPwAqDQQlOs4BXd8hqxzpE&#10;1yq7yfPbrANXWwdceI/exyFIVwlfSsHDs5ReBKIqir2FdLp07uOZrZasPDhmm5aPbbB/6EKz1mDR&#10;C9QjC4wcXfsHlG65Aw8yzDjoDKRsuUgz4DRF/m6aXcOsSLMgOd5eaPL/D5Y/nXb2xZHQf4EeFxgJ&#10;6awvPTrjPL10On6xU4JxpPB8oU30gXB0zufFophTwjH0eZHf3s0jSnb92TofvgrQJBoVdbiVRBY7&#10;bX0YUqeUWMvAplUqbUaZ3xyIGT3ZtcNohX7fj23voT7jNA6GRXvLNy3W3DIfXpjDzeIAqNbwjIdU&#10;0FUURouSBtyPv/ljPhKOUUo6VEpFDUqZEvXN4CKiqJJR3OXzHG9ucu8nwxz1A6D+CnwKlicz5gU1&#10;mdKBfkMdr2MhDDHDsVxFw2Q+hEGy+A64WK9TEurHsrA1O8sjdOQpkvjavzFnR6YDrugJJhmx8h3h&#10;Q27809v1MSDtaRuR04HIkWrUXtrn+E6iuH+9p6zra179BAAA//8DAFBLAwQUAAYACAAAACEAt7iH&#10;qdoAAAADAQAADwAAAGRycy9kb3ducmV2LnhtbEyPQU/CQBCF7yb+h82YeJNtTQpYOyXEhAM3RPS8&#10;dIe22J1tugNUfr2rF71M8vJe3vumWIyuU2caQusZIZ0koIgrb1uuEXZvq4c5qCCGrek8E8IXBViU&#10;tzeFya2/8Cudt1KrWMIhNwiNSJ9rHaqGnAkT3xNH7+AHZyTKodZ2MJdY7jr9mCRT7UzLcaExPb00&#10;VH1uTw6hzZZeUnpfr44fLvXpdbPOrhvE+7tx+QxKaJS/MPzgR3QoI9Pen9gG1SHER+T3Rm8+fQK1&#10;R5hlM9Blof+zl98AAAD//wMAUEsBAi0AFAAGAAgAAAAhALaDOJL+AAAA4QEAABMAAAAAAAAAAAAA&#10;AAAAAAAAAFtDb250ZW50X1R5cGVzXS54bWxQSwECLQAUAAYACAAAACEAOP0h/9YAAACUAQAACwAA&#10;AAAAAAAAAAAAAAAvAQAAX3JlbHMvLnJlbHNQSwECLQAUAAYACAAAACEAvxU/HAkCAAAVBAAADgAA&#10;AAAAAAAAAAAAAAAuAgAAZHJzL2Uyb0RvYy54bWxQSwECLQAUAAYACAAAACEAt7iHqdoAAAADAQAA&#10;DwAAAAAAAAAAAAAAAABjBAAAZHJzL2Rvd25yZXYueG1sUEsFBgAAAAAEAAQA8wAAAGoFAAAAAA==&#10;" filled="f" stroked="f">
              <v:textbox style="mso-fit-shape-to-text:t" inset="0,15pt,0,0">
                <w:txbxContent>
                  <w:p w14:paraId="2DF25E7F" w14:textId="461FF578"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D16569">
      <w:rPr>
        <w:noProof/>
      </w:rPr>
      <mc:AlternateContent>
        <mc:Choice Requires="wps">
          <w:drawing>
            <wp:anchor distT="0" distB="0" distL="0" distR="0" simplePos="0" relativeHeight="251658240" behindDoc="0" locked="0" layoutInCell="1" allowOverlap="1" wp14:anchorId="3D6D0FDF" wp14:editId="7FAB1868">
              <wp:simplePos x="0" y="0"/>
              <wp:positionH relativeFrom="page">
                <wp:align>center</wp:align>
              </wp:positionH>
              <wp:positionV relativeFrom="page">
                <wp:align>top</wp:align>
              </wp:positionV>
              <wp:extent cx="443865" cy="443865"/>
              <wp:effectExtent l="0" t="0" r="0" b="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317BC93D" w14:textId="74E3ECE4" w:rsidR="00562E5A" w:rsidRPr="00562E5A" w:rsidRDefault="00562E5A"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D6D0FDF" id="Text Box 90" o:spid="_x0000_s1031" type="#_x0000_t202" style="position:absolute;left:0;text-align:left;margin-left:0;margin-top:0;width:34.95pt;height:34.95pt;z-index:2516582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aX4FgIAADUEAAAOAAAAZHJzL2Uyb0RvYy54bWysU8Fu2zAMvQ/YPwi6L3a6tuiMOEXWIsOA&#10;oC2QDj0rshQbk0VBVGJ3Xz9KtpOt22nYRaZJiuR7fFrc9q1hR+WxAVvy+SznTFkJVWP3Jf/2vP5w&#10;wxkGYSthwKqSvyrkt8v37xadK9QF1GAq5RkVsVh0ruR1CK7IMpS1agXOwClLQQ2+FYF+/T6rvOio&#10;emuyizy/zjrwlfMgFSJ574cgX6b6WisZHrVGFZgpOc0W0unTuYtntlyIYu+Fqxs5jiH+YYpWNJaa&#10;nkrdiyDYwTd/lGob6QFBh5mENgOtG6kSBkIzz9+g2dbCqYSFyEF3ogn/X1n5cNy6J89C/xl6WmAC&#10;gW4D8jsSN1nnsBhzIqdYIGVHoL32bfwSBEYXidvXE5+qD0yS8/Ly4831FWeSQqMda54vO4/hi4KW&#10;RaPkntaVBhDHDYYhdUqJvSysG2PSyoz9zUE1oyeNO0wYZw39rmdNFWHRpejZQfVKaD0MQkAn1w21&#10;3ggMT8LT5gkHqTk80qENdCWH0eKsBv/jb/6YTwuhKGcdKanklqTOmflqaVFRdMmYf8qvcvrzk3s3&#10;GfbQ3gHpc05PxclkxrxgJlN7aF9I56vYiELCSmpX8jCZd2GQNL0TqVarlET6ciJs7NbJaa+Ry+f+&#10;RXg3Eh5oUw8wyUwUb3gfciPR6FaHQOynpZyJHBknbaa1ju8oiv/X/5R1fu3LnwAAAP//AwBQSwME&#10;FAAGAAgAAAAhANQeDUfYAAAAAwEAAA8AAABkcnMvZG93bnJldi54bWxMj81uwkAMhO9IvMPKlXqD&#10;TSqBSpoNQkgcuFH6czZZk4Rm7Si7QMrTd9se2otH1lgzn/Pl4Fp1od43wgbSaQKKuBTbcGXg9WUz&#10;eQTlA7LFVpgMfJKHZTEe5ZhZufIzXfahUjGEfYYG6hC6TGtf1uTQT6Ujjt5Reochrn2lbY/XGO5a&#10;/ZAkc+2w4dhQY0frmsqP/dkZaGYrCSm9bTend5dKetttZ7edMfd3w+oJVKAh/B3DN35EhyIyHeTM&#10;1qvWQHwk/MzozRcLUIdf1UWu/7MXXwAAAP//AwBQSwECLQAUAAYACAAAACEAtoM4kv4AAADhAQAA&#10;EwAAAAAAAAAAAAAAAAAAAAAAW0NvbnRlbnRfVHlwZXNdLnhtbFBLAQItABQABgAIAAAAIQA4/SH/&#10;1gAAAJQBAAALAAAAAAAAAAAAAAAAAC8BAABfcmVscy8ucmVsc1BLAQItABQABgAIAAAAIQB7RaX4&#10;FgIAADUEAAAOAAAAAAAAAAAAAAAAAC4CAABkcnMvZTJvRG9jLnhtbFBLAQItABQABgAIAAAAIQDU&#10;Hg1H2AAAAAMBAAAPAAAAAAAAAAAAAAAAAHAEAABkcnMvZG93bnJldi54bWxQSwUGAAAAAAQABADz&#10;AAAAdQUAAAAA&#10;" filled="f" stroked="f">
              <v:textbox style="mso-fit-shape-to-text:t" inset="0,15pt,0,0">
                <w:txbxContent>
                  <w:p w14:paraId="317BC93D" w14:textId="74E3ECE4" w:rsidR="00562E5A" w:rsidRPr="00562E5A" w:rsidRDefault="00562E5A"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032C3" w14:textId="5F8F71C6" w:rsidR="00F142E5" w:rsidRDefault="00F142E5">
    <w:pPr>
      <w:pStyle w:val="Header"/>
    </w:pPr>
  </w:p>
  <w:sdt>
    <w:sdtPr>
      <w:id w:val="1961914012"/>
      <w:docPartObj>
        <w:docPartGallery w:val="Watermarks"/>
        <w:docPartUnique/>
      </w:docPartObj>
    </w:sdtPr>
    <w:sdtContent>
      <w:p w14:paraId="2EB5AACF" w14:textId="30206220" w:rsidR="00F142E5" w:rsidRDefault="00000000">
        <w:pPr>
          <w:pStyle w:val="Header"/>
        </w:pPr>
        <w:r>
          <w:rPr>
            <w:noProof/>
          </w:rPr>
          <w:pict w14:anchorId="3AAD17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alt="" style="position:absolute;left:0;text-align:left;margin-left:0;margin-top:0;width:412.4pt;height:247.45pt;rotation:315;z-index:-2516582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50F0A" w14:textId="3D6B32C6" w:rsidR="00A340A8" w:rsidRDefault="00A340A8">
    <w:pPr>
      <w:pStyle w:val="Header"/>
    </w:pPr>
    <w:r w:rsidRPr="00F55587">
      <w:rPr>
        <w:rFonts w:eastAsiaTheme="majorEastAsia" w:cstheme="majorBidi"/>
        <w:b/>
        <w:iCs/>
        <w:noProof/>
        <w:color w:val="2E74B5" w:themeColor="accent1" w:themeShade="BF"/>
        <w:spacing w:val="15"/>
        <w:sz w:val="32"/>
        <w:szCs w:val="32"/>
      </w:rPr>
      <w:drawing>
        <wp:inline distT="0" distB="0" distL="0" distR="0" wp14:anchorId="5487A31B" wp14:editId="44B18BBD">
          <wp:extent cx="5727700" cy="848995"/>
          <wp:effectExtent l="0" t="0" r="6350" b="8255"/>
          <wp:docPr id="779715926" name="Picture 7797159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a:blip r:embed="rId1"/>
                  <a:stretch>
                    <a:fillRect/>
                  </a:stretch>
                </pic:blipFill>
                <pic:spPr>
                  <a:xfrm>
                    <a:off x="0" y="0"/>
                    <a:ext cx="5727700" cy="84899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7CF8" w14:textId="6FD289DF" w:rsidR="00562E5A" w:rsidRDefault="00AE0EE7">
    <w:pPr>
      <w:pStyle w:val="Header"/>
    </w:pPr>
    <w:r>
      <w:rPr>
        <w:noProof/>
      </w:rPr>
      <mc:AlternateContent>
        <mc:Choice Requires="wps">
          <w:drawing>
            <wp:anchor distT="0" distB="0" distL="0" distR="0" simplePos="0" relativeHeight="251658259" behindDoc="0" locked="0" layoutInCell="1" allowOverlap="1" wp14:anchorId="36EB7ABB" wp14:editId="3B767C3E">
              <wp:simplePos x="635" y="635"/>
              <wp:positionH relativeFrom="page">
                <wp:align>center</wp:align>
              </wp:positionH>
              <wp:positionV relativeFrom="page">
                <wp:align>top</wp:align>
              </wp:positionV>
              <wp:extent cx="551815" cy="480695"/>
              <wp:effectExtent l="0" t="0" r="635" b="14605"/>
              <wp:wrapNone/>
              <wp:docPr id="165604120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043E16B5" w14:textId="5CF9C29F"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EB7ABB" id="_x0000_t202" coordsize="21600,21600" o:spt="202" path="m,l,21600r21600,l21600,xe">
              <v:stroke joinstyle="miter"/>
              <v:path gradientshapeok="t" o:connecttype="rect"/>
            </v:shapetype>
            <v:shape id="Text Box 5" o:spid="_x0000_s1034" type="#_x0000_t202" alt="OFFICIAL" style="position:absolute;left:0;text-align:left;margin-left:0;margin-top:0;width:43.45pt;height:37.85pt;z-index:25165825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JKHDQIAABwEAAAOAAAAZHJzL2Uyb0RvYy54bWysU8Fu2zAMvQ/YPwi6L7aLuUiNOEXWIsOA&#10;oC2QDj0rshQbkERBUmJnXz9KjpOt22nYRaZI+pF8fFrcD1qRo3C+A1PTYpZTIgyHpjP7mn5/XX+a&#10;U+IDMw1TYERNT8LT++XHD4veVuIGWlCNcARBjK96W9M2BFtlmeet0MzPwAqDQQlOs4BXt88ax3pE&#10;1yq7yfPbrAfXWAdceI/exzFIlwlfSsHDs5ReBKJqir2FdLp07uKZLRes2jtm246f22D/0IVmncGi&#10;F6hHFhg5uO4PKN1xBx5kmHHQGUjZcZFmwGmK/N0025ZZkWZBcry90OT/Hyx/Om7tiyNh+AIDLjAS&#10;0ltfeXTGeQbpdPxipwTjSOHpQpsYAuHoLMtiXpSUcAx9nue3d2VEya4/W+fDVwGaRKOmDreSyGLH&#10;jQ9j6pQSaxlYd0qlzSjzmwMxoye7dhitMOwG0jVYfOp+B80Jh3Iw7ttbvu6w9Ib58MIcLhjnQNGG&#10;Zzykgr6mcLYoacH9+Js/5iPvGKWkR8HU1KCiKVHfDO4jaisZxV1e5nhzk3s3GeagHwBlWOCLsDyZ&#10;MS+oyZQO9BvKeRULYYgZjuVqGibzIYzKxefAxWqVklBGloWN2VoeoSNdkcvX4Y05eyY84KaeYFIT&#10;q97xPubGP71dHQKyn5YSqR2JPDOOEkxrPT+XqPFf7ynr+qiXPwEAAP//AwBQSwMEFAAGAAgAAAAh&#10;ALe4h6naAAAAAwEAAA8AAABkcnMvZG93bnJldi54bWxMj0FPwkAQhe8m/ofNmHiTbU0KWDslxIQD&#10;N0T0vHSHttidbboDVH69qxe9TPLyXt77pliMrlNnGkLrGSGdJKCIK29brhF2b6uHOagghq3pPBPC&#10;FwVYlLc3hcmtv/ArnbdSq1jCITcIjUifax2qhpwJE98TR+/gB2ckyqHWdjCXWO46/ZgkU+1My3Gh&#10;MT29NFR9bk8Ooc2WXlJ6X6+OHy716XWzzq4bxPu7cfkMSmiUvzD84Ed0KCPT3p/YBtUhxEfk90Zv&#10;Pn0CtUeYZTPQZaH/s5ffAAAA//8DAFBLAQItABQABgAIAAAAIQC2gziS/gAAAOEBAAATAAAAAAAA&#10;AAAAAAAAAAAAAABbQ29udGVudF9UeXBlc10ueG1sUEsBAi0AFAAGAAgAAAAhADj9If/WAAAAlAEA&#10;AAsAAAAAAAAAAAAAAAAALwEAAF9yZWxzLy5yZWxzUEsBAi0AFAAGAAgAAAAhACJokocNAgAAHAQA&#10;AA4AAAAAAAAAAAAAAAAALgIAAGRycy9lMm9Eb2MueG1sUEsBAi0AFAAGAAgAAAAhALe4h6naAAAA&#10;AwEAAA8AAAAAAAAAAAAAAAAAZwQAAGRycy9kb3ducmV2LnhtbFBLBQYAAAAABAAEAPMAAABuBQAA&#10;AAA=&#10;" filled="f" stroked="f">
              <v:textbox style="mso-fit-shape-to-text:t" inset="0,15pt,0,0">
                <w:txbxContent>
                  <w:p w14:paraId="043E16B5" w14:textId="5CF9C29F"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D16569">
      <w:rPr>
        <w:noProof/>
      </w:rPr>
      <mc:AlternateContent>
        <mc:Choice Requires="wps">
          <w:drawing>
            <wp:anchor distT="0" distB="0" distL="0" distR="0" simplePos="0" relativeHeight="251658242" behindDoc="0" locked="0" layoutInCell="1" allowOverlap="1" wp14:anchorId="55BD5F39" wp14:editId="53EE24F0">
              <wp:simplePos x="0" y="0"/>
              <wp:positionH relativeFrom="page">
                <wp:align>center</wp:align>
              </wp:positionH>
              <wp:positionV relativeFrom="page">
                <wp:align>top</wp:align>
              </wp:positionV>
              <wp:extent cx="443865" cy="443865"/>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2F352109" w14:textId="24411510" w:rsidR="00562E5A" w:rsidRPr="00562E5A" w:rsidRDefault="00562E5A"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5BD5F39" id="Text Box 61" o:spid="_x0000_s1035" type="#_x0000_t202" style="position:absolute;left:0;text-align:left;margin-left:0;margin-top:0;width:34.95pt;height:34.95pt;z-index:25165824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G8OFwIAADUEAAAOAAAAZHJzL2Uyb0RvYy54bWysU01v2zAMvQ/YfxB0X+x0TdEZcYqsRYYB&#10;QVsgHXpWZCk2JouCqMTOfv0oxU62bqdhF5kiaX689zS/61vDDspjA7bk00nOmbISqsbuSv7tZfXh&#10;ljMMwlbCgFUlPyrkd4v37+adK9QV1GAq5RkVsVh0ruR1CK7IMpS1agVOwClLQQ2+FYGufpdVXnRU&#10;vTXZVZ7fZB34ynmQCpG8D6cgX6T6WisZnrRGFZgpOc0W0unTuY1ntpiLYueFqxs5jCH+YYpWNJaa&#10;nks9iCDY3jd/lGob6QFBh4mENgOtG6nSDrTNNH+zzaYWTqVdCBx0Z5jw/5WVj4eNe/Ys9J+hJwLT&#10;EujWIL8jYZN1DoshJ2KKBVJ2XLTXvo1fWoHRj4Tt8Yyn6gOT5Ly+/nh7M+NMUmiwY83Lz85j+KKg&#10;ZdEouSe60gDisMZwSh1TYi8Lq8aYRJmxvzmoZvSkcU8TxllDv+1ZU5V8FnmOni1UR9rWw0kI6OSq&#10;odZrgeFZeGKe9iA1hyc6tIGu5DBYnNXgf/zNH/OJEIpy1pGSSm5J6pyZr5aIiqJLxvRTPsvp5kf3&#10;djTsvr0H0ueUnoqTyYx5wYym9tC+ks6XsRGFhJXUruRhNO/DSdL0TqRaLlMS6cuJsLYbJ0deI5Yv&#10;/avwbgA8EFOPMMpMFG9wP+VGoNEt94HQT6RcgBwQJ20mWod3FMX/6z1lXV774icAAAD//wMAUEsD&#10;BBQABgAIAAAAIQDUHg1H2AAAAAMBAAAPAAAAZHJzL2Rvd25yZXYueG1sTI/NbsJADITvSLzDypV6&#10;g00qgUqaDUJIHLhR+nM2WZOEZu0ou0DK03fbHtqLR9ZYM5/z5eBadaHeN8IG0mkCirgU23Bl4PVl&#10;M3kE5QOyxVaYDHySh2UxHuWYWbnyM132oVIxhH2GBuoQukxrX9bk0E+lI47eUXqHIa59pW2P1xju&#10;Wv2QJHPtsOHYUGNH65rKj/3ZGWhmKwkpvW03p3eXSnrbbWe3nTH3d8PqCVSgIfwdwzd+RIciMh3k&#10;zNar1kB8JPzM6M0XC1CHX9VFrv+zF18AAAD//wMAUEsBAi0AFAAGAAgAAAAhALaDOJL+AAAA4QEA&#10;ABMAAAAAAAAAAAAAAAAAAAAAAFtDb250ZW50X1R5cGVzXS54bWxQSwECLQAUAAYACAAAACEAOP0h&#10;/9YAAACUAQAACwAAAAAAAAAAAAAAAAAvAQAAX3JlbHMvLnJlbHNQSwECLQAUAAYACAAAACEAz7hv&#10;DhcCAAA1BAAADgAAAAAAAAAAAAAAAAAuAgAAZHJzL2Uyb0RvYy54bWxQSwECLQAUAAYACAAAACEA&#10;1B4NR9gAAAADAQAADwAAAAAAAAAAAAAAAABxBAAAZHJzL2Rvd25yZXYueG1sUEsFBgAAAAAEAAQA&#10;8wAAAHYFAAAAAA==&#10;" filled="f" stroked="f">
              <v:textbox style="mso-fit-shape-to-text:t" inset="0,15pt,0,0">
                <w:txbxContent>
                  <w:p w14:paraId="2F352109" w14:textId="24411510" w:rsidR="00562E5A" w:rsidRPr="00562E5A" w:rsidRDefault="00562E5A"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D9917" w14:textId="079DD346" w:rsidR="00562E5A" w:rsidRDefault="00562E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15E8" w14:textId="00F5C6A6" w:rsidR="00562E5A" w:rsidRDefault="00AE0EE7">
    <w:pPr>
      <w:pStyle w:val="Header"/>
    </w:pPr>
    <w:r>
      <w:rPr>
        <w:noProof/>
      </w:rPr>
      <mc:AlternateContent>
        <mc:Choice Requires="wps">
          <w:drawing>
            <wp:anchor distT="0" distB="0" distL="0" distR="0" simplePos="0" relativeHeight="251658258" behindDoc="0" locked="0" layoutInCell="1" allowOverlap="1" wp14:anchorId="3AB7109B" wp14:editId="40BD2A1E">
              <wp:simplePos x="635" y="635"/>
              <wp:positionH relativeFrom="page">
                <wp:align>center</wp:align>
              </wp:positionH>
              <wp:positionV relativeFrom="page">
                <wp:align>top</wp:align>
              </wp:positionV>
              <wp:extent cx="551815" cy="480695"/>
              <wp:effectExtent l="0" t="0" r="635" b="14605"/>
              <wp:wrapNone/>
              <wp:docPr id="64977697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7FB1DA01" w14:textId="65054BE7"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B7109B" id="_x0000_t202" coordsize="21600,21600" o:spt="202" path="m,l,21600r21600,l21600,xe">
              <v:stroke joinstyle="miter"/>
              <v:path gradientshapeok="t" o:connecttype="rect"/>
            </v:shapetype>
            <v:shape id="Text Box 4" o:spid="_x0000_s1038" type="#_x0000_t202" alt="OFFICIAL" style="position:absolute;left:0;text-align:left;margin-left:0;margin-top:0;width:43.45pt;height:37.85pt;z-index:25165825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xHDgIAABwEAAAOAAAAZHJzL2Uyb0RvYy54bWysU8Fu2zAMvQ/YPwi6L7aLuUiNOEXWIsOA&#10;oC2QDj0rshQbkERBUmJnXz9KjpOt22nYRaZI+pF8fFrcD1qRo3C+A1PTYpZTIgyHpjP7mn5/XX+a&#10;U+IDMw1TYERNT8LT++XHD4veVuIGWlCNcARBjK96W9M2BFtlmeet0MzPwAqDQQlOs4BXt88ax3pE&#10;1yq7yfPbrAfXWAdceI/exzFIlwlfSsHDs5ReBKJqir2FdLp07uKZLRes2jtm246f22D/0IVmncGi&#10;F6hHFhg5uO4PKN1xBx5kmHHQGUjZcZFmwGmK/N0025ZZkWZBcry90OT/Hyx/Om7tiyNh+AIDLjAS&#10;0ltfeXTGeQbpdPxipwTjSOHpQpsYAuHoLMtiXpSUcAx9nue3d2VEya4/W+fDVwGaRKOmDreSyGLH&#10;jQ9j6pQSaxlYd0qlzSjzmwMxoye7dhitMOwG0jU1nU/d76A54VAOxn17y9cdlt4wH16YwwXjHCja&#10;8IyHVNDXFM4WJS24H3/zx3zkHaOU9CiYmhpUNCXqm8F9RG0lo7jLyxxvbnLvJsMc9AOgDAt8EZYn&#10;M+YFNZnSgX5DOa9iIQwxw7FcTcNkPoRRufgcuFitUhLKyLKwMVvLI3SkK3L5OrwxZ8+EB9zUE0xq&#10;YtU73sfc+Ke3q0NA9tNSIrUjkWfGUYJprefnEjX+6z1lXR/18icAAAD//wMAUEsDBBQABgAIAAAA&#10;IQC3uIep2gAAAAMBAAAPAAAAZHJzL2Rvd25yZXYueG1sTI9BT8JAEIXvJv6HzZh4k21NClg7JcSE&#10;AzdE9Lx0h7bYnW26A1R+vasXvUzy8l7e+6ZYjK5TZxpC6xkhnSSgiCtvW64Rdm+rhzmoIIat6TwT&#10;whcFWJS3N4XJrb/wK523UqtYwiE3CI1In2sdqoacCRPfE0fv4AdnJMqh1nYwl1juOv2YJFPtTMtx&#10;oTE9vTRUfW5PDqHNll5Sel+vjh8u9el1s86uG8T7u3H5DEpolL8w/OBHdCgj096f2AbVIcRH5PdG&#10;bz59ArVHmGUz0GWh/7OX3wAAAP//AwBQSwECLQAUAAYACAAAACEAtoM4kv4AAADhAQAAEwAAAAAA&#10;AAAAAAAAAAAAAAAAW0NvbnRlbnRfVHlwZXNdLnhtbFBLAQItABQABgAIAAAAIQA4/SH/1gAAAJQB&#10;AAALAAAAAAAAAAAAAAAAAC8BAABfcmVscy8ucmVsc1BLAQItABQABgAIAAAAIQC/aLxHDgIAABwE&#10;AAAOAAAAAAAAAAAAAAAAAC4CAABkcnMvZTJvRG9jLnhtbFBLAQItABQABgAIAAAAIQC3uIep2gAA&#10;AAMBAAAPAAAAAAAAAAAAAAAAAGgEAABkcnMvZG93bnJldi54bWxQSwUGAAAAAAQABADzAAAAbwUA&#10;AAAA&#10;" filled="f" stroked="f">
              <v:textbox style="mso-fit-shape-to-text:t" inset="0,15pt,0,0">
                <w:txbxContent>
                  <w:p w14:paraId="7FB1DA01" w14:textId="65054BE7"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D16569">
      <w:rPr>
        <w:noProof/>
      </w:rPr>
      <mc:AlternateContent>
        <mc:Choice Requires="wps">
          <w:drawing>
            <wp:anchor distT="0" distB="0" distL="0" distR="0" simplePos="0" relativeHeight="251658241" behindDoc="0" locked="0" layoutInCell="1" allowOverlap="1" wp14:anchorId="6F8A375B" wp14:editId="3FCF612E">
              <wp:simplePos x="0" y="0"/>
              <wp:positionH relativeFrom="page">
                <wp:align>center</wp:align>
              </wp:positionH>
              <wp:positionV relativeFrom="page">
                <wp:align>top</wp:align>
              </wp:positionV>
              <wp:extent cx="443865" cy="443865"/>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0DE1BEDA" w14:textId="28636C8B" w:rsidR="00562E5A" w:rsidRPr="00562E5A" w:rsidRDefault="00562E5A"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F8A375B" id="Text Box 41" o:spid="_x0000_s1039" type="#_x0000_t202" style="position:absolute;left:0;text-align:left;margin-left:0;margin-top:0;width:34.95pt;height:34.95pt;z-index:251658241;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EHOFwIAADUEAAAOAAAAZHJzL2Uyb0RvYy54bWysU01v2zAMvQ/YfxB0X+x0bdEacYqsRYYB&#10;QVsgHXpWZCk2ZomCxMTOfv0oxU66bqdhF5kiaX689zS7603L9sqHBmzJp5OcM2UlVI3dlvz7y/LT&#10;DWcBha1EC1aV/KACv5t//DDrXKEuoIa2Up5RERuKzpW8RnRFlgVZKyPCBJyyFNTgjUC6+m1WedFR&#10;ddNmF3l+nXXgK+dBqhDI+3AM8nmqr7WS+KR1UMjaktNsmE6fzk08s/lMFFsvXN3IYQzxD1MY0Vhq&#10;eir1IFCwnW/+KGUa6SGAxokEk4HWjVRpB9pmmr/bZl0Lp9IuBE5wJ5jC/ysrH/dr9+wZ9l+gJwLT&#10;EsGtQP4IhE3WuVAMORHTUATKjov22pv4pRUY/UjYHk54qh6ZJOfl5eeb6yvOJIUGO9Y8/+x8wK8K&#10;DItGyT3RlQYQ+1XAY+qYEntZWDZtmyhr7W8Oqhk9adzjhHFW7Dc9a6qS30aeo2cD1YG29XAUQnBy&#10;2VDrlQj4LDwxT3uQmvGJDt1CV3IYLM5q8D//5o/5RAhFOetISSW3JHXO2m+WiIqiS8b0Nr/K6eZH&#10;92Y07M7cA+lzSk/FyWTGPGxHU3swr6TzRWxEIWEltSs5juY9HiVN70SqxSIlkb6cwJVdOznyGrF8&#10;6V+FdwPgSEw9wigzUbzD/ZgbgQ5usUNCP5FyBnJAnLSZaB3eURT/23vKOr/2+S8AAAD//wMAUEsD&#10;BBQABgAIAAAAIQDUHg1H2AAAAAMBAAAPAAAAZHJzL2Rvd25yZXYueG1sTI/NbsJADITvSLzDypV6&#10;g00qgUqaDUJIHLhR+nM2WZOEZu0ou0DK03fbHtqLR9ZYM5/z5eBadaHeN8IG0mkCirgU23Bl4PVl&#10;M3kE5QOyxVaYDHySh2UxHuWYWbnyM132oVIxhH2GBuoQukxrX9bk0E+lI47eUXqHIa59pW2P1xju&#10;Wv2QJHPtsOHYUGNH65rKj/3ZGWhmKwkpvW03p3eXSnrbbWe3nTH3d8PqCVSgIfwdwzd+RIciMh3k&#10;zNar1kB8JPzM6M0XC1CHX9VFrv+zF18AAAD//wMAUEsBAi0AFAAGAAgAAAAhALaDOJL+AAAA4QEA&#10;ABMAAAAAAAAAAAAAAAAAAAAAAFtDb250ZW50X1R5cGVzXS54bWxQSwECLQAUAAYACAAAACEAOP0h&#10;/9YAAACUAQAACwAAAAAAAAAAAAAAAAAvAQAAX3JlbHMvLnJlbHNQSwECLQAUAAYACAAAACEAUrhB&#10;zhcCAAA1BAAADgAAAAAAAAAAAAAAAAAuAgAAZHJzL2Uyb0RvYy54bWxQSwECLQAUAAYACAAAACEA&#10;1B4NR9gAAAADAQAADwAAAAAAAAAAAAAAAABxBAAAZHJzL2Rvd25yZXYueG1sUEsFBgAAAAAEAAQA&#10;8wAAAHYFAAAAAA==&#10;" filled="f" stroked="f">
              <v:textbox style="mso-fit-shape-to-text:t" inset="0,15pt,0,0">
                <w:txbxContent>
                  <w:p w14:paraId="0DE1BEDA" w14:textId="28636C8B" w:rsidR="00562E5A" w:rsidRPr="00562E5A" w:rsidRDefault="00562E5A"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00B4" w14:textId="4DD9D2A3" w:rsidR="00C67593" w:rsidRDefault="00AE0EE7">
    <w:pPr>
      <w:pStyle w:val="Header"/>
    </w:pPr>
    <w:r>
      <w:rPr>
        <w:noProof/>
      </w:rPr>
      <mc:AlternateContent>
        <mc:Choice Requires="wps">
          <w:drawing>
            <wp:anchor distT="0" distB="0" distL="0" distR="0" simplePos="0" relativeHeight="251658261" behindDoc="0" locked="0" layoutInCell="1" allowOverlap="1" wp14:anchorId="5FFD70ED" wp14:editId="3E2D2745">
              <wp:simplePos x="635" y="635"/>
              <wp:positionH relativeFrom="page">
                <wp:align>center</wp:align>
              </wp:positionH>
              <wp:positionV relativeFrom="page">
                <wp:align>top</wp:align>
              </wp:positionV>
              <wp:extent cx="551815" cy="480695"/>
              <wp:effectExtent l="0" t="0" r="635" b="14605"/>
              <wp:wrapNone/>
              <wp:docPr id="56359871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74C89BA1" w14:textId="4F0772C3"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FD70ED" id="_x0000_t202" coordsize="21600,21600" o:spt="202" path="m,l,21600r21600,l21600,xe">
              <v:stroke joinstyle="miter"/>
              <v:path gradientshapeok="t" o:connecttype="rect"/>
            </v:shapetype>
            <v:shape id="Text Box 8" o:spid="_x0000_s1042" type="#_x0000_t202" alt="OFFICIAL" style="position:absolute;left:0;text-align:left;margin-left:0;margin-top:0;width:43.45pt;height:37.85pt;z-index:2516582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4RtDgIAAB0EAAAOAAAAZHJzL2Uyb0RvYy54bWysU8Fu2zAMvQ/YPwi6L7aDpUiNOEXaIsOA&#10;oC2QDj0rshQbkERBUmJnXz9KjpOt22noRaZI+pF8fFrc9VqRo3C+BVPRYpJTIgyHujX7iv54XX+Z&#10;U+IDMzVTYERFT8LTu+XnT4vOlmIKDahaOIIgxpedrWgTgi2zzPNGaOYnYIXBoASnWcCr22e1Yx2i&#10;a5VN8/wm68DV1gEX3qP3cQjSZcKXUvDwLKUXgaiKYm8hnS6du3hmywUr947ZpuXnNth/dKFZa7Do&#10;BeqRBUYOrv0LSrfcgQcZJhx0BlK2XKQZcJoifzfNtmFWpFmQHG8vNPmPg+VPx619cST099DjAiMh&#10;nfWlR2ecp5dOxy92SjCOFJ4utIk+EI7O2ayYFzNKOIa+zvOb21lEya4/W+fDNwGaRKOiDreSyGLH&#10;jQ9D6pgSaxlYt0qlzSjzhwMxoye7dhit0O960tbY/XRsfwf1CadyMCzcW75usfaG+fDCHG4YB0HV&#10;hmc8pIKuonC2KGnA/fyXP+Yj8RilpEPFVNSgpClR3w0uJIorGcVtPsvx5kb3bjTMQT8A6rDAJ2F5&#10;MmNeUKMpHeg31PMqFsIQMxzLVTSM5kMYpIvvgYvVKiWhjiwLG7O1PEJHviKZr/0bc/bMeMBVPcEo&#10;J1a+I37IjX96uzoEpD9tJXI7EHmmHDWY9np+L1Hkv99T1vVVL38BAAD//wMAUEsDBBQABgAIAAAA&#10;IQC3uIep2gAAAAMBAAAPAAAAZHJzL2Rvd25yZXYueG1sTI9BT8JAEIXvJv6HzZh4k21NClg7JcSE&#10;AzdE9Lx0h7bYnW26A1R+vasXvUzy8l7e+6ZYjK5TZxpC6xkhnSSgiCtvW64Rdm+rhzmoIIat6TwT&#10;whcFWJS3N4XJrb/wK523UqtYwiE3CI1In2sdqoacCRPfE0fv4AdnJMqh1nYwl1juOv2YJFPtTMtx&#10;oTE9vTRUfW5PDqHNll5Sel+vjh8u9el1s86uG8T7u3H5DEpolL8w/OBHdCgj096f2AbVIcRH5PdG&#10;bz59ArVHmGUz0GWh/7OX3wAAAP//AwBQSwECLQAUAAYACAAAACEAtoM4kv4AAADhAQAAEwAAAAAA&#10;AAAAAAAAAAAAAAAAW0NvbnRlbnRfVHlwZXNdLnhtbFBLAQItABQABgAIAAAAIQA4/SH/1gAAAJQB&#10;AAALAAAAAAAAAAAAAAAAAC8BAABfcmVscy8ucmVsc1BLAQItABQABgAIAAAAIQBN84RtDgIAAB0E&#10;AAAOAAAAAAAAAAAAAAAAAC4CAABkcnMvZTJvRG9jLnhtbFBLAQItABQABgAIAAAAIQC3uIep2gAA&#10;AAMBAAAPAAAAAAAAAAAAAAAAAGgEAABkcnMvZG93bnJldi54bWxQSwUGAAAAAAQABADzAAAAbwUA&#10;AAAA&#10;" filled="f" stroked="f">
              <v:textbox style="mso-fit-shape-to-text:t" inset="0,15pt,0,0">
                <w:txbxContent>
                  <w:p w14:paraId="74C89BA1" w14:textId="4F0772C3"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C67593">
      <w:rPr>
        <w:noProof/>
      </w:rPr>
      <mc:AlternateContent>
        <mc:Choice Requires="wps">
          <w:drawing>
            <wp:anchor distT="0" distB="0" distL="0" distR="0" simplePos="0" relativeHeight="251658247" behindDoc="0" locked="0" layoutInCell="1" allowOverlap="1" wp14:anchorId="58804025" wp14:editId="4B29AC19">
              <wp:simplePos x="0" y="0"/>
              <wp:positionH relativeFrom="page">
                <wp:align>center</wp:align>
              </wp:positionH>
              <wp:positionV relativeFrom="page">
                <wp:align>top</wp:align>
              </wp:positionV>
              <wp:extent cx="443865" cy="443865"/>
              <wp:effectExtent l="0" t="0" r="0" b="0"/>
              <wp:wrapNone/>
              <wp:docPr id="2030452039" name="Text Box 2030452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51128D74"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8804025" id="Text Box 2030452039" o:spid="_x0000_s1043" type="#_x0000_t202" style="position:absolute;left:0;text-align:left;margin-left:0;margin-top:0;width:34.95pt;height:34.95pt;z-index:251658247;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q9FwIAADYEAAAOAAAAZHJzL2Uyb0RvYy54bWysU01v2zAMvQ/YfxB0X+z0C60Rp8haZBgQ&#10;tAXSoWdFlhJjsiiISuzs14+S7WTrdhp2kSmS5sd7T7P7rjHsoDzWYEs+neScKSuhqu225N9el59u&#10;OcMgbCUMWFXyo0J+P//4Yda6Ql3ADkylPKMiFovWlXwXgiuyDOVONQIn4JSloAbfiEBXv80qL1qq&#10;3pjsIs9vshZ85TxIhUjexz7I56m+1kqGZ61RBWZKTrOFdPp0buKZzWei2HrhdrUcxhD/MEUjaktN&#10;T6UeRRBs7+s/SjW19ICgw0RCk4HWtVRpB9pmmr/bZr0TTqVdCBx0J5jw/5WVT4e1e/EsdJ+hIwLT&#10;EuhWIL8jYZO1DoshJ2KKBVJ2XLTTvolfWoHRj4Tt8YSn6gKT5Ly6ury9ueZMUmiwY83zz85j+KKg&#10;YdEouSe60gDisMLQp44psZeFZW1MoszY3xxUM3rSuP2EcdbQbTpWV7TWZSQ6ujZQHWldD70S0Mll&#10;Tb1XAsOL8EQ9LUJyDs90aANtyWGwONuB//E3f8wnRijKWUtSKrklrXNmvlpiKqouGdO7/Dqnmx/d&#10;m9Gw++YBSKBTeitOJjPmBTOa2kPzRkJfxEYUElZSu5KH0XwIvabpoUi1WKQkEpgTYWXXTo7ERjBf&#10;uzfh3YB4IKqeYNSZKN4B3+dGpNEt9oHgT6ycgRwgJ3EmXoeHFNX/6z1lnZ/7/CcAAAD//wMAUEsD&#10;BBQABgAIAAAAIQDUHg1H2AAAAAMBAAAPAAAAZHJzL2Rvd25yZXYueG1sTI/NbsJADITvSLzDypV6&#10;g00qgUqaDUJIHLhR+nM2WZOEZu0ou0DK03fbHtqLR9ZYM5/z5eBadaHeN8IG0mkCirgU23Bl4PVl&#10;M3kE5QOyxVaYDHySh2UxHuWYWbnyM132oVIxhH2GBuoQukxrX9bk0E+lI47eUXqHIa59pW2P1xju&#10;Wv2QJHPtsOHYUGNH65rKj/3ZGWhmKwkpvW03p3eXSnrbbWe3nTH3d8PqCVSgIfwdwzd+RIciMh3k&#10;zNar1kB8JPzM6M0XC1CHX9VFrv+zF18AAAD//wMAUEsBAi0AFAAGAAgAAAAhALaDOJL+AAAA4QEA&#10;ABMAAAAAAAAAAAAAAAAAAAAAAFtDb250ZW50X1R5cGVzXS54bWxQSwECLQAUAAYACAAAACEAOP0h&#10;/9YAAACUAQAACwAAAAAAAAAAAAAAAAAvAQAAX3JlbHMvLnJlbHNQSwECLQAUAAYACAAAACEAb4A6&#10;vRcCAAA2BAAADgAAAAAAAAAAAAAAAAAuAgAAZHJzL2Uyb0RvYy54bWxQSwECLQAUAAYACAAAACEA&#10;1B4NR9gAAAADAQAADwAAAAAAAAAAAAAAAABxBAAAZHJzL2Rvd25yZXYueG1sUEsFBgAAAAAEAAQA&#10;8wAAAHYFAAAAAA==&#10;" filled="f" stroked="f">
              <v:textbox style="mso-fit-shape-to-text:t" inset="0,15pt,0,0">
                <w:txbxContent>
                  <w:p w14:paraId="51128D74"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746AF" w14:textId="375FF643" w:rsidR="00C67593" w:rsidRDefault="00C6759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01296" w14:textId="7B00195C" w:rsidR="00C67593" w:rsidRDefault="00AE0EE7">
    <w:pPr>
      <w:pStyle w:val="Header"/>
    </w:pPr>
    <w:r>
      <w:rPr>
        <w:noProof/>
      </w:rPr>
      <mc:AlternateContent>
        <mc:Choice Requires="wps">
          <w:drawing>
            <wp:anchor distT="0" distB="0" distL="0" distR="0" simplePos="0" relativeHeight="251658260" behindDoc="0" locked="0" layoutInCell="1" allowOverlap="1" wp14:anchorId="63BF2256" wp14:editId="2478BD84">
              <wp:simplePos x="635" y="635"/>
              <wp:positionH relativeFrom="page">
                <wp:align>center</wp:align>
              </wp:positionH>
              <wp:positionV relativeFrom="page">
                <wp:align>top</wp:align>
              </wp:positionV>
              <wp:extent cx="551815" cy="480695"/>
              <wp:effectExtent l="0" t="0" r="635" b="14605"/>
              <wp:wrapNone/>
              <wp:docPr id="1822438489"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2D09128B" w14:textId="5019350A"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BF2256" id="_x0000_t202" coordsize="21600,21600" o:spt="202" path="m,l,21600r21600,l21600,xe">
              <v:stroke joinstyle="miter"/>
              <v:path gradientshapeok="t" o:connecttype="rect"/>
            </v:shapetype>
            <v:shape id="Text Box 7" o:spid="_x0000_s1046" type="#_x0000_t202" alt="OFFICIAL" style="position:absolute;left:0;text-align:left;margin-left:0;margin-top:0;width:43.45pt;height:37.85pt;z-index:2516582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6bDgIAAB0EAAAOAAAAZHJzL2Uyb0RvYy54bWysU8Fu2zAMvQ/YPwi6L7aLJUiNOEXaIsOA&#10;oC2QDj0rshQbkERBUmJnXz9KjpOt22noRaZI+pF8fFrc9VqRo3C+BVPRYpJTIgyHujX7iv54XX+Z&#10;U+IDMzVTYERFT8LTu+XnT4vOluIGGlC1cARBjC87W9EmBFtmmeeN0MxPwAqDQQlOs4BXt89qxzpE&#10;1yq7yfNZ1oGrrQMuvEfv4xCky4QvpeDhWUovAlEVxd5COl06d/HMlgtW7h2zTcvPbbD/6EKz1mDR&#10;C9QjC4wcXPsXlG65Aw8yTDjoDKRsuUgz4DRF/m6abcOsSLMgOd5eaPIfB8ufjlv74kjo76HHBUZC&#10;OutLj844Ty+djl/slGAcKTxdaBN9IByd02kxL6aUcAx9neez22lEya4/W+fDNwGaRKOiDreSyGLH&#10;jQ9D6pgSaxlYt0qlzSjzhwMxoye7dhit0O960tbY/Wxsfwf1CadyMCzcW75usfaG+fDCHG4YB0HV&#10;hmc8pIKuonC2KGnA/fyXP+Yj8RilpEPFVNSgpClR3w0uJIorGcVtPs3x5kb3bjTMQT8A6rDAJ2F5&#10;MmNeUKMpHeg31PMqFsIQMxzLVTSM5kMYpIvvgYvVKiWhjiwLG7O1PEJHviKZr/0bc/bMeMBVPcEo&#10;J1a+I37IjX96uzoEpD9tJXI7EHmmHDWY9np+L1Hkv99T1vVVL38BAAD//wMAUEsDBBQABgAIAAAA&#10;IQC3uIep2gAAAAMBAAAPAAAAZHJzL2Rvd25yZXYueG1sTI9BT8JAEIXvJv6HzZh4k21NClg7JcSE&#10;AzdE9Lx0h7bYnW26A1R+vasXvUzy8l7e+6ZYjK5TZxpC6xkhnSSgiCtvW64Rdm+rhzmoIIat6TwT&#10;whcFWJS3N4XJrb/wK523UqtYwiE3CI1In2sdqoacCRPfE0fv4AdnJMqh1nYwl1juOv2YJFPtTMtx&#10;oTE9vTRUfW5PDqHNll5Sel+vjh8u9el1s86uG8T7u3H5DEpolL8w/OBHdCgj096f2AbVIcRH5PdG&#10;bz59ArVHmGUz0GWh/7OX3wAAAP//AwBQSwECLQAUAAYACAAAACEAtoM4kv4AAADhAQAAEwAAAAAA&#10;AAAAAAAAAAAAAAAAW0NvbnRlbnRfVHlwZXNdLnhtbFBLAQItABQABgAIAAAAIQA4/SH/1gAAAJQB&#10;AAALAAAAAAAAAAAAAAAAAC8BAABfcmVscy8ucmVsc1BLAQItABQABgAIAAAAIQD5Dk6bDgIAAB0E&#10;AAAOAAAAAAAAAAAAAAAAAC4CAABkcnMvZTJvRG9jLnhtbFBLAQItABQABgAIAAAAIQC3uIep2gAA&#10;AAMBAAAPAAAAAAAAAAAAAAAAAGgEAABkcnMvZG93bnJldi54bWxQSwUGAAAAAAQABADzAAAAbwUA&#10;AAAA&#10;" filled="f" stroked="f">
              <v:textbox style="mso-fit-shape-to-text:t" inset="0,15pt,0,0">
                <w:txbxContent>
                  <w:p w14:paraId="2D09128B" w14:textId="5019350A"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C67593">
      <w:rPr>
        <w:noProof/>
      </w:rPr>
      <mc:AlternateContent>
        <mc:Choice Requires="wps">
          <w:drawing>
            <wp:anchor distT="0" distB="0" distL="0" distR="0" simplePos="0" relativeHeight="251658246" behindDoc="0" locked="0" layoutInCell="1" allowOverlap="1" wp14:anchorId="1D963876" wp14:editId="2700C50F">
              <wp:simplePos x="0" y="0"/>
              <wp:positionH relativeFrom="page">
                <wp:align>center</wp:align>
              </wp:positionH>
              <wp:positionV relativeFrom="page">
                <wp:align>top</wp:align>
              </wp:positionV>
              <wp:extent cx="443865" cy="443865"/>
              <wp:effectExtent l="0" t="0" r="0" b="0"/>
              <wp:wrapNone/>
              <wp:docPr id="2030452041" name="Text Box 2030452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58E75A1B"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D963876" id="Text Box 2030452041" o:spid="_x0000_s1047" type="#_x0000_t202" style="position:absolute;left:0;text-align:left;margin-left:0;margin-top:0;width:34.95pt;height:34.95pt;z-index:25165824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fBLFwIAADYEAAAOAAAAZHJzL2Uyb0RvYy54bWysU01v2zAMvQ/YfxB0X+x0bdcZcYqsRYYB&#10;QVsgHXpWZCk2ZomCxMTOfv0oxU66bqdhF5kiaX689zS77U3L9sqHBmzJp5OcM2UlVI3dlvz78/LD&#10;DWcBha1EC1aV/KACv52/fzfrXKEuoIa2Up5RERuKzpW8RnRFlgVZKyPCBJyyFNTgjUC6+m1WedFR&#10;ddNmF3l+nXXgK+dBqhDIe38M8nmqr7WS+Kh1UMjaktNsmE6fzk08s/lMFFsvXN3IYQzxD1MY0Vhq&#10;eip1L1CwnW/+KGUa6SGAxokEk4HWjVRpB9pmmr/ZZl0Lp9IuBE5wJ5jC/ysrH/Zr9+QZ9l+gJwLT&#10;EsGtQP4IhE3WuVAMORHTUATKjov22pv4pRUY/UjYHk54qh6ZJOfl5ceb6yvOJIUGO9Y8/+x8wK8K&#10;DItGyT3RlQYQ+1XAY+qYEntZWDZtmyhr7W8Oqhk9adzjhHFW7Dc9aypa61MkOro2UB1oXQ9HJQQn&#10;lw31XomAT8IT9bQIyRkf6dAtdCWHweKsBv/zb/6YT4xQlLOOpFRyS1rnrP1miamoumRMP+dXOd38&#10;6N6Mht2ZOyCBTumtOJnMmIftaGoP5oWEvoiNKCSspHYlx9G8w6Om6aFItVikJBKYE7iyaydHYiOY&#10;z/2L8G5AHImqBxh1Joo3wB9zI9LBLXZI8CdWzkAOkJM4E6/DQ4rqf31PWefnPv8FAAD//wMAUEsD&#10;BBQABgAIAAAAIQDUHg1H2AAAAAMBAAAPAAAAZHJzL2Rvd25yZXYueG1sTI/NbsJADITvSLzDypV6&#10;g00qgUqaDUJIHLhR+nM2WZOEZu0ou0DK03fbHtqLR9ZYM5/z5eBadaHeN8IG0mkCirgU23Bl4PVl&#10;M3kE5QOyxVaYDHySh2UxHuWYWbnyM132oVIxhH2GBuoQukxrX9bk0E+lI47eUXqHIa59pW2P1xju&#10;Wv2QJHPtsOHYUGNH65rKj/3ZGWhmKwkpvW03p3eXSnrbbWe3nTH3d8PqCVSgIfwdwzd+RIciMh3k&#10;zNar1kB8JPzM6M0XC1CHX9VFrv+zF18AAAD//wMAUEsBAi0AFAAGAAgAAAAhALaDOJL+AAAA4QEA&#10;ABMAAAAAAAAAAAAAAAAAAAAAAFtDb250ZW50X1R5cGVzXS54bWxQSwECLQAUAAYACAAAACEAOP0h&#10;/9YAAACUAQAACwAAAAAAAAAAAAAAAAAvAQAAX3JlbHMvLnJlbHNQSwECLQAUAAYACAAAACEA233w&#10;SxcCAAA2BAAADgAAAAAAAAAAAAAAAAAuAgAAZHJzL2Uyb0RvYy54bWxQSwECLQAUAAYACAAAACEA&#10;1B4NR9gAAAADAQAADwAAAAAAAAAAAAAAAABxBAAAZHJzL2Rvd25yZXYueG1sUEsFBgAAAAAEAAQA&#10;8wAAAHYFAAAAAA==&#10;" filled="f" stroked="f">
              <v:textbox style="mso-fit-shape-to-text:t" inset="0,15pt,0,0">
                <w:txbxContent>
                  <w:p w14:paraId="58E75A1B"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5343" w14:textId="1CA129DE" w:rsidR="00C67593" w:rsidRDefault="00AE0EE7">
    <w:pPr>
      <w:pStyle w:val="Header"/>
    </w:pPr>
    <w:r>
      <w:rPr>
        <w:noProof/>
      </w:rPr>
      <mc:AlternateContent>
        <mc:Choice Requires="wps">
          <w:drawing>
            <wp:anchor distT="0" distB="0" distL="0" distR="0" simplePos="0" relativeHeight="251658263" behindDoc="0" locked="0" layoutInCell="1" allowOverlap="1" wp14:anchorId="0EBE1044" wp14:editId="32D4D11D">
              <wp:simplePos x="635" y="635"/>
              <wp:positionH relativeFrom="page">
                <wp:align>center</wp:align>
              </wp:positionH>
              <wp:positionV relativeFrom="page">
                <wp:align>top</wp:align>
              </wp:positionV>
              <wp:extent cx="551815" cy="480695"/>
              <wp:effectExtent l="0" t="0" r="635" b="14605"/>
              <wp:wrapNone/>
              <wp:docPr id="133522354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54E5A28D" w14:textId="0899F150"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BE1044" id="_x0000_t202" coordsize="21600,21600" o:spt="202" path="m,l,21600r21600,l21600,xe">
              <v:stroke joinstyle="miter"/>
              <v:path gradientshapeok="t" o:connecttype="rect"/>
            </v:shapetype>
            <v:shape id="Text Box 11" o:spid="_x0000_s1050" type="#_x0000_t202" alt="OFFICIAL" style="position:absolute;left:0;text-align:left;margin-left:0;margin-top:0;width:43.45pt;height:37.85pt;z-index:25165826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KJDDQIAAB0EAAAOAAAAZHJzL2Uyb0RvYy54bWysU01v2zAMvQ/YfxB0X2wHS9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mN3ezWCW7/ux8wK8KOhaNintiJYEl&#10;DuuAp9QxJfaysGqNScwY+5uDakZPdp0wWjhsB9bWFZ8mPqNrC/WRtvJwIjw4uWqp91oEfBGeGKZF&#10;SLX4TIc20FcczhZnDfgff/PHfAKeopz1pJiKW5I0Z+abJUKiuJJR3OWznG5+dG9Hw+67ByAdFvQk&#10;nExmzEMzmtpD90Z6XsZGFBJWUruK42g+4Em69B6kWi5TEunICVzbjZOxdMQrgvk6vAnvzogjUfUE&#10;o5xE+Q74U278M7jlHgn+xMoVyDPkpMHE6/m9RJH/ek9Z11e9+AkAAP//AwBQSwMEFAAGAAgAAAAh&#10;ALe4h6naAAAAAwEAAA8AAABkcnMvZG93bnJldi54bWxMj0FPwkAQhe8m/ofNmHiTbU0KWDslxIQD&#10;N0T0vHSHttidbboDVH69qxe9TPLyXt77pliMrlNnGkLrGSGdJKCIK29brhF2b6uHOagghq3pPBPC&#10;FwVYlLc3hcmtv/ArnbdSq1jCITcIjUifax2qhpwJE98TR+/gB2ckyqHWdjCXWO46/ZgkU+1My3Gh&#10;MT29NFR9bk8Ooc2WXlJ6X6+OHy716XWzzq4bxPu7cfkMSmiUvzD84Ed0KCPT3p/YBtUhxEfk90Zv&#10;Pn0CtUeYZTPQZaH/s5ffAAAA//8DAFBLAQItABQABgAIAAAAIQC2gziS/gAAAOEBAAATAAAAAAAA&#10;AAAAAAAAAAAAAABbQ29udGVudF9UeXBlc10ueG1sUEsBAi0AFAAGAAgAAAAhADj9If/WAAAAlAEA&#10;AAsAAAAAAAAAAAAAAAAALwEAAF9yZWxzLy5yZWxzUEsBAi0AFAAGAAgAAAAhAHl8okMNAgAAHQQA&#10;AA4AAAAAAAAAAAAAAAAALgIAAGRycy9lMm9Eb2MueG1sUEsBAi0AFAAGAAgAAAAhALe4h6naAAAA&#10;AwEAAA8AAAAAAAAAAAAAAAAAZwQAAGRycy9kb3ducmV2LnhtbFBLBQYAAAAABAAEAPMAAABuBQAA&#10;AAA=&#10;" filled="f" stroked="f">
              <v:textbox style="mso-fit-shape-to-text:t" inset="0,15pt,0,0">
                <w:txbxContent>
                  <w:p w14:paraId="54E5A28D" w14:textId="0899F150"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C67593">
      <w:rPr>
        <w:noProof/>
      </w:rPr>
      <mc:AlternateContent>
        <mc:Choice Requires="wps">
          <w:drawing>
            <wp:anchor distT="0" distB="0" distL="0" distR="0" simplePos="0" relativeHeight="251658251" behindDoc="0" locked="0" layoutInCell="1" allowOverlap="1" wp14:anchorId="4F227DC8" wp14:editId="79403473">
              <wp:simplePos x="0" y="0"/>
              <wp:positionH relativeFrom="page">
                <wp:align>center</wp:align>
              </wp:positionH>
              <wp:positionV relativeFrom="page">
                <wp:align>top</wp:align>
              </wp:positionV>
              <wp:extent cx="443865" cy="443865"/>
              <wp:effectExtent l="0" t="0" r="0" b="0"/>
              <wp:wrapNone/>
              <wp:docPr id="2030452043" name="Text Box 2030452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55131CFC"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F227DC8" id="Text Box 2030452043" o:spid="_x0000_s1051" type="#_x0000_t202" style="position:absolute;left:0;text-align:left;margin-left:0;margin-top:0;width:34.95pt;height:34.95pt;z-index:251658251;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xyTFwIAADYEAAAOAAAAZHJzL2Uyb0RvYy54bWysU01v2zAMvQ/YfxB0X2xnbdEZcYqsRYYB&#10;QVsgHXpWZCk2JomCpMTOfv0o2U62bqdhF5kiaX6897S467UiR+F8C6aixSynRBgOdWv2Ff32sv5w&#10;S4kPzNRMgREVPQlP75bv3y06W4o5NKBq4QgWMb7sbEWbEGyZZZ43QjM/AysMBiU4zQJe3T6rHeuw&#10;ulbZPM9vsg5cbR1w4T16H4YgXab6UgoenqT0IhBVUZwtpNOlcxfPbLlg5d4x27R8HIP9wxSatQab&#10;nks9sMDIwbV/lNItd+BBhhkHnYGULRdpB9ymyN9ss22YFWkXBMfbM0z+/5Xlj8etfXYk9J+hRwLT&#10;Et5ugH/3iE3WWV+OORFTX3rMjov20un4xRUI/ojYns54ij4Qjs6rq4+3N9eUcAyNdqx5+dk6H74I&#10;0CQaFXVIVxqAHTc+DKlTSuxlYN0qlShT5jcH1oyeNO4wYZw19LuetHVF50UkOrp2UJ9wXQeDErzl&#10;6xZ7b5gPz8wh9bgIyjk84SEVdBWF0aKkAffjb/6Yj4xglJIOpVRRg1qnRH01yFRUXTKKT/l1jjc3&#10;uXeTYQ76HlCgBb4Vy5MZ84KaTOlAv6LQV7ERhpjh2K6iYTLvw6BpfChcrFYpCQVmWdiYreUTsRHM&#10;l/6VOTsiHpCqR5h0xso3wA+5EWlvV4eA8CdWLkCOkKM4E6/jQ4rq//Wesi7PffkTAAD//wMAUEsD&#10;BBQABgAIAAAAIQDUHg1H2AAAAAMBAAAPAAAAZHJzL2Rvd25yZXYueG1sTI/NbsJADITvSLzDypV6&#10;g00qgUqaDUJIHLhR+nM2WZOEZu0ou0DK03fbHtqLR9ZYM5/z5eBadaHeN8IG0mkCirgU23Bl4PVl&#10;M3kE5QOyxVaYDHySh2UxHuWYWbnyM132oVIxhH2GBuoQukxrX9bk0E+lI47eUXqHIa59pW2P1xju&#10;Wv2QJHPtsOHYUGNH65rKj/3ZGWhmKwkpvW03p3eXSnrbbWe3nTH3d8PqCVSgIfwdwzd+RIciMh3k&#10;zNar1kB8JPzM6M0XC1CHX9VFrv+zF18AAAD//wMAUEsBAi0AFAAGAAgAAAAhALaDOJL+AAAA4QEA&#10;ABMAAAAAAAAAAAAAAAAAAAAAAFtDb250ZW50X1R5cGVzXS54bWxQSwECLQAUAAYACAAAACEAOP0h&#10;/9YAAACUAQAACwAAAAAAAAAAAAAAAAAvAQAAX3JlbHMvLnJlbHNQSwECLQAUAAYACAAAACEAWw8c&#10;kxcCAAA2BAAADgAAAAAAAAAAAAAAAAAuAgAAZHJzL2Uyb0RvYy54bWxQSwECLQAUAAYACAAAACEA&#10;1B4NR9gAAAADAQAADwAAAAAAAAAAAAAAAABxBAAAZHJzL2Rvd25yZXYueG1sUEsFBgAAAAAEAAQA&#10;8wAAAHYFAAAAAA==&#10;" filled="f" stroked="f">
              <v:textbox style="mso-fit-shape-to-text:t" inset="0,15pt,0,0">
                <w:txbxContent>
                  <w:p w14:paraId="55131CFC"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6751F" w14:textId="34583A36" w:rsidR="00C67593" w:rsidRDefault="00C6759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2A407" w14:textId="38728691" w:rsidR="00C67593" w:rsidRDefault="00AE0EE7">
    <w:pPr>
      <w:pStyle w:val="Header"/>
    </w:pPr>
    <w:r>
      <w:rPr>
        <w:noProof/>
      </w:rPr>
      <mc:AlternateContent>
        <mc:Choice Requires="wps">
          <w:drawing>
            <wp:anchor distT="0" distB="0" distL="0" distR="0" simplePos="0" relativeHeight="251658262" behindDoc="0" locked="0" layoutInCell="1" allowOverlap="1" wp14:anchorId="4E91CC27" wp14:editId="5E5F383F">
              <wp:simplePos x="635" y="635"/>
              <wp:positionH relativeFrom="page">
                <wp:align>center</wp:align>
              </wp:positionH>
              <wp:positionV relativeFrom="page">
                <wp:align>top</wp:align>
              </wp:positionV>
              <wp:extent cx="551815" cy="480695"/>
              <wp:effectExtent l="0" t="0" r="635" b="14605"/>
              <wp:wrapNone/>
              <wp:docPr id="2084829802"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46428535" w14:textId="00FD0F49"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91CC27" id="_x0000_t202" coordsize="21600,21600" o:spt="202" path="m,l,21600r21600,l21600,xe">
              <v:stroke joinstyle="miter"/>
              <v:path gradientshapeok="t" o:connecttype="rect"/>
            </v:shapetype>
            <v:shape id="Text Box 10" o:spid="_x0000_s1054" type="#_x0000_t202" alt="OFFICIAL" style="position:absolute;left:0;text-align:left;margin-left:0;margin-top:0;width:43.45pt;height:37.85pt;z-index:25165826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Wi1DwIAAB0EAAAOAAAAZHJzL2Uyb0RvYy54bWysU8Fu2zAMvQ/YPwi6L7aDpkiNOEXWIsOA&#10;oC2QDj0rshQbkERBUmJnXz9KjpOu22nYRaZI+pF8fFrc91qRo3C+BVPRYpJTIgyHujX7iv54XX+Z&#10;U+IDMzVTYERFT8LT++XnT4vOlmIKDahaOIIgxpedrWgTgi2zzPNGaOYnYIXBoASnWcCr22e1Yx2i&#10;a5VN8/w268DV1gEX3qP3cQjSZcKXUvDwLKUXgaiKYm8hnS6du3hmywUr947ZpuXnNtg/dKFZa7Do&#10;BeqRBUYOrv0DSrfcgQcZJhx0BlK2XKQZcJoi/zDNtmFWpFmQHG8vNPn/B8ufjlv74kjov0KPC4yE&#10;dNaXHp1xnl46Hb/YKcE4Uni60Cb6QDg6Z7NiXswo4Ri6mee3d7OIkl1/ts6HbwI0iUZFHW4lkcWO&#10;Gx+G1DEl1jKwbpVKm1HmNwdiRk927TBaod/1pK0rOr0Z299BfcKpHAwL95avW6y9YT68MIcbxkFQ&#10;teEZD6mgqyicLUoacD//5o/5SDxGKelQMRU1KGlK1HeDC4niSkZxl89yvLnRvRsNc9APgDos8ElY&#10;nsyYF9RoSgf6DfW8ioUwxAzHchUNo/kQBunie+BitUpJqCPLwsZsLY/Qka9I5mv/xpw9Mx5wVU8w&#10;yomVH4gfcuOf3q4OAelPW4ncDkSeKUcNpr2e30sU+ft7yrq+6uUvAAAA//8DAFBLAwQUAAYACAAA&#10;ACEAt7iHqdoAAAADAQAADwAAAGRycy9kb3ducmV2LnhtbEyPQU/CQBCF7yb+h82YeJNtTQpYOyXE&#10;hAM3RPS8dIe22J1tugNUfr2rF71M8vJe3vumWIyuU2caQusZIZ0koIgrb1uuEXZvq4c5qCCGrek8&#10;E8IXBViUtzeFya2/8Cudt1KrWMIhNwiNSJ9rHaqGnAkT3xNH7+AHZyTKodZ2MJdY7jr9mCRT7UzL&#10;caExPb00VH1uTw6hzZZeUnpfr44fLvXpdbPOrhvE+7tx+QxKaJS/MPzgR3QoI9Pen9gG1SHER+T3&#10;Rm8+fQK1R5hlM9Blof+zl98AAAD//wMAUEsBAi0AFAAGAAgAAAAhALaDOJL+AAAA4QEAABMAAAAA&#10;AAAAAAAAAAAAAAAAAFtDb250ZW50X1R5cGVzXS54bWxQSwECLQAUAAYACAAAACEAOP0h/9YAAACU&#10;AQAACwAAAAAAAAAAAAAAAAAvAQAAX3JlbHMvLnJlbHNQSwECLQAUAAYACAAAACEAzYFotQ8CAAAd&#10;BAAADgAAAAAAAAAAAAAAAAAuAgAAZHJzL2Uyb0RvYy54bWxQSwECLQAUAAYACAAAACEAt7iHqdoA&#10;AAADAQAADwAAAAAAAAAAAAAAAABpBAAAZHJzL2Rvd25yZXYueG1sUEsFBgAAAAAEAAQA8wAAAHAF&#10;AAAAAA==&#10;" filled="f" stroked="f">
              <v:textbox style="mso-fit-shape-to-text:t" inset="0,15pt,0,0">
                <w:txbxContent>
                  <w:p w14:paraId="46428535" w14:textId="00FD0F49"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C67593">
      <w:rPr>
        <w:noProof/>
      </w:rPr>
      <mc:AlternateContent>
        <mc:Choice Requires="wps">
          <w:drawing>
            <wp:anchor distT="0" distB="0" distL="0" distR="0" simplePos="0" relativeHeight="251658250" behindDoc="0" locked="0" layoutInCell="1" allowOverlap="1" wp14:anchorId="2A912A06" wp14:editId="1E05E5B3">
              <wp:simplePos x="0" y="0"/>
              <wp:positionH relativeFrom="page">
                <wp:align>center</wp:align>
              </wp:positionH>
              <wp:positionV relativeFrom="page">
                <wp:align>top</wp:align>
              </wp:positionV>
              <wp:extent cx="443865" cy="443865"/>
              <wp:effectExtent l="0" t="0" r="0" b="0"/>
              <wp:wrapNone/>
              <wp:docPr id="2030452045" name="Text Box 2030452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6FEEB31F"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A912A06" id="Text Box 2030452045" o:spid="_x0000_s1055" type="#_x0000_t202" style="position:absolute;left:0;text-align:left;margin-left:0;margin-top:0;width:34.95pt;height:34.95pt;z-index:25165825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tZlGAIAADYEAAAOAAAAZHJzL2Uyb0RvYy54bWysU01v2zAMvQ/YfxB0X+xkTdEZcYqsRYYB&#10;QVsgHXpWZCk2JomCpMTOfv0o2U62tqdhF5kiaX6897S47bQiR+F8A6ak00lOiTAcqsbsS/rjef3p&#10;hhIfmKmYAiNKehKe3i4/fli0thAzqEFVwhEsYnzR2pLWIdgiyzyvhWZ+AlYYDEpwmgW8un1WOdZi&#10;da2yWZ5fZy24yjrgwnv03vdBukz1pRQ8PErpRSCqpDhbSKdL5y6e2XLBir1jtm74MAb7hyk0aww2&#10;PZe6Z4GRg2velNINd+BBhgkHnYGUDRdpB9xmmr/aZlszK9IuCI63Z5j8/yvLH45b++RI6L5ChwSm&#10;JbzdAP/pEZustb4YciKmvvCYHRftpNPxiysQ/BGxPZ3xFF0gHJ1XV59vrueUcAwNdqx5+dk6H74J&#10;0CQaJXVIVxqAHTc+9KljSuxlYN0olShT5i8H1oyeNG4/YZw1dLuONFVJZ/NIdHTtoDrhug56JXjL&#10;1w323jAfnphD6nERlHN4xEMqaEsKg0VJDe7Xe/6Yj4xglJIWpVRSg1qnRH03yFRUXTKmX/J5jjc3&#10;unejYQ76DlCgU3wrlicz5gU1mtKBfkGhr2IjDDHDsV1Jw2jehV7T+FC4WK1SEgrMsrAxW8tHYiOY&#10;z90Lc3ZAPCBVDzDqjBWvgO9zI9Lerg4B4U+sXIAcIEdxJl6HhxTV/+c9ZV2e+/I3AAAA//8DAFBL&#10;AwQUAAYACAAAACEA1B4NR9gAAAADAQAADwAAAGRycy9kb3ducmV2LnhtbEyPzW7CQAyE70i8w8qV&#10;eoNNKoFKmg1CSBy4UfpzNlmThGbtKLtAytN32x7ai0fWWDOf8+XgWnWh3jfCBtJpAoq4FNtwZeD1&#10;ZTN5BOUDssVWmAx8kodlMR7lmFm58jNd9qFSMYR9hgbqELpMa1/W5NBPpSOO3lF6hyGufaVtj9cY&#10;7lr9kCRz7bDh2FBjR+uayo/92RloZisJKb1tN6d3l0p6221nt50x93fD6glUoCH8HcM3fkSHIjId&#10;5MzWq9ZAfCT8zOjNFwtQh1/VRa7/sxdfAAAA//8DAFBLAQItABQABgAIAAAAIQC2gziS/gAAAOEB&#10;AAATAAAAAAAAAAAAAAAAAAAAAABbQ29udGVudF9UeXBlc10ueG1sUEsBAi0AFAAGAAgAAAAhADj9&#10;If/WAAAAlAEAAAsAAAAAAAAAAAAAAAAALwEAAF9yZWxzLy5yZWxzUEsBAi0AFAAGAAgAAAAhAO/y&#10;1mUYAgAANgQAAA4AAAAAAAAAAAAAAAAALgIAAGRycy9lMm9Eb2MueG1sUEsBAi0AFAAGAAgAAAAh&#10;ANQeDUfYAAAAAwEAAA8AAAAAAAAAAAAAAAAAcgQAAGRycy9kb3ducmV2LnhtbFBLBQYAAAAABAAE&#10;APMAAAB3BQAAAAA=&#10;" filled="f" stroked="f">
              <v:textbox style="mso-fit-shape-to-text:t" inset="0,15pt,0,0">
                <w:txbxContent>
                  <w:p w14:paraId="6FEEB31F" w14:textId="77777777" w:rsidR="00C67593" w:rsidRPr="00562E5A" w:rsidRDefault="00C67593" w:rsidP="00562E5A">
                    <w:pPr>
                      <w:spacing w:after="0"/>
                      <w:rPr>
                        <w:rFonts w:ascii="Arial" w:eastAsia="Arial" w:hAnsi="Arial" w:cs="Arial"/>
                        <w:noProof/>
                        <w:color w:val="A80000"/>
                        <w:sz w:val="24"/>
                        <w:szCs w:val="24"/>
                      </w:rPr>
                    </w:pPr>
                    <w:r w:rsidRPr="00562E5A">
                      <w:rPr>
                        <w:rFonts w:ascii="Arial" w:eastAsia="Arial" w:hAnsi="Arial" w:cs="Arial"/>
                        <w:noProof/>
                        <w:color w:val="A80000"/>
                        <w:sz w:val="24"/>
                        <w:szCs w:val="24"/>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91DB1" w14:textId="4FDEF233" w:rsidR="00C86C33" w:rsidRDefault="00AE0EE7">
    <w:pPr>
      <w:pStyle w:val="Header"/>
    </w:pPr>
    <w:r>
      <w:rPr>
        <w:noProof/>
      </w:rPr>
      <mc:AlternateContent>
        <mc:Choice Requires="wps">
          <w:drawing>
            <wp:anchor distT="0" distB="0" distL="0" distR="0" simplePos="0" relativeHeight="251658265" behindDoc="0" locked="0" layoutInCell="1" allowOverlap="1" wp14:anchorId="3AC77819" wp14:editId="226CBE28">
              <wp:simplePos x="635" y="635"/>
              <wp:positionH relativeFrom="page">
                <wp:align>center</wp:align>
              </wp:positionH>
              <wp:positionV relativeFrom="page">
                <wp:align>top</wp:align>
              </wp:positionV>
              <wp:extent cx="551815" cy="480695"/>
              <wp:effectExtent l="0" t="0" r="635" b="14605"/>
              <wp:wrapNone/>
              <wp:docPr id="878985566"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3DD7E69D" w14:textId="1EB6E057"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C77819" id="_x0000_t202" coordsize="21600,21600" o:spt="202" path="m,l,21600r21600,l21600,xe">
              <v:stroke joinstyle="miter"/>
              <v:path gradientshapeok="t" o:connecttype="rect"/>
            </v:shapetype>
            <v:shape id="Text Box 14" o:spid="_x0000_s1058" type="#_x0000_t202" alt="OFFICIAL" style="position:absolute;left:0;text-align:left;margin-left:0;margin-top:0;width:43.45pt;height:37.85pt;z-index:2516582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Z1DwIAAB0EAAAOAAAAZHJzL2Uyb0RvYy54bWysU8Fu2zAMvQ/YPwi6L7aDpUiNOEXaIsOA&#10;oC2QDj0rshQbkERBUmJnXz9KjpOt22noRaZI+pF8fFrc9VqRo3C+BVPRYpJTIgyHujX7iv54XX+Z&#10;U+IDMzVTYERFT8LTu+XnT4vOlmIKDahaOIIgxpedrWgTgi2zzPNGaOYnYIXBoASnWcCr22e1Yx2i&#10;a5VN8/wm68DV1gEX3qP3cQjSZcKXUvDwLKUXgaiKYm8hnS6du3hmywUr947ZpuXnNth/dKFZa7Do&#10;BeqRBUYOrv0LSrfcgQcZJhx0BlK2XKQZcJoifzfNtmFWpFmQHG8vNPmPg+VPx619cST099DjAiMh&#10;nfWlR2ecp5dOxy92SjCOFJ4utIk+EI7O2ayYFzNKOIa+zvOb21lEya4/W+fDNwGaRKOiDreSyGLH&#10;jQ9D6pgSaxlYt0qlzSjzhwMxoye7dhit0O960tYVnc7H9ndQn3AqB8PCveXrFmtvmA8vzOGGcRBU&#10;bXjGQyroKgpni5IG3M9/+WM+Eo9RSjpUTEUNSpoS9d3gQqK4klHc5rMcb25070bDHPQDoA4LfBKW&#10;JzPmBTWa0oF+Qz2vYiEMMcOxXEXDaD6EQbr4HrhYrVIS6siysDFbyyN05CuS+dq/MWfPjAdc1ROM&#10;cmLlO+KH3Pint6tDQPrTViK3A5FnylGDaa/n9xJF/vs9ZV1f9fIXAAAA//8DAFBLAwQUAAYACAAA&#10;ACEAt7iHqdoAAAADAQAADwAAAGRycy9kb3ducmV2LnhtbEyPQU/CQBCF7yb+h82YeJNtTQpYOyXE&#10;hAM3RPS8dIe22J1tugNUfr2rF71M8vJe3vumWIyuU2caQusZIZ0koIgrb1uuEXZvq4c5qCCGrek8&#10;E8IXBViUtzeFya2/8Cudt1KrWMIhNwiNSJ9rHaqGnAkT3xNH7+AHZyTKodZ2MJdY7jr9mCRT7UzL&#10;caExPb00VH1uTw6hzZZeUnpfr44fLvXpdbPOrhvE+7tx+QxKaJS/MPzgR3QoI9Pen9gG1SHER+T3&#10;Rm8+fQK1R5hlM9Blof+zl98AAAD//wMAUEsBAi0AFAAGAAgAAAAhALaDOJL+AAAA4QEAABMAAAAA&#10;AAAAAAAAAAAAAAAAAFtDb250ZW50X1R5cGVzXS54bWxQSwECLQAUAAYACAAAACEAOP0h/9YAAACU&#10;AQAACwAAAAAAAAAAAAAAAAAvAQAAX3JlbHMvLnJlbHNQSwECLQAUAAYACAAAACEAUIFGdQ8CAAAd&#10;BAAADgAAAAAAAAAAAAAAAAAuAgAAZHJzL2Uyb0RvYy54bWxQSwECLQAUAAYACAAAACEAt7iHqdoA&#10;AAADAQAADwAAAAAAAAAAAAAAAABpBAAAZHJzL2Rvd25yZXYueG1sUEsFBgAAAAAEAAQA8wAAAHAF&#10;AAAAAA==&#10;" filled="f" stroked="f">
              <v:textbox style="mso-fit-shape-to-text:t" inset="0,15pt,0,0">
                <w:txbxContent>
                  <w:p w14:paraId="3DD7E69D" w14:textId="1EB6E057" w:rsidR="00AE0EE7" w:rsidRPr="00AE0EE7" w:rsidRDefault="00AE0EE7" w:rsidP="00AE0EE7">
                    <w:pPr>
                      <w:spacing w:after="0"/>
                      <w:rPr>
                        <w:rFonts w:ascii="Calibri" w:eastAsia="Calibri" w:hAnsi="Calibri" w:cs="Calibri"/>
                        <w:noProof/>
                        <w:color w:val="FF0000"/>
                        <w:sz w:val="24"/>
                        <w:szCs w:val="24"/>
                      </w:rPr>
                    </w:pPr>
                    <w:r w:rsidRPr="00AE0EE7">
                      <w:rPr>
                        <w:rFonts w:ascii="Calibri" w:eastAsia="Calibri" w:hAnsi="Calibri" w:cs="Calibri"/>
                        <w:noProof/>
                        <w:color w:val="FF0000"/>
                        <w:sz w:val="24"/>
                        <w:szCs w:val="24"/>
                      </w:rPr>
                      <w:t>OFFICIAL</w:t>
                    </w:r>
                  </w:p>
                </w:txbxContent>
              </v:textbox>
              <w10:wrap anchorx="page" anchory="page"/>
            </v:shape>
          </w:pict>
        </mc:Fallback>
      </mc:AlternateContent>
    </w:r>
    <w:r w:rsidR="00000000">
      <w:rPr>
        <w:noProof/>
      </w:rPr>
      <w:pict w14:anchorId="0A3D49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left:0;text-align:left;margin-left:0;margin-top:0;width:397.4pt;height:238.45pt;rotation:315;z-index:-251658225;mso-wrap-edited:f;mso-width-percent:0;mso-height-percent:0;mso-position-horizontal:center;mso-position-horizontal-relative:margin;mso-position-vertical:center;mso-position-vertical-relative:margin;mso-width-percent:0;mso-height-percent:0" o:allowincell="f" fillcolor="#d8d8d8 [2732]" stroked="f">
          <v:textpath style="font-family:&quot;Calibri&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412A4" w14:textId="65A04061" w:rsidR="00C86C33" w:rsidRDefault="00C86C33" w:rsidP="0036571C">
    <w:pPr>
      <w:pStyle w:val="Header"/>
      <w:tabs>
        <w:tab w:val="left" w:pos="5529"/>
      </w:tabs>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1F90A" w14:textId="57E87BFA" w:rsidR="00C86C33" w:rsidRDefault="00AE0EE7">
    <w:pPr>
      <w:pStyle w:val="Header"/>
    </w:pPr>
    <w:r>
      <w:rPr>
        <w:noProof/>
      </w:rPr>
      <mc:AlternateContent>
        <mc:Choice Requires="wps">
          <w:drawing>
            <wp:anchor distT="0" distB="0" distL="0" distR="0" simplePos="0" relativeHeight="251658264" behindDoc="0" locked="0" layoutInCell="1" allowOverlap="1" wp14:anchorId="23999E70" wp14:editId="7162DEFC">
              <wp:simplePos x="635" y="635"/>
              <wp:positionH relativeFrom="page">
                <wp:align>center</wp:align>
              </wp:positionH>
              <wp:positionV relativeFrom="page">
                <wp:align>top</wp:align>
              </wp:positionV>
              <wp:extent cx="551815" cy="480695"/>
              <wp:effectExtent l="0" t="0" r="635" b="14605"/>
              <wp:wrapNone/>
              <wp:docPr id="87372622"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1AF17517" w14:textId="77777777" w:rsidR="00AE0EE7" w:rsidRPr="00AE0EE7" w:rsidRDefault="00AE0EE7" w:rsidP="00AE0EE7">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999E70" id="_x0000_t202" coordsize="21600,21600" o:spt="202" path="m,l,21600r21600,l21600,xe">
              <v:stroke joinstyle="miter"/>
              <v:path gradientshapeok="t" o:connecttype="rect"/>
            </v:shapetype>
            <v:shape id="Text Box 13" o:spid="_x0000_s1060" type="#_x0000_t202" alt="OFFICIAL" style="position:absolute;left:0;text-align:left;margin-left:0;margin-top:0;width:43.45pt;height:37.85pt;z-index:251658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5xwDgIAAB0EAAAOAAAAZHJzL2Uyb0RvYy54bWysU01v2zAMvQ/YfxB0X2x3S5EacYqsRYYB&#10;QVsgHXpWZCk2YImCxMTOfv0oJW66bqdhF5kiaX689zS/HUzHDsqHFmzFi0nOmbIS6tbuKv7jefVp&#10;xllAYWvRgVUVP6rAbxcfP8x7V6oraKCrlWdUxIaydxVvEF2ZZUE2yogwAacsBTV4I5CufpfVXvRU&#10;3XTZVZ5fZz342nmQKgTy3p+CfJHqa60kPmodFLKu4jQbptOncxvPbDEX5c4L17TyPIb4hymMaC01&#10;fS11L1CwvW//KGVa6SGAxokEk4HWrVRpB9qmyN9ts2mEU2kXAie4V5jC/ysrHw4b9+QZDl9hIAIj&#10;IL0LZSBn3GfQ3sQvTcooThAeX2FTAzJJzum0mBVTziSFvszy65tprJJdfnY+4DcFhkWj4p5YSWCJ&#10;wzrgKXVMib0srNquS8x09jcH1Yye7DJhtHDYDqytK/458RldW6iPtJWHE+HByVVLvdci4JPwxDAt&#10;QqrFRzp0B33F4Wxx1oD/+Td/zCfgKcpZT4qpuCVJc9Z9t0RIFFcyipt8mtPNj+7taNi9uQPSYUFP&#10;wslkxjzsRlN7MC+k52VsRCFhJbWrOI7mHZ6kS+9BquUyJZGOnMC13TgZS0e8IpjPw4vw7ow4ElUP&#10;MMpJlO+AP+XGP4Nb7pHgT6xcgDxDThpMvJ7fSxT523vKurzqxS8AAAD//wMAUEsDBBQABgAIAAAA&#10;IQC3uIep2gAAAAMBAAAPAAAAZHJzL2Rvd25yZXYueG1sTI9BT8JAEIXvJv6HzZh4k21NClg7JcSE&#10;AzdE9Lx0h7bYnW26A1R+vasXvUzy8l7e+6ZYjK5TZxpC6xkhnSSgiCtvW64Rdm+rhzmoIIat6TwT&#10;whcFWJS3N4XJrb/wK523UqtYwiE3CI1In2sdqoacCRPfE0fv4AdnJMqh1nYwl1juOv2YJFPtTMtx&#10;oTE9vTRUfW5PDqHNll5Sel+vjh8u9el1s86uG8T7u3H5DEpolL8w/OBHdCgj096f2AbVIcRH5PdG&#10;bz59ArVHmGUz0GWh/7OX3wAAAP//AwBQSwECLQAUAAYACAAAACEAtoM4kv4AAADhAQAAEwAAAAAA&#10;AAAAAAAAAAAAAAAAW0NvbnRlbnRfVHlwZXNdLnhtbFBLAQItABQABgAIAAAAIQA4/SH/1gAAAJQB&#10;AAALAAAAAAAAAAAAAAAAAC8BAABfcmVscy8ucmVsc1BLAQItABQABgAIAAAAIQAj05xwDgIAAB0E&#10;AAAOAAAAAAAAAAAAAAAAAC4CAABkcnMvZTJvRG9jLnhtbFBLAQItABQABgAIAAAAIQC3uIep2gAA&#10;AAMBAAAPAAAAAAAAAAAAAAAAAGgEAABkcnMvZG93bnJldi54bWxQSwUGAAAAAAQABADzAAAAbwUA&#10;AAAA&#10;" filled="f" stroked="f">
              <v:textbox style="mso-fit-shape-to-text:t" inset="0,15pt,0,0">
                <w:txbxContent>
                  <w:p w14:paraId="1AF17517" w14:textId="77777777" w:rsidR="00AE0EE7" w:rsidRPr="00AE0EE7" w:rsidRDefault="00AE0EE7" w:rsidP="00AE0EE7">
                    <w:pPr>
                      <w:spacing w:after="0"/>
                      <w:rPr>
                        <w:rFonts w:ascii="Calibri" w:eastAsia="Calibri" w:hAnsi="Calibri" w:cs="Calibri"/>
                        <w:noProof/>
                        <w:color w:val="FF0000"/>
                        <w:sz w:val="24"/>
                        <w:szCs w:val="24"/>
                      </w:rPr>
                    </w:pPr>
                  </w:p>
                </w:txbxContent>
              </v:textbox>
              <w10:wrap anchorx="page" anchory="page"/>
            </v:shape>
          </w:pict>
        </mc:Fallback>
      </mc:AlternateContent>
    </w:r>
    <w:r w:rsidR="00000000">
      <w:rPr>
        <w:noProof/>
      </w:rPr>
      <w:pict w14:anchorId="21CDCF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left:0;text-align:left;margin-left:0;margin-top:0;width:397.4pt;height:238.45pt;rotation:315;z-index:-251658226;mso-wrap-edited:f;mso-width-percent:0;mso-height-percent:0;mso-position-horizontal:center;mso-position-horizontal-relative:margin;mso-position-vertical:center;mso-position-vertical-relative:margin;mso-width-percent:0;mso-height-percent:0" o:allowincell="f" fillcolor="#d8d8d8 [2732]" stroked="f">
          <v:textpath style="font-family:&quot;Calibri&quot;;font-size:1pt"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D529" w14:textId="62234260" w:rsidR="00452614" w:rsidRDefault="00AE0EE7">
    <w:pPr>
      <w:pStyle w:val="Header"/>
    </w:pPr>
    <w:r>
      <w:rPr>
        <w:noProof/>
      </w:rPr>
      <mc:AlternateContent>
        <mc:Choice Requires="wps">
          <w:drawing>
            <wp:anchor distT="0" distB="0" distL="0" distR="0" simplePos="0" relativeHeight="251658267" behindDoc="0" locked="0" layoutInCell="1" allowOverlap="1" wp14:anchorId="598C3C80" wp14:editId="6E5D8A9C">
              <wp:simplePos x="635" y="635"/>
              <wp:positionH relativeFrom="page">
                <wp:align>center</wp:align>
              </wp:positionH>
              <wp:positionV relativeFrom="page">
                <wp:align>top</wp:align>
              </wp:positionV>
              <wp:extent cx="551815" cy="480695"/>
              <wp:effectExtent l="0" t="0" r="635" b="14605"/>
              <wp:wrapNone/>
              <wp:docPr id="911124012"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52AE8D46" w14:textId="77777777" w:rsidR="00AE0EE7" w:rsidRPr="00AE0EE7" w:rsidRDefault="00AE0EE7" w:rsidP="00AE0EE7">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8C3C80" id="_x0000_t202" coordsize="21600,21600" o:spt="202" path="m,l,21600r21600,l21600,xe">
              <v:stroke joinstyle="miter"/>
              <v:path gradientshapeok="t" o:connecttype="rect"/>
            </v:shapetype>
            <v:shape id="Text Box 17" o:spid="_x0000_s1062" type="#_x0000_t202" alt="OFFICIAL" style="position:absolute;left:0;text-align:left;margin-left:0;margin-top:0;width:43.45pt;height:37.85pt;z-index:25165826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fkLDwIAAB0EAAAOAAAAZHJzL2Uyb0RvYy54bWysU8Fu2zAMvQ/YPwi6L7azpUiNOEXWIsOA&#10;oC2QDj0rshQbkERBUmJnXz9KjpOu22nYRaZI+pF8fFrc9VqRo3C+BVPRYpJTIgyHujX7iv54WX+a&#10;U+IDMzVTYERFT8LTu+XHD4vOlmIKDahaOIIgxpedrWgTgi2zzPNGaOYnYIXBoASnWcCr22e1Yx2i&#10;a5VN8/wm68DV1gEX3qP3YQjSZcKXUvDwJKUXgaiKYm8hnS6du3hmywUr947ZpuXnNtg/dKFZa7Do&#10;BeqBBUYOrv0DSrfcgQcZJhx0BlK2XKQZcJoifzfNtmFWpFmQHG8vNPn/B8sfj1v77Ejov0KPC4yE&#10;dNaXHp1xnl46Hb/YKcE4Uni60Cb6QDg6Z7NiXswo4Rj6Ms9vbmcRJbv+bJ0P3wRoEo2KOtxKIosd&#10;Nz4MqWNKrGVg3SqVNqPMbw7EjJ7s2mG0Qr/rSVtX9PN0bH8H9QmncjAs3Fu+brH2hvnwzBxuGAdB&#10;1YYnPKSCrqJwtihpwP38mz/mI/EYpaRDxVTUoKQpUd8NLiSKKxnFbT7L8eZG9240zEHfA+qwwCdh&#10;eTJjXlCjKR3oV9TzKhbCEDMcy1U0jOZ9GKSL74GL1SoloY4sCxuztTxCR74imS/9K3P2zHjAVT3C&#10;KCdWviN+yI1/ers6BKQ/bSVyOxB5phw1mPZ6fi9R5G/vKev6qpe/AAAA//8DAFBLAwQUAAYACAAA&#10;ACEAt7iHqdoAAAADAQAADwAAAGRycy9kb3ducmV2LnhtbEyPQU/CQBCF7yb+h82YeJNtTQpYOyXE&#10;hAM3RPS8dIe22J1tugNUfr2rF71M8vJe3vumWIyuU2caQusZIZ0koIgrb1uuEXZvq4c5qCCGrek8&#10;E8IXBViUtzeFya2/8Cudt1KrWMIhNwiNSJ9rHaqGnAkT3xNH7+AHZyTKodZ2MJdY7jr9mCRT7UzL&#10;caExPb00VH1uTw6hzZZeUnpfr44fLvXpdbPOrhvE+7tx+QxKaJS/MPzgR3QoI9Pen9gG1SHER+T3&#10;Rm8+fQK1R5hlM9Blof+zl98AAAD//wMAUEsBAi0AFAAGAAgAAAAhALaDOJL+AAAA4QEAABMAAAAA&#10;AAAAAAAAAAAAAAAAAFtDb250ZW50X1R5cGVzXS54bWxQSwECLQAUAAYACAAAACEAOP0h/9YAAACU&#10;AQAACwAAAAAAAAAAAAAAAAAvAQAAX3JlbHMvLnJlbHNQSwECLQAUAAYACAAAACEA+a35Cw8CAAAd&#10;BAAADgAAAAAAAAAAAAAAAAAuAgAAZHJzL2Uyb0RvYy54bWxQSwECLQAUAAYACAAAACEAt7iHqdoA&#10;AAADAQAADwAAAAAAAAAAAAAAAABpBAAAZHJzL2Rvd25yZXYueG1sUEsFBgAAAAAEAAQA8wAAAHAF&#10;AAAAAA==&#10;" filled="f" stroked="f">
              <v:textbox style="mso-fit-shape-to-text:t" inset="0,15pt,0,0">
                <w:txbxContent>
                  <w:p w14:paraId="52AE8D46" w14:textId="77777777" w:rsidR="00AE0EE7" w:rsidRPr="00AE0EE7" w:rsidRDefault="00AE0EE7" w:rsidP="00AE0EE7">
                    <w:pPr>
                      <w:spacing w:after="0"/>
                      <w:rPr>
                        <w:rFonts w:ascii="Calibri" w:eastAsia="Calibri" w:hAnsi="Calibri" w:cs="Calibri"/>
                        <w:noProof/>
                        <w:color w:val="FF0000"/>
                        <w:sz w:val="24"/>
                        <w:szCs w:val="24"/>
                      </w:rPr>
                    </w:pP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BA348" w14:textId="62677E2A" w:rsidR="00452614" w:rsidRDefault="00452614" w:rsidP="0036571C">
    <w:pPr>
      <w:pStyle w:val="Header"/>
      <w:tabs>
        <w:tab w:val="left" w:pos="5529"/>
      </w:tabs>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B4026" w14:textId="53DF0AD2" w:rsidR="00452614" w:rsidRDefault="00AE0EE7">
    <w:pPr>
      <w:pStyle w:val="Header"/>
    </w:pPr>
    <w:r>
      <w:rPr>
        <w:noProof/>
      </w:rPr>
      <mc:AlternateContent>
        <mc:Choice Requires="wps">
          <w:drawing>
            <wp:anchor distT="0" distB="0" distL="0" distR="0" simplePos="0" relativeHeight="251658266" behindDoc="0" locked="0" layoutInCell="1" allowOverlap="1" wp14:anchorId="255A9F82" wp14:editId="09D1F73D">
              <wp:simplePos x="635" y="635"/>
              <wp:positionH relativeFrom="page">
                <wp:align>center</wp:align>
              </wp:positionH>
              <wp:positionV relativeFrom="page">
                <wp:align>top</wp:align>
              </wp:positionV>
              <wp:extent cx="551815" cy="480695"/>
              <wp:effectExtent l="0" t="0" r="635" b="14605"/>
              <wp:wrapNone/>
              <wp:docPr id="2146284520"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64A28873" w14:textId="77777777" w:rsidR="00AE0EE7" w:rsidRPr="00AE0EE7" w:rsidRDefault="00AE0EE7" w:rsidP="00AE0EE7">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5A9F82" id="_x0000_t202" coordsize="21600,21600" o:spt="202" path="m,l,21600r21600,l21600,xe">
              <v:stroke joinstyle="miter"/>
              <v:path gradientshapeok="t" o:connecttype="rect"/>
            </v:shapetype>
            <v:shape id="_x0000_s1064" type="#_x0000_t202" alt="OFFICIAL" style="position:absolute;left:0;text-align:left;margin-left:0;margin-top:0;width:43.45pt;height:37.85pt;z-index:25165826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laGDwIAAB0EAAAOAAAAZHJzL2Uyb0RvYy54bWysU8Fu2zAMvQ/YPwi6L7a7pkiNOEXWIsOA&#10;oC2QDj0rshQbkERBUmJnXz9KjpOt66nYRaZI+pF8fJrf9VqRg3C+BVPRYpJTIgyHujW7iv58WX2Z&#10;UeIDMzVTYERFj8LTu8XnT/POluIKGlC1cARBjC87W9EmBFtmmeeN0MxPwAqDQQlOs4BXt8tqxzpE&#10;1yq7yvObrANXWwdceI/ehyFIFwlfSsHDk5ReBKIqir2FdLp0buOZLeas3Dlmm5af2mAf6EKz1mDR&#10;M9QDC4zsXfsPlG65Aw8yTDjoDKRsuUgz4DRF/maaTcOsSLMgOd6eafL/D5Y/Hjb22ZHQf4MeFxgJ&#10;6awvPTrjPL10On6xU4JxpPB4pk30gXB0TqfFrJhSwjF0PctvbqcRJbv8bJ0P3wVoEo2KOtxKIosd&#10;1j4MqWNKrGVg1SqVNqPMXw7EjJ7s0mG0Qr/tSVtX9Ov12P4W6iNO5WBYuLd81WLtNfPhmTncMA6C&#10;qg1PeEgFXUXhZFHSgPv1nj/mI/EYpaRDxVTUoKQpUT8MLiSKKxnFbT7N8eZG93Y0zF7fA+qwwCdh&#10;eTJjXlCjKR3oV9TzMhbCEDMcy1U0jOZ9GKSL74GL5TIloY4sC2uzsTxCR74imS/9K3P2xHjAVT3C&#10;KCdWviF+yI1/ervcB6Q/bSVyOxB5ohw1mPZ6ei9R5H/eU9blVS9+AwAA//8DAFBLAwQUAAYACAAA&#10;ACEAt7iHqdoAAAADAQAADwAAAGRycy9kb3ducmV2LnhtbEyPQU/CQBCF7yb+h82YeJNtTQpYOyXE&#10;hAM3RPS8dIe22J1tugNUfr2rF71M8vJe3vumWIyuU2caQusZIZ0koIgrb1uuEXZvq4c5qCCGrek8&#10;E8IXBViUtzeFya2/8Cudt1KrWMIhNwiNSJ9rHaqGnAkT3xNH7+AHZyTKodZ2MJdY7jr9mCRT7UzL&#10;caExPb00VH1uTw6hzZZeUnpfr44fLvXpdbPOrhvE+7tx+QxKaJS/MPzgR3QoI9Pen9gG1SHER+T3&#10;Rm8+fQK1R5hlM9Blof+zl98AAAD//wMAUEsBAi0AFAAGAAgAAAAhALaDOJL+AAAA4QEAABMAAAAA&#10;AAAAAAAAAAAAAAAAAFtDb250ZW50X1R5cGVzXS54bWxQSwECLQAUAAYACAAAACEAOP0h/9YAAACU&#10;AQAACwAAAAAAAAAAAAAAAAAvAQAAX3JlbHMvLnJlbHNQSwECLQAUAAYACAAAACEAly5Whg8CAAAd&#10;BAAADgAAAAAAAAAAAAAAAAAuAgAAZHJzL2Uyb0RvYy54bWxQSwECLQAUAAYACAAAACEAt7iHqdoA&#10;AAADAQAADwAAAAAAAAAAAAAAAABpBAAAZHJzL2Rvd25yZXYueG1sUEsFBgAAAAAEAAQA8wAAAHAF&#10;AAAAAA==&#10;" filled="f" stroked="f">
              <v:textbox style="mso-fit-shape-to-text:t" inset="0,15pt,0,0">
                <w:txbxContent>
                  <w:p w14:paraId="64A28873" w14:textId="77777777" w:rsidR="00AE0EE7" w:rsidRPr="00AE0EE7" w:rsidRDefault="00AE0EE7" w:rsidP="00AE0EE7">
                    <w:pPr>
                      <w:spacing w:after="0"/>
                      <w:rPr>
                        <w:rFonts w:ascii="Calibri" w:eastAsia="Calibri" w:hAnsi="Calibri" w:cs="Calibri"/>
                        <w:noProof/>
                        <w:color w:val="FF0000"/>
                        <w:sz w:val="24"/>
                        <w:szCs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DB9"/>
    <w:multiLevelType w:val="multilevel"/>
    <w:tmpl w:val="E5E89F92"/>
    <w:styleLink w:val="BulletList"/>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lvl>
    <w:lvl w:ilvl="2">
      <w:start w:val="1"/>
      <w:numFmt w:val="none"/>
      <w:lvlText w:val=":"/>
      <w:lvlJc w:val="left"/>
      <w:pPr>
        <w:ind w:left="1106" w:hanging="369"/>
      </w:pPr>
    </w:lvl>
    <w:lvl w:ilvl="3">
      <w:start w:val="1"/>
      <w:numFmt w:val="none"/>
      <w:lvlText w:val=""/>
      <w:lvlJc w:val="left"/>
      <w:pPr>
        <w:ind w:left="1474" w:hanging="368"/>
      </w:pPr>
      <w:rPr>
        <w:color w:val="auto"/>
      </w:rPr>
    </w:lvl>
    <w:lvl w:ilvl="4">
      <w:start w:val="1"/>
      <w:numFmt w:val="none"/>
      <w:lvlText w:val=""/>
      <w:lvlJc w:val="left"/>
      <w:pPr>
        <w:ind w:left="1800" w:hanging="360"/>
      </w:pPr>
      <w:rPr>
        <w:color w:val="auto"/>
      </w:rPr>
    </w:lvl>
    <w:lvl w:ilvl="5">
      <w:start w:val="1"/>
      <w:numFmt w:val="none"/>
      <w:lvlText w:val=""/>
      <w:lvlJc w:val="left"/>
      <w:pPr>
        <w:ind w:left="2160" w:hanging="360"/>
      </w:pPr>
      <w:rPr>
        <w:color w:val="auto"/>
      </w:rPr>
    </w:lvl>
    <w:lvl w:ilvl="6">
      <w:start w:val="1"/>
      <w:numFmt w:val="none"/>
      <w:lvlText w:val=""/>
      <w:lvlJc w:val="left"/>
      <w:pPr>
        <w:ind w:left="2520" w:hanging="360"/>
      </w:pPr>
      <w:rPr>
        <w:color w:val="auto"/>
      </w:rPr>
    </w:lvl>
    <w:lvl w:ilvl="7">
      <w:start w:val="1"/>
      <w:numFmt w:val="none"/>
      <w:lvlText w:val=""/>
      <w:lvlJc w:val="left"/>
      <w:pPr>
        <w:ind w:left="2880" w:hanging="360"/>
      </w:pPr>
      <w:rPr>
        <w:color w:val="auto"/>
      </w:rPr>
    </w:lvl>
    <w:lvl w:ilvl="8">
      <w:start w:val="1"/>
      <w:numFmt w:val="none"/>
      <w:lvlText w:val=""/>
      <w:lvlJc w:val="left"/>
      <w:pPr>
        <w:ind w:left="3240" w:hanging="360"/>
      </w:pPr>
      <w:rPr>
        <w:color w:val="auto"/>
      </w:rPr>
    </w:lvl>
  </w:abstractNum>
  <w:abstractNum w:abstractNumId="1" w15:restartNumberingAfterBreak="0">
    <w:nsid w:val="02DE3601"/>
    <w:multiLevelType w:val="hybridMultilevel"/>
    <w:tmpl w:val="396A08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735601"/>
    <w:multiLevelType w:val="hybridMultilevel"/>
    <w:tmpl w:val="9C0E53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9625FD"/>
    <w:multiLevelType w:val="hybridMultilevel"/>
    <w:tmpl w:val="12FC8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7C28E8"/>
    <w:multiLevelType w:val="hybridMultilevel"/>
    <w:tmpl w:val="8EDCEF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E974DD"/>
    <w:multiLevelType w:val="hybridMultilevel"/>
    <w:tmpl w:val="11AA1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215337"/>
    <w:multiLevelType w:val="hybridMultilevel"/>
    <w:tmpl w:val="35EE4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D4B24BC"/>
    <w:multiLevelType w:val="hybridMultilevel"/>
    <w:tmpl w:val="E5A20B1A"/>
    <w:lvl w:ilvl="0" w:tplc="0426615C">
      <w:start w:val="1"/>
      <w:numFmt w:val="bullet"/>
      <w:lvlText w:val=""/>
      <w:lvlJc w:val="left"/>
      <w:pPr>
        <w:ind w:left="1080" w:hanging="360"/>
      </w:pPr>
      <w:rPr>
        <w:rFonts w:ascii="Symbol" w:hAnsi="Symbol"/>
      </w:rPr>
    </w:lvl>
    <w:lvl w:ilvl="1" w:tplc="3D5E9E7E">
      <w:start w:val="1"/>
      <w:numFmt w:val="bullet"/>
      <w:lvlText w:val=""/>
      <w:lvlJc w:val="left"/>
      <w:pPr>
        <w:ind w:left="1800" w:hanging="360"/>
      </w:pPr>
      <w:rPr>
        <w:rFonts w:ascii="Symbol" w:hAnsi="Symbol"/>
      </w:rPr>
    </w:lvl>
    <w:lvl w:ilvl="2" w:tplc="146243F4">
      <w:start w:val="1"/>
      <w:numFmt w:val="bullet"/>
      <w:lvlText w:val=""/>
      <w:lvlJc w:val="left"/>
      <w:pPr>
        <w:ind w:left="1080" w:hanging="360"/>
      </w:pPr>
      <w:rPr>
        <w:rFonts w:ascii="Symbol" w:hAnsi="Symbol"/>
      </w:rPr>
    </w:lvl>
    <w:lvl w:ilvl="3" w:tplc="440A88F6">
      <w:start w:val="1"/>
      <w:numFmt w:val="bullet"/>
      <w:lvlText w:val=""/>
      <w:lvlJc w:val="left"/>
      <w:pPr>
        <w:ind w:left="1080" w:hanging="360"/>
      </w:pPr>
      <w:rPr>
        <w:rFonts w:ascii="Symbol" w:hAnsi="Symbol"/>
      </w:rPr>
    </w:lvl>
    <w:lvl w:ilvl="4" w:tplc="B1A6CA42">
      <w:start w:val="1"/>
      <w:numFmt w:val="bullet"/>
      <w:lvlText w:val=""/>
      <w:lvlJc w:val="left"/>
      <w:pPr>
        <w:ind w:left="1080" w:hanging="360"/>
      </w:pPr>
      <w:rPr>
        <w:rFonts w:ascii="Symbol" w:hAnsi="Symbol"/>
      </w:rPr>
    </w:lvl>
    <w:lvl w:ilvl="5" w:tplc="C0DC2E40">
      <w:start w:val="1"/>
      <w:numFmt w:val="bullet"/>
      <w:lvlText w:val=""/>
      <w:lvlJc w:val="left"/>
      <w:pPr>
        <w:ind w:left="1080" w:hanging="360"/>
      </w:pPr>
      <w:rPr>
        <w:rFonts w:ascii="Symbol" w:hAnsi="Symbol"/>
      </w:rPr>
    </w:lvl>
    <w:lvl w:ilvl="6" w:tplc="B3B252B2">
      <w:start w:val="1"/>
      <w:numFmt w:val="bullet"/>
      <w:lvlText w:val=""/>
      <w:lvlJc w:val="left"/>
      <w:pPr>
        <w:ind w:left="1080" w:hanging="360"/>
      </w:pPr>
      <w:rPr>
        <w:rFonts w:ascii="Symbol" w:hAnsi="Symbol"/>
      </w:rPr>
    </w:lvl>
    <w:lvl w:ilvl="7" w:tplc="E0084504">
      <w:start w:val="1"/>
      <w:numFmt w:val="bullet"/>
      <w:lvlText w:val=""/>
      <w:lvlJc w:val="left"/>
      <w:pPr>
        <w:ind w:left="1080" w:hanging="360"/>
      </w:pPr>
      <w:rPr>
        <w:rFonts w:ascii="Symbol" w:hAnsi="Symbol"/>
      </w:rPr>
    </w:lvl>
    <w:lvl w:ilvl="8" w:tplc="04604CEE">
      <w:start w:val="1"/>
      <w:numFmt w:val="bullet"/>
      <w:lvlText w:val=""/>
      <w:lvlJc w:val="left"/>
      <w:pPr>
        <w:ind w:left="1080" w:hanging="360"/>
      </w:pPr>
      <w:rPr>
        <w:rFonts w:ascii="Symbol" w:hAnsi="Symbol"/>
      </w:rPr>
    </w:lvl>
  </w:abstractNum>
  <w:abstractNum w:abstractNumId="8" w15:restartNumberingAfterBreak="0">
    <w:nsid w:val="0FB07E07"/>
    <w:multiLevelType w:val="hybridMultilevel"/>
    <w:tmpl w:val="16A2C2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1CF664B"/>
    <w:multiLevelType w:val="hybridMultilevel"/>
    <w:tmpl w:val="CBF888A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16097DE7"/>
    <w:multiLevelType w:val="singleLevel"/>
    <w:tmpl w:val="9B94E4FC"/>
    <w:lvl w:ilvl="0">
      <w:start w:val="1"/>
      <w:numFmt w:val="bullet"/>
      <w:pStyle w:val="Para0bullet"/>
      <w:lvlText w:val=""/>
      <w:lvlJc w:val="left"/>
      <w:pPr>
        <w:tabs>
          <w:tab w:val="num" w:pos="397"/>
        </w:tabs>
        <w:ind w:left="397" w:hanging="397"/>
      </w:pPr>
      <w:rPr>
        <w:rFonts w:ascii="Wingdings" w:hAnsi="Wingdings" w:hint="default"/>
        <w:sz w:val="12"/>
      </w:rPr>
    </w:lvl>
  </w:abstractNum>
  <w:abstractNum w:abstractNumId="11" w15:restartNumberingAfterBreak="0">
    <w:nsid w:val="1B611D6C"/>
    <w:multiLevelType w:val="hybridMultilevel"/>
    <w:tmpl w:val="D9D6649A"/>
    <w:lvl w:ilvl="0" w:tplc="0C090003">
      <w:start w:val="1"/>
      <w:numFmt w:val="bullet"/>
      <w:lvlText w:val="o"/>
      <w:lvlJc w:val="left"/>
      <w:pPr>
        <w:ind w:left="1004" w:hanging="360"/>
      </w:pPr>
      <w:rPr>
        <w:rFonts w:ascii="Courier New" w:hAnsi="Courier New" w:cs="Courier New" w:hint="default"/>
      </w:rPr>
    </w:lvl>
    <w:lvl w:ilvl="1" w:tplc="FFFFFFFF">
      <w:start w:val="1"/>
      <w:numFmt w:val="bullet"/>
      <w:lvlText w:val="o"/>
      <w:lvlJc w:val="left"/>
      <w:pPr>
        <w:ind w:left="1724" w:hanging="360"/>
      </w:pPr>
      <w:rPr>
        <w:rFonts w:ascii="Courier New" w:hAnsi="Courier New" w:cs="Courier New" w:hint="default"/>
      </w:rPr>
    </w:lvl>
    <w:lvl w:ilvl="2" w:tplc="FFFFFFFF">
      <w:start w:val="1"/>
      <w:numFmt w:val="bullet"/>
      <w:lvlText w:val=""/>
      <w:lvlJc w:val="left"/>
      <w:pPr>
        <w:ind w:left="2444" w:hanging="360"/>
      </w:pPr>
      <w:rPr>
        <w:rFonts w:ascii="Wingdings" w:hAnsi="Wingdings" w:hint="default"/>
      </w:rPr>
    </w:lvl>
    <w:lvl w:ilvl="3" w:tplc="FFFFFFFF">
      <w:start w:val="1"/>
      <w:numFmt w:val="bullet"/>
      <w:lvlText w:val=""/>
      <w:lvlJc w:val="left"/>
      <w:pPr>
        <w:ind w:left="3164" w:hanging="360"/>
      </w:pPr>
      <w:rPr>
        <w:rFonts w:ascii="Symbol" w:hAnsi="Symbol" w:hint="default"/>
      </w:rPr>
    </w:lvl>
    <w:lvl w:ilvl="4" w:tplc="FFFFFFFF">
      <w:start w:val="1"/>
      <w:numFmt w:val="bullet"/>
      <w:lvlText w:val="o"/>
      <w:lvlJc w:val="left"/>
      <w:pPr>
        <w:ind w:left="3884" w:hanging="360"/>
      </w:pPr>
      <w:rPr>
        <w:rFonts w:ascii="Courier New" w:hAnsi="Courier New" w:cs="Courier New" w:hint="default"/>
      </w:rPr>
    </w:lvl>
    <w:lvl w:ilvl="5" w:tplc="FFFFFFFF">
      <w:start w:val="1"/>
      <w:numFmt w:val="bullet"/>
      <w:lvlText w:val=""/>
      <w:lvlJc w:val="left"/>
      <w:pPr>
        <w:ind w:left="4604" w:hanging="360"/>
      </w:pPr>
      <w:rPr>
        <w:rFonts w:ascii="Wingdings" w:hAnsi="Wingdings" w:hint="default"/>
      </w:rPr>
    </w:lvl>
    <w:lvl w:ilvl="6" w:tplc="FFFFFFFF">
      <w:start w:val="1"/>
      <w:numFmt w:val="bullet"/>
      <w:lvlText w:val=""/>
      <w:lvlJc w:val="left"/>
      <w:pPr>
        <w:ind w:left="5324" w:hanging="360"/>
      </w:pPr>
      <w:rPr>
        <w:rFonts w:ascii="Symbol" w:hAnsi="Symbol" w:hint="default"/>
      </w:rPr>
    </w:lvl>
    <w:lvl w:ilvl="7" w:tplc="FFFFFFFF">
      <w:start w:val="1"/>
      <w:numFmt w:val="bullet"/>
      <w:lvlText w:val="o"/>
      <w:lvlJc w:val="left"/>
      <w:pPr>
        <w:ind w:left="6044" w:hanging="360"/>
      </w:pPr>
      <w:rPr>
        <w:rFonts w:ascii="Courier New" w:hAnsi="Courier New" w:cs="Courier New" w:hint="default"/>
      </w:rPr>
    </w:lvl>
    <w:lvl w:ilvl="8" w:tplc="FFFFFFFF">
      <w:start w:val="1"/>
      <w:numFmt w:val="bullet"/>
      <w:lvlText w:val=""/>
      <w:lvlJc w:val="left"/>
      <w:pPr>
        <w:ind w:left="6764" w:hanging="360"/>
      </w:pPr>
      <w:rPr>
        <w:rFonts w:ascii="Wingdings" w:hAnsi="Wingdings" w:hint="default"/>
      </w:rPr>
    </w:lvl>
  </w:abstractNum>
  <w:abstractNum w:abstractNumId="12" w15:restartNumberingAfterBreak="0">
    <w:nsid w:val="20312462"/>
    <w:multiLevelType w:val="hybridMultilevel"/>
    <w:tmpl w:val="ED440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110B1D"/>
    <w:multiLevelType w:val="hybridMultilevel"/>
    <w:tmpl w:val="383CD55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29014598"/>
    <w:multiLevelType w:val="hybridMultilevel"/>
    <w:tmpl w:val="0602E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C74D8F"/>
    <w:multiLevelType w:val="multilevel"/>
    <w:tmpl w:val="E5E89F92"/>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lvl>
    <w:lvl w:ilvl="2">
      <w:start w:val="1"/>
      <w:numFmt w:val="none"/>
      <w:lvlText w:val=":"/>
      <w:lvlJc w:val="left"/>
      <w:pPr>
        <w:ind w:left="1106" w:hanging="369"/>
      </w:pPr>
    </w:lvl>
    <w:lvl w:ilvl="3">
      <w:start w:val="1"/>
      <w:numFmt w:val="none"/>
      <w:lvlText w:val=""/>
      <w:lvlJc w:val="left"/>
      <w:pPr>
        <w:ind w:left="1474" w:hanging="368"/>
      </w:pPr>
      <w:rPr>
        <w:color w:val="auto"/>
      </w:rPr>
    </w:lvl>
    <w:lvl w:ilvl="4">
      <w:start w:val="1"/>
      <w:numFmt w:val="none"/>
      <w:lvlText w:val=""/>
      <w:lvlJc w:val="left"/>
      <w:pPr>
        <w:ind w:left="1800" w:hanging="360"/>
      </w:pPr>
      <w:rPr>
        <w:color w:val="auto"/>
      </w:rPr>
    </w:lvl>
    <w:lvl w:ilvl="5">
      <w:start w:val="1"/>
      <w:numFmt w:val="none"/>
      <w:lvlText w:val=""/>
      <w:lvlJc w:val="left"/>
      <w:pPr>
        <w:ind w:left="2160" w:hanging="360"/>
      </w:pPr>
      <w:rPr>
        <w:color w:val="auto"/>
      </w:rPr>
    </w:lvl>
    <w:lvl w:ilvl="6">
      <w:start w:val="1"/>
      <w:numFmt w:val="none"/>
      <w:lvlText w:val=""/>
      <w:lvlJc w:val="left"/>
      <w:pPr>
        <w:ind w:left="2520" w:hanging="360"/>
      </w:pPr>
      <w:rPr>
        <w:color w:val="auto"/>
      </w:rPr>
    </w:lvl>
    <w:lvl w:ilvl="7">
      <w:start w:val="1"/>
      <w:numFmt w:val="none"/>
      <w:lvlText w:val=""/>
      <w:lvlJc w:val="left"/>
      <w:pPr>
        <w:ind w:left="2880" w:hanging="360"/>
      </w:pPr>
      <w:rPr>
        <w:color w:val="auto"/>
      </w:rPr>
    </w:lvl>
    <w:lvl w:ilvl="8">
      <w:start w:val="1"/>
      <w:numFmt w:val="none"/>
      <w:lvlText w:val=""/>
      <w:lvlJc w:val="left"/>
      <w:pPr>
        <w:ind w:left="3240" w:hanging="360"/>
      </w:pPr>
      <w:rPr>
        <w:color w:val="auto"/>
      </w:rPr>
    </w:lvl>
  </w:abstractNum>
  <w:abstractNum w:abstractNumId="16" w15:restartNumberingAfterBreak="0">
    <w:nsid w:val="359D092E"/>
    <w:multiLevelType w:val="hybridMultilevel"/>
    <w:tmpl w:val="7A48BD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8637D86"/>
    <w:multiLevelType w:val="hybridMultilevel"/>
    <w:tmpl w:val="8C38C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B233BD"/>
    <w:multiLevelType w:val="hybridMultilevel"/>
    <w:tmpl w:val="329CE4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9C1638A"/>
    <w:multiLevelType w:val="hybridMultilevel"/>
    <w:tmpl w:val="0CD81AA2"/>
    <w:lvl w:ilvl="0" w:tplc="0C090001">
      <w:start w:val="1"/>
      <w:numFmt w:val="bullet"/>
      <w:lvlText w:val=""/>
      <w:lvlJc w:val="left"/>
      <w:pPr>
        <w:ind w:left="720" w:hanging="360"/>
      </w:pPr>
      <w:rPr>
        <w:rFonts w:ascii="Symbol" w:hAnsi="Symbol" w:hint="default"/>
      </w:rPr>
    </w:lvl>
    <w:lvl w:ilvl="1" w:tplc="36585A3A">
      <w:start w:val="1"/>
      <w:numFmt w:val="bullet"/>
      <w:pStyle w:val="ListBullet2"/>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A3118D8"/>
    <w:multiLevelType w:val="multilevel"/>
    <w:tmpl w:val="22BA912C"/>
    <w:lvl w:ilvl="0">
      <w:start w:val="1"/>
      <w:numFmt w:val="decimal"/>
      <w:pStyle w:val="ListNumber"/>
      <w:lvlText w:val="%1."/>
      <w:lvlJc w:val="left"/>
      <w:pPr>
        <w:ind w:left="36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E1600E5"/>
    <w:multiLevelType w:val="hybridMultilevel"/>
    <w:tmpl w:val="3EFCBC34"/>
    <w:lvl w:ilvl="0" w:tplc="8DDE240A">
      <w:start w:val="1"/>
      <w:numFmt w:val="bullet"/>
      <w:pStyle w:val="TableBullets"/>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2" w15:restartNumberingAfterBreak="0">
    <w:nsid w:val="4036222C"/>
    <w:multiLevelType w:val="hybridMultilevel"/>
    <w:tmpl w:val="7616B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A041E9"/>
    <w:multiLevelType w:val="hybridMultilevel"/>
    <w:tmpl w:val="A87E54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5C56222"/>
    <w:multiLevelType w:val="hybridMultilevel"/>
    <w:tmpl w:val="11288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6643968"/>
    <w:multiLevelType w:val="hybridMultilevel"/>
    <w:tmpl w:val="971A3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C5737D"/>
    <w:multiLevelType w:val="hybridMultilevel"/>
    <w:tmpl w:val="9FFE3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7F2F28"/>
    <w:multiLevelType w:val="hybridMultilevel"/>
    <w:tmpl w:val="16A2C2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AA14E48"/>
    <w:multiLevelType w:val="hybridMultilevel"/>
    <w:tmpl w:val="94E216D8"/>
    <w:lvl w:ilvl="0" w:tplc="7BCA5DE2">
      <w:start w:val="2020"/>
      <w:numFmt w:val="bullet"/>
      <w:lvlText w:val=""/>
      <w:lvlJc w:val="left"/>
      <w:pPr>
        <w:ind w:left="108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CE824D2"/>
    <w:multiLevelType w:val="hybridMultilevel"/>
    <w:tmpl w:val="23025596"/>
    <w:lvl w:ilvl="0" w:tplc="0C090003">
      <w:start w:val="1"/>
      <w:numFmt w:val="bullet"/>
      <w:lvlText w:val="o"/>
      <w:lvlJc w:val="left"/>
      <w:pPr>
        <w:ind w:left="1004" w:hanging="360"/>
      </w:pPr>
      <w:rPr>
        <w:rFonts w:ascii="Courier New" w:hAnsi="Courier New" w:cs="Courier New" w:hint="default"/>
      </w:rPr>
    </w:lvl>
    <w:lvl w:ilvl="1" w:tplc="FFFFFFFF">
      <w:start w:val="1"/>
      <w:numFmt w:val="bullet"/>
      <w:lvlText w:val="o"/>
      <w:lvlJc w:val="left"/>
      <w:pPr>
        <w:ind w:left="1724" w:hanging="360"/>
      </w:pPr>
      <w:rPr>
        <w:rFonts w:ascii="Courier New" w:hAnsi="Courier New" w:cs="Courier New" w:hint="default"/>
      </w:rPr>
    </w:lvl>
    <w:lvl w:ilvl="2" w:tplc="FFFFFFFF">
      <w:start w:val="1"/>
      <w:numFmt w:val="bullet"/>
      <w:lvlText w:val=""/>
      <w:lvlJc w:val="left"/>
      <w:pPr>
        <w:ind w:left="2444" w:hanging="360"/>
      </w:pPr>
      <w:rPr>
        <w:rFonts w:ascii="Wingdings" w:hAnsi="Wingdings" w:hint="default"/>
      </w:rPr>
    </w:lvl>
    <w:lvl w:ilvl="3" w:tplc="FFFFFFFF">
      <w:start w:val="1"/>
      <w:numFmt w:val="bullet"/>
      <w:lvlText w:val=""/>
      <w:lvlJc w:val="left"/>
      <w:pPr>
        <w:ind w:left="3164" w:hanging="360"/>
      </w:pPr>
      <w:rPr>
        <w:rFonts w:ascii="Symbol" w:hAnsi="Symbol" w:hint="default"/>
      </w:rPr>
    </w:lvl>
    <w:lvl w:ilvl="4" w:tplc="FFFFFFFF">
      <w:start w:val="1"/>
      <w:numFmt w:val="bullet"/>
      <w:lvlText w:val="o"/>
      <w:lvlJc w:val="left"/>
      <w:pPr>
        <w:ind w:left="3884" w:hanging="360"/>
      </w:pPr>
      <w:rPr>
        <w:rFonts w:ascii="Courier New" w:hAnsi="Courier New" w:cs="Courier New" w:hint="default"/>
      </w:rPr>
    </w:lvl>
    <w:lvl w:ilvl="5" w:tplc="FFFFFFFF">
      <w:start w:val="1"/>
      <w:numFmt w:val="bullet"/>
      <w:lvlText w:val=""/>
      <w:lvlJc w:val="left"/>
      <w:pPr>
        <w:ind w:left="4604" w:hanging="360"/>
      </w:pPr>
      <w:rPr>
        <w:rFonts w:ascii="Wingdings" w:hAnsi="Wingdings" w:hint="default"/>
      </w:rPr>
    </w:lvl>
    <w:lvl w:ilvl="6" w:tplc="FFFFFFFF">
      <w:start w:val="1"/>
      <w:numFmt w:val="bullet"/>
      <w:lvlText w:val=""/>
      <w:lvlJc w:val="left"/>
      <w:pPr>
        <w:ind w:left="5324" w:hanging="360"/>
      </w:pPr>
      <w:rPr>
        <w:rFonts w:ascii="Symbol" w:hAnsi="Symbol" w:hint="default"/>
      </w:rPr>
    </w:lvl>
    <w:lvl w:ilvl="7" w:tplc="FFFFFFFF">
      <w:start w:val="1"/>
      <w:numFmt w:val="bullet"/>
      <w:lvlText w:val="o"/>
      <w:lvlJc w:val="left"/>
      <w:pPr>
        <w:ind w:left="6044" w:hanging="360"/>
      </w:pPr>
      <w:rPr>
        <w:rFonts w:ascii="Courier New" w:hAnsi="Courier New" w:cs="Courier New" w:hint="default"/>
      </w:rPr>
    </w:lvl>
    <w:lvl w:ilvl="8" w:tplc="FFFFFFFF">
      <w:start w:val="1"/>
      <w:numFmt w:val="bullet"/>
      <w:lvlText w:val=""/>
      <w:lvlJc w:val="left"/>
      <w:pPr>
        <w:ind w:left="6764" w:hanging="360"/>
      </w:pPr>
      <w:rPr>
        <w:rFonts w:ascii="Wingdings" w:hAnsi="Wingdings" w:hint="default"/>
      </w:rPr>
    </w:lvl>
  </w:abstractNum>
  <w:abstractNum w:abstractNumId="30" w15:restartNumberingAfterBreak="0">
    <w:nsid w:val="4E112959"/>
    <w:multiLevelType w:val="hybridMultilevel"/>
    <w:tmpl w:val="E90C0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F581AC7"/>
    <w:multiLevelType w:val="hybridMultilevel"/>
    <w:tmpl w:val="BCB62ADC"/>
    <w:lvl w:ilvl="0" w:tplc="B8E4A890">
      <w:start w:val="1"/>
      <w:numFmt w:val="bullet"/>
      <w:pStyle w:val="List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31213C5"/>
    <w:multiLevelType w:val="hybridMultilevel"/>
    <w:tmpl w:val="0BE25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5154E91"/>
    <w:multiLevelType w:val="multilevel"/>
    <w:tmpl w:val="52CE2CE2"/>
    <w:lvl w:ilvl="0">
      <w:start w:val="1"/>
      <w:numFmt w:val="decimal"/>
      <w:pStyle w:val="Heading1"/>
      <w:lvlText w:val="%1"/>
      <w:lvlJc w:val="left"/>
      <w:pPr>
        <w:ind w:left="2695" w:hanging="851"/>
      </w:pPr>
      <w:rPr>
        <w:rFonts w:hint="default"/>
      </w:rPr>
    </w:lvl>
    <w:lvl w:ilvl="1">
      <w:start w:val="1"/>
      <w:numFmt w:val="decimal"/>
      <w:pStyle w:val="Heading2"/>
      <w:lvlText w:val="%1.%2"/>
      <w:lvlJc w:val="left"/>
      <w:pPr>
        <w:ind w:left="851" w:hanging="851"/>
      </w:pPr>
      <w:rPr>
        <w:rFonts w:hint="default"/>
        <w:i w:val="0"/>
        <w:iCs/>
      </w:rPr>
    </w:lvl>
    <w:lvl w:ilvl="2">
      <w:start w:val="1"/>
      <w:numFmt w:val="decimal"/>
      <w:lvlText w:val="%1.%2.%3"/>
      <w:lvlJc w:val="left"/>
      <w:pPr>
        <w:ind w:left="2552" w:hanging="850"/>
      </w:pPr>
      <w:rPr>
        <w:rFonts w:hint="default"/>
      </w:rPr>
    </w:lvl>
    <w:lvl w:ilvl="3">
      <w:start w:val="1"/>
      <w:numFmt w:val="none"/>
      <w:pStyle w:val="Heading4"/>
      <w:lvlText w:val=""/>
      <w:lvlJc w:val="left"/>
      <w:pPr>
        <w:ind w:left="1701" w:firstLine="0"/>
      </w:pPr>
      <w:rPr>
        <w:rFonts w:hint="default"/>
      </w:rPr>
    </w:lvl>
    <w:lvl w:ilvl="4">
      <w:start w:val="1"/>
      <w:numFmt w:val="none"/>
      <w:pStyle w:val="Heading5"/>
      <w:lvlText w:val=""/>
      <w:lvlJc w:val="left"/>
      <w:pPr>
        <w:ind w:left="1701" w:firstLine="0"/>
      </w:pPr>
      <w:rPr>
        <w:rFonts w:hint="default"/>
      </w:rPr>
    </w:lvl>
    <w:lvl w:ilvl="5">
      <w:start w:val="1"/>
      <w:numFmt w:val="none"/>
      <w:pStyle w:val="Heading6"/>
      <w:lvlText w:val=""/>
      <w:lvlJc w:val="left"/>
      <w:pPr>
        <w:ind w:left="1701" w:firstLine="0"/>
      </w:pPr>
      <w:rPr>
        <w:rFonts w:hint="default"/>
      </w:rPr>
    </w:lvl>
    <w:lvl w:ilvl="6">
      <w:start w:val="1"/>
      <w:numFmt w:val="none"/>
      <w:pStyle w:val="Heading7"/>
      <w:lvlText w:val=""/>
      <w:lvlJc w:val="left"/>
      <w:pPr>
        <w:ind w:left="1701" w:firstLine="0"/>
      </w:pPr>
      <w:rPr>
        <w:rFonts w:hint="default"/>
      </w:rPr>
    </w:lvl>
    <w:lvl w:ilvl="7">
      <w:start w:val="1"/>
      <w:numFmt w:val="none"/>
      <w:pStyle w:val="Heading8"/>
      <w:lvlText w:val=""/>
      <w:lvlJc w:val="left"/>
      <w:pPr>
        <w:ind w:left="1701" w:firstLine="0"/>
      </w:pPr>
      <w:rPr>
        <w:rFonts w:hint="default"/>
      </w:rPr>
    </w:lvl>
    <w:lvl w:ilvl="8">
      <w:start w:val="1"/>
      <w:numFmt w:val="lowerRoman"/>
      <w:lvlText w:val="%9."/>
      <w:lvlJc w:val="left"/>
      <w:pPr>
        <w:ind w:left="1701" w:firstLine="0"/>
      </w:pPr>
      <w:rPr>
        <w:rFonts w:hint="default"/>
      </w:rPr>
    </w:lvl>
  </w:abstractNum>
  <w:abstractNum w:abstractNumId="34" w15:restartNumberingAfterBreak="0">
    <w:nsid w:val="5E8851B3"/>
    <w:multiLevelType w:val="hybridMultilevel"/>
    <w:tmpl w:val="467EC6EC"/>
    <w:lvl w:ilvl="0" w:tplc="0C090003">
      <w:start w:val="1"/>
      <w:numFmt w:val="bullet"/>
      <w:lvlText w:val="o"/>
      <w:lvlJc w:val="left"/>
      <w:pPr>
        <w:ind w:left="1004" w:hanging="360"/>
      </w:pPr>
      <w:rPr>
        <w:rFonts w:ascii="Courier New" w:hAnsi="Courier New" w:cs="Courier New" w:hint="default"/>
      </w:rPr>
    </w:lvl>
    <w:lvl w:ilvl="1" w:tplc="FFFFFFFF">
      <w:start w:val="1"/>
      <w:numFmt w:val="bullet"/>
      <w:lvlText w:val="o"/>
      <w:lvlJc w:val="left"/>
      <w:pPr>
        <w:ind w:left="1724" w:hanging="360"/>
      </w:pPr>
      <w:rPr>
        <w:rFonts w:ascii="Courier New" w:hAnsi="Courier New" w:cs="Courier New" w:hint="default"/>
      </w:rPr>
    </w:lvl>
    <w:lvl w:ilvl="2" w:tplc="FFFFFFFF">
      <w:start w:val="1"/>
      <w:numFmt w:val="bullet"/>
      <w:lvlText w:val=""/>
      <w:lvlJc w:val="left"/>
      <w:pPr>
        <w:ind w:left="2444" w:hanging="360"/>
      </w:pPr>
      <w:rPr>
        <w:rFonts w:ascii="Wingdings" w:hAnsi="Wingdings" w:hint="default"/>
      </w:rPr>
    </w:lvl>
    <w:lvl w:ilvl="3" w:tplc="FFFFFFFF">
      <w:start w:val="1"/>
      <w:numFmt w:val="bullet"/>
      <w:lvlText w:val=""/>
      <w:lvlJc w:val="left"/>
      <w:pPr>
        <w:ind w:left="3164" w:hanging="360"/>
      </w:pPr>
      <w:rPr>
        <w:rFonts w:ascii="Symbol" w:hAnsi="Symbol" w:hint="default"/>
      </w:rPr>
    </w:lvl>
    <w:lvl w:ilvl="4" w:tplc="FFFFFFFF">
      <w:start w:val="1"/>
      <w:numFmt w:val="bullet"/>
      <w:lvlText w:val="o"/>
      <w:lvlJc w:val="left"/>
      <w:pPr>
        <w:ind w:left="3884" w:hanging="360"/>
      </w:pPr>
      <w:rPr>
        <w:rFonts w:ascii="Courier New" w:hAnsi="Courier New" w:cs="Courier New" w:hint="default"/>
      </w:rPr>
    </w:lvl>
    <w:lvl w:ilvl="5" w:tplc="FFFFFFFF">
      <w:start w:val="1"/>
      <w:numFmt w:val="bullet"/>
      <w:lvlText w:val=""/>
      <w:lvlJc w:val="left"/>
      <w:pPr>
        <w:ind w:left="4604" w:hanging="360"/>
      </w:pPr>
      <w:rPr>
        <w:rFonts w:ascii="Wingdings" w:hAnsi="Wingdings" w:hint="default"/>
      </w:rPr>
    </w:lvl>
    <w:lvl w:ilvl="6" w:tplc="FFFFFFFF">
      <w:start w:val="1"/>
      <w:numFmt w:val="bullet"/>
      <w:lvlText w:val=""/>
      <w:lvlJc w:val="left"/>
      <w:pPr>
        <w:ind w:left="5324" w:hanging="360"/>
      </w:pPr>
      <w:rPr>
        <w:rFonts w:ascii="Symbol" w:hAnsi="Symbol" w:hint="default"/>
      </w:rPr>
    </w:lvl>
    <w:lvl w:ilvl="7" w:tplc="FFFFFFFF">
      <w:start w:val="1"/>
      <w:numFmt w:val="bullet"/>
      <w:lvlText w:val="o"/>
      <w:lvlJc w:val="left"/>
      <w:pPr>
        <w:ind w:left="6044" w:hanging="360"/>
      </w:pPr>
      <w:rPr>
        <w:rFonts w:ascii="Courier New" w:hAnsi="Courier New" w:cs="Courier New" w:hint="default"/>
      </w:rPr>
    </w:lvl>
    <w:lvl w:ilvl="8" w:tplc="FFFFFFFF">
      <w:start w:val="1"/>
      <w:numFmt w:val="bullet"/>
      <w:lvlText w:val=""/>
      <w:lvlJc w:val="left"/>
      <w:pPr>
        <w:ind w:left="6764" w:hanging="360"/>
      </w:pPr>
      <w:rPr>
        <w:rFonts w:ascii="Wingdings" w:hAnsi="Wingdings" w:hint="default"/>
      </w:rPr>
    </w:lvl>
  </w:abstractNum>
  <w:abstractNum w:abstractNumId="35" w15:restartNumberingAfterBreak="0">
    <w:nsid w:val="63BD281F"/>
    <w:multiLevelType w:val="hybridMultilevel"/>
    <w:tmpl w:val="C8249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49D308D"/>
    <w:multiLevelType w:val="hybridMultilevel"/>
    <w:tmpl w:val="D8B8B718"/>
    <w:lvl w:ilvl="0" w:tplc="B35EAD2A">
      <w:numFmt w:val="bullet"/>
      <w:lvlText w:val="•"/>
      <w:lvlJc w:val="left"/>
      <w:pPr>
        <w:ind w:left="1080" w:hanging="720"/>
      </w:pPr>
      <w:rPr>
        <w:rFonts w:ascii="Century Gothic" w:eastAsia="Times New Roman" w:hAnsi="Century Gothic"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7E05A34"/>
    <w:multiLevelType w:val="hybridMultilevel"/>
    <w:tmpl w:val="A75042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98E40DB"/>
    <w:multiLevelType w:val="hybridMultilevel"/>
    <w:tmpl w:val="CBDC43BA"/>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E3B0D4F"/>
    <w:multiLevelType w:val="hybridMultilevel"/>
    <w:tmpl w:val="1980C31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E3B1A4F"/>
    <w:multiLevelType w:val="hybridMultilevel"/>
    <w:tmpl w:val="E85A4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FDC1951"/>
    <w:multiLevelType w:val="hybridMultilevel"/>
    <w:tmpl w:val="218654D2"/>
    <w:lvl w:ilvl="0" w:tplc="0C090003">
      <w:start w:val="1"/>
      <w:numFmt w:val="bullet"/>
      <w:lvlText w:val="o"/>
      <w:lvlJc w:val="left"/>
      <w:pPr>
        <w:ind w:left="1004" w:hanging="360"/>
      </w:pPr>
      <w:rPr>
        <w:rFonts w:ascii="Courier New" w:hAnsi="Courier New" w:cs="Courier New" w:hint="default"/>
      </w:rPr>
    </w:lvl>
    <w:lvl w:ilvl="1" w:tplc="FFFFFFFF">
      <w:start w:val="1"/>
      <w:numFmt w:val="bullet"/>
      <w:lvlText w:val="o"/>
      <w:lvlJc w:val="left"/>
      <w:pPr>
        <w:ind w:left="1724" w:hanging="360"/>
      </w:pPr>
      <w:rPr>
        <w:rFonts w:ascii="Courier New" w:hAnsi="Courier New" w:cs="Courier New" w:hint="default"/>
      </w:rPr>
    </w:lvl>
    <w:lvl w:ilvl="2" w:tplc="FFFFFFFF">
      <w:start w:val="1"/>
      <w:numFmt w:val="bullet"/>
      <w:lvlText w:val=""/>
      <w:lvlJc w:val="left"/>
      <w:pPr>
        <w:ind w:left="2444" w:hanging="360"/>
      </w:pPr>
      <w:rPr>
        <w:rFonts w:ascii="Wingdings" w:hAnsi="Wingdings" w:hint="default"/>
      </w:rPr>
    </w:lvl>
    <w:lvl w:ilvl="3" w:tplc="FFFFFFFF">
      <w:start w:val="1"/>
      <w:numFmt w:val="bullet"/>
      <w:lvlText w:val=""/>
      <w:lvlJc w:val="left"/>
      <w:pPr>
        <w:ind w:left="3164" w:hanging="360"/>
      </w:pPr>
      <w:rPr>
        <w:rFonts w:ascii="Symbol" w:hAnsi="Symbol" w:hint="default"/>
      </w:rPr>
    </w:lvl>
    <w:lvl w:ilvl="4" w:tplc="FFFFFFFF">
      <w:start w:val="1"/>
      <w:numFmt w:val="bullet"/>
      <w:lvlText w:val="o"/>
      <w:lvlJc w:val="left"/>
      <w:pPr>
        <w:ind w:left="3884" w:hanging="360"/>
      </w:pPr>
      <w:rPr>
        <w:rFonts w:ascii="Courier New" w:hAnsi="Courier New" w:cs="Courier New" w:hint="default"/>
      </w:rPr>
    </w:lvl>
    <w:lvl w:ilvl="5" w:tplc="FFFFFFFF">
      <w:start w:val="1"/>
      <w:numFmt w:val="bullet"/>
      <w:lvlText w:val=""/>
      <w:lvlJc w:val="left"/>
      <w:pPr>
        <w:ind w:left="4604" w:hanging="360"/>
      </w:pPr>
      <w:rPr>
        <w:rFonts w:ascii="Wingdings" w:hAnsi="Wingdings" w:hint="default"/>
      </w:rPr>
    </w:lvl>
    <w:lvl w:ilvl="6" w:tplc="FFFFFFFF">
      <w:start w:val="1"/>
      <w:numFmt w:val="bullet"/>
      <w:lvlText w:val=""/>
      <w:lvlJc w:val="left"/>
      <w:pPr>
        <w:ind w:left="5324" w:hanging="360"/>
      </w:pPr>
      <w:rPr>
        <w:rFonts w:ascii="Symbol" w:hAnsi="Symbol" w:hint="default"/>
      </w:rPr>
    </w:lvl>
    <w:lvl w:ilvl="7" w:tplc="FFFFFFFF">
      <w:start w:val="1"/>
      <w:numFmt w:val="bullet"/>
      <w:lvlText w:val="o"/>
      <w:lvlJc w:val="left"/>
      <w:pPr>
        <w:ind w:left="6044" w:hanging="360"/>
      </w:pPr>
      <w:rPr>
        <w:rFonts w:ascii="Courier New" w:hAnsi="Courier New" w:cs="Courier New" w:hint="default"/>
      </w:rPr>
    </w:lvl>
    <w:lvl w:ilvl="8" w:tplc="FFFFFFFF">
      <w:start w:val="1"/>
      <w:numFmt w:val="bullet"/>
      <w:lvlText w:val=""/>
      <w:lvlJc w:val="left"/>
      <w:pPr>
        <w:ind w:left="6764" w:hanging="360"/>
      </w:pPr>
      <w:rPr>
        <w:rFonts w:ascii="Wingdings" w:hAnsi="Wingdings" w:hint="default"/>
      </w:rPr>
    </w:lvl>
  </w:abstractNum>
  <w:abstractNum w:abstractNumId="42" w15:restartNumberingAfterBreak="0">
    <w:nsid w:val="70146DB9"/>
    <w:multiLevelType w:val="hybridMultilevel"/>
    <w:tmpl w:val="587E4F36"/>
    <w:lvl w:ilvl="0" w:tplc="0C090003">
      <w:start w:val="1"/>
      <w:numFmt w:val="bullet"/>
      <w:lvlText w:val="o"/>
      <w:lvlJc w:val="left"/>
      <w:pPr>
        <w:ind w:left="1004" w:hanging="360"/>
      </w:pPr>
      <w:rPr>
        <w:rFonts w:ascii="Courier New" w:hAnsi="Courier New" w:cs="Courier New" w:hint="default"/>
      </w:rPr>
    </w:lvl>
    <w:lvl w:ilvl="1" w:tplc="FFFFFFFF">
      <w:start w:val="1"/>
      <w:numFmt w:val="bullet"/>
      <w:lvlText w:val="o"/>
      <w:lvlJc w:val="left"/>
      <w:pPr>
        <w:ind w:left="1724" w:hanging="360"/>
      </w:pPr>
      <w:rPr>
        <w:rFonts w:ascii="Courier New" w:hAnsi="Courier New" w:cs="Courier New" w:hint="default"/>
      </w:rPr>
    </w:lvl>
    <w:lvl w:ilvl="2" w:tplc="FFFFFFFF">
      <w:start w:val="1"/>
      <w:numFmt w:val="bullet"/>
      <w:lvlText w:val=""/>
      <w:lvlJc w:val="left"/>
      <w:pPr>
        <w:ind w:left="2444" w:hanging="360"/>
      </w:pPr>
      <w:rPr>
        <w:rFonts w:ascii="Wingdings" w:hAnsi="Wingdings" w:hint="default"/>
      </w:rPr>
    </w:lvl>
    <w:lvl w:ilvl="3" w:tplc="FFFFFFFF">
      <w:start w:val="1"/>
      <w:numFmt w:val="bullet"/>
      <w:lvlText w:val=""/>
      <w:lvlJc w:val="left"/>
      <w:pPr>
        <w:ind w:left="3164" w:hanging="360"/>
      </w:pPr>
      <w:rPr>
        <w:rFonts w:ascii="Symbol" w:hAnsi="Symbol" w:hint="default"/>
      </w:rPr>
    </w:lvl>
    <w:lvl w:ilvl="4" w:tplc="FFFFFFFF">
      <w:start w:val="1"/>
      <w:numFmt w:val="bullet"/>
      <w:lvlText w:val="o"/>
      <w:lvlJc w:val="left"/>
      <w:pPr>
        <w:ind w:left="3884" w:hanging="360"/>
      </w:pPr>
      <w:rPr>
        <w:rFonts w:ascii="Courier New" w:hAnsi="Courier New" w:cs="Courier New" w:hint="default"/>
      </w:rPr>
    </w:lvl>
    <w:lvl w:ilvl="5" w:tplc="FFFFFFFF">
      <w:start w:val="1"/>
      <w:numFmt w:val="bullet"/>
      <w:lvlText w:val=""/>
      <w:lvlJc w:val="left"/>
      <w:pPr>
        <w:ind w:left="4604" w:hanging="360"/>
      </w:pPr>
      <w:rPr>
        <w:rFonts w:ascii="Wingdings" w:hAnsi="Wingdings" w:hint="default"/>
      </w:rPr>
    </w:lvl>
    <w:lvl w:ilvl="6" w:tplc="FFFFFFFF">
      <w:start w:val="1"/>
      <w:numFmt w:val="bullet"/>
      <w:lvlText w:val=""/>
      <w:lvlJc w:val="left"/>
      <w:pPr>
        <w:ind w:left="5324" w:hanging="360"/>
      </w:pPr>
      <w:rPr>
        <w:rFonts w:ascii="Symbol" w:hAnsi="Symbol" w:hint="default"/>
      </w:rPr>
    </w:lvl>
    <w:lvl w:ilvl="7" w:tplc="FFFFFFFF">
      <w:start w:val="1"/>
      <w:numFmt w:val="bullet"/>
      <w:lvlText w:val="o"/>
      <w:lvlJc w:val="left"/>
      <w:pPr>
        <w:ind w:left="6044" w:hanging="360"/>
      </w:pPr>
      <w:rPr>
        <w:rFonts w:ascii="Courier New" w:hAnsi="Courier New" w:cs="Courier New" w:hint="default"/>
      </w:rPr>
    </w:lvl>
    <w:lvl w:ilvl="8" w:tplc="FFFFFFFF">
      <w:start w:val="1"/>
      <w:numFmt w:val="bullet"/>
      <w:lvlText w:val=""/>
      <w:lvlJc w:val="left"/>
      <w:pPr>
        <w:ind w:left="6764" w:hanging="360"/>
      </w:pPr>
      <w:rPr>
        <w:rFonts w:ascii="Wingdings" w:hAnsi="Wingdings" w:hint="default"/>
      </w:rPr>
    </w:lvl>
  </w:abstractNum>
  <w:abstractNum w:abstractNumId="43" w15:restartNumberingAfterBreak="0">
    <w:nsid w:val="71952AAB"/>
    <w:multiLevelType w:val="hybridMultilevel"/>
    <w:tmpl w:val="55E496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26A27AC"/>
    <w:multiLevelType w:val="hybridMultilevel"/>
    <w:tmpl w:val="FE8CFD9A"/>
    <w:lvl w:ilvl="0" w:tplc="0C090003">
      <w:start w:val="1"/>
      <w:numFmt w:val="bullet"/>
      <w:lvlText w:val="o"/>
      <w:lvlJc w:val="left"/>
      <w:pPr>
        <w:ind w:left="1004" w:hanging="360"/>
      </w:pPr>
      <w:rPr>
        <w:rFonts w:ascii="Courier New" w:hAnsi="Courier New" w:cs="Courier New" w:hint="default"/>
      </w:rPr>
    </w:lvl>
    <w:lvl w:ilvl="1" w:tplc="FFFFFFFF">
      <w:start w:val="1"/>
      <w:numFmt w:val="bullet"/>
      <w:lvlText w:val="o"/>
      <w:lvlJc w:val="left"/>
      <w:pPr>
        <w:ind w:left="1724" w:hanging="360"/>
      </w:pPr>
      <w:rPr>
        <w:rFonts w:ascii="Courier New" w:hAnsi="Courier New" w:cs="Courier New" w:hint="default"/>
      </w:rPr>
    </w:lvl>
    <w:lvl w:ilvl="2" w:tplc="FFFFFFFF">
      <w:start w:val="1"/>
      <w:numFmt w:val="bullet"/>
      <w:lvlText w:val=""/>
      <w:lvlJc w:val="left"/>
      <w:pPr>
        <w:ind w:left="2444" w:hanging="360"/>
      </w:pPr>
      <w:rPr>
        <w:rFonts w:ascii="Wingdings" w:hAnsi="Wingdings" w:hint="default"/>
      </w:rPr>
    </w:lvl>
    <w:lvl w:ilvl="3" w:tplc="FFFFFFFF">
      <w:start w:val="1"/>
      <w:numFmt w:val="bullet"/>
      <w:lvlText w:val=""/>
      <w:lvlJc w:val="left"/>
      <w:pPr>
        <w:ind w:left="3164" w:hanging="360"/>
      </w:pPr>
      <w:rPr>
        <w:rFonts w:ascii="Symbol" w:hAnsi="Symbol" w:hint="default"/>
      </w:rPr>
    </w:lvl>
    <w:lvl w:ilvl="4" w:tplc="FFFFFFFF">
      <w:start w:val="1"/>
      <w:numFmt w:val="bullet"/>
      <w:lvlText w:val="o"/>
      <w:lvlJc w:val="left"/>
      <w:pPr>
        <w:ind w:left="3884" w:hanging="360"/>
      </w:pPr>
      <w:rPr>
        <w:rFonts w:ascii="Courier New" w:hAnsi="Courier New" w:cs="Courier New" w:hint="default"/>
      </w:rPr>
    </w:lvl>
    <w:lvl w:ilvl="5" w:tplc="FFFFFFFF">
      <w:start w:val="1"/>
      <w:numFmt w:val="bullet"/>
      <w:lvlText w:val=""/>
      <w:lvlJc w:val="left"/>
      <w:pPr>
        <w:ind w:left="4604" w:hanging="360"/>
      </w:pPr>
      <w:rPr>
        <w:rFonts w:ascii="Wingdings" w:hAnsi="Wingdings" w:hint="default"/>
      </w:rPr>
    </w:lvl>
    <w:lvl w:ilvl="6" w:tplc="FFFFFFFF">
      <w:start w:val="1"/>
      <w:numFmt w:val="bullet"/>
      <w:lvlText w:val=""/>
      <w:lvlJc w:val="left"/>
      <w:pPr>
        <w:ind w:left="5324" w:hanging="360"/>
      </w:pPr>
      <w:rPr>
        <w:rFonts w:ascii="Symbol" w:hAnsi="Symbol" w:hint="default"/>
      </w:rPr>
    </w:lvl>
    <w:lvl w:ilvl="7" w:tplc="FFFFFFFF">
      <w:start w:val="1"/>
      <w:numFmt w:val="bullet"/>
      <w:lvlText w:val="o"/>
      <w:lvlJc w:val="left"/>
      <w:pPr>
        <w:ind w:left="6044" w:hanging="360"/>
      </w:pPr>
      <w:rPr>
        <w:rFonts w:ascii="Courier New" w:hAnsi="Courier New" w:cs="Courier New" w:hint="default"/>
      </w:rPr>
    </w:lvl>
    <w:lvl w:ilvl="8" w:tplc="FFFFFFFF">
      <w:start w:val="1"/>
      <w:numFmt w:val="bullet"/>
      <w:lvlText w:val=""/>
      <w:lvlJc w:val="left"/>
      <w:pPr>
        <w:ind w:left="6764" w:hanging="360"/>
      </w:pPr>
      <w:rPr>
        <w:rFonts w:ascii="Wingdings" w:hAnsi="Wingdings" w:hint="default"/>
      </w:rPr>
    </w:lvl>
  </w:abstractNum>
  <w:abstractNum w:abstractNumId="45" w15:restartNumberingAfterBreak="0">
    <w:nsid w:val="756E45E7"/>
    <w:multiLevelType w:val="hybridMultilevel"/>
    <w:tmpl w:val="F676AFD8"/>
    <w:lvl w:ilvl="0" w:tplc="0C090003">
      <w:start w:val="1"/>
      <w:numFmt w:val="bullet"/>
      <w:lvlText w:val="o"/>
      <w:lvlJc w:val="left"/>
      <w:pPr>
        <w:ind w:left="1004" w:hanging="360"/>
      </w:pPr>
      <w:rPr>
        <w:rFonts w:ascii="Courier New" w:hAnsi="Courier New" w:cs="Courier New" w:hint="default"/>
      </w:rPr>
    </w:lvl>
    <w:lvl w:ilvl="1" w:tplc="FFFFFFFF">
      <w:start w:val="1"/>
      <w:numFmt w:val="bullet"/>
      <w:lvlText w:val="o"/>
      <w:lvlJc w:val="left"/>
      <w:pPr>
        <w:ind w:left="1724" w:hanging="360"/>
      </w:pPr>
      <w:rPr>
        <w:rFonts w:ascii="Courier New" w:hAnsi="Courier New" w:cs="Courier New" w:hint="default"/>
      </w:rPr>
    </w:lvl>
    <w:lvl w:ilvl="2" w:tplc="FFFFFFFF">
      <w:start w:val="1"/>
      <w:numFmt w:val="bullet"/>
      <w:lvlText w:val=""/>
      <w:lvlJc w:val="left"/>
      <w:pPr>
        <w:ind w:left="2444" w:hanging="360"/>
      </w:pPr>
      <w:rPr>
        <w:rFonts w:ascii="Wingdings" w:hAnsi="Wingdings" w:hint="default"/>
      </w:rPr>
    </w:lvl>
    <w:lvl w:ilvl="3" w:tplc="FFFFFFFF">
      <w:start w:val="1"/>
      <w:numFmt w:val="bullet"/>
      <w:lvlText w:val=""/>
      <w:lvlJc w:val="left"/>
      <w:pPr>
        <w:ind w:left="3164" w:hanging="360"/>
      </w:pPr>
      <w:rPr>
        <w:rFonts w:ascii="Symbol" w:hAnsi="Symbol" w:hint="default"/>
      </w:rPr>
    </w:lvl>
    <w:lvl w:ilvl="4" w:tplc="FFFFFFFF">
      <w:start w:val="1"/>
      <w:numFmt w:val="bullet"/>
      <w:lvlText w:val="o"/>
      <w:lvlJc w:val="left"/>
      <w:pPr>
        <w:ind w:left="3884" w:hanging="360"/>
      </w:pPr>
      <w:rPr>
        <w:rFonts w:ascii="Courier New" w:hAnsi="Courier New" w:cs="Courier New" w:hint="default"/>
      </w:rPr>
    </w:lvl>
    <w:lvl w:ilvl="5" w:tplc="FFFFFFFF">
      <w:start w:val="1"/>
      <w:numFmt w:val="bullet"/>
      <w:lvlText w:val=""/>
      <w:lvlJc w:val="left"/>
      <w:pPr>
        <w:ind w:left="4604" w:hanging="360"/>
      </w:pPr>
      <w:rPr>
        <w:rFonts w:ascii="Wingdings" w:hAnsi="Wingdings" w:hint="default"/>
      </w:rPr>
    </w:lvl>
    <w:lvl w:ilvl="6" w:tplc="FFFFFFFF">
      <w:start w:val="1"/>
      <w:numFmt w:val="bullet"/>
      <w:lvlText w:val=""/>
      <w:lvlJc w:val="left"/>
      <w:pPr>
        <w:ind w:left="5324" w:hanging="360"/>
      </w:pPr>
      <w:rPr>
        <w:rFonts w:ascii="Symbol" w:hAnsi="Symbol" w:hint="default"/>
      </w:rPr>
    </w:lvl>
    <w:lvl w:ilvl="7" w:tplc="FFFFFFFF">
      <w:start w:val="1"/>
      <w:numFmt w:val="bullet"/>
      <w:lvlText w:val="o"/>
      <w:lvlJc w:val="left"/>
      <w:pPr>
        <w:ind w:left="6044" w:hanging="360"/>
      </w:pPr>
      <w:rPr>
        <w:rFonts w:ascii="Courier New" w:hAnsi="Courier New" w:cs="Courier New" w:hint="default"/>
      </w:rPr>
    </w:lvl>
    <w:lvl w:ilvl="8" w:tplc="FFFFFFFF">
      <w:start w:val="1"/>
      <w:numFmt w:val="bullet"/>
      <w:lvlText w:val=""/>
      <w:lvlJc w:val="left"/>
      <w:pPr>
        <w:ind w:left="6764" w:hanging="360"/>
      </w:pPr>
      <w:rPr>
        <w:rFonts w:ascii="Wingdings" w:hAnsi="Wingdings" w:hint="default"/>
      </w:rPr>
    </w:lvl>
  </w:abstractNum>
  <w:abstractNum w:abstractNumId="46" w15:restartNumberingAfterBreak="0">
    <w:nsid w:val="75951801"/>
    <w:multiLevelType w:val="singleLevel"/>
    <w:tmpl w:val="35F45D7C"/>
    <w:lvl w:ilvl="0">
      <w:start w:val="1"/>
      <w:numFmt w:val="bullet"/>
      <w:pStyle w:val="Bullet"/>
      <w:lvlText w:val=""/>
      <w:lvlJc w:val="left"/>
      <w:pPr>
        <w:tabs>
          <w:tab w:val="num" w:pos="567"/>
        </w:tabs>
        <w:ind w:left="567" w:hanging="567"/>
      </w:pPr>
      <w:rPr>
        <w:rFonts w:ascii="Symbol" w:hAnsi="Symbol" w:hint="default"/>
        <w:sz w:val="16"/>
      </w:rPr>
    </w:lvl>
  </w:abstractNum>
  <w:abstractNum w:abstractNumId="47" w15:restartNumberingAfterBreak="0">
    <w:nsid w:val="76100CAC"/>
    <w:multiLevelType w:val="hybridMultilevel"/>
    <w:tmpl w:val="AB5A3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63B0836"/>
    <w:multiLevelType w:val="hybridMultilevel"/>
    <w:tmpl w:val="F7229432"/>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778F0D9B"/>
    <w:multiLevelType w:val="hybridMultilevel"/>
    <w:tmpl w:val="3B046EAA"/>
    <w:lvl w:ilvl="0" w:tplc="0C090003">
      <w:start w:val="1"/>
      <w:numFmt w:val="bullet"/>
      <w:lvlText w:val="o"/>
      <w:lvlJc w:val="left"/>
      <w:pPr>
        <w:ind w:left="1089" w:hanging="360"/>
      </w:pPr>
      <w:rPr>
        <w:rFonts w:ascii="Courier New" w:hAnsi="Courier New" w:cs="Courier New" w:hint="default"/>
      </w:rPr>
    </w:lvl>
    <w:lvl w:ilvl="1" w:tplc="0C090003" w:tentative="1">
      <w:start w:val="1"/>
      <w:numFmt w:val="bullet"/>
      <w:lvlText w:val="o"/>
      <w:lvlJc w:val="left"/>
      <w:pPr>
        <w:ind w:left="1809" w:hanging="360"/>
      </w:pPr>
      <w:rPr>
        <w:rFonts w:ascii="Courier New" w:hAnsi="Courier New" w:cs="Courier New" w:hint="default"/>
      </w:rPr>
    </w:lvl>
    <w:lvl w:ilvl="2" w:tplc="0C090005" w:tentative="1">
      <w:start w:val="1"/>
      <w:numFmt w:val="bullet"/>
      <w:lvlText w:val=""/>
      <w:lvlJc w:val="left"/>
      <w:pPr>
        <w:ind w:left="2529" w:hanging="360"/>
      </w:pPr>
      <w:rPr>
        <w:rFonts w:ascii="Wingdings" w:hAnsi="Wingdings" w:hint="default"/>
      </w:rPr>
    </w:lvl>
    <w:lvl w:ilvl="3" w:tplc="0C090001" w:tentative="1">
      <w:start w:val="1"/>
      <w:numFmt w:val="bullet"/>
      <w:lvlText w:val=""/>
      <w:lvlJc w:val="left"/>
      <w:pPr>
        <w:ind w:left="3249" w:hanging="360"/>
      </w:pPr>
      <w:rPr>
        <w:rFonts w:ascii="Symbol" w:hAnsi="Symbol" w:hint="default"/>
      </w:rPr>
    </w:lvl>
    <w:lvl w:ilvl="4" w:tplc="0C090003" w:tentative="1">
      <w:start w:val="1"/>
      <w:numFmt w:val="bullet"/>
      <w:lvlText w:val="o"/>
      <w:lvlJc w:val="left"/>
      <w:pPr>
        <w:ind w:left="3969" w:hanging="360"/>
      </w:pPr>
      <w:rPr>
        <w:rFonts w:ascii="Courier New" w:hAnsi="Courier New" w:cs="Courier New" w:hint="default"/>
      </w:rPr>
    </w:lvl>
    <w:lvl w:ilvl="5" w:tplc="0C090005" w:tentative="1">
      <w:start w:val="1"/>
      <w:numFmt w:val="bullet"/>
      <w:lvlText w:val=""/>
      <w:lvlJc w:val="left"/>
      <w:pPr>
        <w:ind w:left="4689" w:hanging="360"/>
      </w:pPr>
      <w:rPr>
        <w:rFonts w:ascii="Wingdings" w:hAnsi="Wingdings" w:hint="default"/>
      </w:rPr>
    </w:lvl>
    <w:lvl w:ilvl="6" w:tplc="0C090001" w:tentative="1">
      <w:start w:val="1"/>
      <w:numFmt w:val="bullet"/>
      <w:lvlText w:val=""/>
      <w:lvlJc w:val="left"/>
      <w:pPr>
        <w:ind w:left="5409" w:hanging="360"/>
      </w:pPr>
      <w:rPr>
        <w:rFonts w:ascii="Symbol" w:hAnsi="Symbol" w:hint="default"/>
      </w:rPr>
    </w:lvl>
    <w:lvl w:ilvl="7" w:tplc="0C090003" w:tentative="1">
      <w:start w:val="1"/>
      <w:numFmt w:val="bullet"/>
      <w:lvlText w:val="o"/>
      <w:lvlJc w:val="left"/>
      <w:pPr>
        <w:ind w:left="6129" w:hanging="360"/>
      </w:pPr>
      <w:rPr>
        <w:rFonts w:ascii="Courier New" w:hAnsi="Courier New" w:cs="Courier New" w:hint="default"/>
      </w:rPr>
    </w:lvl>
    <w:lvl w:ilvl="8" w:tplc="0C090005" w:tentative="1">
      <w:start w:val="1"/>
      <w:numFmt w:val="bullet"/>
      <w:lvlText w:val=""/>
      <w:lvlJc w:val="left"/>
      <w:pPr>
        <w:ind w:left="6849" w:hanging="360"/>
      </w:pPr>
      <w:rPr>
        <w:rFonts w:ascii="Wingdings" w:hAnsi="Wingdings" w:hint="default"/>
      </w:rPr>
    </w:lvl>
  </w:abstractNum>
  <w:abstractNum w:abstractNumId="50" w15:restartNumberingAfterBreak="0">
    <w:nsid w:val="781F7EFF"/>
    <w:multiLevelType w:val="hybridMultilevel"/>
    <w:tmpl w:val="C3FE99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DA86479"/>
    <w:multiLevelType w:val="hybridMultilevel"/>
    <w:tmpl w:val="7556D7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F040257"/>
    <w:multiLevelType w:val="hybridMultilevel"/>
    <w:tmpl w:val="F63C0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9669488">
    <w:abstractNumId w:val="31"/>
  </w:num>
  <w:num w:numId="2" w16cid:durableId="1167017734">
    <w:abstractNumId w:val="33"/>
  </w:num>
  <w:num w:numId="3" w16cid:durableId="1185166594">
    <w:abstractNumId w:val="20"/>
  </w:num>
  <w:num w:numId="4" w16cid:durableId="77137460">
    <w:abstractNumId w:val="36"/>
  </w:num>
  <w:num w:numId="5" w16cid:durableId="1115250048">
    <w:abstractNumId w:val="26"/>
  </w:num>
  <w:num w:numId="6" w16cid:durableId="129173309">
    <w:abstractNumId w:val="19"/>
  </w:num>
  <w:num w:numId="7" w16cid:durableId="833184098">
    <w:abstractNumId w:val="10"/>
  </w:num>
  <w:num w:numId="8" w16cid:durableId="805053522">
    <w:abstractNumId w:val="46"/>
  </w:num>
  <w:num w:numId="9" w16cid:durableId="281495665">
    <w:abstractNumId w:val="0"/>
  </w:num>
  <w:num w:numId="10" w16cid:durableId="60372001">
    <w:abstractNumId w:val="51"/>
  </w:num>
  <w:num w:numId="11" w16cid:durableId="495338277">
    <w:abstractNumId w:val="21"/>
  </w:num>
  <w:num w:numId="12" w16cid:durableId="14153956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28278599">
    <w:abstractNumId w:val="39"/>
  </w:num>
  <w:num w:numId="14" w16cid:durableId="1318343366">
    <w:abstractNumId w:val="48"/>
  </w:num>
  <w:num w:numId="15" w16cid:durableId="1391153669">
    <w:abstractNumId w:val="6"/>
  </w:num>
  <w:num w:numId="16" w16cid:durableId="1261186523">
    <w:abstractNumId w:val="43"/>
  </w:num>
  <w:num w:numId="17" w16cid:durableId="868445576">
    <w:abstractNumId w:val="4"/>
  </w:num>
  <w:num w:numId="18" w16cid:durableId="1947032056">
    <w:abstractNumId w:val="38"/>
  </w:num>
  <w:num w:numId="19" w16cid:durableId="1318876676">
    <w:abstractNumId w:val="28"/>
  </w:num>
  <w:num w:numId="20" w16cid:durableId="698050910">
    <w:abstractNumId w:val="3"/>
  </w:num>
  <w:num w:numId="21" w16cid:durableId="107820615">
    <w:abstractNumId w:val="24"/>
  </w:num>
  <w:num w:numId="22" w16cid:durableId="1031225445">
    <w:abstractNumId w:val="8"/>
  </w:num>
  <w:num w:numId="23" w16cid:durableId="1069419746">
    <w:abstractNumId w:val="27"/>
  </w:num>
  <w:num w:numId="24" w16cid:durableId="141626650">
    <w:abstractNumId w:val="1"/>
  </w:num>
  <w:num w:numId="25" w16cid:durableId="1225263854">
    <w:abstractNumId w:val="37"/>
  </w:num>
  <w:num w:numId="26" w16cid:durableId="2097745049">
    <w:abstractNumId w:val="16"/>
  </w:num>
  <w:num w:numId="27" w16cid:durableId="68115099">
    <w:abstractNumId w:val="34"/>
  </w:num>
  <w:num w:numId="28" w16cid:durableId="979109906">
    <w:abstractNumId w:val="41"/>
  </w:num>
  <w:num w:numId="29" w16cid:durableId="1446850176">
    <w:abstractNumId w:val="42"/>
  </w:num>
  <w:num w:numId="30" w16cid:durableId="1278214362">
    <w:abstractNumId w:val="45"/>
  </w:num>
  <w:num w:numId="31" w16cid:durableId="1437943288">
    <w:abstractNumId w:val="11"/>
  </w:num>
  <w:num w:numId="32" w16cid:durableId="6563154">
    <w:abstractNumId w:val="44"/>
  </w:num>
  <w:num w:numId="33" w16cid:durableId="1984694963">
    <w:abstractNumId w:val="29"/>
  </w:num>
  <w:num w:numId="34" w16cid:durableId="1842888351">
    <w:abstractNumId w:val="13"/>
  </w:num>
  <w:num w:numId="35" w16cid:durableId="511602875">
    <w:abstractNumId w:val="9"/>
  </w:num>
  <w:num w:numId="36" w16cid:durableId="1552577931">
    <w:abstractNumId w:val="17"/>
  </w:num>
  <w:num w:numId="37" w16cid:durableId="986587708">
    <w:abstractNumId w:val="15"/>
  </w:num>
  <w:num w:numId="38" w16cid:durableId="1368795665">
    <w:abstractNumId w:val="49"/>
  </w:num>
  <w:num w:numId="39" w16cid:durableId="998263404">
    <w:abstractNumId w:val="52"/>
  </w:num>
  <w:num w:numId="40" w16cid:durableId="1832216552">
    <w:abstractNumId w:val="12"/>
  </w:num>
  <w:num w:numId="41" w16cid:durableId="73551080">
    <w:abstractNumId w:val="50"/>
  </w:num>
  <w:num w:numId="42" w16cid:durableId="1088430405">
    <w:abstractNumId w:val="47"/>
  </w:num>
  <w:num w:numId="43" w16cid:durableId="1787505504">
    <w:abstractNumId w:val="18"/>
  </w:num>
  <w:num w:numId="44" w16cid:durableId="1518273539">
    <w:abstractNumId w:val="7"/>
  </w:num>
  <w:num w:numId="45" w16cid:durableId="794565856">
    <w:abstractNumId w:val="25"/>
  </w:num>
  <w:num w:numId="46" w16cid:durableId="1012225839">
    <w:abstractNumId w:val="40"/>
  </w:num>
  <w:num w:numId="47" w16cid:durableId="2087996502">
    <w:abstractNumId w:val="30"/>
  </w:num>
  <w:num w:numId="48" w16cid:durableId="1750955435">
    <w:abstractNumId w:val="35"/>
  </w:num>
  <w:num w:numId="49" w16cid:durableId="1087386341">
    <w:abstractNumId w:val="23"/>
  </w:num>
  <w:num w:numId="50" w16cid:durableId="874735892">
    <w:abstractNumId w:val="2"/>
  </w:num>
  <w:num w:numId="51" w16cid:durableId="1356927794">
    <w:abstractNumId w:val="14"/>
  </w:num>
  <w:num w:numId="52" w16cid:durableId="123813356">
    <w:abstractNumId w:val="22"/>
  </w:num>
  <w:num w:numId="53" w16cid:durableId="405033442">
    <w:abstractNumId w:val="5"/>
  </w:num>
  <w:num w:numId="54" w16cid:durableId="1298804897">
    <w:abstractNumId w:val="3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defaultTabStop w:val="720"/>
  <w:characterSpacingControl w:val="doNotCompress"/>
  <w:hdrShapeDefaults>
    <o:shapedefaults v:ext="edit" spidmax="2050"/>
    <o:shapelayout v:ext="edit">
      <o:idmap v:ext="edit" data="1"/>
    </o:shapelayout>
  </w:hdrShapeDefaults>
  <w:footnotePr>
    <w:numFmt w:val="lowerLette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AA3"/>
    <w:rsid w:val="00000142"/>
    <w:rsid w:val="000004EB"/>
    <w:rsid w:val="00000AD1"/>
    <w:rsid w:val="00000AEC"/>
    <w:rsid w:val="00000D57"/>
    <w:rsid w:val="00000DE9"/>
    <w:rsid w:val="00000EAF"/>
    <w:rsid w:val="00001206"/>
    <w:rsid w:val="000013AD"/>
    <w:rsid w:val="00001A40"/>
    <w:rsid w:val="00001C35"/>
    <w:rsid w:val="00002263"/>
    <w:rsid w:val="000022B1"/>
    <w:rsid w:val="00002533"/>
    <w:rsid w:val="0000255A"/>
    <w:rsid w:val="000025CA"/>
    <w:rsid w:val="00002923"/>
    <w:rsid w:val="00002A7C"/>
    <w:rsid w:val="00003505"/>
    <w:rsid w:val="00003542"/>
    <w:rsid w:val="00003CA8"/>
    <w:rsid w:val="00003D93"/>
    <w:rsid w:val="00003DB2"/>
    <w:rsid w:val="00004144"/>
    <w:rsid w:val="00004979"/>
    <w:rsid w:val="00004BA4"/>
    <w:rsid w:val="00004D02"/>
    <w:rsid w:val="00004F0C"/>
    <w:rsid w:val="0000520D"/>
    <w:rsid w:val="00005606"/>
    <w:rsid w:val="000059E4"/>
    <w:rsid w:val="00005C75"/>
    <w:rsid w:val="00005D62"/>
    <w:rsid w:val="00005E65"/>
    <w:rsid w:val="000063B1"/>
    <w:rsid w:val="00006771"/>
    <w:rsid w:val="00006794"/>
    <w:rsid w:val="000067DD"/>
    <w:rsid w:val="00006A63"/>
    <w:rsid w:val="00006C46"/>
    <w:rsid w:val="00006C89"/>
    <w:rsid w:val="00006ED4"/>
    <w:rsid w:val="000070C2"/>
    <w:rsid w:val="000070D3"/>
    <w:rsid w:val="0000719E"/>
    <w:rsid w:val="00007253"/>
    <w:rsid w:val="000073F1"/>
    <w:rsid w:val="00007539"/>
    <w:rsid w:val="00007A79"/>
    <w:rsid w:val="00007E28"/>
    <w:rsid w:val="00010111"/>
    <w:rsid w:val="00010767"/>
    <w:rsid w:val="0001076C"/>
    <w:rsid w:val="00010878"/>
    <w:rsid w:val="00010E94"/>
    <w:rsid w:val="00010EA5"/>
    <w:rsid w:val="0001139F"/>
    <w:rsid w:val="0001140A"/>
    <w:rsid w:val="0001159E"/>
    <w:rsid w:val="0001164C"/>
    <w:rsid w:val="00011738"/>
    <w:rsid w:val="000123E0"/>
    <w:rsid w:val="00012478"/>
    <w:rsid w:val="00012593"/>
    <w:rsid w:val="00012892"/>
    <w:rsid w:val="0001296A"/>
    <w:rsid w:val="00013589"/>
    <w:rsid w:val="00013D53"/>
    <w:rsid w:val="00013E26"/>
    <w:rsid w:val="00014234"/>
    <w:rsid w:val="00015260"/>
    <w:rsid w:val="000152BE"/>
    <w:rsid w:val="000156B6"/>
    <w:rsid w:val="00015805"/>
    <w:rsid w:val="00015B07"/>
    <w:rsid w:val="00015C46"/>
    <w:rsid w:val="00015EE3"/>
    <w:rsid w:val="000161B8"/>
    <w:rsid w:val="0001666B"/>
    <w:rsid w:val="000169AB"/>
    <w:rsid w:val="00016B4E"/>
    <w:rsid w:val="00016E25"/>
    <w:rsid w:val="00016FDC"/>
    <w:rsid w:val="00017239"/>
    <w:rsid w:val="000172BA"/>
    <w:rsid w:val="00017B33"/>
    <w:rsid w:val="00017C59"/>
    <w:rsid w:val="00017D1B"/>
    <w:rsid w:val="00017E49"/>
    <w:rsid w:val="00017E7E"/>
    <w:rsid w:val="00017EF7"/>
    <w:rsid w:val="00017F89"/>
    <w:rsid w:val="00020354"/>
    <w:rsid w:val="0002061C"/>
    <w:rsid w:val="000210C6"/>
    <w:rsid w:val="00021239"/>
    <w:rsid w:val="00021774"/>
    <w:rsid w:val="00021A67"/>
    <w:rsid w:val="00022014"/>
    <w:rsid w:val="00022DAF"/>
    <w:rsid w:val="00023045"/>
    <w:rsid w:val="000232F9"/>
    <w:rsid w:val="00023690"/>
    <w:rsid w:val="00023D19"/>
    <w:rsid w:val="00023FC9"/>
    <w:rsid w:val="0002424D"/>
    <w:rsid w:val="000252FA"/>
    <w:rsid w:val="000259C8"/>
    <w:rsid w:val="00025A3E"/>
    <w:rsid w:val="00025C2B"/>
    <w:rsid w:val="00025E23"/>
    <w:rsid w:val="00025E38"/>
    <w:rsid w:val="00025EB2"/>
    <w:rsid w:val="00025F13"/>
    <w:rsid w:val="00025FFF"/>
    <w:rsid w:val="00026105"/>
    <w:rsid w:val="0002663C"/>
    <w:rsid w:val="000266CE"/>
    <w:rsid w:val="000266FA"/>
    <w:rsid w:val="0002689B"/>
    <w:rsid w:val="00026DE7"/>
    <w:rsid w:val="000271C1"/>
    <w:rsid w:val="00027B37"/>
    <w:rsid w:val="00027B56"/>
    <w:rsid w:val="00027D19"/>
    <w:rsid w:val="00027D3A"/>
    <w:rsid w:val="0003011E"/>
    <w:rsid w:val="000301C5"/>
    <w:rsid w:val="00030234"/>
    <w:rsid w:val="00030367"/>
    <w:rsid w:val="00030CFE"/>
    <w:rsid w:val="00030D02"/>
    <w:rsid w:val="000311F0"/>
    <w:rsid w:val="00031245"/>
    <w:rsid w:val="000313D2"/>
    <w:rsid w:val="000316F7"/>
    <w:rsid w:val="00031CB0"/>
    <w:rsid w:val="00031F57"/>
    <w:rsid w:val="000325B1"/>
    <w:rsid w:val="0003363C"/>
    <w:rsid w:val="0003365B"/>
    <w:rsid w:val="000336AB"/>
    <w:rsid w:val="00033914"/>
    <w:rsid w:val="00033D6D"/>
    <w:rsid w:val="00034270"/>
    <w:rsid w:val="00034622"/>
    <w:rsid w:val="0003487C"/>
    <w:rsid w:val="00034AF9"/>
    <w:rsid w:val="00034F10"/>
    <w:rsid w:val="00034F96"/>
    <w:rsid w:val="00035C52"/>
    <w:rsid w:val="00035EC4"/>
    <w:rsid w:val="00036609"/>
    <w:rsid w:val="00036649"/>
    <w:rsid w:val="0003690A"/>
    <w:rsid w:val="00036913"/>
    <w:rsid w:val="000373EF"/>
    <w:rsid w:val="000375F1"/>
    <w:rsid w:val="00037772"/>
    <w:rsid w:val="00037948"/>
    <w:rsid w:val="000402AD"/>
    <w:rsid w:val="000402DC"/>
    <w:rsid w:val="000403B0"/>
    <w:rsid w:val="00040579"/>
    <w:rsid w:val="00040883"/>
    <w:rsid w:val="00040A6D"/>
    <w:rsid w:val="00040D61"/>
    <w:rsid w:val="00040D9B"/>
    <w:rsid w:val="00040DA3"/>
    <w:rsid w:val="00040E19"/>
    <w:rsid w:val="000410C2"/>
    <w:rsid w:val="0004130D"/>
    <w:rsid w:val="00041A5A"/>
    <w:rsid w:val="00041C32"/>
    <w:rsid w:val="00041C4F"/>
    <w:rsid w:val="00041E55"/>
    <w:rsid w:val="00042203"/>
    <w:rsid w:val="00042355"/>
    <w:rsid w:val="00042462"/>
    <w:rsid w:val="00042AA0"/>
    <w:rsid w:val="00042EFA"/>
    <w:rsid w:val="00042FCF"/>
    <w:rsid w:val="00043185"/>
    <w:rsid w:val="00043243"/>
    <w:rsid w:val="00043C99"/>
    <w:rsid w:val="000441A6"/>
    <w:rsid w:val="00044255"/>
    <w:rsid w:val="000448CD"/>
    <w:rsid w:val="00044A45"/>
    <w:rsid w:val="00044EBA"/>
    <w:rsid w:val="00045546"/>
    <w:rsid w:val="0004570A"/>
    <w:rsid w:val="00045797"/>
    <w:rsid w:val="000459E9"/>
    <w:rsid w:val="0004606A"/>
    <w:rsid w:val="00046551"/>
    <w:rsid w:val="00047658"/>
    <w:rsid w:val="00047D1E"/>
    <w:rsid w:val="00050969"/>
    <w:rsid w:val="0005105B"/>
    <w:rsid w:val="000511B8"/>
    <w:rsid w:val="00051491"/>
    <w:rsid w:val="00051D34"/>
    <w:rsid w:val="00051E53"/>
    <w:rsid w:val="00051E63"/>
    <w:rsid w:val="00052650"/>
    <w:rsid w:val="000526E7"/>
    <w:rsid w:val="00052C42"/>
    <w:rsid w:val="00052DC6"/>
    <w:rsid w:val="00052E8B"/>
    <w:rsid w:val="00052F78"/>
    <w:rsid w:val="0005324B"/>
    <w:rsid w:val="00053273"/>
    <w:rsid w:val="000536B8"/>
    <w:rsid w:val="00053898"/>
    <w:rsid w:val="00053B31"/>
    <w:rsid w:val="00053F9D"/>
    <w:rsid w:val="00054150"/>
    <w:rsid w:val="000547DD"/>
    <w:rsid w:val="00054821"/>
    <w:rsid w:val="00054882"/>
    <w:rsid w:val="00054B80"/>
    <w:rsid w:val="000554BA"/>
    <w:rsid w:val="00056382"/>
    <w:rsid w:val="00056B73"/>
    <w:rsid w:val="00056C02"/>
    <w:rsid w:val="00056C05"/>
    <w:rsid w:val="00057266"/>
    <w:rsid w:val="00060534"/>
    <w:rsid w:val="00060933"/>
    <w:rsid w:val="000609C6"/>
    <w:rsid w:val="00060A4C"/>
    <w:rsid w:val="00060D67"/>
    <w:rsid w:val="00060E3F"/>
    <w:rsid w:val="00061398"/>
    <w:rsid w:val="000613C3"/>
    <w:rsid w:val="000614F6"/>
    <w:rsid w:val="0006192B"/>
    <w:rsid w:val="00061B40"/>
    <w:rsid w:val="00061DDC"/>
    <w:rsid w:val="00062007"/>
    <w:rsid w:val="000624DA"/>
    <w:rsid w:val="000624DB"/>
    <w:rsid w:val="0006253E"/>
    <w:rsid w:val="000625C7"/>
    <w:rsid w:val="000627CB"/>
    <w:rsid w:val="00062E30"/>
    <w:rsid w:val="00062FB9"/>
    <w:rsid w:val="000631D8"/>
    <w:rsid w:val="00063261"/>
    <w:rsid w:val="00063374"/>
    <w:rsid w:val="000636AD"/>
    <w:rsid w:val="00063986"/>
    <w:rsid w:val="00063A25"/>
    <w:rsid w:val="00064329"/>
    <w:rsid w:val="000649DE"/>
    <w:rsid w:val="00064AC8"/>
    <w:rsid w:val="00064B7B"/>
    <w:rsid w:val="00064B81"/>
    <w:rsid w:val="00064D08"/>
    <w:rsid w:val="00065519"/>
    <w:rsid w:val="0006598D"/>
    <w:rsid w:val="00065A24"/>
    <w:rsid w:val="00065A4B"/>
    <w:rsid w:val="00065C6F"/>
    <w:rsid w:val="00065DAD"/>
    <w:rsid w:val="00065DF6"/>
    <w:rsid w:val="00065F06"/>
    <w:rsid w:val="00066234"/>
    <w:rsid w:val="00066729"/>
    <w:rsid w:val="00066817"/>
    <w:rsid w:val="00066AD4"/>
    <w:rsid w:val="00066D79"/>
    <w:rsid w:val="0006718B"/>
    <w:rsid w:val="00067640"/>
    <w:rsid w:val="00067907"/>
    <w:rsid w:val="0006798D"/>
    <w:rsid w:val="00067FEB"/>
    <w:rsid w:val="000707D4"/>
    <w:rsid w:val="00070DFF"/>
    <w:rsid w:val="00070FFF"/>
    <w:rsid w:val="0007108A"/>
    <w:rsid w:val="00071164"/>
    <w:rsid w:val="00071232"/>
    <w:rsid w:val="0007132C"/>
    <w:rsid w:val="00071597"/>
    <w:rsid w:val="000715EC"/>
    <w:rsid w:val="00071885"/>
    <w:rsid w:val="000719E1"/>
    <w:rsid w:val="00071A9A"/>
    <w:rsid w:val="00071B4B"/>
    <w:rsid w:val="0007233F"/>
    <w:rsid w:val="0007237F"/>
    <w:rsid w:val="00072448"/>
    <w:rsid w:val="000724F7"/>
    <w:rsid w:val="0007255A"/>
    <w:rsid w:val="00072847"/>
    <w:rsid w:val="00072C06"/>
    <w:rsid w:val="00072C2F"/>
    <w:rsid w:val="00072E88"/>
    <w:rsid w:val="000731F0"/>
    <w:rsid w:val="0007370B"/>
    <w:rsid w:val="00073893"/>
    <w:rsid w:val="0007392D"/>
    <w:rsid w:val="00073AEB"/>
    <w:rsid w:val="00073C20"/>
    <w:rsid w:val="00074180"/>
    <w:rsid w:val="0007434A"/>
    <w:rsid w:val="000745DC"/>
    <w:rsid w:val="00074BE4"/>
    <w:rsid w:val="00074F68"/>
    <w:rsid w:val="000750BD"/>
    <w:rsid w:val="0007528B"/>
    <w:rsid w:val="00075461"/>
    <w:rsid w:val="000754C3"/>
    <w:rsid w:val="0007550C"/>
    <w:rsid w:val="000755A9"/>
    <w:rsid w:val="00075968"/>
    <w:rsid w:val="000759E9"/>
    <w:rsid w:val="00075ABD"/>
    <w:rsid w:val="00075AE4"/>
    <w:rsid w:val="00075C04"/>
    <w:rsid w:val="00075E63"/>
    <w:rsid w:val="00076055"/>
    <w:rsid w:val="0007611D"/>
    <w:rsid w:val="00076219"/>
    <w:rsid w:val="00076584"/>
    <w:rsid w:val="00076A37"/>
    <w:rsid w:val="00076ADA"/>
    <w:rsid w:val="00077056"/>
    <w:rsid w:val="00077097"/>
    <w:rsid w:val="000771DA"/>
    <w:rsid w:val="00077795"/>
    <w:rsid w:val="000778A7"/>
    <w:rsid w:val="000779D8"/>
    <w:rsid w:val="00077C6E"/>
    <w:rsid w:val="00077ECA"/>
    <w:rsid w:val="00080095"/>
    <w:rsid w:val="000801ED"/>
    <w:rsid w:val="000805C8"/>
    <w:rsid w:val="00080BE1"/>
    <w:rsid w:val="00080E13"/>
    <w:rsid w:val="0008152E"/>
    <w:rsid w:val="000817FA"/>
    <w:rsid w:val="00081A04"/>
    <w:rsid w:val="00081BD1"/>
    <w:rsid w:val="00081D55"/>
    <w:rsid w:val="00081F17"/>
    <w:rsid w:val="00081F1B"/>
    <w:rsid w:val="00082158"/>
    <w:rsid w:val="00082218"/>
    <w:rsid w:val="00082597"/>
    <w:rsid w:val="0008266F"/>
    <w:rsid w:val="0008290E"/>
    <w:rsid w:val="0008291B"/>
    <w:rsid w:val="00082986"/>
    <w:rsid w:val="00082F37"/>
    <w:rsid w:val="00083150"/>
    <w:rsid w:val="000831A5"/>
    <w:rsid w:val="0008376A"/>
    <w:rsid w:val="0008379A"/>
    <w:rsid w:val="00083DB0"/>
    <w:rsid w:val="00083F95"/>
    <w:rsid w:val="0008408B"/>
    <w:rsid w:val="000842DD"/>
    <w:rsid w:val="00084572"/>
    <w:rsid w:val="000846B0"/>
    <w:rsid w:val="000849C2"/>
    <w:rsid w:val="00084AFF"/>
    <w:rsid w:val="00084BF9"/>
    <w:rsid w:val="0008520F"/>
    <w:rsid w:val="0008548A"/>
    <w:rsid w:val="000855D6"/>
    <w:rsid w:val="0008563E"/>
    <w:rsid w:val="00085650"/>
    <w:rsid w:val="000858BA"/>
    <w:rsid w:val="00085AFC"/>
    <w:rsid w:val="000865AD"/>
    <w:rsid w:val="00086637"/>
    <w:rsid w:val="000866F1"/>
    <w:rsid w:val="0008672C"/>
    <w:rsid w:val="000867CE"/>
    <w:rsid w:val="00086886"/>
    <w:rsid w:val="0008692E"/>
    <w:rsid w:val="00086C4F"/>
    <w:rsid w:val="00086E02"/>
    <w:rsid w:val="00086E52"/>
    <w:rsid w:val="00086FDC"/>
    <w:rsid w:val="0008722C"/>
    <w:rsid w:val="00087541"/>
    <w:rsid w:val="00087570"/>
    <w:rsid w:val="000875B6"/>
    <w:rsid w:val="000879A9"/>
    <w:rsid w:val="00087B27"/>
    <w:rsid w:val="0009059B"/>
    <w:rsid w:val="00090769"/>
    <w:rsid w:val="00091232"/>
    <w:rsid w:val="000913FC"/>
    <w:rsid w:val="00091534"/>
    <w:rsid w:val="00091942"/>
    <w:rsid w:val="00091A6A"/>
    <w:rsid w:val="00091F46"/>
    <w:rsid w:val="00092564"/>
    <w:rsid w:val="000925F3"/>
    <w:rsid w:val="00092697"/>
    <w:rsid w:val="000929D2"/>
    <w:rsid w:val="00092BB7"/>
    <w:rsid w:val="00092E44"/>
    <w:rsid w:val="00092FA3"/>
    <w:rsid w:val="000930A4"/>
    <w:rsid w:val="000932B6"/>
    <w:rsid w:val="000936DE"/>
    <w:rsid w:val="00093EDB"/>
    <w:rsid w:val="00094190"/>
    <w:rsid w:val="00094273"/>
    <w:rsid w:val="000942B3"/>
    <w:rsid w:val="000943C8"/>
    <w:rsid w:val="00094D16"/>
    <w:rsid w:val="00094DDE"/>
    <w:rsid w:val="00095522"/>
    <w:rsid w:val="000955BC"/>
    <w:rsid w:val="00095728"/>
    <w:rsid w:val="00095968"/>
    <w:rsid w:val="00095A19"/>
    <w:rsid w:val="00095B6C"/>
    <w:rsid w:val="00095BCA"/>
    <w:rsid w:val="00095BD7"/>
    <w:rsid w:val="00096208"/>
    <w:rsid w:val="0009627A"/>
    <w:rsid w:val="0009632D"/>
    <w:rsid w:val="000965D5"/>
    <w:rsid w:val="00096957"/>
    <w:rsid w:val="00096C4A"/>
    <w:rsid w:val="00096E02"/>
    <w:rsid w:val="0009777C"/>
    <w:rsid w:val="00097928"/>
    <w:rsid w:val="000A0019"/>
    <w:rsid w:val="000A0168"/>
    <w:rsid w:val="000A0247"/>
    <w:rsid w:val="000A026B"/>
    <w:rsid w:val="000A09A0"/>
    <w:rsid w:val="000A0C27"/>
    <w:rsid w:val="000A0EBE"/>
    <w:rsid w:val="000A1074"/>
    <w:rsid w:val="000A117F"/>
    <w:rsid w:val="000A11EB"/>
    <w:rsid w:val="000A136E"/>
    <w:rsid w:val="000A1384"/>
    <w:rsid w:val="000A171E"/>
    <w:rsid w:val="000A192E"/>
    <w:rsid w:val="000A3327"/>
    <w:rsid w:val="000A3592"/>
    <w:rsid w:val="000A3829"/>
    <w:rsid w:val="000A3AB9"/>
    <w:rsid w:val="000A3C06"/>
    <w:rsid w:val="000A3D71"/>
    <w:rsid w:val="000A3FCE"/>
    <w:rsid w:val="000A452B"/>
    <w:rsid w:val="000A4707"/>
    <w:rsid w:val="000A4F4A"/>
    <w:rsid w:val="000A5037"/>
    <w:rsid w:val="000A5981"/>
    <w:rsid w:val="000A5CF5"/>
    <w:rsid w:val="000A5DB8"/>
    <w:rsid w:val="000A635A"/>
    <w:rsid w:val="000A64C5"/>
    <w:rsid w:val="000A65FC"/>
    <w:rsid w:val="000A6655"/>
    <w:rsid w:val="000A6677"/>
    <w:rsid w:val="000A6903"/>
    <w:rsid w:val="000A6AF1"/>
    <w:rsid w:val="000A6BD9"/>
    <w:rsid w:val="000A6BE5"/>
    <w:rsid w:val="000A6CBC"/>
    <w:rsid w:val="000A7451"/>
    <w:rsid w:val="000A787D"/>
    <w:rsid w:val="000A7A05"/>
    <w:rsid w:val="000A7E39"/>
    <w:rsid w:val="000A7EA5"/>
    <w:rsid w:val="000B0362"/>
    <w:rsid w:val="000B0D07"/>
    <w:rsid w:val="000B0EED"/>
    <w:rsid w:val="000B1305"/>
    <w:rsid w:val="000B1541"/>
    <w:rsid w:val="000B1E1F"/>
    <w:rsid w:val="000B2025"/>
    <w:rsid w:val="000B287C"/>
    <w:rsid w:val="000B2BE0"/>
    <w:rsid w:val="000B3347"/>
    <w:rsid w:val="000B3676"/>
    <w:rsid w:val="000B399D"/>
    <w:rsid w:val="000B3CBD"/>
    <w:rsid w:val="000B3D67"/>
    <w:rsid w:val="000B4041"/>
    <w:rsid w:val="000B432E"/>
    <w:rsid w:val="000B5309"/>
    <w:rsid w:val="000B583F"/>
    <w:rsid w:val="000B59A1"/>
    <w:rsid w:val="000B61C4"/>
    <w:rsid w:val="000B64C1"/>
    <w:rsid w:val="000B65DB"/>
    <w:rsid w:val="000B68ED"/>
    <w:rsid w:val="000B6D0A"/>
    <w:rsid w:val="000B6DB8"/>
    <w:rsid w:val="000B706C"/>
    <w:rsid w:val="000B7089"/>
    <w:rsid w:val="000B7382"/>
    <w:rsid w:val="000B7D66"/>
    <w:rsid w:val="000B7D9B"/>
    <w:rsid w:val="000B7E44"/>
    <w:rsid w:val="000C06D3"/>
    <w:rsid w:val="000C06F4"/>
    <w:rsid w:val="000C0C72"/>
    <w:rsid w:val="000C0E51"/>
    <w:rsid w:val="000C0F02"/>
    <w:rsid w:val="000C1054"/>
    <w:rsid w:val="000C1238"/>
    <w:rsid w:val="000C14B0"/>
    <w:rsid w:val="000C1B40"/>
    <w:rsid w:val="000C1E49"/>
    <w:rsid w:val="000C2136"/>
    <w:rsid w:val="000C237F"/>
    <w:rsid w:val="000C2BB1"/>
    <w:rsid w:val="000C2DB4"/>
    <w:rsid w:val="000C2E09"/>
    <w:rsid w:val="000C2E8D"/>
    <w:rsid w:val="000C3276"/>
    <w:rsid w:val="000C34E8"/>
    <w:rsid w:val="000C3592"/>
    <w:rsid w:val="000C3678"/>
    <w:rsid w:val="000C3C36"/>
    <w:rsid w:val="000C3D32"/>
    <w:rsid w:val="000C3F39"/>
    <w:rsid w:val="000C421C"/>
    <w:rsid w:val="000C4438"/>
    <w:rsid w:val="000C45B6"/>
    <w:rsid w:val="000C46E4"/>
    <w:rsid w:val="000C4A9A"/>
    <w:rsid w:val="000C4D6A"/>
    <w:rsid w:val="000C4E15"/>
    <w:rsid w:val="000C543C"/>
    <w:rsid w:val="000C548A"/>
    <w:rsid w:val="000C54E5"/>
    <w:rsid w:val="000C579D"/>
    <w:rsid w:val="000C5ED0"/>
    <w:rsid w:val="000C5F6B"/>
    <w:rsid w:val="000C61C3"/>
    <w:rsid w:val="000C6219"/>
    <w:rsid w:val="000C68ED"/>
    <w:rsid w:val="000C695F"/>
    <w:rsid w:val="000C69D5"/>
    <w:rsid w:val="000C6B6A"/>
    <w:rsid w:val="000C6C4C"/>
    <w:rsid w:val="000C70C3"/>
    <w:rsid w:val="000C739C"/>
    <w:rsid w:val="000C7AB4"/>
    <w:rsid w:val="000D022A"/>
    <w:rsid w:val="000D0246"/>
    <w:rsid w:val="000D0379"/>
    <w:rsid w:val="000D045D"/>
    <w:rsid w:val="000D0743"/>
    <w:rsid w:val="000D0837"/>
    <w:rsid w:val="000D0841"/>
    <w:rsid w:val="000D0972"/>
    <w:rsid w:val="000D11E7"/>
    <w:rsid w:val="000D12F2"/>
    <w:rsid w:val="000D1A5D"/>
    <w:rsid w:val="000D24EB"/>
    <w:rsid w:val="000D2909"/>
    <w:rsid w:val="000D2967"/>
    <w:rsid w:val="000D2C3D"/>
    <w:rsid w:val="000D2DAA"/>
    <w:rsid w:val="000D2DAC"/>
    <w:rsid w:val="000D2E3E"/>
    <w:rsid w:val="000D31EB"/>
    <w:rsid w:val="000D339D"/>
    <w:rsid w:val="000D33D1"/>
    <w:rsid w:val="000D3837"/>
    <w:rsid w:val="000D3BE9"/>
    <w:rsid w:val="000D3DF8"/>
    <w:rsid w:val="000D481F"/>
    <w:rsid w:val="000D4ADB"/>
    <w:rsid w:val="000D5394"/>
    <w:rsid w:val="000D5CFE"/>
    <w:rsid w:val="000D638B"/>
    <w:rsid w:val="000D6A33"/>
    <w:rsid w:val="000D6A59"/>
    <w:rsid w:val="000D7052"/>
    <w:rsid w:val="000D7960"/>
    <w:rsid w:val="000D796B"/>
    <w:rsid w:val="000D7C15"/>
    <w:rsid w:val="000D7C33"/>
    <w:rsid w:val="000D7E72"/>
    <w:rsid w:val="000E012E"/>
    <w:rsid w:val="000E075A"/>
    <w:rsid w:val="000E0820"/>
    <w:rsid w:val="000E0CB5"/>
    <w:rsid w:val="000E0EDC"/>
    <w:rsid w:val="000E11D2"/>
    <w:rsid w:val="000E133D"/>
    <w:rsid w:val="000E1353"/>
    <w:rsid w:val="000E16F1"/>
    <w:rsid w:val="000E1929"/>
    <w:rsid w:val="000E1C52"/>
    <w:rsid w:val="000E1D20"/>
    <w:rsid w:val="000E22AC"/>
    <w:rsid w:val="000E2B8F"/>
    <w:rsid w:val="000E2CE1"/>
    <w:rsid w:val="000E2FE8"/>
    <w:rsid w:val="000E30EF"/>
    <w:rsid w:val="000E3175"/>
    <w:rsid w:val="000E3931"/>
    <w:rsid w:val="000E3A12"/>
    <w:rsid w:val="000E3CC1"/>
    <w:rsid w:val="000E3E7B"/>
    <w:rsid w:val="000E3F52"/>
    <w:rsid w:val="000E43E0"/>
    <w:rsid w:val="000E47F0"/>
    <w:rsid w:val="000E4B91"/>
    <w:rsid w:val="000E5935"/>
    <w:rsid w:val="000E594D"/>
    <w:rsid w:val="000E5BC5"/>
    <w:rsid w:val="000E5D10"/>
    <w:rsid w:val="000E5D3A"/>
    <w:rsid w:val="000E6018"/>
    <w:rsid w:val="000E60E3"/>
    <w:rsid w:val="000E629C"/>
    <w:rsid w:val="000E630A"/>
    <w:rsid w:val="000E6637"/>
    <w:rsid w:val="000E6A36"/>
    <w:rsid w:val="000E6F03"/>
    <w:rsid w:val="000E6FE7"/>
    <w:rsid w:val="000E7E25"/>
    <w:rsid w:val="000E7FDA"/>
    <w:rsid w:val="000F017F"/>
    <w:rsid w:val="000F04FA"/>
    <w:rsid w:val="000F08FA"/>
    <w:rsid w:val="000F0AC8"/>
    <w:rsid w:val="000F0F35"/>
    <w:rsid w:val="000F10BB"/>
    <w:rsid w:val="000F1202"/>
    <w:rsid w:val="000F12F5"/>
    <w:rsid w:val="000F144C"/>
    <w:rsid w:val="000F196A"/>
    <w:rsid w:val="000F1A7D"/>
    <w:rsid w:val="000F1C9F"/>
    <w:rsid w:val="000F1EA6"/>
    <w:rsid w:val="000F25BE"/>
    <w:rsid w:val="000F294F"/>
    <w:rsid w:val="000F2F41"/>
    <w:rsid w:val="000F30C3"/>
    <w:rsid w:val="000F3103"/>
    <w:rsid w:val="000F3438"/>
    <w:rsid w:val="000F35DB"/>
    <w:rsid w:val="000F377D"/>
    <w:rsid w:val="000F3995"/>
    <w:rsid w:val="000F3CE0"/>
    <w:rsid w:val="000F3F99"/>
    <w:rsid w:val="000F4436"/>
    <w:rsid w:val="000F4887"/>
    <w:rsid w:val="000F4C5A"/>
    <w:rsid w:val="000F4C66"/>
    <w:rsid w:val="000F4CCA"/>
    <w:rsid w:val="000F4EC0"/>
    <w:rsid w:val="000F5158"/>
    <w:rsid w:val="000F5907"/>
    <w:rsid w:val="000F602B"/>
    <w:rsid w:val="000F61EE"/>
    <w:rsid w:val="000F63F8"/>
    <w:rsid w:val="000F641A"/>
    <w:rsid w:val="000F6534"/>
    <w:rsid w:val="000F6AB0"/>
    <w:rsid w:val="000F6B9D"/>
    <w:rsid w:val="000F6DB9"/>
    <w:rsid w:val="000F7172"/>
    <w:rsid w:val="000F7585"/>
    <w:rsid w:val="000F7BF2"/>
    <w:rsid w:val="000F7C32"/>
    <w:rsid w:val="00100C82"/>
    <w:rsid w:val="0010113B"/>
    <w:rsid w:val="00101178"/>
    <w:rsid w:val="001011BD"/>
    <w:rsid w:val="001012BF"/>
    <w:rsid w:val="00101A3B"/>
    <w:rsid w:val="00101C1C"/>
    <w:rsid w:val="00101EF4"/>
    <w:rsid w:val="00102628"/>
    <w:rsid w:val="00102762"/>
    <w:rsid w:val="001027C1"/>
    <w:rsid w:val="00102828"/>
    <w:rsid w:val="00102AC8"/>
    <w:rsid w:val="00102C09"/>
    <w:rsid w:val="00102F4D"/>
    <w:rsid w:val="00102F77"/>
    <w:rsid w:val="00103046"/>
    <w:rsid w:val="0010312E"/>
    <w:rsid w:val="00103205"/>
    <w:rsid w:val="001035A4"/>
    <w:rsid w:val="00103632"/>
    <w:rsid w:val="001038F5"/>
    <w:rsid w:val="00103A32"/>
    <w:rsid w:val="00103B49"/>
    <w:rsid w:val="00103E89"/>
    <w:rsid w:val="00103E8F"/>
    <w:rsid w:val="00103EF7"/>
    <w:rsid w:val="00104187"/>
    <w:rsid w:val="00104331"/>
    <w:rsid w:val="001044BD"/>
    <w:rsid w:val="001046D3"/>
    <w:rsid w:val="00104989"/>
    <w:rsid w:val="001049E3"/>
    <w:rsid w:val="00104CB5"/>
    <w:rsid w:val="00104F8E"/>
    <w:rsid w:val="001052BC"/>
    <w:rsid w:val="0010542E"/>
    <w:rsid w:val="001054E0"/>
    <w:rsid w:val="00105575"/>
    <w:rsid w:val="001056C6"/>
    <w:rsid w:val="0010579A"/>
    <w:rsid w:val="00105D97"/>
    <w:rsid w:val="00105E62"/>
    <w:rsid w:val="00105F24"/>
    <w:rsid w:val="0010643D"/>
    <w:rsid w:val="00106532"/>
    <w:rsid w:val="001067AE"/>
    <w:rsid w:val="001067F9"/>
    <w:rsid w:val="0010695B"/>
    <w:rsid w:val="00106A05"/>
    <w:rsid w:val="00106C7A"/>
    <w:rsid w:val="00106CC0"/>
    <w:rsid w:val="00106D12"/>
    <w:rsid w:val="00107125"/>
    <w:rsid w:val="00107534"/>
    <w:rsid w:val="001076F5"/>
    <w:rsid w:val="00107979"/>
    <w:rsid w:val="00107E77"/>
    <w:rsid w:val="0011025F"/>
    <w:rsid w:val="00110756"/>
    <w:rsid w:val="00110ADD"/>
    <w:rsid w:val="00110C93"/>
    <w:rsid w:val="0011118B"/>
    <w:rsid w:val="0011149D"/>
    <w:rsid w:val="001116FC"/>
    <w:rsid w:val="001118CF"/>
    <w:rsid w:val="00112320"/>
    <w:rsid w:val="0011272B"/>
    <w:rsid w:val="00112980"/>
    <w:rsid w:val="00112A52"/>
    <w:rsid w:val="00113528"/>
    <w:rsid w:val="00113AED"/>
    <w:rsid w:val="00113E96"/>
    <w:rsid w:val="00113FBA"/>
    <w:rsid w:val="00114276"/>
    <w:rsid w:val="00114345"/>
    <w:rsid w:val="001146F4"/>
    <w:rsid w:val="001147FF"/>
    <w:rsid w:val="0011491C"/>
    <w:rsid w:val="00114D60"/>
    <w:rsid w:val="00114D80"/>
    <w:rsid w:val="00114FC9"/>
    <w:rsid w:val="0011556C"/>
    <w:rsid w:val="00115809"/>
    <w:rsid w:val="00115A90"/>
    <w:rsid w:val="00116022"/>
    <w:rsid w:val="00116BF6"/>
    <w:rsid w:val="00116D0E"/>
    <w:rsid w:val="00116E8C"/>
    <w:rsid w:val="00116EDB"/>
    <w:rsid w:val="001170C1"/>
    <w:rsid w:val="00117309"/>
    <w:rsid w:val="0011744F"/>
    <w:rsid w:val="00117B98"/>
    <w:rsid w:val="00117BE6"/>
    <w:rsid w:val="00117BEF"/>
    <w:rsid w:val="00117F7D"/>
    <w:rsid w:val="00120603"/>
    <w:rsid w:val="001206F2"/>
    <w:rsid w:val="00120894"/>
    <w:rsid w:val="00120AD0"/>
    <w:rsid w:val="00120C09"/>
    <w:rsid w:val="00120DFF"/>
    <w:rsid w:val="00120EE2"/>
    <w:rsid w:val="00121041"/>
    <w:rsid w:val="00121077"/>
    <w:rsid w:val="001210BA"/>
    <w:rsid w:val="0012132F"/>
    <w:rsid w:val="001214E8"/>
    <w:rsid w:val="00121855"/>
    <w:rsid w:val="00121869"/>
    <w:rsid w:val="001219E8"/>
    <w:rsid w:val="00121CE4"/>
    <w:rsid w:val="00121F5A"/>
    <w:rsid w:val="00122671"/>
    <w:rsid w:val="00122700"/>
    <w:rsid w:val="001229D2"/>
    <w:rsid w:val="00122BA2"/>
    <w:rsid w:val="00122BB6"/>
    <w:rsid w:val="00122D02"/>
    <w:rsid w:val="00122DC8"/>
    <w:rsid w:val="00123C95"/>
    <w:rsid w:val="00124004"/>
    <w:rsid w:val="0012436A"/>
    <w:rsid w:val="00124930"/>
    <w:rsid w:val="00124C16"/>
    <w:rsid w:val="0012543C"/>
    <w:rsid w:val="001255F3"/>
    <w:rsid w:val="00125819"/>
    <w:rsid w:val="00125C9E"/>
    <w:rsid w:val="00125DB0"/>
    <w:rsid w:val="0012609A"/>
    <w:rsid w:val="001265C9"/>
    <w:rsid w:val="00126889"/>
    <w:rsid w:val="00126A9C"/>
    <w:rsid w:val="00126F74"/>
    <w:rsid w:val="0012708D"/>
    <w:rsid w:val="00127348"/>
    <w:rsid w:val="001274BB"/>
    <w:rsid w:val="00127779"/>
    <w:rsid w:val="001277E3"/>
    <w:rsid w:val="00127FA1"/>
    <w:rsid w:val="001302ED"/>
    <w:rsid w:val="001303B1"/>
    <w:rsid w:val="00130828"/>
    <w:rsid w:val="00130926"/>
    <w:rsid w:val="00130B6B"/>
    <w:rsid w:val="00130C73"/>
    <w:rsid w:val="00130D4B"/>
    <w:rsid w:val="00130DFD"/>
    <w:rsid w:val="001315B0"/>
    <w:rsid w:val="00131AE0"/>
    <w:rsid w:val="00132007"/>
    <w:rsid w:val="0013208B"/>
    <w:rsid w:val="0013251B"/>
    <w:rsid w:val="00132871"/>
    <w:rsid w:val="00132C4A"/>
    <w:rsid w:val="001331CF"/>
    <w:rsid w:val="00133A3F"/>
    <w:rsid w:val="001340C1"/>
    <w:rsid w:val="001343A2"/>
    <w:rsid w:val="001343C2"/>
    <w:rsid w:val="00134791"/>
    <w:rsid w:val="00134CCF"/>
    <w:rsid w:val="00134D2B"/>
    <w:rsid w:val="00134F05"/>
    <w:rsid w:val="001350AB"/>
    <w:rsid w:val="00135AC8"/>
    <w:rsid w:val="00135D78"/>
    <w:rsid w:val="00135DB6"/>
    <w:rsid w:val="00135DBD"/>
    <w:rsid w:val="00136E1B"/>
    <w:rsid w:val="001375D4"/>
    <w:rsid w:val="00137D07"/>
    <w:rsid w:val="001408D2"/>
    <w:rsid w:val="001409B6"/>
    <w:rsid w:val="00140B70"/>
    <w:rsid w:val="00140DB9"/>
    <w:rsid w:val="001413EA"/>
    <w:rsid w:val="00141445"/>
    <w:rsid w:val="0014184F"/>
    <w:rsid w:val="0014189F"/>
    <w:rsid w:val="001422BE"/>
    <w:rsid w:val="00142EA3"/>
    <w:rsid w:val="00142F24"/>
    <w:rsid w:val="0014354C"/>
    <w:rsid w:val="00143C68"/>
    <w:rsid w:val="00143EE4"/>
    <w:rsid w:val="00143F32"/>
    <w:rsid w:val="00144146"/>
    <w:rsid w:val="0014415E"/>
    <w:rsid w:val="0014455D"/>
    <w:rsid w:val="0014461C"/>
    <w:rsid w:val="00144749"/>
    <w:rsid w:val="0014480F"/>
    <w:rsid w:val="00144AAE"/>
    <w:rsid w:val="00144D9C"/>
    <w:rsid w:val="00144F55"/>
    <w:rsid w:val="001457A1"/>
    <w:rsid w:val="00145C00"/>
    <w:rsid w:val="00145D74"/>
    <w:rsid w:val="00145D90"/>
    <w:rsid w:val="00146088"/>
    <w:rsid w:val="001464F9"/>
    <w:rsid w:val="00146A1D"/>
    <w:rsid w:val="0014709A"/>
    <w:rsid w:val="0014761A"/>
    <w:rsid w:val="00147949"/>
    <w:rsid w:val="001479AC"/>
    <w:rsid w:val="00147D1E"/>
    <w:rsid w:val="00150021"/>
    <w:rsid w:val="00150086"/>
    <w:rsid w:val="0015026A"/>
    <w:rsid w:val="001503A1"/>
    <w:rsid w:val="00150460"/>
    <w:rsid w:val="00150AA0"/>
    <w:rsid w:val="00150B15"/>
    <w:rsid w:val="00150B66"/>
    <w:rsid w:val="00150BF7"/>
    <w:rsid w:val="00150C55"/>
    <w:rsid w:val="00150D84"/>
    <w:rsid w:val="001510F3"/>
    <w:rsid w:val="00151BC6"/>
    <w:rsid w:val="00151F6C"/>
    <w:rsid w:val="00152122"/>
    <w:rsid w:val="001522FE"/>
    <w:rsid w:val="0015242F"/>
    <w:rsid w:val="00152794"/>
    <w:rsid w:val="00152BFC"/>
    <w:rsid w:val="00152FF3"/>
    <w:rsid w:val="0015307B"/>
    <w:rsid w:val="001536C6"/>
    <w:rsid w:val="00153EFF"/>
    <w:rsid w:val="00154193"/>
    <w:rsid w:val="00154319"/>
    <w:rsid w:val="00154346"/>
    <w:rsid w:val="001544D3"/>
    <w:rsid w:val="001545E1"/>
    <w:rsid w:val="00154B33"/>
    <w:rsid w:val="00154F97"/>
    <w:rsid w:val="001550F2"/>
    <w:rsid w:val="0015522E"/>
    <w:rsid w:val="00155245"/>
    <w:rsid w:val="00155662"/>
    <w:rsid w:val="00155923"/>
    <w:rsid w:val="00155948"/>
    <w:rsid w:val="00155B0B"/>
    <w:rsid w:val="00155C1F"/>
    <w:rsid w:val="0015612E"/>
    <w:rsid w:val="001563CE"/>
    <w:rsid w:val="00156F7A"/>
    <w:rsid w:val="00157076"/>
    <w:rsid w:val="00157147"/>
    <w:rsid w:val="0015795A"/>
    <w:rsid w:val="00160063"/>
    <w:rsid w:val="001600DD"/>
    <w:rsid w:val="00160146"/>
    <w:rsid w:val="0016021C"/>
    <w:rsid w:val="001605D6"/>
    <w:rsid w:val="001606F3"/>
    <w:rsid w:val="0016169C"/>
    <w:rsid w:val="00161888"/>
    <w:rsid w:val="00161A11"/>
    <w:rsid w:val="00161AF9"/>
    <w:rsid w:val="00161EEE"/>
    <w:rsid w:val="001624D8"/>
    <w:rsid w:val="0016256E"/>
    <w:rsid w:val="00163742"/>
    <w:rsid w:val="00163E30"/>
    <w:rsid w:val="00163F7A"/>
    <w:rsid w:val="001642FB"/>
    <w:rsid w:val="001646B1"/>
    <w:rsid w:val="00164737"/>
    <w:rsid w:val="0016473C"/>
    <w:rsid w:val="0016480B"/>
    <w:rsid w:val="00164B1E"/>
    <w:rsid w:val="00164E13"/>
    <w:rsid w:val="00165086"/>
    <w:rsid w:val="00165270"/>
    <w:rsid w:val="00165351"/>
    <w:rsid w:val="0016541C"/>
    <w:rsid w:val="001654F3"/>
    <w:rsid w:val="00165A99"/>
    <w:rsid w:val="00165F87"/>
    <w:rsid w:val="00166060"/>
    <w:rsid w:val="00166361"/>
    <w:rsid w:val="001664D7"/>
    <w:rsid w:val="001667FE"/>
    <w:rsid w:val="001668F1"/>
    <w:rsid w:val="00167193"/>
    <w:rsid w:val="001673AF"/>
    <w:rsid w:val="00167AEE"/>
    <w:rsid w:val="00167B88"/>
    <w:rsid w:val="0017016F"/>
    <w:rsid w:val="001708A0"/>
    <w:rsid w:val="0017099A"/>
    <w:rsid w:val="0017176F"/>
    <w:rsid w:val="00171FBD"/>
    <w:rsid w:val="0017211C"/>
    <w:rsid w:val="00172578"/>
    <w:rsid w:val="001729BA"/>
    <w:rsid w:val="00172E80"/>
    <w:rsid w:val="00173000"/>
    <w:rsid w:val="0017312A"/>
    <w:rsid w:val="00173134"/>
    <w:rsid w:val="00173200"/>
    <w:rsid w:val="001739E8"/>
    <w:rsid w:val="00173A0C"/>
    <w:rsid w:val="00173A31"/>
    <w:rsid w:val="00173AEF"/>
    <w:rsid w:val="0017416F"/>
    <w:rsid w:val="0017434A"/>
    <w:rsid w:val="001747FE"/>
    <w:rsid w:val="0017488B"/>
    <w:rsid w:val="0017493A"/>
    <w:rsid w:val="0017553E"/>
    <w:rsid w:val="00175A6D"/>
    <w:rsid w:val="00175B7B"/>
    <w:rsid w:val="00176095"/>
    <w:rsid w:val="001768B4"/>
    <w:rsid w:val="00176E0A"/>
    <w:rsid w:val="0017748D"/>
    <w:rsid w:val="001775AB"/>
    <w:rsid w:val="00177845"/>
    <w:rsid w:val="00177935"/>
    <w:rsid w:val="00177943"/>
    <w:rsid w:val="0017795A"/>
    <w:rsid w:val="00177B8D"/>
    <w:rsid w:val="00177F42"/>
    <w:rsid w:val="00177F8A"/>
    <w:rsid w:val="001801CB"/>
    <w:rsid w:val="00180302"/>
    <w:rsid w:val="001807D6"/>
    <w:rsid w:val="001807EE"/>
    <w:rsid w:val="00180BFA"/>
    <w:rsid w:val="001812EF"/>
    <w:rsid w:val="0018138E"/>
    <w:rsid w:val="001815DA"/>
    <w:rsid w:val="00181671"/>
    <w:rsid w:val="00181BBF"/>
    <w:rsid w:val="00181F24"/>
    <w:rsid w:val="001820BE"/>
    <w:rsid w:val="001826CA"/>
    <w:rsid w:val="00182F08"/>
    <w:rsid w:val="001832B3"/>
    <w:rsid w:val="001832BC"/>
    <w:rsid w:val="001832FB"/>
    <w:rsid w:val="001834AE"/>
    <w:rsid w:val="001834D2"/>
    <w:rsid w:val="0018393B"/>
    <w:rsid w:val="001839CF"/>
    <w:rsid w:val="00184457"/>
    <w:rsid w:val="00184473"/>
    <w:rsid w:val="001845B4"/>
    <w:rsid w:val="001846C3"/>
    <w:rsid w:val="00184AEA"/>
    <w:rsid w:val="0018514A"/>
    <w:rsid w:val="001854D6"/>
    <w:rsid w:val="00185580"/>
    <w:rsid w:val="001857CE"/>
    <w:rsid w:val="00185A40"/>
    <w:rsid w:val="00185DBF"/>
    <w:rsid w:val="00185EE9"/>
    <w:rsid w:val="00185F97"/>
    <w:rsid w:val="00186099"/>
    <w:rsid w:val="001861D6"/>
    <w:rsid w:val="001865AE"/>
    <w:rsid w:val="00186AA8"/>
    <w:rsid w:val="00186D82"/>
    <w:rsid w:val="00186EB4"/>
    <w:rsid w:val="00186FD7"/>
    <w:rsid w:val="00187062"/>
    <w:rsid w:val="0018770A"/>
    <w:rsid w:val="0018778A"/>
    <w:rsid w:val="00187FF4"/>
    <w:rsid w:val="001907FF"/>
    <w:rsid w:val="00190C43"/>
    <w:rsid w:val="00190F4E"/>
    <w:rsid w:val="00190FF1"/>
    <w:rsid w:val="00191081"/>
    <w:rsid w:val="00191755"/>
    <w:rsid w:val="00192034"/>
    <w:rsid w:val="001920B4"/>
    <w:rsid w:val="001922D0"/>
    <w:rsid w:val="001927C5"/>
    <w:rsid w:val="00192D9B"/>
    <w:rsid w:val="00192E6D"/>
    <w:rsid w:val="001930A2"/>
    <w:rsid w:val="00193394"/>
    <w:rsid w:val="0019375D"/>
    <w:rsid w:val="001938FA"/>
    <w:rsid w:val="00193E11"/>
    <w:rsid w:val="00194D3F"/>
    <w:rsid w:val="00194E70"/>
    <w:rsid w:val="00195076"/>
    <w:rsid w:val="00195089"/>
    <w:rsid w:val="001951B3"/>
    <w:rsid w:val="00195839"/>
    <w:rsid w:val="00195A70"/>
    <w:rsid w:val="00195B62"/>
    <w:rsid w:val="00195EAB"/>
    <w:rsid w:val="00195FB2"/>
    <w:rsid w:val="001968C8"/>
    <w:rsid w:val="00196B86"/>
    <w:rsid w:val="00197BB3"/>
    <w:rsid w:val="00197C75"/>
    <w:rsid w:val="001A00FE"/>
    <w:rsid w:val="001A0C06"/>
    <w:rsid w:val="001A0D24"/>
    <w:rsid w:val="001A0D3F"/>
    <w:rsid w:val="001A0E7A"/>
    <w:rsid w:val="001A1001"/>
    <w:rsid w:val="001A10E9"/>
    <w:rsid w:val="001A13AC"/>
    <w:rsid w:val="001A13E9"/>
    <w:rsid w:val="001A17DC"/>
    <w:rsid w:val="001A224E"/>
    <w:rsid w:val="001A237A"/>
    <w:rsid w:val="001A23E9"/>
    <w:rsid w:val="001A2424"/>
    <w:rsid w:val="001A2549"/>
    <w:rsid w:val="001A2BEC"/>
    <w:rsid w:val="001A2C2D"/>
    <w:rsid w:val="001A329D"/>
    <w:rsid w:val="001A32CE"/>
    <w:rsid w:val="001A3EA4"/>
    <w:rsid w:val="001A42E1"/>
    <w:rsid w:val="001A47EA"/>
    <w:rsid w:val="001A492D"/>
    <w:rsid w:val="001A4F0D"/>
    <w:rsid w:val="001A502C"/>
    <w:rsid w:val="001A5291"/>
    <w:rsid w:val="001A58B8"/>
    <w:rsid w:val="001A599A"/>
    <w:rsid w:val="001A5E60"/>
    <w:rsid w:val="001A61F0"/>
    <w:rsid w:val="001A6212"/>
    <w:rsid w:val="001A7043"/>
    <w:rsid w:val="001A7111"/>
    <w:rsid w:val="001A71DD"/>
    <w:rsid w:val="001A722E"/>
    <w:rsid w:val="001A774C"/>
    <w:rsid w:val="001A7A30"/>
    <w:rsid w:val="001A7BA6"/>
    <w:rsid w:val="001A7BFB"/>
    <w:rsid w:val="001A7F63"/>
    <w:rsid w:val="001B0065"/>
    <w:rsid w:val="001B01B6"/>
    <w:rsid w:val="001B0935"/>
    <w:rsid w:val="001B09A2"/>
    <w:rsid w:val="001B09B9"/>
    <w:rsid w:val="001B0BC8"/>
    <w:rsid w:val="001B0D7D"/>
    <w:rsid w:val="001B0E7C"/>
    <w:rsid w:val="001B1136"/>
    <w:rsid w:val="001B14C9"/>
    <w:rsid w:val="001B19CA"/>
    <w:rsid w:val="001B1AB6"/>
    <w:rsid w:val="001B1D73"/>
    <w:rsid w:val="001B1E20"/>
    <w:rsid w:val="001B215A"/>
    <w:rsid w:val="001B21E5"/>
    <w:rsid w:val="001B2545"/>
    <w:rsid w:val="001B27D1"/>
    <w:rsid w:val="001B28E0"/>
    <w:rsid w:val="001B2AAA"/>
    <w:rsid w:val="001B2C30"/>
    <w:rsid w:val="001B2C67"/>
    <w:rsid w:val="001B34F6"/>
    <w:rsid w:val="001B3D50"/>
    <w:rsid w:val="001B3F76"/>
    <w:rsid w:val="001B47C5"/>
    <w:rsid w:val="001B4D68"/>
    <w:rsid w:val="001B517E"/>
    <w:rsid w:val="001B52BF"/>
    <w:rsid w:val="001B5413"/>
    <w:rsid w:val="001B5698"/>
    <w:rsid w:val="001B5965"/>
    <w:rsid w:val="001B5B49"/>
    <w:rsid w:val="001B5D0A"/>
    <w:rsid w:val="001B5E13"/>
    <w:rsid w:val="001B5E75"/>
    <w:rsid w:val="001B6206"/>
    <w:rsid w:val="001B6265"/>
    <w:rsid w:val="001B6438"/>
    <w:rsid w:val="001B657D"/>
    <w:rsid w:val="001B68A1"/>
    <w:rsid w:val="001B6C88"/>
    <w:rsid w:val="001B6EED"/>
    <w:rsid w:val="001B7376"/>
    <w:rsid w:val="001B73C8"/>
    <w:rsid w:val="001B78F0"/>
    <w:rsid w:val="001B7939"/>
    <w:rsid w:val="001B7AE7"/>
    <w:rsid w:val="001C0ABB"/>
    <w:rsid w:val="001C0E40"/>
    <w:rsid w:val="001C115A"/>
    <w:rsid w:val="001C14D5"/>
    <w:rsid w:val="001C15E7"/>
    <w:rsid w:val="001C1AFE"/>
    <w:rsid w:val="001C1D0F"/>
    <w:rsid w:val="001C1F58"/>
    <w:rsid w:val="001C200D"/>
    <w:rsid w:val="001C2B46"/>
    <w:rsid w:val="001C31B4"/>
    <w:rsid w:val="001C3610"/>
    <w:rsid w:val="001C3717"/>
    <w:rsid w:val="001C3866"/>
    <w:rsid w:val="001C39E1"/>
    <w:rsid w:val="001C3CB4"/>
    <w:rsid w:val="001C3F39"/>
    <w:rsid w:val="001C3F4D"/>
    <w:rsid w:val="001C4091"/>
    <w:rsid w:val="001C4210"/>
    <w:rsid w:val="001C45CA"/>
    <w:rsid w:val="001C45CB"/>
    <w:rsid w:val="001C4D9D"/>
    <w:rsid w:val="001C4FF2"/>
    <w:rsid w:val="001C51E7"/>
    <w:rsid w:val="001C550E"/>
    <w:rsid w:val="001C5AE6"/>
    <w:rsid w:val="001C5B86"/>
    <w:rsid w:val="001C5BAB"/>
    <w:rsid w:val="001C5ED0"/>
    <w:rsid w:val="001C6050"/>
    <w:rsid w:val="001C6533"/>
    <w:rsid w:val="001C66EC"/>
    <w:rsid w:val="001C6C20"/>
    <w:rsid w:val="001C72E8"/>
    <w:rsid w:val="001C7491"/>
    <w:rsid w:val="001C756F"/>
    <w:rsid w:val="001C7D35"/>
    <w:rsid w:val="001D01D8"/>
    <w:rsid w:val="001D0344"/>
    <w:rsid w:val="001D0410"/>
    <w:rsid w:val="001D0A2C"/>
    <w:rsid w:val="001D0E26"/>
    <w:rsid w:val="001D0E38"/>
    <w:rsid w:val="001D0E47"/>
    <w:rsid w:val="001D0FA8"/>
    <w:rsid w:val="001D1248"/>
    <w:rsid w:val="001D16BD"/>
    <w:rsid w:val="001D16CE"/>
    <w:rsid w:val="001D18A8"/>
    <w:rsid w:val="001D1994"/>
    <w:rsid w:val="001D1D8A"/>
    <w:rsid w:val="001D232B"/>
    <w:rsid w:val="001D252B"/>
    <w:rsid w:val="001D2BE6"/>
    <w:rsid w:val="001D2D97"/>
    <w:rsid w:val="001D2FD5"/>
    <w:rsid w:val="001D3000"/>
    <w:rsid w:val="001D38E8"/>
    <w:rsid w:val="001D3B26"/>
    <w:rsid w:val="001D3B94"/>
    <w:rsid w:val="001D4016"/>
    <w:rsid w:val="001D40ED"/>
    <w:rsid w:val="001D4410"/>
    <w:rsid w:val="001D441D"/>
    <w:rsid w:val="001D49BD"/>
    <w:rsid w:val="001D4B00"/>
    <w:rsid w:val="001D4D61"/>
    <w:rsid w:val="001D4D77"/>
    <w:rsid w:val="001D4DE2"/>
    <w:rsid w:val="001D545E"/>
    <w:rsid w:val="001D5B50"/>
    <w:rsid w:val="001D604D"/>
    <w:rsid w:val="001D60DC"/>
    <w:rsid w:val="001D6477"/>
    <w:rsid w:val="001D6844"/>
    <w:rsid w:val="001D6A81"/>
    <w:rsid w:val="001D74F2"/>
    <w:rsid w:val="001D76EF"/>
    <w:rsid w:val="001D78DD"/>
    <w:rsid w:val="001D7B5C"/>
    <w:rsid w:val="001D7EED"/>
    <w:rsid w:val="001E0902"/>
    <w:rsid w:val="001E0983"/>
    <w:rsid w:val="001E0DDC"/>
    <w:rsid w:val="001E11D2"/>
    <w:rsid w:val="001E1508"/>
    <w:rsid w:val="001E220D"/>
    <w:rsid w:val="001E24F9"/>
    <w:rsid w:val="001E28B6"/>
    <w:rsid w:val="001E3253"/>
    <w:rsid w:val="001E34E2"/>
    <w:rsid w:val="001E3845"/>
    <w:rsid w:val="001E3C78"/>
    <w:rsid w:val="001E4096"/>
    <w:rsid w:val="001E4385"/>
    <w:rsid w:val="001E4D14"/>
    <w:rsid w:val="001E4FDC"/>
    <w:rsid w:val="001E5168"/>
    <w:rsid w:val="001E568A"/>
    <w:rsid w:val="001E579E"/>
    <w:rsid w:val="001E57C9"/>
    <w:rsid w:val="001E5932"/>
    <w:rsid w:val="001E5FE0"/>
    <w:rsid w:val="001E64F3"/>
    <w:rsid w:val="001E6E72"/>
    <w:rsid w:val="001E7881"/>
    <w:rsid w:val="001E794E"/>
    <w:rsid w:val="001E7B23"/>
    <w:rsid w:val="001F044D"/>
    <w:rsid w:val="001F0CE6"/>
    <w:rsid w:val="001F0FB6"/>
    <w:rsid w:val="001F10B6"/>
    <w:rsid w:val="001F164A"/>
    <w:rsid w:val="001F179B"/>
    <w:rsid w:val="001F1994"/>
    <w:rsid w:val="001F1B19"/>
    <w:rsid w:val="001F1DD3"/>
    <w:rsid w:val="001F1EAD"/>
    <w:rsid w:val="001F24FA"/>
    <w:rsid w:val="001F25D3"/>
    <w:rsid w:val="001F2691"/>
    <w:rsid w:val="001F2A76"/>
    <w:rsid w:val="001F2D04"/>
    <w:rsid w:val="001F2FED"/>
    <w:rsid w:val="001F30EA"/>
    <w:rsid w:val="001F3717"/>
    <w:rsid w:val="001F37BC"/>
    <w:rsid w:val="001F3997"/>
    <w:rsid w:val="001F3BF4"/>
    <w:rsid w:val="001F3D99"/>
    <w:rsid w:val="001F4FB3"/>
    <w:rsid w:val="001F509A"/>
    <w:rsid w:val="001F5973"/>
    <w:rsid w:val="001F5C46"/>
    <w:rsid w:val="001F5D99"/>
    <w:rsid w:val="001F5DA4"/>
    <w:rsid w:val="001F6400"/>
    <w:rsid w:val="001F6475"/>
    <w:rsid w:val="001F65B5"/>
    <w:rsid w:val="001F687C"/>
    <w:rsid w:val="001F68E0"/>
    <w:rsid w:val="001F6C6A"/>
    <w:rsid w:val="001F7053"/>
    <w:rsid w:val="001F70CE"/>
    <w:rsid w:val="001F78CD"/>
    <w:rsid w:val="001F7F44"/>
    <w:rsid w:val="00200747"/>
    <w:rsid w:val="0020088D"/>
    <w:rsid w:val="002009D1"/>
    <w:rsid w:val="00200D1A"/>
    <w:rsid w:val="00200E09"/>
    <w:rsid w:val="00200FF9"/>
    <w:rsid w:val="00201019"/>
    <w:rsid w:val="0020182E"/>
    <w:rsid w:val="002019D4"/>
    <w:rsid w:val="00201F6C"/>
    <w:rsid w:val="0020202A"/>
    <w:rsid w:val="00202359"/>
    <w:rsid w:val="002024CB"/>
    <w:rsid w:val="002028E9"/>
    <w:rsid w:val="00202B13"/>
    <w:rsid w:val="00202D7B"/>
    <w:rsid w:val="00202DB0"/>
    <w:rsid w:val="00202FCE"/>
    <w:rsid w:val="00203E17"/>
    <w:rsid w:val="00203F8E"/>
    <w:rsid w:val="002041E4"/>
    <w:rsid w:val="002044EC"/>
    <w:rsid w:val="00204A52"/>
    <w:rsid w:val="00204B44"/>
    <w:rsid w:val="00204CCB"/>
    <w:rsid w:val="00204DEF"/>
    <w:rsid w:val="00204E58"/>
    <w:rsid w:val="002050EA"/>
    <w:rsid w:val="00205204"/>
    <w:rsid w:val="00205BAD"/>
    <w:rsid w:val="00205FD2"/>
    <w:rsid w:val="002063FC"/>
    <w:rsid w:val="00206507"/>
    <w:rsid w:val="002069A2"/>
    <w:rsid w:val="00207324"/>
    <w:rsid w:val="0020741C"/>
    <w:rsid w:val="0020742D"/>
    <w:rsid w:val="00207470"/>
    <w:rsid w:val="0020787B"/>
    <w:rsid w:val="0021034C"/>
    <w:rsid w:val="002103AA"/>
    <w:rsid w:val="00210A22"/>
    <w:rsid w:val="00210EBF"/>
    <w:rsid w:val="002111D9"/>
    <w:rsid w:val="002115FF"/>
    <w:rsid w:val="002117A9"/>
    <w:rsid w:val="0021191C"/>
    <w:rsid w:val="00211E06"/>
    <w:rsid w:val="00211E1D"/>
    <w:rsid w:val="00212088"/>
    <w:rsid w:val="002121A5"/>
    <w:rsid w:val="002124BD"/>
    <w:rsid w:val="00212690"/>
    <w:rsid w:val="00212C71"/>
    <w:rsid w:val="002138EB"/>
    <w:rsid w:val="0021399C"/>
    <w:rsid w:val="00213E3F"/>
    <w:rsid w:val="00213E94"/>
    <w:rsid w:val="0021418B"/>
    <w:rsid w:val="00214279"/>
    <w:rsid w:val="0021450B"/>
    <w:rsid w:val="00214B39"/>
    <w:rsid w:val="00214DCE"/>
    <w:rsid w:val="00215162"/>
    <w:rsid w:val="0021533B"/>
    <w:rsid w:val="002153D6"/>
    <w:rsid w:val="00215530"/>
    <w:rsid w:val="00215592"/>
    <w:rsid w:val="00215CED"/>
    <w:rsid w:val="00215D2F"/>
    <w:rsid w:val="00215E77"/>
    <w:rsid w:val="00216187"/>
    <w:rsid w:val="00216297"/>
    <w:rsid w:val="002163CB"/>
    <w:rsid w:val="00216426"/>
    <w:rsid w:val="002165B5"/>
    <w:rsid w:val="002167CF"/>
    <w:rsid w:val="0021690E"/>
    <w:rsid w:val="00216EF1"/>
    <w:rsid w:val="002170C9"/>
    <w:rsid w:val="00217974"/>
    <w:rsid w:val="00217A3D"/>
    <w:rsid w:val="00217C3D"/>
    <w:rsid w:val="00217CF9"/>
    <w:rsid w:val="00217D94"/>
    <w:rsid w:val="00217E3D"/>
    <w:rsid w:val="00221032"/>
    <w:rsid w:val="00221289"/>
    <w:rsid w:val="0022165B"/>
    <w:rsid w:val="00221987"/>
    <w:rsid w:val="00221A63"/>
    <w:rsid w:val="00221ACB"/>
    <w:rsid w:val="00221C89"/>
    <w:rsid w:val="0022201F"/>
    <w:rsid w:val="00222554"/>
    <w:rsid w:val="0022275F"/>
    <w:rsid w:val="00222B31"/>
    <w:rsid w:val="00222F49"/>
    <w:rsid w:val="00223648"/>
    <w:rsid w:val="00223BA5"/>
    <w:rsid w:val="00223F88"/>
    <w:rsid w:val="002241AB"/>
    <w:rsid w:val="002245DE"/>
    <w:rsid w:val="00224863"/>
    <w:rsid w:val="002249B8"/>
    <w:rsid w:val="00224AD7"/>
    <w:rsid w:val="00224E88"/>
    <w:rsid w:val="00224F14"/>
    <w:rsid w:val="00224F6E"/>
    <w:rsid w:val="0022512F"/>
    <w:rsid w:val="002251ED"/>
    <w:rsid w:val="0022534C"/>
    <w:rsid w:val="0022592C"/>
    <w:rsid w:val="00225E82"/>
    <w:rsid w:val="00225F24"/>
    <w:rsid w:val="002260FF"/>
    <w:rsid w:val="0022629A"/>
    <w:rsid w:val="00226731"/>
    <w:rsid w:val="002268F2"/>
    <w:rsid w:val="00226D1A"/>
    <w:rsid w:val="0022765D"/>
    <w:rsid w:val="0022786E"/>
    <w:rsid w:val="00227D4E"/>
    <w:rsid w:val="00227E2F"/>
    <w:rsid w:val="00227EE3"/>
    <w:rsid w:val="002303A6"/>
    <w:rsid w:val="0023041B"/>
    <w:rsid w:val="00230503"/>
    <w:rsid w:val="00230F60"/>
    <w:rsid w:val="0023103B"/>
    <w:rsid w:val="0023159C"/>
    <w:rsid w:val="00231918"/>
    <w:rsid w:val="00231F10"/>
    <w:rsid w:val="002323AE"/>
    <w:rsid w:val="002326CD"/>
    <w:rsid w:val="00232B05"/>
    <w:rsid w:val="00232C23"/>
    <w:rsid w:val="00233027"/>
    <w:rsid w:val="002332C0"/>
    <w:rsid w:val="002334B4"/>
    <w:rsid w:val="002337F1"/>
    <w:rsid w:val="00233B9D"/>
    <w:rsid w:val="00233DDB"/>
    <w:rsid w:val="00234179"/>
    <w:rsid w:val="002343C7"/>
    <w:rsid w:val="002344C7"/>
    <w:rsid w:val="0023499D"/>
    <w:rsid w:val="0023547F"/>
    <w:rsid w:val="00235487"/>
    <w:rsid w:val="0023564A"/>
    <w:rsid w:val="00235726"/>
    <w:rsid w:val="0023582B"/>
    <w:rsid w:val="00235857"/>
    <w:rsid w:val="00236315"/>
    <w:rsid w:val="0023685A"/>
    <w:rsid w:val="00236A78"/>
    <w:rsid w:val="00236AAD"/>
    <w:rsid w:val="00236C3C"/>
    <w:rsid w:val="00236D91"/>
    <w:rsid w:val="00236E5B"/>
    <w:rsid w:val="00237085"/>
    <w:rsid w:val="0023735B"/>
    <w:rsid w:val="0023754B"/>
    <w:rsid w:val="002375F4"/>
    <w:rsid w:val="002378FF"/>
    <w:rsid w:val="002379EB"/>
    <w:rsid w:val="00237DFE"/>
    <w:rsid w:val="00237E87"/>
    <w:rsid w:val="00240018"/>
    <w:rsid w:val="00240097"/>
    <w:rsid w:val="002401AF"/>
    <w:rsid w:val="00240309"/>
    <w:rsid w:val="0024046C"/>
    <w:rsid w:val="002406BE"/>
    <w:rsid w:val="00240941"/>
    <w:rsid w:val="00240C43"/>
    <w:rsid w:val="002410AE"/>
    <w:rsid w:val="00241222"/>
    <w:rsid w:val="0024159A"/>
    <w:rsid w:val="002415FD"/>
    <w:rsid w:val="0024165C"/>
    <w:rsid w:val="0024172F"/>
    <w:rsid w:val="002417DA"/>
    <w:rsid w:val="00241910"/>
    <w:rsid w:val="002421BA"/>
    <w:rsid w:val="00242466"/>
    <w:rsid w:val="00242715"/>
    <w:rsid w:val="002428EA"/>
    <w:rsid w:val="0024296D"/>
    <w:rsid w:val="00242990"/>
    <w:rsid w:val="00243165"/>
    <w:rsid w:val="002432F2"/>
    <w:rsid w:val="002433D6"/>
    <w:rsid w:val="00243549"/>
    <w:rsid w:val="00243A2E"/>
    <w:rsid w:val="00243BDF"/>
    <w:rsid w:val="00243C87"/>
    <w:rsid w:val="00243EBA"/>
    <w:rsid w:val="00244AAE"/>
    <w:rsid w:val="002455E3"/>
    <w:rsid w:val="00245A27"/>
    <w:rsid w:val="00245A80"/>
    <w:rsid w:val="00245E9A"/>
    <w:rsid w:val="002469BC"/>
    <w:rsid w:val="00246C21"/>
    <w:rsid w:val="00246CFE"/>
    <w:rsid w:val="00246DA1"/>
    <w:rsid w:val="00246F36"/>
    <w:rsid w:val="00247084"/>
    <w:rsid w:val="00247664"/>
    <w:rsid w:val="00247FBD"/>
    <w:rsid w:val="002501FD"/>
    <w:rsid w:val="002502C2"/>
    <w:rsid w:val="0025040A"/>
    <w:rsid w:val="002504D2"/>
    <w:rsid w:val="00250517"/>
    <w:rsid w:val="00250694"/>
    <w:rsid w:val="0025083D"/>
    <w:rsid w:val="00250986"/>
    <w:rsid w:val="002509BB"/>
    <w:rsid w:val="002509E9"/>
    <w:rsid w:val="00250A03"/>
    <w:rsid w:val="00250C9A"/>
    <w:rsid w:val="00250F5A"/>
    <w:rsid w:val="0025108A"/>
    <w:rsid w:val="0025131E"/>
    <w:rsid w:val="00251538"/>
    <w:rsid w:val="00251E83"/>
    <w:rsid w:val="00251FB3"/>
    <w:rsid w:val="00252371"/>
    <w:rsid w:val="00252377"/>
    <w:rsid w:val="00252A98"/>
    <w:rsid w:val="00252AA0"/>
    <w:rsid w:val="00252EBF"/>
    <w:rsid w:val="0025367A"/>
    <w:rsid w:val="00253686"/>
    <w:rsid w:val="002538C2"/>
    <w:rsid w:val="00254058"/>
    <w:rsid w:val="002541D5"/>
    <w:rsid w:val="00254504"/>
    <w:rsid w:val="0025454B"/>
    <w:rsid w:val="002547F6"/>
    <w:rsid w:val="00254957"/>
    <w:rsid w:val="00254A5A"/>
    <w:rsid w:val="00254A8B"/>
    <w:rsid w:val="00254AB7"/>
    <w:rsid w:val="00254EB0"/>
    <w:rsid w:val="002552C9"/>
    <w:rsid w:val="00255854"/>
    <w:rsid w:val="002558D4"/>
    <w:rsid w:val="00255910"/>
    <w:rsid w:val="00256201"/>
    <w:rsid w:val="002563B4"/>
    <w:rsid w:val="00256A9D"/>
    <w:rsid w:val="00256BAB"/>
    <w:rsid w:val="00257231"/>
    <w:rsid w:val="002573E0"/>
    <w:rsid w:val="0025760A"/>
    <w:rsid w:val="00257812"/>
    <w:rsid w:val="00257B3D"/>
    <w:rsid w:val="00257C05"/>
    <w:rsid w:val="0026031F"/>
    <w:rsid w:val="002603CB"/>
    <w:rsid w:val="00260F17"/>
    <w:rsid w:val="002611A2"/>
    <w:rsid w:val="0026144F"/>
    <w:rsid w:val="002614B5"/>
    <w:rsid w:val="002616AB"/>
    <w:rsid w:val="002616BD"/>
    <w:rsid w:val="00261907"/>
    <w:rsid w:val="00261E5A"/>
    <w:rsid w:val="002624ED"/>
    <w:rsid w:val="002628DF"/>
    <w:rsid w:val="0026312A"/>
    <w:rsid w:val="00263288"/>
    <w:rsid w:val="00263418"/>
    <w:rsid w:val="0026341E"/>
    <w:rsid w:val="002634D2"/>
    <w:rsid w:val="00263649"/>
    <w:rsid w:val="0026373A"/>
    <w:rsid w:val="002637DF"/>
    <w:rsid w:val="0026393E"/>
    <w:rsid w:val="002639AC"/>
    <w:rsid w:val="00263DBC"/>
    <w:rsid w:val="002641BF"/>
    <w:rsid w:val="00264261"/>
    <w:rsid w:val="00264576"/>
    <w:rsid w:val="002649E2"/>
    <w:rsid w:val="00264F63"/>
    <w:rsid w:val="00264F87"/>
    <w:rsid w:val="00265C2A"/>
    <w:rsid w:val="00265CBF"/>
    <w:rsid w:val="00265FBF"/>
    <w:rsid w:val="002661E3"/>
    <w:rsid w:val="00266414"/>
    <w:rsid w:val="00266603"/>
    <w:rsid w:val="0026695F"/>
    <w:rsid w:val="00266F5A"/>
    <w:rsid w:val="0026700E"/>
    <w:rsid w:val="0026709B"/>
    <w:rsid w:val="002673F5"/>
    <w:rsid w:val="00267462"/>
    <w:rsid w:val="002674C4"/>
    <w:rsid w:val="00267650"/>
    <w:rsid w:val="00267686"/>
    <w:rsid w:val="00267718"/>
    <w:rsid w:val="002677B9"/>
    <w:rsid w:val="00267C78"/>
    <w:rsid w:val="00267DAF"/>
    <w:rsid w:val="002700E8"/>
    <w:rsid w:val="002701AC"/>
    <w:rsid w:val="00270562"/>
    <w:rsid w:val="00270C74"/>
    <w:rsid w:val="00270EA9"/>
    <w:rsid w:val="0027125B"/>
    <w:rsid w:val="002714E2"/>
    <w:rsid w:val="00271A0D"/>
    <w:rsid w:val="00271AFC"/>
    <w:rsid w:val="00271C61"/>
    <w:rsid w:val="00271C78"/>
    <w:rsid w:val="00271D09"/>
    <w:rsid w:val="00271D43"/>
    <w:rsid w:val="00271E7F"/>
    <w:rsid w:val="002722FF"/>
    <w:rsid w:val="00272454"/>
    <w:rsid w:val="002724DA"/>
    <w:rsid w:val="002727EF"/>
    <w:rsid w:val="00272803"/>
    <w:rsid w:val="0027281E"/>
    <w:rsid w:val="00272BE0"/>
    <w:rsid w:val="00272D64"/>
    <w:rsid w:val="00272E0A"/>
    <w:rsid w:val="00272F3D"/>
    <w:rsid w:val="00273031"/>
    <w:rsid w:val="0027355F"/>
    <w:rsid w:val="00273C3C"/>
    <w:rsid w:val="00273C4B"/>
    <w:rsid w:val="00273DFF"/>
    <w:rsid w:val="002742FB"/>
    <w:rsid w:val="0027438C"/>
    <w:rsid w:val="002748B4"/>
    <w:rsid w:val="00274EE5"/>
    <w:rsid w:val="00274FB8"/>
    <w:rsid w:val="00275006"/>
    <w:rsid w:val="00275012"/>
    <w:rsid w:val="002750FE"/>
    <w:rsid w:val="0027525E"/>
    <w:rsid w:val="0027552C"/>
    <w:rsid w:val="0027557F"/>
    <w:rsid w:val="00275691"/>
    <w:rsid w:val="00275FE5"/>
    <w:rsid w:val="00276358"/>
    <w:rsid w:val="0027677B"/>
    <w:rsid w:val="002768CF"/>
    <w:rsid w:val="002769DB"/>
    <w:rsid w:val="00277318"/>
    <w:rsid w:val="00277485"/>
    <w:rsid w:val="00277699"/>
    <w:rsid w:val="002778FF"/>
    <w:rsid w:val="00277CEE"/>
    <w:rsid w:val="002802E3"/>
    <w:rsid w:val="0028039B"/>
    <w:rsid w:val="002804F7"/>
    <w:rsid w:val="002807DC"/>
    <w:rsid w:val="00280B46"/>
    <w:rsid w:val="00280DC1"/>
    <w:rsid w:val="00280F63"/>
    <w:rsid w:val="00281076"/>
    <w:rsid w:val="0028123E"/>
    <w:rsid w:val="002815D8"/>
    <w:rsid w:val="00281F96"/>
    <w:rsid w:val="002821A6"/>
    <w:rsid w:val="002822BF"/>
    <w:rsid w:val="00282F5F"/>
    <w:rsid w:val="002830FD"/>
    <w:rsid w:val="0028325E"/>
    <w:rsid w:val="0028328F"/>
    <w:rsid w:val="002833A1"/>
    <w:rsid w:val="002833D3"/>
    <w:rsid w:val="002834A0"/>
    <w:rsid w:val="00283869"/>
    <w:rsid w:val="00283C78"/>
    <w:rsid w:val="002849E2"/>
    <w:rsid w:val="00284DA8"/>
    <w:rsid w:val="00284F44"/>
    <w:rsid w:val="0028504E"/>
    <w:rsid w:val="00285C97"/>
    <w:rsid w:val="00285E33"/>
    <w:rsid w:val="00286A8B"/>
    <w:rsid w:val="00286D72"/>
    <w:rsid w:val="002871F8"/>
    <w:rsid w:val="00287619"/>
    <w:rsid w:val="00287862"/>
    <w:rsid w:val="00287CF4"/>
    <w:rsid w:val="00290144"/>
    <w:rsid w:val="00290294"/>
    <w:rsid w:val="0029036B"/>
    <w:rsid w:val="00290C16"/>
    <w:rsid w:val="00291C2D"/>
    <w:rsid w:val="00291D53"/>
    <w:rsid w:val="002922DF"/>
    <w:rsid w:val="002930CE"/>
    <w:rsid w:val="002931E8"/>
    <w:rsid w:val="002931EE"/>
    <w:rsid w:val="00293371"/>
    <w:rsid w:val="0029366F"/>
    <w:rsid w:val="00293A3A"/>
    <w:rsid w:val="00293B3B"/>
    <w:rsid w:val="00293F3A"/>
    <w:rsid w:val="0029422F"/>
    <w:rsid w:val="0029436B"/>
    <w:rsid w:val="00294767"/>
    <w:rsid w:val="002947B3"/>
    <w:rsid w:val="00294B11"/>
    <w:rsid w:val="00294B2A"/>
    <w:rsid w:val="00294E75"/>
    <w:rsid w:val="0029517D"/>
    <w:rsid w:val="002951AA"/>
    <w:rsid w:val="00295232"/>
    <w:rsid w:val="00295302"/>
    <w:rsid w:val="002953D1"/>
    <w:rsid w:val="00295555"/>
    <w:rsid w:val="00295574"/>
    <w:rsid w:val="002955BC"/>
    <w:rsid w:val="00295672"/>
    <w:rsid w:val="00295AE8"/>
    <w:rsid w:val="00295CE7"/>
    <w:rsid w:val="002960E4"/>
    <w:rsid w:val="0029627B"/>
    <w:rsid w:val="00296377"/>
    <w:rsid w:val="002963E8"/>
    <w:rsid w:val="00296D4D"/>
    <w:rsid w:val="00297307"/>
    <w:rsid w:val="0029737B"/>
    <w:rsid w:val="002976B8"/>
    <w:rsid w:val="002978BB"/>
    <w:rsid w:val="002979A2"/>
    <w:rsid w:val="00297A30"/>
    <w:rsid w:val="00297D03"/>
    <w:rsid w:val="00297E4F"/>
    <w:rsid w:val="002A0136"/>
    <w:rsid w:val="002A0465"/>
    <w:rsid w:val="002A047E"/>
    <w:rsid w:val="002A08D2"/>
    <w:rsid w:val="002A0BBE"/>
    <w:rsid w:val="002A0E03"/>
    <w:rsid w:val="002A0E9D"/>
    <w:rsid w:val="002A11D6"/>
    <w:rsid w:val="002A138F"/>
    <w:rsid w:val="002A1556"/>
    <w:rsid w:val="002A15F9"/>
    <w:rsid w:val="002A1BD9"/>
    <w:rsid w:val="002A1D2C"/>
    <w:rsid w:val="002A1F6C"/>
    <w:rsid w:val="002A2137"/>
    <w:rsid w:val="002A214E"/>
    <w:rsid w:val="002A2D7F"/>
    <w:rsid w:val="002A2FF1"/>
    <w:rsid w:val="002A316A"/>
    <w:rsid w:val="002A32A4"/>
    <w:rsid w:val="002A34C3"/>
    <w:rsid w:val="002A3525"/>
    <w:rsid w:val="002A381A"/>
    <w:rsid w:val="002A3AD7"/>
    <w:rsid w:val="002A3C7D"/>
    <w:rsid w:val="002A3CCF"/>
    <w:rsid w:val="002A3CE7"/>
    <w:rsid w:val="002A4AFF"/>
    <w:rsid w:val="002A4B7E"/>
    <w:rsid w:val="002A501A"/>
    <w:rsid w:val="002A5104"/>
    <w:rsid w:val="002A512E"/>
    <w:rsid w:val="002A56B0"/>
    <w:rsid w:val="002A58A4"/>
    <w:rsid w:val="002A5A18"/>
    <w:rsid w:val="002A5D8D"/>
    <w:rsid w:val="002A5DBE"/>
    <w:rsid w:val="002A6117"/>
    <w:rsid w:val="002A61A5"/>
    <w:rsid w:val="002A6207"/>
    <w:rsid w:val="002A6470"/>
    <w:rsid w:val="002A6474"/>
    <w:rsid w:val="002A686F"/>
    <w:rsid w:val="002A6961"/>
    <w:rsid w:val="002A6D95"/>
    <w:rsid w:val="002A7484"/>
    <w:rsid w:val="002A75B0"/>
    <w:rsid w:val="002A75FD"/>
    <w:rsid w:val="002A7844"/>
    <w:rsid w:val="002A7BEF"/>
    <w:rsid w:val="002A7F97"/>
    <w:rsid w:val="002B0247"/>
    <w:rsid w:val="002B0A25"/>
    <w:rsid w:val="002B0DE3"/>
    <w:rsid w:val="002B0ED6"/>
    <w:rsid w:val="002B10E6"/>
    <w:rsid w:val="002B11A0"/>
    <w:rsid w:val="002B1324"/>
    <w:rsid w:val="002B1423"/>
    <w:rsid w:val="002B16A6"/>
    <w:rsid w:val="002B1857"/>
    <w:rsid w:val="002B1C0D"/>
    <w:rsid w:val="002B1C6F"/>
    <w:rsid w:val="002B1F9B"/>
    <w:rsid w:val="002B2104"/>
    <w:rsid w:val="002B2258"/>
    <w:rsid w:val="002B2609"/>
    <w:rsid w:val="002B2BEB"/>
    <w:rsid w:val="002B2E34"/>
    <w:rsid w:val="002B33B3"/>
    <w:rsid w:val="002B3806"/>
    <w:rsid w:val="002B3A5F"/>
    <w:rsid w:val="002B41D7"/>
    <w:rsid w:val="002B43E0"/>
    <w:rsid w:val="002B466D"/>
    <w:rsid w:val="002B4901"/>
    <w:rsid w:val="002B497B"/>
    <w:rsid w:val="002B4CE6"/>
    <w:rsid w:val="002B4D39"/>
    <w:rsid w:val="002B4DAD"/>
    <w:rsid w:val="002B51DA"/>
    <w:rsid w:val="002B523D"/>
    <w:rsid w:val="002B56F1"/>
    <w:rsid w:val="002B57CC"/>
    <w:rsid w:val="002B5BA1"/>
    <w:rsid w:val="002B5BB1"/>
    <w:rsid w:val="002B5BF8"/>
    <w:rsid w:val="002B5FD6"/>
    <w:rsid w:val="002B645E"/>
    <w:rsid w:val="002B66FD"/>
    <w:rsid w:val="002B671F"/>
    <w:rsid w:val="002B68D7"/>
    <w:rsid w:val="002B6E9C"/>
    <w:rsid w:val="002B6ECA"/>
    <w:rsid w:val="002B72A8"/>
    <w:rsid w:val="002B7518"/>
    <w:rsid w:val="002B7845"/>
    <w:rsid w:val="002B784C"/>
    <w:rsid w:val="002B78C4"/>
    <w:rsid w:val="002B7AD6"/>
    <w:rsid w:val="002B7B2B"/>
    <w:rsid w:val="002B7BD5"/>
    <w:rsid w:val="002B7E21"/>
    <w:rsid w:val="002B7E9B"/>
    <w:rsid w:val="002C063C"/>
    <w:rsid w:val="002C0804"/>
    <w:rsid w:val="002C0919"/>
    <w:rsid w:val="002C0A44"/>
    <w:rsid w:val="002C0ADB"/>
    <w:rsid w:val="002C0D5C"/>
    <w:rsid w:val="002C0F8E"/>
    <w:rsid w:val="002C1394"/>
    <w:rsid w:val="002C14D7"/>
    <w:rsid w:val="002C1515"/>
    <w:rsid w:val="002C1A36"/>
    <w:rsid w:val="002C1E7D"/>
    <w:rsid w:val="002C2014"/>
    <w:rsid w:val="002C22D4"/>
    <w:rsid w:val="002C2611"/>
    <w:rsid w:val="002C27E3"/>
    <w:rsid w:val="002C2821"/>
    <w:rsid w:val="002C286B"/>
    <w:rsid w:val="002C2890"/>
    <w:rsid w:val="002C2A99"/>
    <w:rsid w:val="002C2C40"/>
    <w:rsid w:val="002C2CC7"/>
    <w:rsid w:val="002C3978"/>
    <w:rsid w:val="002C42F5"/>
    <w:rsid w:val="002C4754"/>
    <w:rsid w:val="002C4CB4"/>
    <w:rsid w:val="002C506E"/>
    <w:rsid w:val="002C5189"/>
    <w:rsid w:val="002C5296"/>
    <w:rsid w:val="002C558E"/>
    <w:rsid w:val="002C5C16"/>
    <w:rsid w:val="002C5E83"/>
    <w:rsid w:val="002C5FE4"/>
    <w:rsid w:val="002C611C"/>
    <w:rsid w:val="002C63EF"/>
    <w:rsid w:val="002C65D8"/>
    <w:rsid w:val="002C6A38"/>
    <w:rsid w:val="002C6BD7"/>
    <w:rsid w:val="002C6E2F"/>
    <w:rsid w:val="002C7111"/>
    <w:rsid w:val="002C788D"/>
    <w:rsid w:val="002C7E3C"/>
    <w:rsid w:val="002C7F66"/>
    <w:rsid w:val="002C7F6E"/>
    <w:rsid w:val="002D0348"/>
    <w:rsid w:val="002D0DB6"/>
    <w:rsid w:val="002D16F5"/>
    <w:rsid w:val="002D2192"/>
    <w:rsid w:val="002D23DD"/>
    <w:rsid w:val="002D24C6"/>
    <w:rsid w:val="002D25BB"/>
    <w:rsid w:val="002D2A19"/>
    <w:rsid w:val="002D3513"/>
    <w:rsid w:val="002D35EA"/>
    <w:rsid w:val="002D376E"/>
    <w:rsid w:val="002D3A42"/>
    <w:rsid w:val="002D3C8A"/>
    <w:rsid w:val="002D3D7E"/>
    <w:rsid w:val="002D3FEF"/>
    <w:rsid w:val="002D42FD"/>
    <w:rsid w:val="002D4503"/>
    <w:rsid w:val="002D4622"/>
    <w:rsid w:val="002D4EE4"/>
    <w:rsid w:val="002D4F5C"/>
    <w:rsid w:val="002D526C"/>
    <w:rsid w:val="002D5643"/>
    <w:rsid w:val="002D565B"/>
    <w:rsid w:val="002D5ACD"/>
    <w:rsid w:val="002D5B3D"/>
    <w:rsid w:val="002D5EA4"/>
    <w:rsid w:val="002D62BB"/>
    <w:rsid w:val="002D736C"/>
    <w:rsid w:val="002D73BC"/>
    <w:rsid w:val="002D749E"/>
    <w:rsid w:val="002D7509"/>
    <w:rsid w:val="002D7BC4"/>
    <w:rsid w:val="002E02F8"/>
    <w:rsid w:val="002E03FC"/>
    <w:rsid w:val="002E063B"/>
    <w:rsid w:val="002E0A9F"/>
    <w:rsid w:val="002E1041"/>
    <w:rsid w:val="002E108F"/>
    <w:rsid w:val="002E17F6"/>
    <w:rsid w:val="002E1C3C"/>
    <w:rsid w:val="002E1D86"/>
    <w:rsid w:val="002E1DC2"/>
    <w:rsid w:val="002E2000"/>
    <w:rsid w:val="002E20C2"/>
    <w:rsid w:val="002E20ED"/>
    <w:rsid w:val="002E2107"/>
    <w:rsid w:val="002E24CC"/>
    <w:rsid w:val="002E25BF"/>
    <w:rsid w:val="002E26CD"/>
    <w:rsid w:val="002E27CF"/>
    <w:rsid w:val="002E29CF"/>
    <w:rsid w:val="002E2A55"/>
    <w:rsid w:val="002E2E41"/>
    <w:rsid w:val="002E2E76"/>
    <w:rsid w:val="002E311C"/>
    <w:rsid w:val="002E3450"/>
    <w:rsid w:val="002E366F"/>
    <w:rsid w:val="002E36A1"/>
    <w:rsid w:val="002E37C4"/>
    <w:rsid w:val="002E37E3"/>
    <w:rsid w:val="002E37E8"/>
    <w:rsid w:val="002E3CE2"/>
    <w:rsid w:val="002E40C5"/>
    <w:rsid w:val="002E4118"/>
    <w:rsid w:val="002E41A4"/>
    <w:rsid w:val="002E461D"/>
    <w:rsid w:val="002E5281"/>
    <w:rsid w:val="002E55B7"/>
    <w:rsid w:val="002E5BA9"/>
    <w:rsid w:val="002E5F15"/>
    <w:rsid w:val="002E5F65"/>
    <w:rsid w:val="002E67A6"/>
    <w:rsid w:val="002E6AF6"/>
    <w:rsid w:val="002E6C06"/>
    <w:rsid w:val="002E6E1A"/>
    <w:rsid w:val="002E6F9E"/>
    <w:rsid w:val="002E6FF9"/>
    <w:rsid w:val="002E7109"/>
    <w:rsid w:val="002E7336"/>
    <w:rsid w:val="002E73AE"/>
    <w:rsid w:val="002E7946"/>
    <w:rsid w:val="002E7A59"/>
    <w:rsid w:val="002E7A77"/>
    <w:rsid w:val="002E7BE8"/>
    <w:rsid w:val="002E7C22"/>
    <w:rsid w:val="002F0031"/>
    <w:rsid w:val="002F0055"/>
    <w:rsid w:val="002F067F"/>
    <w:rsid w:val="002F0A80"/>
    <w:rsid w:val="002F0EE3"/>
    <w:rsid w:val="002F0F0A"/>
    <w:rsid w:val="002F10B6"/>
    <w:rsid w:val="002F124C"/>
    <w:rsid w:val="002F12FB"/>
    <w:rsid w:val="002F13E8"/>
    <w:rsid w:val="002F1970"/>
    <w:rsid w:val="002F1992"/>
    <w:rsid w:val="002F1B75"/>
    <w:rsid w:val="002F1CE4"/>
    <w:rsid w:val="002F1EEF"/>
    <w:rsid w:val="002F2143"/>
    <w:rsid w:val="002F234E"/>
    <w:rsid w:val="002F2375"/>
    <w:rsid w:val="002F2500"/>
    <w:rsid w:val="002F2CCB"/>
    <w:rsid w:val="002F311C"/>
    <w:rsid w:val="002F3182"/>
    <w:rsid w:val="002F32CF"/>
    <w:rsid w:val="002F3B55"/>
    <w:rsid w:val="002F3CD9"/>
    <w:rsid w:val="002F3D5E"/>
    <w:rsid w:val="002F3EEE"/>
    <w:rsid w:val="002F3F6B"/>
    <w:rsid w:val="002F40D0"/>
    <w:rsid w:val="002F40D4"/>
    <w:rsid w:val="002F42CF"/>
    <w:rsid w:val="002F43C5"/>
    <w:rsid w:val="002F475B"/>
    <w:rsid w:val="002F4BD3"/>
    <w:rsid w:val="002F4C44"/>
    <w:rsid w:val="002F4F37"/>
    <w:rsid w:val="002F4F7E"/>
    <w:rsid w:val="002F517E"/>
    <w:rsid w:val="002F53BF"/>
    <w:rsid w:val="002F53E2"/>
    <w:rsid w:val="002F54E2"/>
    <w:rsid w:val="002F5973"/>
    <w:rsid w:val="002F5CE7"/>
    <w:rsid w:val="002F6410"/>
    <w:rsid w:val="002F66E9"/>
    <w:rsid w:val="002F6B22"/>
    <w:rsid w:val="002F6D11"/>
    <w:rsid w:val="002F6D49"/>
    <w:rsid w:val="002F7191"/>
    <w:rsid w:val="002F719E"/>
    <w:rsid w:val="002F7351"/>
    <w:rsid w:val="002F7406"/>
    <w:rsid w:val="002F7615"/>
    <w:rsid w:val="002F7770"/>
    <w:rsid w:val="002F7BE7"/>
    <w:rsid w:val="0030003A"/>
    <w:rsid w:val="003000CE"/>
    <w:rsid w:val="003000D9"/>
    <w:rsid w:val="003001D6"/>
    <w:rsid w:val="00300626"/>
    <w:rsid w:val="00300CFF"/>
    <w:rsid w:val="00300F64"/>
    <w:rsid w:val="00300F85"/>
    <w:rsid w:val="003012AD"/>
    <w:rsid w:val="00301555"/>
    <w:rsid w:val="00301636"/>
    <w:rsid w:val="00301B07"/>
    <w:rsid w:val="00301D26"/>
    <w:rsid w:val="00301E09"/>
    <w:rsid w:val="00301E26"/>
    <w:rsid w:val="00302151"/>
    <w:rsid w:val="00302542"/>
    <w:rsid w:val="00302E3C"/>
    <w:rsid w:val="003032FF"/>
    <w:rsid w:val="00303664"/>
    <w:rsid w:val="003036C1"/>
    <w:rsid w:val="00303A9D"/>
    <w:rsid w:val="0030435F"/>
    <w:rsid w:val="00304433"/>
    <w:rsid w:val="003050EF"/>
    <w:rsid w:val="00305167"/>
    <w:rsid w:val="003055EE"/>
    <w:rsid w:val="0030575C"/>
    <w:rsid w:val="0030592E"/>
    <w:rsid w:val="00305F83"/>
    <w:rsid w:val="003060EC"/>
    <w:rsid w:val="0030648E"/>
    <w:rsid w:val="00306F3B"/>
    <w:rsid w:val="003073BC"/>
    <w:rsid w:val="003078B0"/>
    <w:rsid w:val="00307F8D"/>
    <w:rsid w:val="0031025C"/>
    <w:rsid w:val="00310C5C"/>
    <w:rsid w:val="00310CF1"/>
    <w:rsid w:val="00310DBD"/>
    <w:rsid w:val="00310DDA"/>
    <w:rsid w:val="00310E88"/>
    <w:rsid w:val="00310F23"/>
    <w:rsid w:val="00310FC9"/>
    <w:rsid w:val="0031129A"/>
    <w:rsid w:val="003113A8"/>
    <w:rsid w:val="00311502"/>
    <w:rsid w:val="00311B98"/>
    <w:rsid w:val="00311D55"/>
    <w:rsid w:val="00311ED9"/>
    <w:rsid w:val="00311F99"/>
    <w:rsid w:val="00312586"/>
    <w:rsid w:val="003127BA"/>
    <w:rsid w:val="00312979"/>
    <w:rsid w:val="0031311C"/>
    <w:rsid w:val="00313918"/>
    <w:rsid w:val="00313BCE"/>
    <w:rsid w:val="0031425D"/>
    <w:rsid w:val="00314E4F"/>
    <w:rsid w:val="00314F1A"/>
    <w:rsid w:val="00315036"/>
    <w:rsid w:val="00315346"/>
    <w:rsid w:val="0031543D"/>
    <w:rsid w:val="00315757"/>
    <w:rsid w:val="00315827"/>
    <w:rsid w:val="0031598D"/>
    <w:rsid w:val="00315A42"/>
    <w:rsid w:val="00315E8A"/>
    <w:rsid w:val="00315F0C"/>
    <w:rsid w:val="00316950"/>
    <w:rsid w:val="00316C90"/>
    <w:rsid w:val="00316D8E"/>
    <w:rsid w:val="00316DA7"/>
    <w:rsid w:val="00316FDF"/>
    <w:rsid w:val="00317D1A"/>
    <w:rsid w:val="00317F7C"/>
    <w:rsid w:val="003201AF"/>
    <w:rsid w:val="003202EA"/>
    <w:rsid w:val="003208F6"/>
    <w:rsid w:val="0032104B"/>
    <w:rsid w:val="003211AA"/>
    <w:rsid w:val="0032190D"/>
    <w:rsid w:val="00321AF7"/>
    <w:rsid w:val="00321B37"/>
    <w:rsid w:val="00321BB7"/>
    <w:rsid w:val="00321CDE"/>
    <w:rsid w:val="00321E0B"/>
    <w:rsid w:val="00322323"/>
    <w:rsid w:val="00322509"/>
    <w:rsid w:val="00322D4E"/>
    <w:rsid w:val="00322D63"/>
    <w:rsid w:val="00323203"/>
    <w:rsid w:val="0032356A"/>
    <w:rsid w:val="00323BA1"/>
    <w:rsid w:val="00323D14"/>
    <w:rsid w:val="00323FF3"/>
    <w:rsid w:val="003240C1"/>
    <w:rsid w:val="00324402"/>
    <w:rsid w:val="00324409"/>
    <w:rsid w:val="00325098"/>
    <w:rsid w:val="003254E8"/>
    <w:rsid w:val="003256F1"/>
    <w:rsid w:val="00325A23"/>
    <w:rsid w:val="00325A8B"/>
    <w:rsid w:val="00325DBF"/>
    <w:rsid w:val="00326261"/>
    <w:rsid w:val="00327139"/>
    <w:rsid w:val="0032722F"/>
    <w:rsid w:val="00327A2D"/>
    <w:rsid w:val="00330290"/>
    <w:rsid w:val="00330390"/>
    <w:rsid w:val="003303D6"/>
    <w:rsid w:val="00331279"/>
    <w:rsid w:val="0033134C"/>
    <w:rsid w:val="0033143E"/>
    <w:rsid w:val="0033194D"/>
    <w:rsid w:val="00331E82"/>
    <w:rsid w:val="00331F78"/>
    <w:rsid w:val="00331FCA"/>
    <w:rsid w:val="00332FD6"/>
    <w:rsid w:val="003331F2"/>
    <w:rsid w:val="003334BF"/>
    <w:rsid w:val="00333722"/>
    <w:rsid w:val="00333A08"/>
    <w:rsid w:val="00333FF8"/>
    <w:rsid w:val="00334329"/>
    <w:rsid w:val="0033446A"/>
    <w:rsid w:val="003344D1"/>
    <w:rsid w:val="003347DB"/>
    <w:rsid w:val="00334885"/>
    <w:rsid w:val="00334C4F"/>
    <w:rsid w:val="00335820"/>
    <w:rsid w:val="00335D8B"/>
    <w:rsid w:val="0033620A"/>
    <w:rsid w:val="0033654D"/>
    <w:rsid w:val="00336644"/>
    <w:rsid w:val="003366DB"/>
    <w:rsid w:val="00337198"/>
    <w:rsid w:val="0033728A"/>
    <w:rsid w:val="00337481"/>
    <w:rsid w:val="0033787F"/>
    <w:rsid w:val="003379BF"/>
    <w:rsid w:val="00337C1F"/>
    <w:rsid w:val="00337DE1"/>
    <w:rsid w:val="003403AC"/>
    <w:rsid w:val="003405AB"/>
    <w:rsid w:val="003406FE"/>
    <w:rsid w:val="00340861"/>
    <w:rsid w:val="00340D54"/>
    <w:rsid w:val="003416F6"/>
    <w:rsid w:val="00341A1D"/>
    <w:rsid w:val="00341A35"/>
    <w:rsid w:val="00341F83"/>
    <w:rsid w:val="0034202A"/>
    <w:rsid w:val="003423B8"/>
    <w:rsid w:val="00342812"/>
    <w:rsid w:val="00342DA2"/>
    <w:rsid w:val="0034355A"/>
    <w:rsid w:val="00343883"/>
    <w:rsid w:val="00343898"/>
    <w:rsid w:val="0034393D"/>
    <w:rsid w:val="0034394B"/>
    <w:rsid w:val="00343D96"/>
    <w:rsid w:val="00343DA1"/>
    <w:rsid w:val="00343FE6"/>
    <w:rsid w:val="00344282"/>
    <w:rsid w:val="003443A4"/>
    <w:rsid w:val="003443E9"/>
    <w:rsid w:val="00344521"/>
    <w:rsid w:val="003449F5"/>
    <w:rsid w:val="00344BAA"/>
    <w:rsid w:val="00345172"/>
    <w:rsid w:val="00345397"/>
    <w:rsid w:val="00345712"/>
    <w:rsid w:val="00345C64"/>
    <w:rsid w:val="00345D3C"/>
    <w:rsid w:val="00345EEC"/>
    <w:rsid w:val="00346702"/>
    <w:rsid w:val="00346B9D"/>
    <w:rsid w:val="00346E74"/>
    <w:rsid w:val="00347062"/>
    <w:rsid w:val="00347627"/>
    <w:rsid w:val="00347637"/>
    <w:rsid w:val="003477E8"/>
    <w:rsid w:val="00347B71"/>
    <w:rsid w:val="00347E34"/>
    <w:rsid w:val="00347FA3"/>
    <w:rsid w:val="0035029B"/>
    <w:rsid w:val="00350336"/>
    <w:rsid w:val="0035043C"/>
    <w:rsid w:val="00350610"/>
    <w:rsid w:val="0035064A"/>
    <w:rsid w:val="00350B5E"/>
    <w:rsid w:val="00350D05"/>
    <w:rsid w:val="00350E11"/>
    <w:rsid w:val="00351031"/>
    <w:rsid w:val="00351524"/>
    <w:rsid w:val="003516F2"/>
    <w:rsid w:val="00351743"/>
    <w:rsid w:val="003517DF"/>
    <w:rsid w:val="00351C21"/>
    <w:rsid w:val="00351C36"/>
    <w:rsid w:val="00351FC4"/>
    <w:rsid w:val="00352265"/>
    <w:rsid w:val="0035226C"/>
    <w:rsid w:val="0035267B"/>
    <w:rsid w:val="00352696"/>
    <w:rsid w:val="00352806"/>
    <w:rsid w:val="0035288D"/>
    <w:rsid w:val="0035358C"/>
    <w:rsid w:val="00353735"/>
    <w:rsid w:val="003538CF"/>
    <w:rsid w:val="00353986"/>
    <w:rsid w:val="00353A1C"/>
    <w:rsid w:val="00353CF1"/>
    <w:rsid w:val="00353D1D"/>
    <w:rsid w:val="00353EBC"/>
    <w:rsid w:val="00354186"/>
    <w:rsid w:val="003543D8"/>
    <w:rsid w:val="00354670"/>
    <w:rsid w:val="0035493A"/>
    <w:rsid w:val="00354A0B"/>
    <w:rsid w:val="00354A84"/>
    <w:rsid w:val="00354F2B"/>
    <w:rsid w:val="003551AB"/>
    <w:rsid w:val="00355327"/>
    <w:rsid w:val="0035560B"/>
    <w:rsid w:val="00355E86"/>
    <w:rsid w:val="00355FB6"/>
    <w:rsid w:val="003561FC"/>
    <w:rsid w:val="00356243"/>
    <w:rsid w:val="00356322"/>
    <w:rsid w:val="003563AD"/>
    <w:rsid w:val="0035656B"/>
    <w:rsid w:val="00356663"/>
    <w:rsid w:val="00356729"/>
    <w:rsid w:val="00356FBC"/>
    <w:rsid w:val="0035724E"/>
    <w:rsid w:val="003578BD"/>
    <w:rsid w:val="003605B4"/>
    <w:rsid w:val="0036119A"/>
    <w:rsid w:val="003615D2"/>
    <w:rsid w:val="00361993"/>
    <w:rsid w:val="00361FFA"/>
    <w:rsid w:val="0036241E"/>
    <w:rsid w:val="00362D68"/>
    <w:rsid w:val="0036326B"/>
    <w:rsid w:val="00363339"/>
    <w:rsid w:val="003634E6"/>
    <w:rsid w:val="0036360A"/>
    <w:rsid w:val="00363859"/>
    <w:rsid w:val="00363A6E"/>
    <w:rsid w:val="00363C01"/>
    <w:rsid w:val="00363D09"/>
    <w:rsid w:val="00364318"/>
    <w:rsid w:val="0036431C"/>
    <w:rsid w:val="0036455F"/>
    <w:rsid w:val="00364641"/>
    <w:rsid w:val="00364709"/>
    <w:rsid w:val="00364CEE"/>
    <w:rsid w:val="0036505B"/>
    <w:rsid w:val="00365089"/>
    <w:rsid w:val="003650E8"/>
    <w:rsid w:val="00365597"/>
    <w:rsid w:val="00365646"/>
    <w:rsid w:val="0036571C"/>
    <w:rsid w:val="0036587D"/>
    <w:rsid w:val="00365AD0"/>
    <w:rsid w:val="00365BB9"/>
    <w:rsid w:val="00365C16"/>
    <w:rsid w:val="00365C7E"/>
    <w:rsid w:val="00365D34"/>
    <w:rsid w:val="00366155"/>
    <w:rsid w:val="0036635D"/>
    <w:rsid w:val="0036651A"/>
    <w:rsid w:val="00366652"/>
    <w:rsid w:val="00366774"/>
    <w:rsid w:val="00366CCC"/>
    <w:rsid w:val="00366EF0"/>
    <w:rsid w:val="00367348"/>
    <w:rsid w:val="00367DE1"/>
    <w:rsid w:val="00367E0C"/>
    <w:rsid w:val="00370113"/>
    <w:rsid w:val="00370814"/>
    <w:rsid w:val="00370BAF"/>
    <w:rsid w:val="00370E89"/>
    <w:rsid w:val="003711B2"/>
    <w:rsid w:val="003714B0"/>
    <w:rsid w:val="00371C4E"/>
    <w:rsid w:val="00371C6E"/>
    <w:rsid w:val="00371F5B"/>
    <w:rsid w:val="0037205A"/>
    <w:rsid w:val="0037210D"/>
    <w:rsid w:val="0037213F"/>
    <w:rsid w:val="00372163"/>
    <w:rsid w:val="00372409"/>
    <w:rsid w:val="00372A5A"/>
    <w:rsid w:val="00372B39"/>
    <w:rsid w:val="00372FA0"/>
    <w:rsid w:val="0037336F"/>
    <w:rsid w:val="0037339D"/>
    <w:rsid w:val="003735DF"/>
    <w:rsid w:val="00373A2A"/>
    <w:rsid w:val="00373E5C"/>
    <w:rsid w:val="00373ECE"/>
    <w:rsid w:val="00374ABD"/>
    <w:rsid w:val="00374B2C"/>
    <w:rsid w:val="00374E26"/>
    <w:rsid w:val="00374E7A"/>
    <w:rsid w:val="00375253"/>
    <w:rsid w:val="0037574E"/>
    <w:rsid w:val="00375E87"/>
    <w:rsid w:val="00375FB4"/>
    <w:rsid w:val="003763EB"/>
    <w:rsid w:val="003764E3"/>
    <w:rsid w:val="003765B8"/>
    <w:rsid w:val="00376722"/>
    <w:rsid w:val="00376752"/>
    <w:rsid w:val="0037686F"/>
    <w:rsid w:val="003769C6"/>
    <w:rsid w:val="00376E30"/>
    <w:rsid w:val="00376FFC"/>
    <w:rsid w:val="003774E4"/>
    <w:rsid w:val="003777D6"/>
    <w:rsid w:val="00377978"/>
    <w:rsid w:val="00377CFB"/>
    <w:rsid w:val="00377F39"/>
    <w:rsid w:val="00377FA1"/>
    <w:rsid w:val="00380087"/>
    <w:rsid w:val="00380400"/>
    <w:rsid w:val="00380A75"/>
    <w:rsid w:val="00380DEB"/>
    <w:rsid w:val="0038152B"/>
    <w:rsid w:val="0038178F"/>
    <w:rsid w:val="003817B9"/>
    <w:rsid w:val="00381875"/>
    <w:rsid w:val="00382698"/>
    <w:rsid w:val="00382964"/>
    <w:rsid w:val="00382D92"/>
    <w:rsid w:val="00382E50"/>
    <w:rsid w:val="00383070"/>
    <w:rsid w:val="0038311D"/>
    <w:rsid w:val="00383262"/>
    <w:rsid w:val="00383DA1"/>
    <w:rsid w:val="00383FF7"/>
    <w:rsid w:val="0038477E"/>
    <w:rsid w:val="00384AD7"/>
    <w:rsid w:val="00385274"/>
    <w:rsid w:val="003854E3"/>
    <w:rsid w:val="0038550E"/>
    <w:rsid w:val="003855B9"/>
    <w:rsid w:val="00385660"/>
    <w:rsid w:val="003857CF"/>
    <w:rsid w:val="00385C6A"/>
    <w:rsid w:val="003862B9"/>
    <w:rsid w:val="003862FB"/>
    <w:rsid w:val="0038657A"/>
    <w:rsid w:val="00386695"/>
    <w:rsid w:val="0038690D"/>
    <w:rsid w:val="00386981"/>
    <w:rsid w:val="003869F7"/>
    <w:rsid w:val="00386AD5"/>
    <w:rsid w:val="00386C08"/>
    <w:rsid w:val="00386D7C"/>
    <w:rsid w:val="00387887"/>
    <w:rsid w:val="00387B60"/>
    <w:rsid w:val="0039034D"/>
    <w:rsid w:val="0039042A"/>
    <w:rsid w:val="0039069B"/>
    <w:rsid w:val="003906C5"/>
    <w:rsid w:val="00390805"/>
    <w:rsid w:val="00390AC6"/>
    <w:rsid w:val="00390E1E"/>
    <w:rsid w:val="00390F03"/>
    <w:rsid w:val="00390FA5"/>
    <w:rsid w:val="0039144B"/>
    <w:rsid w:val="00391BA7"/>
    <w:rsid w:val="00391D78"/>
    <w:rsid w:val="00391F88"/>
    <w:rsid w:val="00392011"/>
    <w:rsid w:val="003923B5"/>
    <w:rsid w:val="003926D6"/>
    <w:rsid w:val="00392FEE"/>
    <w:rsid w:val="00393235"/>
    <w:rsid w:val="0039339C"/>
    <w:rsid w:val="00393554"/>
    <w:rsid w:val="0039370C"/>
    <w:rsid w:val="00393A03"/>
    <w:rsid w:val="00393EB1"/>
    <w:rsid w:val="003940C9"/>
    <w:rsid w:val="00395AE7"/>
    <w:rsid w:val="00395CEB"/>
    <w:rsid w:val="0039660B"/>
    <w:rsid w:val="00396790"/>
    <w:rsid w:val="00396BE9"/>
    <w:rsid w:val="00396BF5"/>
    <w:rsid w:val="00396E17"/>
    <w:rsid w:val="00397232"/>
    <w:rsid w:val="003973DF"/>
    <w:rsid w:val="00397897"/>
    <w:rsid w:val="00397DAE"/>
    <w:rsid w:val="003A0183"/>
    <w:rsid w:val="003A03EA"/>
    <w:rsid w:val="003A0BC5"/>
    <w:rsid w:val="003A134E"/>
    <w:rsid w:val="003A1430"/>
    <w:rsid w:val="003A15FD"/>
    <w:rsid w:val="003A1697"/>
    <w:rsid w:val="003A181D"/>
    <w:rsid w:val="003A262C"/>
    <w:rsid w:val="003A2982"/>
    <w:rsid w:val="003A29EA"/>
    <w:rsid w:val="003A2C92"/>
    <w:rsid w:val="003A2E59"/>
    <w:rsid w:val="003A2F00"/>
    <w:rsid w:val="003A3535"/>
    <w:rsid w:val="003A381E"/>
    <w:rsid w:val="003A38EC"/>
    <w:rsid w:val="003A3F55"/>
    <w:rsid w:val="003A404C"/>
    <w:rsid w:val="003A4366"/>
    <w:rsid w:val="003A4802"/>
    <w:rsid w:val="003A4BF2"/>
    <w:rsid w:val="003A4C0E"/>
    <w:rsid w:val="003A5323"/>
    <w:rsid w:val="003A570C"/>
    <w:rsid w:val="003A5846"/>
    <w:rsid w:val="003A5998"/>
    <w:rsid w:val="003A59D0"/>
    <w:rsid w:val="003A5A2C"/>
    <w:rsid w:val="003A5B93"/>
    <w:rsid w:val="003A5B9C"/>
    <w:rsid w:val="003A5BBC"/>
    <w:rsid w:val="003A5D44"/>
    <w:rsid w:val="003A6321"/>
    <w:rsid w:val="003A6800"/>
    <w:rsid w:val="003A6966"/>
    <w:rsid w:val="003A6B6C"/>
    <w:rsid w:val="003A6F14"/>
    <w:rsid w:val="003A6F19"/>
    <w:rsid w:val="003A702E"/>
    <w:rsid w:val="003A7A72"/>
    <w:rsid w:val="003B00D0"/>
    <w:rsid w:val="003B0521"/>
    <w:rsid w:val="003B08B0"/>
    <w:rsid w:val="003B1198"/>
    <w:rsid w:val="003B1ACE"/>
    <w:rsid w:val="003B2109"/>
    <w:rsid w:val="003B2240"/>
    <w:rsid w:val="003B22BE"/>
    <w:rsid w:val="003B272D"/>
    <w:rsid w:val="003B2DF6"/>
    <w:rsid w:val="003B2E04"/>
    <w:rsid w:val="003B2FB7"/>
    <w:rsid w:val="003B302A"/>
    <w:rsid w:val="003B3649"/>
    <w:rsid w:val="003B3AB5"/>
    <w:rsid w:val="003B3D25"/>
    <w:rsid w:val="003B3DA0"/>
    <w:rsid w:val="003B4382"/>
    <w:rsid w:val="003B5048"/>
    <w:rsid w:val="003B5FD2"/>
    <w:rsid w:val="003B63F7"/>
    <w:rsid w:val="003B65E2"/>
    <w:rsid w:val="003B67ED"/>
    <w:rsid w:val="003B6A8D"/>
    <w:rsid w:val="003B6B9E"/>
    <w:rsid w:val="003B6E3C"/>
    <w:rsid w:val="003B6F1D"/>
    <w:rsid w:val="003B71B5"/>
    <w:rsid w:val="003B72F1"/>
    <w:rsid w:val="003B7780"/>
    <w:rsid w:val="003B7B0C"/>
    <w:rsid w:val="003B7CA3"/>
    <w:rsid w:val="003B7D60"/>
    <w:rsid w:val="003B7D95"/>
    <w:rsid w:val="003B7F79"/>
    <w:rsid w:val="003C031D"/>
    <w:rsid w:val="003C03B0"/>
    <w:rsid w:val="003C06BB"/>
    <w:rsid w:val="003C0769"/>
    <w:rsid w:val="003C0887"/>
    <w:rsid w:val="003C0A2B"/>
    <w:rsid w:val="003C0C27"/>
    <w:rsid w:val="003C0EBB"/>
    <w:rsid w:val="003C125F"/>
    <w:rsid w:val="003C13F6"/>
    <w:rsid w:val="003C150F"/>
    <w:rsid w:val="003C1531"/>
    <w:rsid w:val="003C184F"/>
    <w:rsid w:val="003C1B2F"/>
    <w:rsid w:val="003C1E33"/>
    <w:rsid w:val="003C1E34"/>
    <w:rsid w:val="003C1EC6"/>
    <w:rsid w:val="003C2220"/>
    <w:rsid w:val="003C2316"/>
    <w:rsid w:val="003C2C23"/>
    <w:rsid w:val="003C3104"/>
    <w:rsid w:val="003C35CA"/>
    <w:rsid w:val="003C35D4"/>
    <w:rsid w:val="003C3840"/>
    <w:rsid w:val="003C48CC"/>
    <w:rsid w:val="003C5244"/>
    <w:rsid w:val="003C57CF"/>
    <w:rsid w:val="003C5DD2"/>
    <w:rsid w:val="003C619E"/>
    <w:rsid w:val="003C6349"/>
    <w:rsid w:val="003C63F3"/>
    <w:rsid w:val="003C65C9"/>
    <w:rsid w:val="003C661B"/>
    <w:rsid w:val="003C66C2"/>
    <w:rsid w:val="003C679E"/>
    <w:rsid w:val="003C6902"/>
    <w:rsid w:val="003C6B90"/>
    <w:rsid w:val="003C76BE"/>
    <w:rsid w:val="003C7BC9"/>
    <w:rsid w:val="003C7E42"/>
    <w:rsid w:val="003C7F4A"/>
    <w:rsid w:val="003D0526"/>
    <w:rsid w:val="003D05BF"/>
    <w:rsid w:val="003D09B0"/>
    <w:rsid w:val="003D0DA6"/>
    <w:rsid w:val="003D100A"/>
    <w:rsid w:val="003D1055"/>
    <w:rsid w:val="003D107E"/>
    <w:rsid w:val="003D15D8"/>
    <w:rsid w:val="003D1692"/>
    <w:rsid w:val="003D17E8"/>
    <w:rsid w:val="003D1D61"/>
    <w:rsid w:val="003D1F57"/>
    <w:rsid w:val="003D2247"/>
    <w:rsid w:val="003D253C"/>
    <w:rsid w:val="003D2B72"/>
    <w:rsid w:val="003D2C15"/>
    <w:rsid w:val="003D2C97"/>
    <w:rsid w:val="003D310E"/>
    <w:rsid w:val="003D361D"/>
    <w:rsid w:val="003D376C"/>
    <w:rsid w:val="003D3924"/>
    <w:rsid w:val="003D3B3C"/>
    <w:rsid w:val="003D4283"/>
    <w:rsid w:val="003D443F"/>
    <w:rsid w:val="003D4552"/>
    <w:rsid w:val="003D4DA9"/>
    <w:rsid w:val="003D5089"/>
    <w:rsid w:val="003D5A6C"/>
    <w:rsid w:val="003D61DC"/>
    <w:rsid w:val="003D678B"/>
    <w:rsid w:val="003D6E71"/>
    <w:rsid w:val="003D7540"/>
    <w:rsid w:val="003D7698"/>
    <w:rsid w:val="003D7731"/>
    <w:rsid w:val="003E0791"/>
    <w:rsid w:val="003E07A7"/>
    <w:rsid w:val="003E092F"/>
    <w:rsid w:val="003E0BE4"/>
    <w:rsid w:val="003E0F95"/>
    <w:rsid w:val="003E1030"/>
    <w:rsid w:val="003E1248"/>
    <w:rsid w:val="003E2029"/>
    <w:rsid w:val="003E2081"/>
    <w:rsid w:val="003E2A2F"/>
    <w:rsid w:val="003E2B44"/>
    <w:rsid w:val="003E2EF5"/>
    <w:rsid w:val="003E3329"/>
    <w:rsid w:val="003E3579"/>
    <w:rsid w:val="003E3866"/>
    <w:rsid w:val="003E392E"/>
    <w:rsid w:val="003E3CC8"/>
    <w:rsid w:val="003E3D03"/>
    <w:rsid w:val="003E3E24"/>
    <w:rsid w:val="003E41B8"/>
    <w:rsid w:val="003E45CF"/>
    <w:rsid w:val="003E486B"/>
    <w:rsid w:val="003E4D0E"/>
    <w:rsid w:val="003E4D31"/>
    <w:rsid w:val="003E5168"/>
    <w:rsid w:val="003E54DD"/>
    <w:rsid w:val="003E5A3B"/>
    <w:rsid w:val="003E5B26"/>
    <w:rsid w:val="003E5CAE"/>
    <w:rsid w:val="003E6109"/>
    <w:rsid w:val="003E6246"/>
    <w:rsid w:val="003E64A9"/>
    <w:rsid w:val="003E65DA"/>
    <w:rsid w:val="003E6AEE"/>
    <w:rsid w:val="003E6CF5"/>
    <w:rsid w:val="003E731B"/>
    <w:rsid w:val="003E749C"/>
    <w:rsid w:val="003E79F7"/>
    <w:rsid w:val="003E7D37"/>
    <w:rsid w:val="003F0337"/>
    <w:rsid w:val="003F0529"/>
    <w:rsid w:val="003F0E55"/>
    <w:rsid w:val="003F110B"/>
    <w:rsid w:val="003F12E6"/>
    <w:rsid w:val="003F153B"/>
    <w:rsid w:val="003F1911"/>
    <w:rsid w:val="003F20E1"/>
    <w:rsid w:val="003F23E3"/>
    <w:rsid w:val="003F2408"/>
    <w:rsid w:val="003F2C62"/>
    <w:rsid w:val="003F2C78"/>
    <w:rsid w:val="003F2E65"/>
    <w:rsid w:val="003F3345"/>
    <w:rsid w:val="003F3347"/>
    <w:rsid w:val="003F33C7"/>
    <w:rsid w:val="003F374E"/>
    <w:rsid w:val="003F386D"/>
    <w:rsid w:val="003F3DEE"/>
    <w:rsid w:val="003F43B9"/>
    <w:rsid w:val="003F4E32"/>
    <w:rsid w:val="003F509B"/>
    <w:rsid w:val="003F52D4"/>
    <w:rsid w:val="003F599E"/>
    <w:rsid w:val="003F62BC"/>
    <w:rsid w:val="003F6612"/>
    <w:rsid w:val="003F67FE"/>
    <w:rsid w:val="003F6BCA"/>
    <w:rsid w:val="003F6C9B"/>
    <w:rsid w:val="003F6D6D"/>
    <w:rsid w:val="003F7146"/>
    <w:rsid w:val="003F7642"/>
    <w:rsid w:val="003F7715"/>
    <w:rsid w:val="003F774B"/>
    <w:rsid w:val="003F7921"/>
    <w:rsid w:val="003F7F7C"/>
    <w:rsid w:val="00400C2E"/>
    <w:rsid w:val="00400F2C"/>
    <w:rsid w:val="0040127D"/>
    <w:rsid w:val="0040128C"/>
    <w:rsid w:val="004013EF"/>
    <w:rsid w:val="004013FA"/>
    <w:rsid w:val="004015D7"/>
    <w:rsid w:val="0040196B"/>
    <w:rsid w:val="00401B19"/>
    <w:rsid w:val="00401DB4"/>
    <w:rsid w:val="00402161"/>
    <w:rsid w:val="00402291"/>
    <w:rsid w:val="004026FE"/>
    <w:rsid w:val="00402728"/>
    <w:rsid w:val="0040274A"/>
    <w:rsid w:val="0040284F"/>
    <w:rsid w:val="00402B48"/>
    <w:rsid w:val="00402DC1"/>
    <w:rsid w:val="00402F09"/>
    <w:rsid w:val="0040354D"/>
    <w:rsid w:val="004036A3"/>
    <w:rsid w:val="00403730"/>
    <w:rsid w:val="0040373D"/>
    <w:rsid w:val="0040375D"/>
    <w:rsid w:val="00403A37"/>
    <w:rsid w:val="004044D2"/>
    <w:rsid w:val="004049A4"/>
    <w:rsid w:val="00404A80"/>
    <w:rsid w:val="00404B26"/>
    <w:rsid w:val="00404C9F"/>
    <w:rsid w:val="00404EDB"/>
    <w:rsid w:val="0040522F"/>
    <w:rsid w:val="00405570"/>
    <w:rsid w:val="0040567A"/>
    <w:rsid w:val="00405698"/>
    <w:rsid w:val="004056DA"/>
    <w:rsid w:val="00405753"/>
    <w:rsid w:val="004059EA"/>
    <w:rsid w:val="00405B0E"/>
    <w:rsid w:val="00405E40"/>
    <w:rsid w:val="004066B3"/>
    <w:rsid w:val="004067FF"/>
    <w:rsid w:val="00406A38"/>
    <w:rsid w:val="00406D0F"/>
    <w:rsid w:val="00406D15"/>
    <w:rsid w:val="00406F30"/>
    <w:rsid w:val="004071D3"/>
    <w:rsid w:val="00407451"/>
    <w:rsid w:val="00407453"/>
    <w:rsid w:val="00407C0F"/>
    <w:rsid w:val="00407F1F"/>
    <w:rsid w:val="00407F32"/>
    <w:rsid w:val="004101E9"/>
    <w:rsid w:val="004104A4"/>
    <w:rsid w:val="004104FB"/>
    <w:rsid w:val="00410B21"/>
    <w:rsid w:val="00410BB4"/>
    <w:rsid w:val="00410DDF"/>
    <w:rsid w:val="00410F45"/>
    <w:rsid w:val="00411026"/>
    <w:rsid w:val="00411321"/>
    <w:rsid w:val="00411869"/>
    <w:rsid w:val="00411BEB"/>
    <w:rsid w:val="00411D4E"/>
    <w:rsid w:val="00411DC9"/>
    <w:rsid w:val="004122AD"/>
    <w:rsid w:val="004126E1"/>
    <w:rsid w:val="004127CA"/>
    <w:rsid w:val="0041286E"/>
    <w:rsid w:val="004129E5"/>
    <w:rsid w:val="00412AC1"/>
    <w:rsid w:val="00412B86"/>
    <w:rsid w:val="00412C11"/>
    <w:rsid w:val="00412C70"/>
    <w:rsid w:val="00412DF4"/>
    <w:rsid w:val="004130C3"/>
    <w:rsid w:val="004133EF"/>
    <w:rsid w:val="004135C6"/>
    <w:rsid w:val="0041360E"/>
    <w:rsid w:val="00413769"/>
    <w:rsid w:val="004137D1"/>
    <w:rsid w:val="0041392D"/>
    <w:rsid w:val="00413E8F"/>
    <w:rsid w:val="00414226"/>
    <w:rsid w:val="00414E36"/>
    <w:rsid w:val="00415076"/>
    <w:rsid w:val="004151EF"/>
    <w:rsid w:val="0041543F"/>
    <w:rsid w:val="004156EF"/>
    <w:rsid w:val="00415732"/>
    <w:rsid w:val="00415A3E"/>
    <w:rsid w:val="00415C6B"/>
    <w:rsid w:val="00415ED8"/>
    <w:rsid w:val="00415F32"/>
    <w:rsid w:val="00416039"/>
    <w:rsid w:val="004169F1"/>
    <w:rsid w:val="00416BFB"/>
    <w:rsid w:val="00417295"/>
    <w:rsid w:val="004174EE"/>
    <w:rsid w:val="004177B9"/>
    <w:rsid w:val="00417B05"/>
    <w:rsid w:val="00420084"/>
    <w:rsid w:val="004203DF"/>
    <w:rsid w:val="00420794"/>
    <w:rsid w:val="004207AA"/>
    <w:rsid w:val="00421921"/>
    <w:rsid w:val="00421AB8"/>
    <w:rsid w:val="00421DAC"/>
    <w:rsid w:val="00421E0D"/>
    <w:rsid w:val="00422701"/>
    <w:rsid w:val="0042277A"/>
    <w:rsid w:val="00422ECE"/>
    <w:rsid w:val="004234CA"/>
    <w:rsid w:val="00423678"/>
    <w:rsid w:val="00423894"/>
    <w:rsid w:val="00423938"/>
    <w:rsid w:val="004239CC"/>
    <w:rsid w:val="00423A4F"/>
    <w:rsid w:val="00423A88"/>
    <w:rsid w:val="00423C21"/>
    <w:rsid w:val="00423C8A"/>
    <w:rsid w:val="00424090"/>
    <w:rsid w:val="004240C5"/>
    <w:rsid w:val="004242A0"/>
    <w:rsid w:val="00424611"/>
    <w:rsid w:val="00424836"/>
    <w:rsid w:val="0042511F"/>
    <w:rsid w:val="004251AB"/>
    <w:rsid w:val="004254C1"/>
    <w:rsid w:val="00425868"/>
    <w:rsid w:val="00425A3D"/>
    <w:rsid w:val="00425D5F"/>
    <w:rsid w:val="00425F9A"/>
    <w:rsid w:val="004261DC"/>
    <w:rsid w:val="00426383"/>
    <w:rsid w:val="004263AB"/>
    <w:rsid w:val="004269CA"/>
    <w:rsid w:val="00426FDF"/>
    <w:rsid w:val="0042725D"/>
    <w:rsid w:val="004279AA"/>
    <w:rsid w:val="00427E23"/>
    <w:rsid w:val="00427FB2"/>
    <w:rsid w:val="00427FD8"/>
    <w:rsid w:val="004300EF"/>
    <w:rsid w:val="0043033B"/>
    <w:rsid w:val="004303CA"/>
    <w:rsid w:val="0043041F"/>
    <w:rsid w:val="004305BA"/>
    <w:rsid w:val="0043076C"/>
    <w:rsid w:val="00430B31"/>
    <w:rsid w:val="004319B2"/>
    <w:rsid w:val="004319E6"/>
    <w:rsid w:val="00431CE8"/>
    <w:rsid w:val="0043233D"/>
    <w:rsid w:val="00432774"/>
    <w:rsid w:val="00432B07"/>
    <w:rsid w:val="00432C29"/>
    <w:rsid w:val="00432CFC"/>
    <w:rsid w:val="00432E38"/>
    <w:rsid w:val="00433334"/>
    <w:rsid w:val="004338AD"/>
    <w:rsid w:val="004339E1"/>
    <w:rsid w:val="00433A97"/>
    <w:rsid w:val="00434119"/>
    <w:rsid w:val="0043430A"/>
    <w:rsid w:val="00434788"/>
    <w:rsid w:val="004347F5"/>
    <w:rsid w:val="00434877"/>
    <w:rsid w:val="00434C1E"/>
    <w:rsid w:val="00434E6E"/>
    <w:rsid w:val="00434EB7"/>
    <w:rsid w:val="00434FE4"/>
    <w:rsid w:val="00435015"/>
    <w:rsid w:val="00435038"/>
    <w:rsid w:val="00435088"/>
    <w:rsid w:val="00435120"/>
    <w:rsid w:val="004359DB"/>
    <w:rsid w:val="00435D5E"/>
    <w:rsid w:val="00435E65"/>
    <w:rsid w:val="0043622A"/>
    <w:rsid w:val="0043633E"/>
    <w:rsid w:val="00436847"/>
    <w:rsid w:val="00436A73"/>
    <w:rsid w:val="004376C5"/>
    <w:rsid w:val="00437777"/>
    <w:rsid w:val="00437A4A"/>
    <w:rsid w:val="00437AEC"/>
    <w:rsid w:val="00437B1E"/>
    <w:rsid w:val="00437B75"/>
    <w:rsid w:val="00437BAB"/>
    <w:rsid w:val="004400F3"/>
    <w:rsid w:val="0044017F"/>
    <w:rsid w:val="0044035C"/>
    <w:rsid w:val="00440478"/>
    <w:rsid w:val="0044068C"/>
    <w:rsid w:val="004409F3"/>
    <w:rsid w:val="00440EEC"/>
    <w:rsid w:val="00440FCF"/>
    <w:rsid w:val="00441AA6"/>
    <w:rsid w:val="00441D35"/>
    <w:rsid w:val="00441E56"/>
    <w:rsid w:val="004422B4"/>
    <w:rsid w:val="00442376"/>
    <w:rsid w:val="0044256A"/>
    <w:rsid w:val="00442946"/>
    <w:rsid w:val="0044297F"/>
    <w:rsid w:val="00442C4B"/>
    <w:rsid w:val="00442D09"/>
    <w:rsid w:val="00443500"/>
    <w:rsid w:val="0044395C"/>
    <w:rsid w:val="00443E35"/>
    <w:rsid w:val="00443F94"/>
    <w:rsid w:val="00444280"/>
    <w:rsid w:val="00444426"/>
    <w:rsid w:val="0044456A"/>
    <w:rsid w:val="00444D33"/>
    <w:rsid w:val="00444F37"/>
    <w:rsid w:val="00445271"/>
    <w:rsid w:val="0044531A"/>
    <w:rsid w:val="004453B0"/>
    <w:rsid w:val="004454B3"/>
    <w:rsid w:val="004458A7"/>
    <w:rsid w:val="00445AD0"/>
    <w:rsid w:val="00445D91"/>
    <w:rsid w:val="00446348"/>
    <w:rsid w:val="00446918"/>
    <w:rsid w:val="004473EB"/>
    <w:rsid w:val="004473EF"/>
    <w:rsid w:val="004474CD"/>
    <w:rsid w:val="00447663"/>
    <w:rsid w:val="00447689"/>
    <w:rsid w:val="00447903"/>
    <w:rsid w:val="0044791C"/>
    <w:rsid w:val="00447B01"/>
    <w:rsid w:val="0045007A"/>
    <w:rsid w:val="004507C9"/>
    <w:rsid w:val="004509B5"/>
    <w:rsid w:val="00451198"/>
    <w:rsid w:val="0045130B"/>
    <w:rsid w:val="004515DF"/>
    <w:rsid w:val="0045184A"/>
    <w:rsid w:val="00451A28"/>
    <w:rsid w:val="00451C91"/>
    <w:rsid w:val="00452358"/>
    <w:rsid w:val="00452614"/>
    <w:rsid w:val="00453015"/>
    <w:rsid w:val="0045387D"/>
    <w:rsid w:val="004542FD"/>
    <w:rsid w:val="00454930"/>
    <w:rsid w:val="00454941"/>
    <w:rsid w:val="00454E1E"/>
    <w:rsid w:val="004552E5"/>
    <w:rsid w:val="004557B3"/>
    <w:rsid w:val="004561A6"/>
    <w:rsid w:val="0045639E"/>
    <w:rsid w:val="00456459"/>
    <w:rsid w:val="0045683D"/>
    <w:rsid w:val="00456CBA"/>
    <w:rsid w:val="00456EEF"/>
    <w:rsid w:val="0045769E"/>
    <w:rsid w:val="0045792E"/>
    <w:rsid w:val="00457C19"/>
    <w:rsid w:val="00457C92"/>
    <w:rsid w:val="00460181"/>
    <w:rsid w:val="00460B4F"/>
    <w:rsid w:val="00460B69"/>
    <w:rsid w:val="00460C6E"/>
    <w:rsid w:val="00461095"/>
    <w:rsid w:val="0046140E"/>
    <w:rsid w:val="0046144F"/>
    <w:rsid w:val="00461941"/>
    <w:rsid w:val="00461BD5"/>
    <w:rsid w:val="00461CDE"/>
    <w:rsid w:val="00461D4B"/>
    <w:rsid w:val="00461E21"/>
    <w:rsid w:val="004622F4"/>
    <w:rsid w:val="00462777"/>
    <w:rsid w:val="00462D3F"/>
    <w:rsid w:val="00462F29"/>
    <w:rsid w:val="004632B3"/>
    <w:rsid w:val="004639EA"/>
    <w:rsid w:val="00463C8D"/>
    <w:rsid w:val="00463D4E"/>
    <w:rsid w:val="00464FC1"/>
    <w:rsid w:val="00465002"/>
    <w:rsid w:val="00465D32"/>
    <w:rsid w:val="00466041"/>
    <w:rsid w:val="00466633"/>
    <w:rsid w:val="00466850"/>
    <w:rsid w:val="00466AA2"/>
    <w:rsid w:val="00466CC0"/>
    <w:rsid w:val="004679F4"/>
    <w:rsid w:val="00467ADE"/>
    <w:rsid w:val="00467CC4"/>
    <w:rsid w:val="00470644"/>
    <w:rsid w:val="00470E24"/>
    <w:rsid w:val="00471033"/>
    <w:rsid w:val="00471101"/>
    <w:rsid w:val="004714E9"/>
    <w:rsid w:val="0047180B"/>
    <w:rsid w:val="00471D83"/>
    <w:rsid w:val="00471DA2"/>
    <w:rsid w:val="0047219F"/>
    <w:rsid w:val="00472B79"/>
    <w:rsid w:val="00473343"/>
    <w:rsid w:val="00473947"/>
    <w:rsid w:val="004739A8"/>
    <w:rsid w:val="00473A8E"/>
    <w:rsid w:val="00473F17"/>
    <w:rsid w:val="0047411C"/>
    <w:rsid w:val="00474420"/>
    <w:rsid w:val="00474C5E"/>
    <w:rsid w:val="00474E7E"/>
    <w:rsid w:val="00475119"/>
    <w:rsid w:val="004755A0"/>
    <w:rsid w:val="0047563D"/>
    <w:rsid w:val="0047584B"/>
    <w:rsid w:val="00475BBA"/>
    <w:rsid w:val="00475D72"/>
    <w:rsid w:val="00476319"/>
    <w:rsid w:val="004767C2"/>
    <w:rsid w:val="00476FD7"/>
    <w:rsid w:val="00477245"/>
    <w:rsid w:val="0047791F"/>
    <w:rsid w:val="0047798B"/>
    <w:rsid w:val="00477DE3"/>
    <w:rsid w:val="00477FC6"/>
    <w:rsid w:val="00480569"/>
    <w:rsid w:val="0048089B"/>
    <w:rsid w:val="00480C34"/>
    <w:rsid w:val="00480EF9"/>
    <w:rsid w:val="00481189"/>
    <w:rsid w:val="004811CE"/>
    <w:rsid w:val="004819C4"/>
    <w:rsid w:val="00482126"/>
    <w:rsid w:val="0048220C"/>
    <w:rsid w:val="00482278"/>
    <w:rsid w:val="00482768"/>
    <w:rsid w:val="00482792"/>
    <w:rsid w:val="00482FC5"/>
    <w:rsid w:val="0048306C"/>
    <w:rsid w:val="00483A66"/>
    <w:rsid w:val="00483B42"/>
    <w:rsid w:val="00483FDD"/>
    <w:rsid w:val="0048451D"/>
    <w:rsid w:val="00484603"/>
    <w:rsid w:val="0048465C"/>
    <w:rsid w:val="00484CC5"/>
    <w:rsid w:val="004852E9"/>
    <w:rsid w:val="00485335"/>
    <w:rsid w:val="00485A72"/>
    <w:rsid w:val="00485F9B"/>
    <w:rsid w:val="0048623A"/>
    <w:rsid w:val="004868F2"/>
    <w:rsid w:val="00486FCA"/>
    <w:rsid w:val="004871B7"/>
    <w:rsid w:val="004875A0"/>
    <w:rsid w:val="00487F94"/>
    <w:rsid w:val="0049004F"/>
    <w:rsid w:val="00490062"/>
    <w:rsid w:val="0049011C"/>
    <w:rsid w:val="004903A5"/>
    <w:rsid w:val="0049047D"/>
    <w:rsid w:val="0049063A"/>
    <w:rsid w:val="004908A0"/>
    <w:rsid w:val="0049092B"/>
    <w:rsid w:val="00490C42"/>
    <w:rsid w:val="0049143D"/>
    <w:rsid w:val="004916D2"/>
    <w:rsid w:val="00491767"/>
    <w:rsid w:val="004917DA"/>
    <w:rsid w:val="004917F2"/>
    <w:rsid w:val="00491804"/>
    <w:rsid w:val="00491AE7"/>
    <w:rsid w:val="00491AF4"/>
    <w:rsid w:val="00491B90"/>
    <w:rsid w:val="00491CD1"/>
    <w:rsid w:val="00491DF1"/>
    <w:rsid w:val="00491EC5"/>
    <w:rsid w:val="004920E0"/>
    <w:rsid w:val="00492266"/>
    <w:rsid w:val="00492271"/>
    <w:rsid w:val="0049234A"/>
    <w:rsid w:val="004923F8"/>
    <w:rsid w:val="0049243E"/>
    <w:rsid w:val="004924D6"/>
    <w:rsid w:val="00492980"/>
    <w:rsid w:val="00492DD9"/>
    <w:rsid w:val="00492FD6"/>
    <w:rsid w:val="004930C3"/>
    <w:rsid w:val="0049330A"/>
    <w:rsid w:val="00493322"/>
    <w:rsid w:val="00493553"/>
    <w:rsid w:val="00493D35"/>
    <w:rsid w:val="00494246"/>
    <w:rsid w:val="00494262"/>
    <w:rsid w:val="004944B4"/>
    <w:rsid w:val="00494855"/>
    <w:rsid w:val="00494AC1"/>
    <w:rsid w:val="00494C1E"/>
    <w:rsid w:val="00494D46"/>
    <w:rsid w:val="00494F6C"/>
    <w:rsid w:val="00495BEF"/>
    <w:rsid w:val="0049657D"/>
    <w:rsid w:val="004966C2"/>
    <w:rsid w:val="00496EA3"/>
    <w:rsid w:val="00496ECB"/>
    <w:rsid w:val="0049759D"/>
    <w:rsid w:val="00497944"/>
    <w:rsid w:val="004979F9"/>
    <w:rsid w:val="00497AED"/>
    <w:rsid w:val="00497DD8"/>
    <w:rsid w:val="00497F06"/>
    <w:rsid w:val="004A00C1"/>
    <w:rsid w:val="004A027B"/>
    <w:rsid w:val="004A0362"/>
    <w:rsid w:val="004A0458"/>
    <w:rsid w:val="004A0D52"/>
    <w:rsid w:val="004A0DC3"/>
    <w:rsid w:val="004A1334"/>
    <w:rsid w:val="004A1545"/>
    <w:rsid w:val="004A15BB"/>
    <w:rsid w:val="004A170E"/>
    <w:rsid w:val="004A17FD"/>
    <w:rsid w:val="004A1A6C"/>
    <w:rsid w:val="004A1D6E"/>
    <w:rsid w:val="004A1E82"/>
    <w:rsid w:val="004A22C4"/>
    <w:rsid w:val="004A232A"/>
    <w:rsid w:val="004A24BE"/>
    <w:rsid w:val="004A25D8"/>
    <w:rsid w:val="004A2AB9"/>
    <w:rsid w:val="004A2BCE"/>
    <w:rsid w:val="004A2F3F"/>
    <w:rsid w:val="004A33FB"/>
    <w:rsid w:val="004A35E2"/>
    <w:rsid w:val="004A3786"/>
    <w:rsid w:val="004A382B"/>
    <w:rsid w:val="004A3898"/>
    <w:rsid w:val="004A4058"/>
    <w:rsid w:val="004A44FA"/>
    <w:rsid w:val="004A45F0"/>
    <w:rsid w:val="004A48D8"/>
    <w:rsid w:val="004A4A9D"/>
    <w:rsid w:val="004A4BF8"/>
    <w:rsid w:val="004A551F"/>
    <w:rsid w:val="004A5B23"/>
    <w:rsid w:val="004A5B3F"/>
    <w:rsid w:val="004A5C7C"/>
    <w:rsid w:val="004A625C"/>
    <w:rsid w:val="004A6336"/>
    <w:rsid w:val="004A68C4"/>
    <w:rsid w:val="004A6A1B"/>
    <w:rsid w:val="004A6AE5"/>
    <w:rsid w:val="004A7069"/>
    <w:rsid w:val="004A73BE"/>
    <w:rsid w:val="004A767F"/>
    <w:rsid w:val="004A7F49"/>
    <w:rsid w:val="004B013A"/>
    <w:rsid w:val="004B0268"/>
    <w:rsid w:val="004B038C"/>
    <w:rsid w:val="004B05B3"/>
    <w:rsid w:val="004B0A12"/>
    <w:rsid w:val="004B0EE8"/>
    <w:rsid w:val="004B1063"/>
    <w:rsid w:val="004B136F"/>
    <w:rsid w:val="004B138E"/>
    <w:rsid w:val="004B13AB"/>
    <w:rsid w:val="004B169F"/>
    <w:rsid w:val="004B1E29"/>
    <w:rsid w:val="004B2664"/>
    <w:rsid w:val="004B26CE"/>
    <w:rsid w:val="004B2B2F"/>
    <w:rsid w:val="004B2B4E"/>
    <w:rsid w:val="004B2E31"/>
    <w:rsid w:val="004B3198"/>
    <w:rsid w:val="004B31F2"/>
    <w:rsid w:val="004B32BF"/>
    <w:rsid w:val="004B3309"/>
    <w:rsid w:val="004B34C3"/>
    <w:rsid w:val="004B3732"/>
    <w:rsid w:val="004B3848"/>
    <w:rsid w:val="004B3F4E"/>
    <w:rsid w:val="004B44B8"/>
    <w:rsid w:val="004B44C0"/>
    <w:rsid w:val="004B4BAB"/>
    <w:rsid w:val="004B4CEA"/>
    <w:rsid w:val="004B513C"/>
    <w:rsid w:val="004B54FB"/>
    <w:rsid w:val="004B555C"/>
    <w:rsid w:val="004B5711"/>
    <w:rsid w:val="004B5874"/>
    <w:rsid w:val="004B5988"/>
    <w:rsid w:val="004B5AC2"/>
    <w:rsid w:val="004B60F5"/>
    <w:rsid w:val="004B6B10"/>
    <w:rsid w:val="004B6DAD"/>
    <w:rsid w:val="004B728C"/>
    <w:rsid w:val="004B7375"/>
    <w:rsid w:val="004B7487"/>
    <w:rsid w:val="004B75CE"/>
    <w:rsid w:val="004B7620"/>
    <w:rsid w:val="004B7AA2"/>
    <w:rsid w:val="004B7BB3"/>
    <w:rsid w:val="004B7BDB"/>
    <w:rsid w:val="004C0094"/>
    <w:rsid w:val="004C02C8"/>
    <w:rsid w:val="004C094D"/>
    <w:rsid w:val="004C0C7A"/>
    <w:rsid w:val="004C0FD3"/>
    <w:rsid w:val="004C1582"/>
    <w:rsid w:val="004C19AD"/>
    <w:rsid w:val="004C1CE8"/>
    <w:rsid w:val="004C1DE9"/>
    <w:rsid w:val="004C1FF8"/>
    <w:rsid w:val="004C2014"/>
    <w:rsid w:val="004C21A6"/>
    <w:rsid w:val="004C2C16"/>
    <w:rsid w:val="004C3BA1"/>
    <w:rsid w:val="004C4207"/>
    <w:rsid w:val="004C4FE5"/>
    <w:rsid w:val="004C5116"/>
    <w:rsid w:val="004C53F8"/>
    <w:rsid w:val="004C5475"/>
    <w:rsid w:val="004C5D0B"/>
    <w:rsid w:val="004C60DE"/>
    <w:rsid w:val="004C651B"/>
    <w:rsid w:val="004C692B"/>
    <w:rsid w:val="004C7277"/>
    <w:rsid w:val="004C7527"/>
    <w:rsid w:val="004D01A5"/>
    <w:rsid w:val="004D04C7"/>
    <w:rsid w:val="004D07B9"/>
    <w:rsid w:val="004D0932"/>
    <w:rsid w:val="004D0A57"/>
    <w:rsid w:val="004D0B46"/>
    <w:rsid w:val="004D0C10"/>
    <w:rsid w:val="004D179A"/>
    <w:rsid w:val="004D1947"/>
    <w:rsid w:val="004D1C0B"/>
    <w:rsid w:val="004D1C88"/>
    <w:rsid w:val="004D1F64"/>
    <w:rsid w:val="004D2001"/>
    <w:rsid w:val="004D2237"/>
    <w:rsid w:val="004D2AEB"/>
    <w:rsid w:val="004D2B20"/>
    <w:rsid w:val="004D2DF6"/>
    <w:rsid w:val="004D3364"/>
    <w:rsid w:val="004D340B"/>
    <w:rsid w:val="004D3ADB"/>
    <w:rsid w:val="004D3C6C"/>
    <w:rsid w:val="004D3DD1"/>
    <w:rsid w:val="004D45E6"/>
    <w:rsid w:val="004D4896"/>
    <w:rsid w:val="004D4A57"/>
    <w:rsid w:val="004D4B01"/>
    <w:rsid w:val="004D4CA4"/>
    <w:rsid w:val="004D4CDA"/>
    <w:rsid w:val="004D4FAB"/>
    <w:rsid w:val="004D5042"/>
    <w:rsid w:val="004D50E6"/>
    <w:rsid w:val="004D61C1"/>
    <w:rsid w:val="004D61C9"/>
    <w:rsid w:val="004D623B"/>
    <w:rsid w:val="004D6643"/>
    <w:rsid w:val="004D6660"/>
    <w:rsid w:val="004D74FC"/>
    <w:rsid w:val="004D7628"/>
    <w:rsid w:val="004D7C68"/>
    <w:rsid w:val="004D7DE6"/>
    <w:rsid w:val="004E02CC"/>
    <w:rsid w:val="004E06FC"/>
    <w:rsid w:val="004E0870"/>
    <w:rsid w:val="004E0943"/>
    <w:rsid w:val="004E0A5F"/>
    <w:rsid w:val="004E0E6F"/>
    <w:rsid w:val="004E128B"/>
    <w:rsid w:val="004E12D9"/>
    <w:rsid w:val="004E174C"/>
    <w:rsid w:val="004E18B9"/>
    <w:rsid w:val="004E19E0"/>
    <w:rsid w:val="004E1B05"/>
    <w:rsid w:val="004E1D31"/>
    <w:rsid w:val="004E1F7E"/>
    <w:rsid w:val="004E1F86"/>
    <w:rsid w:val="004E21B9"/>
    <w:rsid w:val="004E2DFF"/>
    <w:rsid w:val="004E2F9B"/>
    <w:rsid w:val="004E305F"/>
    <w:rsid w:val="004E30E7"/>
    <w:rsid w:val="004E3219"/>
    <w:rsid w:val="004E35AA"/>
    <w:rsid w:val="004E35CA"/>
    <w:rsid w:val="004E3B1F"/>
    <w:rsid w:val="004E3B51"/>
    <w:rsid w:val="004E3DAD"/>
    <w:rsid w:val="004E4379"/>
    <w:rsid w:val="004E43A7"/>
    <w:rsid w:val="004E4701"/>
    <w:rsid w:val="004E48A2"/>
    <w:rsid w:val="004E4ACD"/>
    <w:rsid w:val="004E4F65"/>
    <w:rsid w:val="004E5010"/>
    <w:rsid w:val="004E5264"/>
    <w:rsid w:val="004E5859"/>
    <w:rsid w:val="004E5BB9"/>
    <w:rsid w:val="004E5D8F"/>
    <w:rsid w:val="004E6152"/>
    <w:rsid w:val="004E663A"/>
    <w:rsid w:val="004E6686"/>
    <w:rsid w:val="004E68C9"/>
    <w:rsid w:val="004E6AED"/>
    <w:rsid w:val="004E6CA9"/>
    <w:rsid w:val="004E6E20"/>
    <w:rsid w:val="004E7296"/>
    <w:rsid w:val="004E76E8"/>
    <w:rsid w:val="004E7AE1"/>
    <w:rsid w:val="004E7C04"/>
    <w:rsid w:val="004E7FA9"/>
    <w:rsid w:val="004F0529"/>
    <w:rsid w:val="004F083C"/>
    <w:rsid w:val="004F0865"/>
    <w:rsid w:val="004F08D7"/>
    <w:rsid w:val="004F099B"/>
    <w:rsid w:val="004F0DB7"/>
    <w:rsid w:val="004F162F"/>
    <w:rsid w:val="004F1AF3"/>
    <w:rsid w:val="004F1E5C"/>
    <w:rsid w:val="004F2206"/>
    <w:rsid w:val="004F2BEC"/>
    <w:rsid w:val="004F2BED"/>
    <w:rsid w:val="004F38F0"/>
    <w:rsid w:val="004F3EF6"/>
    <w:rsid w:val="004F3F0F"/>
    <w:rsid w:val="004F405C"/>
    <w:rsid w:val="004F460E"/>
    <w:rsid w:val="004F4695"/>
    <w:rsid w:val="004F471C"/>
    <w:rsid w:val="004F47CB"/>
    <w:rsid w:val="004F4C6D"/>
    <w:rsid w:val="004F4C94"/>
    <w:rsid w:val="004F4C97"/>
    <w:rsid w:val="004F5399"/>
    <w:rsid w:val="004F5404"/>
    <w:rsid w:val="004F5412"/>
    <w:rsid w:val="004F5882"/>
    <w:rsid w:val="004F5CBF"/>
    <w:rsid w:val="004F5F2F"/>
    <w:rsid w:val="004F6147"/>
    <w:rsid w:val="004F61D7"/>
    <w:rsid w:val="004F652A"/>
    <w:rsid w:val="004F684A"/>
    <w:rsid w:val="004F75BE"/>
    <w:rsid w:val="004F78DB"/>
    <w:rsid w:val="004F7B70"/>
    <w:rsid w:val="005001AD"/>
    <w:rsid w:val="005001F1"/>
    <w:rsid w:val="00500455"/>
    <w:rsid w:val="00500996"/>
    <w:rsid w:val="00500A4F"/>
    <w:rsid w:val="00501564"/>
    <w:rsid w:val="005015EC"/>
    <w:rsid w:val="00501971"/>
    <w:rsid w:val="00501D4E"/>
    <w:rsid w:val="00501D6D"/>
    <w:rsid w:val="00501F4C"/>
    <w:rsid w:val="00502339"/>
    <w:rsid w:val="00502665"/>
    <w:rsid w:val="005029E6"/>
    <w:rsid w:val="00502A17"/>
    <w:rsid w:val="00502C3E"/>
    <w:rsid w:val="00502FA2"/>
    <w:rsid w:val="00503001"/>
    <w:rsid w:val="00503692"/>
    <w:rsid w:val="00503784"/>
    <w:rsid w:val="00503832"/>
    <w:rsid w:val="00503900"/>
    <w:rsid w:val="00503AE1"/>
    <w:rsid w:val="00503FCD"/>
    <w:rsid w:val="00504327"/>
    <w:rsid w:val="00504B87"/>
    <w:rsid w:val="005050BB"/>
    <w:rsid w:val="0050518F"/>
    <w:rsid w:val="005061CF"/>
    <w:rsid w:val="00506DEC"/>
    <w:rsid w:val="00506F01"/>
    <w:rsid w:val="00507449"/>
    <w:rsid w:val="005076A2"/>
    <w:rsid w:val="0050799C"/>
    <w:rsid w:val="00507B09"/>
    <w:rsid w:val="00507F49"/>
    <w:rsid w:val="00510184"/>
    <w:rsid w:val="0051018B"/>
    <w:rsid w:val="00510242"/>
    <w:rsid w:val="005103EE"/>
    <w:rsid w:val="005105C7"/>
    <w:rsid w:val="00510620"/>
    <w:rsid w:val="005109EC"/>
    <w:rsid w:val="00510B38"/>
    <w:rsid w:val="005114A3"/>
    <w:rsid w:val="0051179D"/>
    <w:rsid w:val="005117D2"/>
    <w:rsid w:val="00511864"/>
    <w:rsid w:val="00511F44"/>
    <w:rsid w:val="005123AD"/>
    <w:rsid w:val="005127ED"/>
    <w:rsid w:val="00512A97"/>
    <w:rsid w:val="00512B61"/>
    <w:rsid w:val="0051307B"/>
    <w:rsid w:val="0051353C"/>
    <w:rsid w:val="0051362C"/>
    <w:rsid w:val="005136B6"/>
    <w:rsid w:val="0051405E"/>
    <w:rsid w:val="0051409D"/>
    <w:rsid w:val="00514473"/>
    <w:rsid w:val="00514AF8"/>
    <w:rsid w:val="00515593"/>
    <w:rsid w:val="00515629"/>
    <w:rsid w:val="00515A7B"/>
    <w:rsid w:val="00515B14"/>
    <w:rsid w:val="00515D76"/>
    <w:rsid w:val="00515FA6"/>
    <w:rsid w:val="00516DDE"/>
    <w:rsid w:val="00516E00"/>
    <w:rsid w:val="005172CB"/>
    <w:rsid w:val="0051766D"/>
    <w:rsid w:val="0051795D"/>
    <w:rsid w:val="00517FD6"/>
    <w:rsid w:val="005203F2"/>
    <w:rsid w:val="00520558"/>
    <w:rsid w:val="00520912"/>
    <w:rsid w:val="00520DEE"/>
    <w:rsid w:val="005213BF"/>
    <w:rsid w:val="00521569"/>
    <w:rsid w:val="00521B85"/>
    <w:rsid w:val="00521DB2"/>
    <w:rsid w:val="00521E10"/>
    <w:rsid w:val="00521F5D"/>
    <w:rsid w:val="0052210E"/>
    <w:rsid w:val="00522796"/>
    <w:rsid w:val="005227E6"/>
    <w:rsid w:val="00522AD8"/>
    <w:rsid w:val="00522CB9"/>
    <w:rsid w:val="005235FC"/>
    <w:rsid w:val="00523759"/>
    <w:rsid w:val="0052375F"/>
    <w:rsid w:val="00523761"/>
    <w:rsid w:val="00523894"/>
    <w:rsid w:val="00523F3C"/>
    <w:rsid w:val="00523FAE"/>
    <w:rsid w:val="005243BF"/>
    <w:rsid w:val="00524870"/>
    <w:rsid w:val="005249A7"/>
    <w:rsid w:val="00524A2D"/>
    <w:rsid w:val="00524AC9"/>
    <w:rsid w:val="00524EAB"/>
    <w:rsid w:val="00525081"/>
    <w:rsid w:val="0052584F"/>
    <w:rsid w:val="00525B79"/>
    <w:rsid w:val="00525F57"/>
    <w:rsid w:val="005261FD"/>
    <w:rsid w:val="005262B1"/>
    <w:rsid w:val="00526777"/>
    <w:rsid w:val="005267AE"/>
    <w:rsid w:val="005277AC"/>
    <w:rsid w:val="00527BF5"/>
    <w:rsid w:val="00527C6C"/>
    <w:rsid w:val="00527EA2"/>
    <w:rsid w:val="005300E5"/>
    <w:rsid w:val="00530698"/>
    <w:rsid w:val="005309F1"/>
    <w:rsid w:val="00530B68"/>
    <w:rsid w:val="00530D55"/>
    <w:rsid w:val="00530E59"/>
    <w:rsid w:val="00530EA9"/>
    <w:rsid w:val="00530F7E"/>
    <w:rsid w:val="005318B5"/>
    <w:rsid w:val="005318F2"/>
    <w:rsid w:val="005318FE"/>
    <w:rsid w:val="0053199C"/>
    <w:rsid w:val="00531CA2"/>
    <w:rsid w:val="005321C8"/>
    <w:rsid w:val="00532A36"/>
    <w:rsid w:val="00532A98"/>
    <w:rsid w:val="00532D83"/>
    <w:rsid w:val="005330B4"/>
    <w:rsid w:val="005339D3"/>
    <w:rsid w:val="00533CF1"/>
    <w:rsid w:val="00533DF7"/>
    <w:rsid w:val="00533DFC"/>
    <w:rsid w:val="00533F6D"/>
    <w:rsid w:val="0053400E"/>
    <w:rsid w:val="005343DB"/>
    <w:rsid w:val="0053446F"/>
    <w:rsid w:val="005344C8"/>
    <w:rsid w:val="00534AB4"/>
    <w:rsid w:val="00534AFD"/>
    <w:rsid w:val="00534FCD"/>
    <w:rsid w:val="005350FB"/>
    <w:rsid w:val="0053515A"/>
    <w:rsid w:val="005353AC"/>
    <w:rsid w:val="005353C8"/>
    <w:rsid w:val="005353CE"/>
    <w:rsid w:val="005353EE"/>
    <w:rsid w:val="00535745"/>
    <w:rsid w:val="005357DD"/>
    <w:rsid w:val="00535905"/>
    <w:rsid w:val="00535ADF"/>
    <w:rsid w:val="00535BCA"/>
    <w:rsid w:val="00535D03"/>
    <w:rsid w:val="00535E17"/>
    <w:rsid w:val="00535F2F"/>
    <w:rsid w:val="005362F3"/>
    <w:rsid w:val="0053638A"/>
    <w:rsid w:val="005364E0"/>
    <w:rsid w:val="005364F4"/>
    <w:rsid w:val="00536958"/>
    <w:rsid w:val="005369B5"/>
    <w:rsid w:val="00536B02"/>
    <w:rsid w:val="00536FF5"/>
    <w:rsid w:val="00537205"/>
    <w:rsid w:val="00537227"/>
    <w:rsid w:val="0053722E"/>
    <w:rsid w:val="00537FFD"/>
    <w:rsid w:val="005400E4"/>
    <w:rsid w:val="00540460"/>
    <w:rsid w:val="00540477"/>
    <w:rsid w:val="00540D55"/>
    <w:rsid w:val="0054109B"/>
    <w:rsid w:val="00541284"/>
    <w:rsid w:val="005414BD"/>
    <w:rsid w:val="0054198A"/>
    <w:rsid w:val="00541E7C"/>
    <w:rsid w:val="00542242"/>
    <w:rsid w:val="005424A5"/>
    <w:rsid w:val="00542596"/>
    <w:rsid w:val="00542976"/>
    <w:rsid w:val="00542A75"/>
    <w:rsid w:val="00542D50"/>
    <w:rsid w:val="00543047"/>
    <w:rsid w:val="00543164"/>
    <w:rsid w:val="00543FFB"/>
    <w:rsid w:val="00544621"/>
    <w:rsid w:val="00544EB3"/>
    <w:rsid w:val="00544F51"/>
    <w:rsid w:val="00545174"/>
    <w:rsid w:val="005454D1"/>
    <w:rsid w:val="00545898"/>
    <w:rsid w:val="005458E9"/>
    <w:rsid w:val="00545A46"/>
    <w:rsid w:val="00546125"/>
    <w:rsid w:val="00546625"/>
    <w:rsid w:val="0054677D"/>
    <w:rsid w:val="0054698C"/>
    <w:rsid w:val="00546BA1"/>
    <w:rsid w:val="00546C3E"/>
    <w:rsid w:val="00546CFC"/>
    <w:rsid w:val="00547038"/>
    <w:rsid w:val="005470F2"/>
    <w:rsid w:val="005472FD"/>
    <w:rsid w:val="00547756"/>
    <w:rsid w:val="005500BD"/>
    <w:rsid w:val="0055011A"/>
    <w:rsid w:val="005502A8"/>
    <w:rsid w:val="00550329"/>
    <w:rsid w:val="00550D64"/>
    <w:rsid w:val="005513C5"/>
    <w:rsid w:val="005514EF"/>
    <w:rsid w:val="005515A8"/>
    <w:rsid w:val="005516FC"/>
    <w:rsid w:val="005518D4"/>
    <w:rsid w:val="00551A34"/>
    <w:rsid w:val="00552383"/>
    <w:rsid w:val="00552419"/>
    <w:rsid w:val="005524A2"/>
    <w:rsid w:val="00552530"/>
    <w:rsid w:val="005525AD"/>
    <w:rsid w:val="00552E2E"/>
    <w:rsid w:val="00553023"/>
    <w:rsid w:val="00553181"/>
    <w:rsid w:val="0055328E"/>
    <w:rsid w:val="005533F7"/>
    <w:rsid w:val="005534C8"/>
    <w:rsid w:val="00553CC9"/>
    <w:rsid w:val="005542B8"/>
    <w:rsid w:val="0055448D"/>
    <w:rsid w:val="00554A3D"/>
    <w:rsid w:val="00554C2D"/>
    <w:rsid w:val="00554D4A"/>
    <w:rsid w:val="00554EE4"/>
    <w:rsid w:val="00555180"/>
    <w:rsid w:val="005556D0"/>
    <w:rsid w:val="00555768"/>
    <w:rsid w:val="00555A0B"/>
    <w:rsid w:val="00555F5E"/>
    <w:rsid w:val="00556279"/>
    <w:rsid w:val="0055633F"/>
    <w:rsid w:val="005563A4"/>
    <w:rsid w:val="005564E7"/>
    <w:rsid w:val="005564E9"/>
    <w:rsid w:val="00556866"/>
    <w:rsid w:val="00556881"/>
    <w:rsid w:val="00556F58"/>
    <w:rsid w:val="00556F95"/>
    <w:rsid w:val="00557130"/>
    <w:rsid w:val="00557216"/>
    <w:rsid w:val="00557CBD"/>
    <w:rsid w:val="00560189"/>
    <w:rsid w:val="00560461"/>
    <w:rsid w:val="0056058B"/>
    <w:rsid w:val="005605BD"/>
    <w:rsid w:val="005606D5"/>
    <w:rsid w:val="005607E3"/>
    <w:rsid w:val="00560AFE"/>
    <w:rsid w:val="00560D34"/>
    <w:rsid w:val="00560DA5"/>
    <w:rsid w:val="00560DB8"/>
    <w:rsid w:val="00560E8D"/>
    <w:rsid w:val="0056123D"/>
    <w:rsid w:val="005613D5"/>
    <w:rsid w:val="005613F1"/>
    <w:rsid w:val="005614C1"/>
    <w:rsid w:val="00561B93"/>
    <w:rsid w:val="00561C24"/>
    <w:rsid w:val="00561D60"/>
    <w:rsid w:val="00562320"/>
    <w:rsid w:val="005627E7"/>
    <w:rsid w:val="00562AED"/>
    <w:rsid w:val="00562E5A"/>
    <w:rsid w:val="00562F37"/>
    <w:rsid w:val="005635AA"/>
    <w:rsid w:val="00563C6A"/>
    <w:rsid w:val="00564264"/>
    <w:rsid w:val="00564289"/>
    <w:rsid w:val="0056442E"/>
    <w:rsid w:val="005644B3"/>
    <w:rsid w:val="005644DD"/>
    <w:rsid w:val="00564681"/>
    <w:rsid w:val="005647FE"/>
    <w:rsid w:val="00564821"/>
    <w:rsid w:val="00564CC5"/>
    <w:rsid w:val="005651E1"/>
    <w:rsid w:val="005651F0"/>
    <w:rsid w:val="005655A6"/>
    <w:rsid w:val="005659DC"/>
    <w:rsid w:val="00565AEA"/>
    <w:rsid w:val="00565CD7"/>
    <w:rsid w:val="00565E48"/>
    <w:rsid w:val="00566092"/>
    <w:rsid w:val="0056639D"/>
    <w:rsid w:val="00566BE2"/>
    <w:rsid w:val="00566C7C"/>
    <w:rsid w:val="00567069"/>
    <w:rsid w:val="0056726F"/>
    <w:rsid w:val="005673FD"/>
    <w:rsid w:val="0056796D"/>
    <w:rsid w:val="005700AC"/>
    <w:rsid w:val="00570363"/>
    <w:rsid w:val="00570480"/>
    <w:rsid w:val="005708C8"/>
    <w:rsid w:val="00570B4C"/>
    <w:rsid w:val="00570B91"/>
    <w:rsid w:val="00570FBC"/>
    <w:rsid w:val="00570FDD"/>
    <w:rsid w:val="00571274"/>
    <w:rsid w:val="00571363"/>
    <w:rsid w:val="00571686"/>
    <w:rsid w:val="005716D0"/>
    <w:rsid w:val="00571BD1"/>
    <w:rsid w:val="00571C24"/>
    <w:rsid w:val="00572022"/>
    <w:rsid w:val="0057205B"/>
    <w:rsid w:val="0057265E"/>
    <w:rsid w:val="00572A26"/>
    <w:rsid w:val="00572AD1"/>
    <w:rsid w:val="005732F4"/>
    <w:rsid w:val="00573311"/>
    <w:rsid w:val="005737CC"/>
    <w:rsid w:val="005738EC"/>
    <w:rsid w:val="00573B33"/>
    <w:rsid w:val="00573B52"/>
    <w:rsid w:val="005742AA"/>
    <w:rsid w:val="00574581"/>
    <w:rsid w:val="0057531C"/>
    <w:rsid w:val="005757D1"/>
    <w:rsid w:val="00575CF4"/>
    <w:rsid w:val="0057614B"/>
    <w:rsid w:val="005767B3"/>
    <w:rsid w:val="005769C9"/>
    <w:rsid w:val="0057703B"/>
    <w:rsid w:val="00577092"/>
    <w:rsid w:val="00577541"/>
    <w:rsid w:val="005775CC"/>
    <w:rsid w:val="005778DF"/>
    <w:rsid w:val="00577A11"/>
    <w:rsid w:val="00577F46"/>
    <w:rsid w:val="00577FB2"/>
    <w:rsid w:val="0058030F"/>
    <w:rsid w:val="00580779"/>
    <w:rsid w:val="005808ED"/>
    <w:rsid w:val="00580B5B"/>
    <w:rsid w:val="00580C24"/>
    <w:rsid w:val="00580DEA"/>
    <w:rsid w:val="00580F2B"/>
    <w:rsid w:val="00581096"/>
    <w:rsid w:val="0058110E"/>
    <w:rsid w:val="00581374"/>
    <w:rsid w:val="00581751"/>
    <w:rsid w:val="0058193C"/>
    <w:rsid w:val="00581AEA"/>
    <w:rsid w:val="00581BF3"/>
    <w:rsid w:val="0058213B"/>
    <w:rsid w:val="0058214A"/>
    <w:rsid w:val="0058222F"/>
    <w:rsid w:val="00582430"/>
    <w:rsid w:val="00582C4C"/>
    <w:rsid w:val="0058308A"/>
    <w:rsid w:val="00583A25"/>
    <w:rsid w:val="005841EE"/>
    <w:rsid w:val="005842F6"/>
    <w:rsid w:val="0058445C"/>
    <w:rsid w:val="00584517"/>
    <w:rsid w:val="00584B54"/>
    <w:rsid w:val="00584C73"/>
    <w:rsid w:val="00584DD3"/>
    <w:rsid w:val="0058531D"/>
    <w:rsid w:val="00585347"/>
    <w:rsid w:val="00585492"/>
    <w:rsid w:val="005855BF"/>
    <w:rsid w:val="00585837"/>
    <w:rsid w:val="005859F0"/>
    <w:rsid w:val="00585EB3"/>
    <w:rsid w:val="00585F5F"/>
    <w:rsid w:val="005864C2"/>
    <w:rsid w:val="0058661D"/>
    <w:rsid w:val="0058696C"/>
    <w:rsid w:val="00586C94"/>
    <w:rsid w:val="00586D6B"/>
    <w:rsid w:val="00587978"/>
    <w:rsid w:val="005902DF"/>
    <w:rsid w:val="00590540"/>
    <w:rsid w:val="005906C6"/>
    <w:rsid w:val="00590A16"/>
    <w:rsid w:val="00590D56"/>
    <w:rsid w:val="00590F4F"/>
    <w:rsid w:val="005915B1"/>
    <w:rsid w:val="00591805"/>
    <w:rsid w:val="005920AE"/>
    <w:rsid w:val="00592433"/>
    <w:rsid w:val="005924D3"/>
    <w:rsid w:val="005925F9"/>
    <w:rsid w:val="00592791"/>
    <w:rsid w:val="00592BA4"/>
    <w:rsid w:val="00592CC2"/>
    <w:rsid w:val="00592D14"/>
    <w:rsid w:val="00593CE9"/>
    <w:rsid w:val="00593FFB"/>
    <w:rsid w:val="00594000"/>
    <w:rsid w:val="00594158"/>
    <w:rsid w:val="00594217"/>
    <w:rsid w:val="0059439C"/>
    <w:rsid w:val="005943B3"/>
    <w:rsid w:val="005944C8"/>
    <w:rsid w:val="005946B4"/>
    <w:rsid w:val="00594B13"/>
    <w:rsid w:val="0059520A"/>
    <w:rsid w:val="005953C0"/>
    <w:rsid w:val="0059562F"/>
    <w:rsid w:val="00595B3C"/>
    <w:rsid w:val="00595F6C"/>
    <w:rsid w:val="00595FFD"/>
    <w:rsid w:val="005961D7"/>
    <w:rsid w:val="00596CB2"/>
    <w:rsid w:val="00596F1F"/>
    <w:rsid w:val="0059783C"/>
    <w:rsid w:val="00597917"/>
    <w:rsid w:val="00597996"/>
    <w:rsid w:val="00597ABE"/>
    <w:rsid w:val="00597E9F"/>
    <w:rsid w:val="00597EDA"/>
    <w:rsid w:val="005A01C6"/>
    <w:rsid w:val="005A052B"/>
    <w:rsid w:val="005A07A1"/>
    <w:rsid w:val="005A08D4"/>
    <w:rsid w:val="005A0A5D"/>
    <w:rsid w:val="005A0D87"/>
    <w:rsid w:val="005A0DF3"/>
    <w:rsid w:val="005A145D"/>
    <w:rsid w:val="005A160F"/>
    <w:rsid w:val="005A17DA"/>
    <w:rsid w:val="005A1E75"/>
    <w:rsid w:val="005A2BCC"/>
    <w:rsid w:val="005A2D4E"/>
    <w:rsid w:val="005A33A2"/>
    <w:rsid w:val="005A38C7"/>
    <w:rsid w:val="005A3B0C"/>
    <w:rsid w:val="005A3FEF"/>
    <w:rsid w:val="005A425A"/>
    <w:rsid w:val="005A4359"/>
    <w:rsid w:val="005A4D6D"/>
    <w:rsid w:val="005A50A3"/>
    <w:rsid w:val="005A50AB"/>
    <w:rsid w:val="005A523E"/>
    <w:rsid w:val="005A52F7"/>
    <w:rsid w:val="005A57DA"/>
    <w:rsid w:val="005A644B"/>
    <w:rsid w:val="005A6540"/>
    <w:rsid w:val="005A65FA"/>
    <w:rsid w:val="005A6642"/>
    <w:rsid w:val="005A677A"/>
    <w:rsid w:val="005A69A3"/>
    <w:rsid w:val="005A69B2"/>
    <w:rsid w:val="005A6A06"/>
    <w:rsid w:val="005A70CC"/>
    <w:rsid w:val="005A7512"/>
    <w:rsid w:val="005A751D"/>
    <w:rsid w:val="005A7B1C"/>
    <w:rsid w:val="005A7F25"/>
    <w:rsid w:val="005B0640"/>
    <w:rsid w:val="005B06A4"/>
    <w:rsid w:val="005B06B4"/>
    <w:rsid w:val="005B09C2"/>
    <w:rsid w:val="005B0A15"/>
    <w:rsid w:val="005B0A19"/>
    <w:rsid w:val="005B0AA3"/>
    <w:rsid w:val="005B138F"/>
    <w:rsid w:val="005B159D"/>
    <w:rsid w:val="005B1AEB"/>
    <w:rsid w:val="005B1CBC"/>
    <w:rsid w:val="005B23BF"/>
    <w:rsid w:val="005B271C"/>
    <w:rsid w:val="005B2DB8"/>
    <w:rsid w:val="005B2DD7"/>
    <w:rsid w:val="005B3137"/>
    <w:rsid w:val="005B3164"/>
    <w:rsid w:val="005B31F2"/>
    <w:rsid w:val="005B35EB"/>
    <w:rsid w:val="005B35F1"/>
    <w:rsid w:val="005B3707"/>
    <w:rsid w:val="005B3CB8"/>
    <w:rsid w:val="005B3E0E"/>
    <w:rsid w:val="005B3F06"/>
    <w:rsid w:val="005B4027"/>
    <w:rsid w:val="005B40A3"/>
    <w:rsid w:val="005B4121"/>
    <w:rsid w:val="005B41EC"/>
    <w:rsid w:val="005B41F4"/>
    <w:rsid w:val="005B4647"/>
    <w:rsid w:val="005B466F"/>
    <w:rsid w:val="005B4691"/>
    <w:rsid w:val="005B4709"/>
    <w:rsid w:val="005B48C6"/>
    <w:rsid w:val="005B4AFC"/>
    <w:rsid w:val="005B545A"/>
    <w:rsid w:val="005B5A12"/>
    <w:rsid w:val="005B5F55"/>
    <w:rsid w:val="005B6C4B"/>
    <w:rsid w:val="005B6D55"/>
    <w:rsid w:val="005B6F83"/>
    <w:rsid w:val="005B780A"/>
    <w:rsid w:val="005B7889"/>
    <w:rsid w:val="005B795C"/>
    <w:rsid w:val="005B7B95"/>
    <w:rsid w:val="005B7EDF"/>
    <w:rsid w:val="005C04E8"/>
    <w:rsid w:val="005C071F"/>
    <w:rsid w:val="005C0B3B"/>
    <w:rsid w:val="005C14B1"/>
    <w:rsid w:val="005C15A7"/>
    <w:rsid w:val="005C1CCF"/>
    <w:rsid w:val="005C1F4F"/>
    <w:rsid w:val="005C1FF2"/>
    <w:rsid w:val="005C2374"/>
    <w:rsid w:val="005C251E"/>
    <w:rsid w:val="005C2641"/>
    <w:rsid w:val="005C2787"/>
    <w:rsid w:val="005C2B80"/>
    <w:rsid w:val="005C2CEF"/>
    <w:rsid w:val="005C2D23"/>
    <w:rsid w:val="005C2E9F"/>
    <w:rsid w:val="005C32EC"/>
    <w:rsid w:val="005C3346"/>
    <w:rsid w:val="005C343E"/>
    <w:rsid w:val="005C3CDB"/>
    <w:rsid w:val="005C4175"/>
    <w:rsid w:val="005C44D9"/>
    <w:rsid w:val="005C45E0"/>
    <w:rsid w:val="005C4A37"/>
    <w:rsid w:val="005C4D7F"/>
    <w:rsid w:val="005C5043"/>
    <w:rsid w:val="005C5323"/>
    <w:rsid w:val="005C5655"/>
    <w:rsid w:val="005C57BC"/>
    <w:rsid w:val="005C58FC"/>
    <w:rsid w:val="005C590A"/>
    <w:rsid w:val="005C5C96"/>
    <w:rsid w:val="005C5E74"/>
    <w:rsid w:val="005C5E9F"/>
    <w:rsid w:val="005C65AF"/>
    <w:rsid w:val="005C67C7"/>
    <w:rsid w:val="005C682F"/>
    <w:rsid w:val="005C6F19"/>
    <w:rsid w:val="005C7500"/>
    <w:rsid w:val="005C7926"/>
    <w:rsid w:val="005C79E1"/>
    <w:rsid w:val="005C7A56"/>
    <w:rsid w:val="005C7AFB"/>
    <w:rsid w:val="005D02EF"/>
    <w:rsid w:val="005D03F8"/>
    <w:rsid w:val="005D06B1"/>
    <w:rsid w:val="005D0BA0"/>
    <w:rsid w:val="005D0C73"/>
    <w:rsid w:val="005D0DE3"/>
    <w:rsid w:val="005D0EFE"/>
    <w:rsid w:val="005D0F82"/>
    <w:rsid w:val="005D111C"/>
    <w:rsid w:val="005D1848"/>
    <w:rsid w:val="005D1B30"/>
    <w:rsid w:val="005D1C37"/>
    <w:rsid w:val="005D1D3E"/>
    <w:rsid w:val="005D1DBE"/>
    <w:rsid w:val="005D2303"/>
    <w:rsid w:val="005D23D6"/>
    <w:rsid w:val="005D2493"/>
    <w:rsid w:val="005D25BD"/>
    <w:rsid w:val="005D3129"/>
    <w:rsid w:val="005D33D7"/>
    <w:rsid w:val="005D34BC"/>
    <w:rsid w:val="005D3542"/>
    <w:rsid w:val="005D3D3D"/>
    <w:rsid w:val="005D3DFB"/>
    <w:rsid w:val="005D4519"/>
    <w:rsid w:val="005D49C1"/>
    <w:rsid w:val="005D4C2E"/>
    <w:rsid w:val="005D4EE4"/>
    <w:rsid w:val="005D5457"/>
    <w:rsid w:val="005D5637"/>
    <w:rsid w:val="005D5810"/>
    <w:rsid w:val="005D5DF1"/>
    <w:rsid w:val="005D5FC4"/>
    <w:rsid w:val="005D619E"/>
    <w:rsid w:val="005D630E"/>
    <w:rsid w:val="005D6662"/>
    <w:rsid w:val="005D66BF"/>
    <w:rsid w:val="005D6D30"/>
    <w:rsid w:val="005D6EBA"/>
    <w:rsid w:val="005D791A"/>
    <w:rsid w:val="005D7CBB"/>
    <w:rsid w:val="005D7F83"/>
    <w:rsid w:val="005E0213"/>
    <w:rsid w:val="005E022A"/>
    <w:rsid w:val="005E02A7"/>
    <w:rsid w:val="005E066C"/>
    <w:rsid w:val="005E0785"/>
    <w:rsid w:val="005E0A03"/>
    <w:rsid w:val="005E0C24"/>
    <w:rsid w:val="005E1045"/>
    <w:rsid w:val="005E133D"/>
    <w:rsid w:val="005E141E"/>
    <w:rsid w:val="005E15E1"/>
    <w:rsid w:val="005E1757"/>
    <w:rsid w:val="005E1B0E"/>
    <w:rsid w:val="005E201C"/>
    <w:rsid w:val="005E207F"/>
    <w:rsid w:val="005E2636"/>
    <w:rsid w:val="005E27F2"/>
    <w:rsid w:val="005E28FD"/>
    <w:rsid w:val="005E298A"/>
    <w:rsid w:val="005E2A47"/>
    <w:rsid w:val="005E2C89"/>
    <w:rsid w:val="005E2E99"/>
    <w:rsid w:val="005E2F94"/>
    <w:rsid w:val="005E43B6"/>
    <w:rsid w:val="005E458A"/>
    <w:rsid w:val="005E49C8"/>
    <w:rsid w:val="005E4B28"/>
    <w:rsid w:val="005E4BB2"/>
    <w:rsid w:val="005E4C7B"/>
    <w:rsid w:val="005E4E86"/>
    <w:rsid w:val="005E4F2D"/>
    <w:rsid w:val="005E53ED"/>
    <w:rsid w:val="005E5461"/>
    <w:rsid w:val="005E5504"/>
    <w:rsid w:val="005E5C2F"/>
    <w:rsid w:val="005E5F70"/>
    <w:rsid w:val="005E60ED"/>
    <w:rsid w:val="005E63F9"/>
    <w:rsid w:val="005E66AD"/>
    <w:rsid w:val="005E6B46"/>
    <w:rsid w:val="005E6D33"/>
    <w:rsid w:val="005E6ED2"/>
    <w:rsid w:val="005E6FCD"/>
    <w:rsid w:val="005E704E"/>
    <w:rsid w:val="005E757A"/>
    <w:rsid w:val="005E762B"/>
    <w:rsid w:val="005F070B"/>
    <w:rsid w:val="005F0E78"/>
    <w:rsid w:val="005F1566"/>
    <w:rsid w:val="005F156A"/>
    <w:rsid w:val="005F1A90"/>
    <w:rsid w:val="005F1AA2"/>
    <w:rsid w:val="005F1CE5"/>
    <w:rsid w:val="005F25C3"/>
    <w:rsid w:val="005F2E1E"/>
    <w:rsid w:val="005F2E51"/>
    <w:rsid w:val="005F304D"/>
    <w:rsid w:val="005F38A4"/>
    <w:rsid w:val="005F3BA1"/>
    <w:rsid w:val="005F3F04"/>
    <w:rsid w:val="005F4115"/>
    <w:rsid w:val="005F4372"/>
    <w:rsid w:val="005F4738"/>
    <w:rsid w:val="005F4769"/>
    <w:rsid w:val="005F4A64"/>
    <w:rsid w:val="005F4D71"/>
    <w:rsid w:val="005F4ECC"/>
    <w:rsid w:val="005F5191"/>
    <w:rsid w:val="005F5458"/>
    <w:rsid w:val="005F56D7"/>
    <w:rsid w:val="005F57EE"/>
    <w:rsid w:val="005F5C67"/>
    <w:rsid w:val="005F5CD2"/>
    <w:rsid w:val="005F5D49"/>
    <w:rsid w:val="005F5FE1"/>
    <w:rsid w:val="005F65E3"/>
    <w:rsid w:val="005F6C4B"/>
    <w:rsid w:val="005F7024"/>
    <w:rsid w:val="005F7051"/>
    <w:rsid w:val="005F7109"/>
    <w:rsid w:val="005F726F"/>
    <w:rsid w:val="005F7503"/>
    <w:rsid w:val="005F76FD"/>
    <w:rsid w:val="005F793D"/>
    <w:rsid w:val="005F7A23"/>
    <w:rsid w:val="005F7A85"/>
    <w:rsid w:val="005F7BD7"/>
    <w:rsid w:val="0060002B"/>
    <w:rsid w:val="00600099"/>
    <w:rsid w:val="0060022E"/>
    <w:rsid w:val="00600380"/>
    <w:rsid w:val="006006DB"/>
    <w:rsid w:val="00600800"/>
    <w:rsid w:val="00600A4B"/>
    <w:rsid w:val="00600AA9"/>
    <w:rsid w:val="00600D29"/>
    <w:rsid w:val="00600D67"/>
    <w:rsid w:val="00600D79"/>
    <w:rsid w:val="0060138C"/>
    <w:rsid w:val="00601C37"/>
    <w:rsid w:val="0060244D"/>
    <w:rsid w:val="00602572"/>
    <w:rsid w:val="006029D1"/>
    <w:rsid w:val="00602A6E"/>
    <w:rsid w:val="00602C35"/>
    <w:rsid w:val="00602C68"/>
    <w:rsid w:val="00602FA9"/>
    <w:rsid w:val="00603C95"/>
    <w:rsid w:val="00603EC3"/>
    <w:rsid w:val="006040D8"/>
    <w:rsid w:val="006045CA"/>
    <w:rsid w:val="0060493A"/>
    <w:rsid w:val="00604BD0"/>
    <w:rsid w:val="00605041"/>
    <w:rsid w:val="00605100"/>
    <w:rsid w:val="006052BE"/>
    <w:rsid w:val="0060540C"/>
    <w:rsid w:val="0060580A"/>
    <w:rsid w:val="006059BF"/>
    <w:rsid w:val="00605AB1"/>
    <w:rsid w:val="00605BF7"/>
    <w:rsid w:val="00605FB2"/>
    <w:rsid w:val="0060602E"/>
    <w:rsid w:val="0060616E"/>
    <w:rsid w:val="00606184"/>
    <w:rsid w:val="006062A4"/>
    <w:rsid w:val="00606302"/>
    <w:rsid w:val="00606736"/>
    <w:rsid w:val="006069E5"/>
    <w:rsid w:val="0060742D"/>
    <w:rsid w:val="006079BC"/>
    <w:rsid w:val="00607C8A"/>
    <w:rsid w:val="00607EE3"/>
    <w:rsid w:val="00607F88"/>
    <w:rsid w:val="00610151"/>
    <w:rsid w:val="00610204"/>
    <w:rsid w:val="00610AEE"/>
    <w:rsid w:val="00610E3D"/>
    <w:rsid w:val="006110FE"/>
    <w:rsid w:val="006112D8"/>
    <w:rsid w:val="006114EC"/>
    <w:rsid w:val="00611B63"/>
    <w:rsid w:val="00611BD0"/>
    <w:rsid w:val="00611C14"/>
    <w:rsid w:val="0061234C"/>
    <w:rsid w:val="00612418"/>
    <w:rsid w:val="00612617"/>
    <w:rsid w:val="0061296B"/>
    <w:rsid w:val="006129B3"/>
    <w:rsid w:val="00612B34"/>
    <w:rsid w:val="00612B3D"/>
    <w:rsid w:val="00612DE7"/>
    <w:rsid w:val="00613116"/>
    <w:rsid w:val="006132AF"/>
    <w:rsid w:val="00613379"/>
    <w:rsid w:val="006134C5"/>
    <w:rsid w:val="00613549"/>
    <w:rsid w:val="006139FF"/>
    <w:rsid w:val="00613D47"/>
    <w:rsid w:val="0061421C"/>
    <w:rsid w:val="006143A9"/>
    <w:rsid w:val="00614D0B"/>
    <w:rsid w:val="00614E5F"/>
    <w:rsid w:val="0061508A"/>
    <w:rsid w:val="00615114"/>
    <w:rsid w:val="006156C1"/>
    <w:rsid w:val="006157E8"/>
    <w:rsid w:val="00615AED"/>
    <w:rsid w:val="00615B72"/>
    <w:rsid w:val="00615F93"/>
    <w:rsid w:val="00615FA3"/>
    <w:rsid w:val="00616203"/>
    <w:rsid w:val="006164E5"/>
    <w:rsid w:val="006166E4"/>
    <w:rsid w:val="00616A72"/>
    <w:rsid w:val="0061708C"/>
    <w:rsid w:val="0061740E"/>
    <w:rsid w:val="00617A31"/>
    <w:rsid w:val="00617CA9"/>
    <w:rsid w:val="00617D79"/>
    <w:rsid w:val="00620529"/>
    <w:rsid w:val="00620A12"/>
    <w:rsid w:val="00620A52"/>
    <w:rsid w:val="00620B78"/>
    <w:rsid w:val="00620DD4"/>
    <w:rsid w:val="00621386"/>
    <w:rsid w:val="006213A6"/>
    <w:rsid w:val="006215C3"/>
    <w:rsid w:val="00621810"/>
    <w:rsid w:val="00621E28"/>
    <w:rsid w:val="006224A5"/>
    <w:rsid w:val="006225F1"/>
    <w:rsid w:val="00622990"/>
    <w:rsid w:val="006231A0"/>
    <w:rsid w:val="0062366C"/>
    <w:rsid w:val="00623737"/>
    <w:rsid w:val="006237D5"/>
    <w:rsid w:val="006237F6"/>
    <w:rsid w:val="00623939"/>
    <w:rsid w:val="006239EE"/>
    <w:rsid w:val="006242E3"/>
    <w:rsid w:val="00624411"/>
    <w:rsid w:val="0062475A"/>
    <w:rsid w:val="006248CF"/>
    <w:rsid w:val="0062495A"/>
    <w:rsid w:val="00624BCC"/>
    <w:rsid w:val="00624D8F"/>
    <w:rsid w:val="0062558D"/>
    <w:rsid w:val="00625D8F"/>
    <w:rsid w:val="006262A1"/>
    <w:rsid w:val="00626368"/>
    <w:rsid w:val="00626534"/>
    <w:rsid w:val="006268D8"/>
    <w:rsid w:val="006268E9"/>
    <w:rsid w:val="00626D30"/>
    <w:rsid w:val="00626E31"/>
    <w:rsid w:val="00627319"/>
    <w:rsid w:val="0062796D"/>
    <w:rsid w:val="0062796E"/>
    <w:rsid w:val="00627B5D"/>
    <w:rsid w:val="00627E42"/>
    <w:rsid w:val="006300AD"/>
    <w:rsid w:val="0063024B"/>
    <w:rsid w:val="006302E2"/>
    <w:rsid w:val="0063074C"/>
    <w:rsid w:val="00630AF2"/>
    <w:rsid w:val="00630E11"/>
    <w:rsid w:val="00630FB0"/>
    <w:rsid w:val="00631147"/>
    <w:rsid w:val="00631273"/>
    <w:rsid w:val="006313C4"/>
    <w:rsid w:val="00631C09"/>
    <w:rsid w:val="00631CA4"/>
    <w:rsid w:val="00631CB5"/>
    <w:rsid w:val="00632255"/>
    <w:rsid w:val="00632366"/>
    <w:rsid w:val="006323D8"/>
    <w:rsid w:val="0063252D"/>
    <w:rsid w:val="00632A36"/>
    <w:rsid w:val="00632A3A"/>
    <w:rsid w:val="00633054"/>
    <w:rsid w:val="00633135"/>
    <w:rsid w:val="006332FB"/>
    <w:rsid w:val="00633313"/>
    <w:rsid w:val="006336D5"/>
    <w:rsid w:val="00633816"/>
    <w:rsid w:val="00633D5E"/>
    <w:rsid w:val="00633EA1"/>
    <w:rsid w:val="00634341"/>
    <w:rsid w:val="006343E8"/>
    <w:rsid w:val="00634628"/>
    <w:rsid w:val="00634767"/>
    <w:rsid w:val="006347B4"/>
    <w:rsid w:val="006347C4"/>
    <w:rsid w:val="006349DB"/>
    <w:rsid w:val="00634E57"/>
    <w:rsid w:val="00635141"/>
    <w:rsid w:val="0063565D"/>
    <w:rsid w:val="0063587B"/>
    <w:rsid w:val="00635A0F"/>
    <w:rsid w:val="00635B80"/>
    <w:rsid w:val="00635C29"/>
    <w:rsid w:val="00636199"/>
    <w:rsid w:val="00636236"/>
    <w:rsid w:val="006362B7"/>
    <w:rsid w:val="00636414"/>
    <w:rsid w:val="0063657C"/>
    <w:rsid w:val="006366FC"/>
    <w:rsid w:val="0063674C"/>
    <w:rsid w:val="0063682C"/>
    <w:rsid w:val="00636F3B"/>
    <w:rsid w:val="00637317"/>
    <w:rsid w:val="00637710"/>
    <w:rsid w:val="0063798F"/>
    <w:rsid w:val="00637D67"/>
    <w:rsid w:val="00637E73"/>
    <w:rsid w:val="00637EF6"/>
    <w:rsid w:val="00637F71"/>
    <w:rsid w:val="006400A4"/>
    <w:rsid w:val="00640229"/>
    <w:rsid w:val="006403B7"/>
    <w:rsid w:val="006404EA"/>
    <w:rsid w:val="006407C1"/>
    <w:rsid w:val="00640B4A"/>
    <w:rsid w:val="0064143A"/>
    <w:rsid w:val="0064171B"/>
    <w:rsid w:val="00641879"/>
    <w:rsid w:val="006418B5"/>
    <w:rsid w:val="00641AE5"/>
    <w:rsid w:val="00641C84"/>
    <w:rsid w:val="00641F2F"/>
    <w:rsid w:val="0064206C"/>
    <w:rsid w:val="006427ED"/>
    <w:rsid w:val="0064280B"/>
    <w:rsid w:val="006429A0"/>
    <w:rsid w:val="00642D1C"/>
    <w:rsid w:val="00643065"/>
    <w:rsid w:val="00643134"/>
    <w:rsid w:val="00643412"/>
    <w:rsid w:val="00643CC8"/>
    <w:rsid w:val="00643E4B"/>
    <w:rsid w:val="0064402B"/>
    <w:rsid w:val="006441AF"/>
    <w:rsid w:val="00645015"/>
    <w:rsid w:val="0064512F"/>
    <w:rsid w:val="006451C7"/>
    <w:rsid w:val="006457F7"/>
    <w:rsid w:val="00645AF5"/>
    <w:rsid w:val="00645AFC"/>
    <w:rsid w:val="00645BD2"/>
    <w:rsid w:val="00645EBF"/>
    <w:rsid w:val="0064651B"/>
    <w:rsid w:val="006467B8"/>
    <w:rsid w:val="00646F96"/>
    <w:rsid w:val="0064795B"/>
    <w:rsid w:val="0065064D"/>
    <w:rsid w:val="00650933"/>
    <w:rsid w:val="00650FC5"/>
    <w:rsid w:val="00650FEC"/>
    <w:rsid w:val="006515D3"/>
    <w:rsid w:val="00651D6F"/>
    <w:rsid w:val="00651DD7"/>
    <w:rsid w:val="00651FCC"/>
    <w:rsid w:val="00652119"/>
    <w:rsid w:val="00652575"/>
    <w:rsid w:val="00652928"/>
    <w:rsid w:val="0065296D"/>
    <w:rsid w:val="00652981"/>
    <w:rsid w:val="00652E2D"/>
    <w:rsid w:val="00652FB1"/>
    <w:rsid w:val="006533C3"/>
    <w:rsid w:val="0065350F"/>
    <w:rsid w:val="0065397A"/>
    <w:rsid w:val="00653992"/>
    <w:rsid w:val="006539CB"/>
    <w:rsid w:val="00653A9F"/>
    <w:rsid w:val="00653BDD"/>
    <w:rsid w:val="00653FAC"/>
    <w:rsid w:val="00654008"/>
    <w:rsid w:val="006540D5"/>
    <w:rsid w:val="006543B3"/>
    <w:rsid w:val="006544E7"/>
    <w:rsid w:val="00654860"/>
    <w:rsid w:val="006548BF"/>
    <w:rsid w:val="00654F43"/>
    <w:rsid w:val="0065546A"/>
    <w:rsid w:val="00655862"/>
    <w:rsid w:val="00655EE1"/>
    <w:rsid w:val="006560AF"/>
    <w:rsid w:val="006568D4"/>
    <w:rsid w:val="00656BCA"/>
    <w:rsid w:val="00656EBF"/>
    <w:rsid w:val="0065702E"/>
    <w:rsid w:val="00657137"/>
    <w:rsid w:val="00657522"/>
    <w:rsid w:val="006575B5"/>
    <w:rsid w:val="006579DC"/>
    <w:rsid w:val="00657AB3"/>
    <w:rsid w:val="006600E0"/>
    <w:rsid w:val="00660370"/>
    <w:rsid w:val="00660A47"/>
    <w:rsid w:val="00660AE6"/>
    <w:rsid w:val="00660C9B"/>
    <w:rsid w:val="006616FD"/>
    <w:rsid w:val="00661950"/>
    <w:rsid w:val="006619F0"/>
    <w:rsid w:val="00661AEB"/>
    <w:rsid w:val="00661E12"/>
    <w:rsid w:val="00661E20"/>
    <w:rsid w:val="00661F97"/>
    <w:rsid w:val="00662179"/>
    <w:rsid w:val="00662347"/>
    <w:rsid w:val="00662412"/>
    <w:rsid w:val="006629CF"/>
    <w:rsid w:val="006636A7"/>
    <w:rsid w:val="00663886"/>
    <w:rsid w:val="0066388A"/>
    <w:rsid w:val="006641A0"/>
    <w:rsid w:val="00664529"/>
    <w:rsid w:val="006647FB"/>
    <w:rsid w:val="00664889"/>
    <w:rsid w:val="00664996"/>
    <w:rsid w:val="00665309"/>
    <w:rsid w:val="0066543E"/>
    <w:rsid w:val="0066581D"/>
    <w:rsid w:val="006658DA"/>
    <w:rsid w:val="0066593C"/>
    <w:rsid w:val="0066617A"/>
    <w:rsid w:val="0066696C"/>
    <w:rsid w:val="00666A50"/>
    <w:rsid w:val="00666A91"/>
    <w:rsid w:val="00667261"/>
    <w:rsid w:val="00667AE1"/>
    <w:rsid w:val="00667C20"/>
    <w:rsid w:val="00670218"/>
    <w:rsid w:val="0067026B"/>
    <w:rsid w:val="0067027E"/>
    <w:rsid w:val="00670855"/>
    <w:rsid w:val="00671017"/>
    <w:rsid w:val="006713EE"/>
    <w:rsid w:val="0067179D"/>
    <w:rsid w:val="00671903"/>
    <w:rsid w:val="00671B92"/>
    <w:rsid w:val="00672213"/>
    <w:rsid w:val="006735AB"/>
    <w:rsid w:val="00673629"/>
    <w:rsid w:val="0067399F"/>
    <w:rsid w:val="00673BB7"/>
    <w:rsid w:val="00673D59"/>
    <w:rsid w:val="00673DCF"/>
    <w:rsid w:val="00674303"/>
    <w:rsid w:val="006746D6"/>
    <w:rsid w:val="0067472D"/>
    <w:rsid w:val="00674768"/>
    <w:rsid w:val="006749AC"/>
    <w:rsid w:val="00674F0D"/>
    <w:rsid w:val="00674F6D"/>
    <w:rsid w:val="0067504A"/>
    <w:rsid w:val="00675549"/>
    <w:rsid w:val="00675F63"/>
    <w:rsid w:val="00676094"/>
    <w:rsid w:val="0067688F"/>
    <w:rsid w:val="00676B77"/>
    <w:rsid w:val="00676C7B"/>
    <w:rsid w:val="00676FAD"/>
    <w:rsid w:val="00677A70"/>
    <w:rsid w:val="00677ACD"/>
    <w:rsid w:val="00677D06"/>
    <w:rsid w:val="00680741"/>
    <w:rsid w:val="00680BF2"/>
    <w:rsid w:val="00680CD3"/>
    <w:rsid w:val="00680D8E"/>
    <w:rsid w:val="006811E4"/>
    <w:rsid w:val="0068147D"/>
    <w:rsid w:val="006815AF"/>
    <w:rsid w:val="00681850"/>
    <w:rsid w:val="00681A16"/>
    <w:rsid w:val="00681C2A"/>
    <w:rsid w:val="00681D2E"/>
    <w:rsid w:val="00681EC2"/>
    <w:rsid w:val="00681EC7"/>
    <w:rsid w:val="00682074"/>
    <w:rsid w:val="006821DD"/>
    <w:rsid w:val="00682385"/>
    <w:rsid w:val="00682431"/>
    <w:rsid w:val="0068253A"/>
    <w:rsid w:val="006828C8"/>
    <w:rsid w:val="00682C77"/>
    <w:rsid w:val="00682E24"/>
    <w:rsid w:val="00683073"/>
    <w:rsid w:val="00683368"/>
    <w:rsid w:val="00683E09"/>
    <w:rsid w:val="00684036"/>
    <w:rsid w:val="006841BB"/>
    <w:rsid w:val="00684A45"/>
    <w:rsid w:val="00684AF9"/>
    <w:rsid w:val="00684CCF"/>
    <w:rsid w:val="00684F6F"/>
    <w:rsid w:val="00684FF5"/>
    <w:rsid w:val="006857BC"/>
    <w:rsid w:val="0068599B"/>
    <w:rsid w:val="00685D0A"/>
    <w:rsid w:val="00685DC3"/>
    <w:rsid w:val="0068615D"/>
    <w:rsid w:val="006864E9"/>
    <w:rsid w:val="0068651B"/>
    <w:rsid w:val="0068651E"/>
    <w:rsid w:val="006867E9"/>
    <w:rsid w:val="00686812"/>
    <w:rsid w:val="00686966"/>
    <w:rsid w:val="00686C9C"/>
    <w:rsid w:val="00686D54"/>
    <w:rsid w:val="006873BB"/>
    <w:rsid w:val="00687736"/>
    <w:rsid w:val="00687E1D"/>
    <w:rsid w:val="0069006F"/>
    <w:rsid w:val="00690817"/>
    <w:rsid w:val="00690972"/>
    <w:rsid w:val="00690AA8"/>
    <w:rsid w:val="00691032"/>
    <w:rsid w:val="006914A7"/>
    <w:rsid w:val="00691DE2"/>
    <w:rsid w:val="006920F5"/>
    <w:rsid w:val="0069228A"/>
    <w:rsid w:val="00692450"/>
    <w:rsid w:val="00692535"/>
    <w:rsid w:val="0069264D"/>
    <w:rsid w:val="006928CA"/>
    <w:rsid w:val="006928D7"/>
    <w:rsid w:val="00692953"/>
    <w:rsid w:val="00692A04"/>
    <w:rsid w:val="00693094"/>
    <w:rsid w:val="00693607"/>
    <w:rsid w:val="006937BA"/>
    <w:rsid w:val="00693A13"/>
    <w:rsid w:val="00693DA7"/>
    <w:rsid w:val="00693E9F"/>
    <w:rsid w:val="00693F2E"/>
    <w:rsid w:val="006941C0"/>
    <w:rsid w:val="006941F9"/>
    <w:rsid w:val="00694428"/>
    <w:rsid w:val="00694C2C"/>
    <w:rsid w:val="006952EE"/>
    <w:rsid w:val="0069540A"/>
    <w:rsid w:val="00695B6B"/>
    <w:rsid w:val="00695B9C"/>
    <w:rsid w:val="00695BED"/>
    <w:rsid w:val="00697727"/>
    <w:rsid w:val="00697805"/>
    <w:rsid w:val="00697A83"/>
    <w:rsid w:val="00697F4E"/>
    <w:rsid w:val="006A00AA"/>
    <w:rsid w:val="006A0590"/>
    <w:rsid w:val="006A0EB5"/>
    <w:rsid w:val="006A0F64"/>
    <w:rsid w:val="006A0FAA"/>
    <w:rsid w:val="006A12F4"/>
    <w:rsid w:val="006A170D"/>
    <w:rsid w:val="006A17F8"/>
    <w:rsid w:val="006A182C"/>
    <w:rsid w:val="006A22DD"/>
    <w:rsid w:val="006A2323"/>
    <w:rsid w:val="006A23F9"/>
    <w:rsid w:val="006A247B"/>
    <w:rsid w:val="006A2DC4"/>
    <w:rsid w:val="006A2FF5"/>
    <w:rsid w:val="006A30F0"/>
    <w:rsid w:val="006A33E4"/>
    <w:rsid w:val="006A35EC"/>
    <w:rsid w:val="006A3878"/>
    <w:rsid w:val="006A3B24"/>
    <w:rsid w:val="006A3D05"/>
    <w:rsid w:val="006A45AC"/>
    <w:rsid w:val="006A4979"/>
    <w:rsid w:val="006A4E19"/>
    <w:rsid w:val="006A4E92"/>
    <w:rsid w:val="006A4EED"/>
    <w:rsid w:val="006A51BA"/>
    <w:rsid w:val="006A5361"/>
    <w:rsid w:val="006A563F"/>
    <w:rsid w:val="006A5946"/>
    <w:rsid w:val="006A5C6A"/>
    <w:rsid w:val="006A6081"/>
    <w:rsid w:val="006A6417"/>
    <w:rsid w:val="006A6828"/>
    <w:rsid w:val="006A6856"/>
    <w:rsid w:val="006A68F3"/>
    <w:rsid w:val="006A69B5"/>
    <w:rsid w:val="006A733D"/>
    <w:rsid w:val="006A7C5F"/>
    <w:rsid w:val="006A7CF8"/>
    <w:rsid w:val="006B01B1"/>
    <w:rsid w:val="006B04FA"/>
    <w:rsid w:val="006B06A8"/>
    <w:rsid w:val="006B08C0"/>
    <w:rsid w:val="006B0A28"/>
    <w:rsid w:val="006B0D59"/>
    <w:rsid w:val="006B0DBC"/>
    <w:rsid w:val="006B0DCF"/>
    <w:rsid w:val="006B10DD"/>
    <w:rsid w:val="006B1102"/>
    <w:rsid w:val="006B1401"/>
    <w:rsid w:val="006B16C7"/>
    <w:rsid w:val="006B19D9"/>
    <w:rsid w:val="006B1E68"/>
    <w:rsid w:val="006B26A4"/>
    <w:rsid w:val="006B2ECD"/>
    <w:rsid w:val="006B32D4"/>
    <w:rsid w:val="006B32FF"/>
    <w:rsid w:val="006B3344"/>
    <w:rsid w:val="006B3633"/>
    <w:rsid w:val="006B375C"/>
    <w:rsid w:val="006B3BB5"/>
    <w:rsid w:val="006B3C69"/>
    <w:rsid w:val="006B4132"/>
    <w:rsid w:val="006B4297"/>
    <w:rsid w:val="006B4718"/>
    <w:rsid w:val="006B4871"/>
    <w:rsid w:val="006B4A1C"/>
    <w:rsid w:val="006B4B63"/>
    <w:rsid w:val="006B4C0F"/>
    <w:rsid w:val="006B4D0D"/>
    <w:rsid w:val="006B5246"/>
    <w:rsid w:val="006B5257"/>
    <w:rsid w:val="006B52B8"/>
    <w:rsid w:val="006B53DF"/>
    <w:rsid w:val="006B550C"/>
    <w:rsid w:val="006B5907"/>
    <w:rsid w:val="006B5A2D"/>
    <w:rsid w:val="006B5AED"/>
    <w:rsid w:val="006B5E09"/>
    <w:rsid w:val="006B601B"/>
    <w:rsid w:val="006B664A"/>
    <w:rsid w:val="006B73B0"/>
    <w:rsid w:val="006B770A"/>
    <w:rsid w:val="006B7DEC"/>
    <w:rsid w:val="006C0698"/>
    <w:rsid w:val="006C09A4"/>
    <w:rsid w:val="006C0DBA"/>
    <w:rsid w:val="006C0FC5"/>
    <w:rsid w:val="006C15B9"/>
    <w:rsid w:val="006C18A5"/>
    <w:rsid w:val="006C19BA"/>
    <w:rsid w:val="006C1A35"/>
    <w:rsid w:val="006C1B9D"/>
    <w:rsid w:val="006C1EA7"/>
    <w:rsid w:val="006C27B1"/>
    <w:rsid w:val="006C27D8"/>
    <w:rsid w:val="006C282C"/>
    <w:rsid w:val="006C2A29"/>
    <w:rsid w:val="006C2A88"/>
    <w:rsid w:val="006C2C36"/>
    <w:rsid w:val="006C2EC3"/>
    <w:rsid w:val="006C30A5"/>
    <w:rsid w:val="006C34C6"/>
    <w:rsid w:val="006C3AB5"/>
    <w:rsid w:val="006C3DE1"/>
    <w:rsid w:val="006C3F33"/>
    <w:rsid w:val="006C42CF"/>
    <w:rsid w:val="006C4643"/>
    <w:rsid w:val="006C4E7D"/>
    <w:rsid w:val="006C58E0"/>
    <w:rsid w:val="006C612F"/>
    <w:rsid w:val="006C642C"/>
    <w:rsid w:val="006C68CA"/>
    <w:rsid w:val="006C6935"/>
    <w:rsid w:val="006C6A0D"/>
    <w:rsid w:val="006C6BA6"/>
    <w:rsid w:val="006C6E29"/>
    <w:rsid w:val="006C6F74"/>
    <w:rsid w:val="006C706E"/>
    <w:rsid w:val="006C71E2"/>
    <w:rsid w:val="006C721A"/>
    <w:rsid w:val="006C7568"/>
    <w:rsid w:val="006C75CD"/>
    <w:rsid w:val="006C769A"/>
    <w:rsid w:val="006C7868"/>
    <w:rsid w:val="006C7B4C"/>
    <w:rsid w:val="006C7C7C"/>
    <w:rsid w:val="006C7F73"/>
    <w:rsid w:val="006C7FE3"/>
    <w:rsid w:val="006D082A"/>
    <w:rsid w:val="006D0A9D"/>
    <w:rsid w:val="006D0F7A"/>
    <w:rsid w:val="006D1017"/>
    <w:rsid w:val="006D1089"/>
    <w:rsid w:val="006D117A"/>
    <w:rsid w:val="006D150B"/>
    <w:rsid w:val="006D18AF"/>
    <w:rsid w:val="006D257B"/>
    <w:rsid w:val="006D25D5"/>
    <w:rsid w:val="006D26D0"/>
    <w:rsid w:val="006D29FE"/>
    <w:rsid w:val="006D2AF4"/>
    <w:rsid w:val="006D30C2"/>
    <w:rsid w:val="006D3691"/>
    <w:rsid w:val="006D38A2"/>
    <w:rsid w:val="006D3D1C"/>
    <w:rsid w:val="006D40A1"/>
    <w:rsid w:val="006D420D"/>
    <w:rsid w:val="006D43B9"/>
    <w:rsid w:val="006D4A49"/>
    <w:rsid w:val="006D4C8C"/>
    <w:rsid w:val="006D4CE9"/>
    <w:rsid w:val="006D4DE6"/>
    <w:rsid w:val="006D4DF2"/>
    <w:rsid w:val="006D4F8E"/>
    <w:rsid w:val="006D51BA"/>
    <w:rsid w:val="006D5A41"/>
    <w:rsid w:val="006D62CE"/>
    <w:rsid w:val="006D69AE"/>
    <w:rsid w:val="006D6DF4"/>
    <w:rsid w:val="006D7405"/>
    <w:rsid w:val="006D7636"/>
    <w:rsid w:val="006D765A"/>
    <w:rsid w:val="006D772F"/>
    <w:rsid w:val="006D7C27"/>
    <w:rsid w:val="006D7D08"/>
    <w:rsid w:val="006E0217"/>
    <w:rsid w:val="006E02BE"/>
    <w:rsid w:val="006E09BC"/>
    <w:rsid w:val="006E0B7A"/>
    <w:rsid w:val="006E0D05"/>
    <w:rsid w:val="006E12F0"/>
    <w:rsid w:val="006E138C"/>
    <w:rsid w:val="006E15AF"/>
    <w:rsid w:val="006E1926"/>
    <w:rsid w:val="006E1D33"/>
    <w:rsid w:val="006E2182"/>
    <w:rsid w:val="006E2570"/>
    <w:rsid w:val="006E2BCA"/>
    <w:rsid w:val="006E3432"/>
    <w:rsid w:val="006E34A6"/>
    <w:rsid w:val="006E425A"/>
    <w:rsid w:val="006E42C2"/>
    <w:rsid w:val="006E4404"/>
    <w:rsid w:val="006E45CD"/>
    <w:rsid w:val="006E460D"/>
    <w:rsid w:val="006E4730"/>
    <w:rsid w:val="006E4A93"/>
    <w:rsid w:val="006E5129"/>
    <w:rsid w:val="006E5540"/>
    <w:rsid w:val="006E568F"/>
    <w:rsid w:val="006E57A8"/>
    <w:rsid w:val="006E5814"/>
    <w:rsid w:val="006E5958"/>
    <w:rsid w:val="006E5AFC"/>
    <w:rsid w:val="006E5DEA"/>
    <w:rsid w:val="006E6161"/>
    <w:rsid w:val="006E62A1"/>
    <w:rsid w:val="006E6A7E"/>
    <w:rsid w:val="006E6C18"/>
    <w:rsid w:val="006E6E16"/>
    <w:rsid w:val="006E6F88"/>
    <w:rsid w:val="006E7022"/>
    <w:rsid w:val="006E70FB"/>
    <w:rsid w:val="006E716E"/>
    <w:rsid w:val="006E7184"/>
    <w:rsid w:val="006E7191"/>
    <w:rsid w:val="006E74F1"/>
    <w:rsid w:val="006E770F"/>
    <w:rsid w:val="006E7799"/>
    <w:rsid w:val="006F0025"/>
    <w:rsid w:val="006F0339"/>
    <w:rsid w:val="006F073A"/>
    <w:rsid w:val="006F0AFF"/>
    <w:rsid w:val="006F1190"/>
    <w:rsid w:val="006F15C8"/>
    <w:rsid w:val="006F1612"/>
    <w:rsid w:val="006F1638"/>
    <w:rsid w:val="006F16B0"/>
    <w:rsid w:val="006F1876"/>
    <w:rsid w:val="006F1A7C"/>
    <w:rsid w:val="006F1D89"/>
    <w:rsid w:val="006F26F6"/>
    <w:rsid w:val="006F2891"/>
    <w:rsid w:val="006F2F8B"/>
    <w:rsid w:val="006F3116"/>
    <w:rsid w:val="006F31D5"/>
    <w:rsid w:val="006F365E"/>
    <w:rsid w:val="006F38F7"/>
    <w:rsid w:val="006F392F"/>
    <w:rsid w:val="006F3A52"/>
    <w:rsid w:val="006F3B16"/>
    <w:rsid w:val="006F3C4E"/>
    <w:rsid w:val="006F3E39"/>
    <w:rsid w:val="006F409A"/>
    <w:rsid w:val="006F4525"/>
    <w:rsid w:val="006F4559"/>
    <w:rsid w:val="006F47B2"/>
    <w:rsid w:val="006F5056"/>
    <w:rsid w:val="006F5533"/>
    <w:rsid w:val="006F562E"/>
    <w:rsid w:val="006F5832"/>
    <w:rsid w:val="006F5D24"/>
    <w:rsid w:val="006F658C"/>
    <w:rsid w:val="006F672C"/>
    <w:rsid w:val="006F682B"/>
    <w:rsid w:val="006F68B7"/>
    <w:rsid w:val="006F6A77"/>
    <w:rsid w:val="006F6C82"/>
    <w:rsid w:val="006F6DB1"/>
    <w:rsid w:val="006F6E02"/>
    <w:rsid w:val="006F712D"/>
    <w:rsid w:val="006F742A"/>
    <w:rsid w:val="006F7472"/>
    <w:rsid w:val="006F7661"/>
    <w:rsid w:val="006F7801"/>
    <w:rsid w:val="00700AA1"/>
    <w:rsid w:val="00700C54"/>
    <w:rsid w:val="00700D56"/>
    <w:rsid w:val="00700D89"/>
    <w:rsid w:val="0070113B"/>
    <w:rsid w:val="007011C5"/>
    <w:rsid w:val="00702D15"/>
    <w:rsid w:val="00702E85"/>
    <w:rsid w:val="007036D2"/>
    <w:rsid w:val="0070379B"/>
    <w:rsid w:val="007037CC"/>
    <w:rsid w:val="007038F1"/>
    <w:rsid w:val="00703A9B"/>
    <w:rsid w:val="00703BBD"/>
    <w:rsid w:val="00703BE5"/>
    <w:rsid w:val="00703D5F"/>
    <w:rsid w:val="00703EBE"/>
    <w:rsid w:val="007040F5"/>
    <w:rsid w:val="0070463B"/>
    <w:rsid w:val="00704AF0"/>
    <w:rsid w:val="00704F4B"/>
    <w:rsid w:val="0070500C"/>
    <w:rsid w:val="00705590"/>
    <w:rsid w:val="007055C4"/>
    <w:rsid w:val="00706047"/>
    <w:rsid w:val="00706288"/>
    <w:rsid w:val="0070680A"/>
    <w:rsid w:val="007069AB"/>
    <w:rsid w:val="007069C0"/>
    <w:rsid w:val="00706C10"/>
    <w:rsid w:val="00706E61"/>
    <w:rsid w:val="007071CF"/>
    <w:rsid w:val="00707294"/>
    <w:rsid w:val="00707382"/>
    <w:rsid w:val="00707422"/>
    <w:rsid w:val="00707558"/>
    <w:rsid w:val="00707642"/>
    <w:rsid w:val="007079F1"/>
    <w:rsid w:val="00707A4F"/>
    <w:rsid w:val="00707C9D"/>
    <w:rsid w:val="00707FA5"/>
    <w:rsid w:val="007101D6"/>
    <w:rsid w:val="00710474"/>
    <w:rsid w:val="00710956"/>
    <w:rsid w:val="00711015"/>
    <w:rsid w:val="0071156B"/>
    <w:rsid w:val="007117DA"/>
    <w:rsid w:val="007118F8"/>
    <w:rsid w:val="00711F00"/>
    <w:rsid w:val="00712493"/>
    <w:rsid w:val="0071385C"/>
    <w:rsid w:val="00713981"/>
    <w:rsid w:val="00714243"/>
    <w:rsid w:val="0071432B"/>
    <w:rsid w:val="007143CF"/>
    <w:rsid w:val="007147EE"/>
    <w:rsid w:val="0071490A"/>
    <w:rsid w:val="00714A97"/>
    <w:rsid w:val="0071508C"/>
    <w:rsid w:val="00715109"/>
    <w:rsid w:val="007154B9"/>
    <w:rsid w:val="00715678"/>
    <w:rsid w:val="0071569C"/>
    <w:rsid w:val="00715836"/>
    <w:rsid w:val="00715CAE"/>
    <w:rsid w:val="00715CF2"/>
    <w:rsid w:val="007160C7"/>
    <w:rsid w:val="00716167"/>
    <w:rsid w:val="0071628A"/>
    <w:rsid w:val="007172E1"/>
    <w:rsid w:val="007175A9"/>
    <w:rsid w:val="00717A9C"/>
    <w:rsid w:val="0072059B"/>
    <w:rsid w:val="00720638"/>
    <w:rsid w:val="00720A68"/>
    <w:rsid w:val="00720FE1"/>
    <w:rsid w:val="0072111F"/>
    <w:rsid w:val="00721215"/>
    <w:rsid w:val="007212E3"/>
    <w:rsid w:val="00721518"/>
    <w:rsid w:val="0072160D"/>
    <w:rsid w:val="00721813"/>
    <w:rsid w:val="00721835"/>
    <w:rsid w:val="007218AC"/>
    <w:rsid w:val="00721B74"/>
    <w:rsid w:val="00721BAC"/>
    <w:rsid w:val="00722122"/>
    <w:rsid w:val="00722311"/>
    <w:rsid w:val="0072258C"/>
    <w:rsid w:val="0072290A"/>
    <w:rsid w:val="00722985"/>
    <w:rsid w:val="0072368B"/>
    <w:rsid w:val="007237BE"/>
    <w:rsid w:val="00724270"/>
    <w:rsid w:val="00724B95"/>
    <w:rsid w:val="00724EBD"/>
    <w:rsid w:val="007252D9"/>
    <w:rsid w:val="00725860"/>
    <w:rsid w:val="00725BE1"/>
    <w:rsid w:val="00725C16"/>
    <w:rsid w:val="00725E4F"/>
    <w:rsid w:val="00725EDD"/>
    <w:rsid w:val="0072624D"/>
    <w:rsid w:val="00726420"/>
    <w:rsid w:val="00726510"/>
    <w:rsid w:val="00726E08"/>
    <w:rsid w:val="00726E30"/>
    <w:rsid w:val="00727541"/>
    <w:rsid w:val="00727A84"/>
    <w:rsid w:val="007309AA"/>
    <w:rsid w:val="00730FEB"/>
    <w:rsid w:val="0073127D"/>
    <w:rsid w:val="0073133A"/>
    <w:rsid w:val="0073148F"/>
    <w:rsid w:val="007319A1"/>
    <w:rsid w:val="00731A81"/>
    <w:rsid w:val="00731B63"/>
    <w:rsid w:val="00731D0A"/>
    <w:rsid w:val="00731F11"/>
    <w:rsid w:val="0073261B"/>
    <w:rsid w:val="00732625"/>
    <w:rsid w:val="00732891"/>
    <w:rsid w:val="00732A7D"/>
    <w:rsid w:val="007337B1"/>
    <w:rsid w:val="00734153"/>
    <w:rsid w:val="00734F19"/>
    <w:rsid w:val="00735214"/>
    <w:rsid w:val="00735262"/>
    <w:rsid w:val="00735EBD"/>
    <w:rsid w:val="00735ECE"/>
    <w:rsid w:val="00735F9B"/>
    <w:rsid w:val="0073617B"/>
    <w:rsid w:val="007363DC"/>
    <w:rsid w:val="00736450"/>
    <w:rsid w:val="00736725"/>
    <w:rsid w:val="0073676C"/>
    <w:rsid w:val="00736B41"/>
    <w:rsid w:val="00736E18"/>
    <w:rsid w:val="007371C4"/>
    <w:rsid w:val="007376E2"/>
    <w:rsid w:val="007378D7"/>
    <w:rsid w:val="007378D9"/>
    <w:rsid w:val="00737BA1"/>
    <w:rsid w:val="00737BFD"/>
    <w:rsid w:val="00737CE4"/>
    <w:rsid w:val="00737E07"/>
    <w:rsid w:val="0074057C"/>
    <w:rsid w:val="00740618"/>
    <w:rsid w:val="007406B3"/>
    <w:rsid w:val="0074093D"/>
    <w:rsid w:val="00740CB1"/>
    <w:rsid w:val="00740FD9"/>
    <w:rsid w:val="00741669"/>
    <w:rsid w:val="00741BFD"/>
    <w:rsid w:val="00741F37"/>
    <w:rsid w:val="0074216E"/>
    <w:rsid w:val="00742175"/>
    <w:rsid w:val="007426C3"/>
    <w:rsid w:val="007427CE"/>
    <w:rsid w:val="00742A5D"/>
    <w:rsid w:val="00742BAD"/>
    <w:rsid w:val="007432FB"/>
    <w:rsid w:val="007436D2"/>
    <w:rsid w:val="00743D78"/>
    <w:rsid w:val="0074440E"/>
    <w:rsid w:val="007444CE"/>
    <w:rsid w:val="00744559"/>
    <w:rsid w:val="0074459B"/>
    <w:rsid w:val="00744707"/>
    <w:rsid w:val="00744B37"/>
    <w:rsid w:val="00744CCB"/>
    <w:rsid w:val="0074503F"/>
    <w:rsid w:val="0074540E"/>
    <w:rsid w:val="007457DD"/>
    <w:rsid w:val="0074587B"/>
    <w:rsid w:val="007458BB"/>
    <w:rsid w:val="00746300"/>
    <w:rsid w:val="00746BE8"/>
    <w:rsid w:val="00746D46"/>
    <w:rsid w:val="007472F9"/>
    <w:rsid w:val="007473CE"/>
    <w:rsid w:val="0074756E"/>
    <w:rsid w:val="007475CA"/>
    <w:rsid w:val="007476CB"/>
    <w:rsid w:val="0074775A"/>
    <w:rsid w:val="007478A4"/>
    <w:rsid w:val="00747D6C"/>
    <w:rsid w:val="00747F4F"/>
    <w:rsid w:val="007501BB"/>
    <w:rsid w:val="00750292"/>
    <w:rsid w:val="00750474"/>
    <w:rsid w:val="007506AC"/>
    <w:rsid w:val="00750F9F"/>
    <w:rsid w:val="00751209"/>
    <w:rsid w:val="00751321"/>
    <w:rsid w:val="00751677"/>
    <w:rsid w:val="007518CA"/>
    <w:rsid w:val="00751C0B"/>
    <w:rsid w:val="00751CF2"/>
    <w:rsid w:val="00751CF5"/>
    <w:rsid w:val="007520AD"/>
    <w:rsid w:val="00752190"/>
    <w:rsid w:val="0075219B"/>
    <w:rsid w:val="00752940"/>
    <w:rsid w:val="00752A98"/>
    <w:rsid w:val="00752BBF"/>
    <w:rsid w:val="00752D2A"/>
    <w:rsid w:val="00752D65"/>
    <w:rsid w:val="007535A2"/>
    <w:rsid w:val="00754715"/>
    <w:rsid w:val="00754761"/>
    <w:rsid w:val="00754901"/>
    <w:rsid w:val="007549E9"/>
    <w:rsid w:val="007549EF"/>
    <w:rsid w:val="007552EF"/>
    <w:rsid w:val="00755BBC"/>
    <w:rsid w:val="007561A5"/>
    <w:rsid w:val="0075653E"/>
    <w:rsid w:val="0075658C"/>
    <w:rsid w:val="00756934"/>
    <w:rsid w:val="00756E9E"/>
    <w:rsid w:val="00756FC4"/>
    <w:rsid w:val="007575A4"/>
    <w:rsid w:val="00757A93"/>
    <w:rsid w:val="00757B42"/>
    <w:rsid w:val="00757D65"/>
    <w:rsid w:val="00757EC3"/>
    <w:rsid w:val="0076001F"/>
    <w:rsid w:val="007604CF"/>
    <w:rsid w:val="00760C0D"/>
    <w:rsid w:val="00760D0A"/>
    <w:rsid w:val="00760D6C"/>
    <w:rsid w:val="00760E10"/>
    <w:rsid w:val="00760E6A"/>
    <w:rsid w:val="00760EE4"/>
    <w:rsid w:val="007614C8"/>
    <w:rsid w:val="007619FC"/>
    <w:rsid w:val="00761D9D"/>
    <w:rsid w:val="00761E39"/>
    <w:rsid w:val="00762384"/>
    <w:rsid w:val="0076246D"/>
    <w:rsid w:val="00762590"/>
    <w:rsid w:val="007626CE"/>
    <w:rsid w:val="00762996"/>
    <w:rsid w:val="00762CC3"/>
    <w:rsid w:val="00762ED8"/>
    <w:rsid w:val="00763186"/>
    <w:rsid w:val="007631D9"/>
    <w:rsid w:val="007633E8"/>
    <w:rsid w:val="007635B7"/>
    <w:rsid w:val="0076387E"/>
    <w:rsid w:val="00763C2E"/>
    <w:rsid w:val="0076417D"/>
    <w:rsid w:val="007649CB"/>
    <w:rsid w:val="00764D40"/>
    <w:rsid w:val="007650BA"/>
    <w:rsid w:val="0076553A"/>
    <w:rsid w:val="007659A1"/>
    <w:rsid w:val="00765C17"/>
    <w:rsid w:val="00765E65"/>
    <w:rsid w:val="00765F3B"/>
    <w:rsid w:val="00765FB7"/>
    <w:rsid w:val="00766799"/>
    <w:rsid w:val="00766AA0"/>
    <w:rsid w:val="00766D77"/>
    <w:rsid w:val="00766E3C"/>
    <w:rsid w:val="007671FF"/>
    <w:rsid w:val="00767276"/>
    <w:rsid w:val="00767427"/>
    <w:rsid w:val="00767BF7"/>
    <w:rsid w:val="00767F46"/>
    <w:rsid w:val="0077036F"/>
    <w:rsid w:val="00770378"/>
    <w:rsid w:val="007703FB"/>
    <w:rsid w:val="00770999"/>
    <w:rsid w:val="00770CD7"/>
    <w:rsid w:val="00770E07"/>
    <w:rsid w:val="00770EAE"/>
    <w:rsid w:val="00771050"/>
    <w:rsid w:val="0077156B"/>
    <w:rsid w:val="007718F4"/>
    <w:rsid w:val="007718FC"/>
    <w:rsid w:val="00771E18"/>
    <w:rsid w:val="00771FFB"/>
    <w:rsid w:val="0077298C"/>
    <w:rsid w:val="00772AD0"/>
    <w:rsid w:val="00772B27"/>
    <w:rsid w:val="00772BB5"/>
    <w:rsid w:val="00772FA9"/>
    <w:rsid w:val="0077327F"/>
    <w:rsid w:val="00773C0F"/>
    <w:rsid w:val="00773C4C"/>
    <w:rsid w:val="007740BF"/>
    <w:rsid w:val="00774E44"/>
    <w:rsid w:val="00774F0C"/>
    <w:rsid w:val="00774F56"/>
    <w:rsid w:val="0077594C"/>
    <w:rsid w:val="00775A52"/>
    <w:rsid w:val="00775B26"/>
    <w:rsid w:val="00775DAE"/>
    <w:rsid w:val="00775E6F"/>
    <w:rsid w:val="00775EB1"/>
    <w:rsid w:val="00775F5D"/>
    <w:rsid w:val="00775FFB"/>
    <w:rsid w:val="00776012"/>
    <w:rsid w:val="00776142"/>
    <w:rsid w:val="00776569"/>
    <w:rsid w:val="007766EF"/>
    <w:rsid w:val="00776B76"/>
    <w:rsid w:val="00776B83"/>
    <w:rsid w:val="00776D72"/>
    <w:rsid w:val="00777037"/>
    <w:rsid w:val="007770BB"/>
    <w:rsid w:val="0077740B"/>
    <w:rsid w:val="00777791"/>
    <w:rsid w:val="00777AF6"/>
    <w:rsid w:val="0078060E"/>
    <w:rsid w:val="00780E4C"/>
    <w:rsid w:val="00781501"/>
    <w:rsid w:val="00781560"/>
    <w:rsid w:val="00781756"/>
    <w:rsid w:val="00781C3B"/>
    <w:rsid w:val="00781DFD"/>
    <w:rsid w:val="00781F15"/>
    <w:rsid w:val="00782239"/>
    <w:rsid w:val="0078232F"/>
    <w:rsid w:val="00782605"/>
    <w:rsid w:val="00782629"/>
    <w:rsid w:val="007828DA"/>
    <w:rsid w:val="00782927"/>
    <w:rsid w:val="00782B07"/>
    <w:rsid w:val="00782B08"/>
    <w:rsid w:val="00782DE1"/>
    <w:rsid w:val="00782DEF"/>
    <w:rsid w:val="00783563"/>
    <w:rsid w:val="00783571"/>
    <w:rsid w:val="00783690"/>
    <w:rsid w:val="0078450E"/>
    <w:rsid w:val="00784760"/>
    <w:rsid w:val="00784A8C"/>
    <w:rsid w:val="007854AC"/>
    <w:rsid w:val="007854DC"/>
    <w:rsid w:val="00785526"/>
    <w:rsid w:val="007855D4"/>
    <w:rsid w:val="00785715"/>
    <w:rsid w:val="0078596B"/>
    <w:rsid w:val="007862BF"/>
    <w:rsid w:val="00786426"/>
    <w:rsid w:val="007864C4"/>
    <w:rsid w:val="007867D5"/>
    <w:rsid w:val="00786812"/>
    <w:rsid w:val="0078686B"/>
    <w:rsid w:val="007868C5"/>
    <w:rsid w:val="0078696A"/>
    <w:rsid w:val="00786DFE"/>
    <w:rsid w:val="007871E5"/>
    <w:rsid w:val="00787519"/>
    <w:rsid w:val="007875FC"/>
    <w:rsid w:val="00787B2C"/>
    <w:rsid w:val="00787DA1"/>
    <w:rsid w:val="00787E5A"/>
    <w:rsid w:val="00787F86"/>
    <w:rsid w:val="007906AE"/>
    <w:rsid w:val="00791084"/>
    <w:rsid w:val="007915CE"/>
    <w:rsid w:val="00791B4A"/>
    <w:rsid w:val="00791B95"/>
    <w:rsid w:val="00791BA7"/>
    <w:rsid w:val="007920A1"/>
    <w:rsid w:val="007930E9"/>
    <w:rsid w:val="00793356"/>
    <w:rsid w:val="007937F0"/>
    <w:rsid w:val="00793881"/>
    <w:rsid w:val="00793BE8"/>
    <w:rsid w:val="0079422E"/>
    <w:rsid w:val="007943C2"/>
    <w:rsid w:val="0079463A"/>
    <w:rsid w:val="007948F9"/>
    <w:rsid w:val="00794A20"/>
    <w:rsid w:val="00795072"/>
    <w:rsid w:val="0079536B"/>
    <w:rsid w:val="007960B0"/>
    <w:rsid w:val="007960F4"/>
    <w:rsid w:val="007969F8"/>
    <w:rsid w:val="00796ECD"/>
    <w:rsid w:val="00797166"/>
    <w:rsid w:val="007972F4"/>
    <w:rsid w:val="007974B6"/>
    <w:rsid w:val="007977C0"/>
    <w:rsid w:val="00797825"/>
    <w:rsid w:val="007A04A0"/>
    <w:rsid w:val="007A072D"/>
    <w:rsid w:val="007A092B"/>
    <w:rsid w:val="007A0B9E"/>
    <w:rsid w:val="007A0BF2"/>
    <w:rsid w:val="007A0C0B"/>
    <w:rsid w:val="007A142E"/>
    <w:rsid w:val="007A1760"/>
    <w:rsid w:val="007A183C"/>
    <w:rsid w:val="007A196D"/>
    <w:rsid w:val="007A1CFB"/>
    <w:rsid w:val="007A1F57"/>
    <w:rsid w:val="007A2C92"/>
    <w:rsid w:val="007A2CE3"/>
    <w:rsid w:val="007A2E4C"/>
    <w:rsid w:val="007A3574"/>
    <w:rsid w:val="007A3590"/>
    <w:rsid w:val="007A35F2"/>
    <w:rsid w:val="007A36E0"/>
    <w:rsid w:val="007A39A0"/>
    <w:rsid w:val="007A3A9C"/>
    <w:rsid w:val="007A3AE4"/>
    <w:rsid w:val="007A3E51"/>
    <w:rsid w:val="007A42A3"/>
    <w:rsid w:val="007A43DC"/>
    <w:rsid w:val="007A450F"/>
    <w:rsid w:val="007A4951"/>
    <w:rsid w:val="007A4A4F"/>
    <w:rsid w:val="007A5084"/>
    <w:rsid w:val="007A54A3"/>
    <w:rsid w:val="007A596F"/>
    <w:rsid w:val="007A5978"/>
    <w:rsid w:val="007A5A2B"/>
    <w:rsid w:val="007A5A2C"/>
    <w:rsid w:val="007A5B5E"/>
    <w:rsid w:val="007A5CAE"/>
    <w:rsid w:val="007A5CC4"/>
    <w:rsid w:val="007A5D17"/>
    <w:rsid w:val="007A5E3A"/>
    <w:rsid w:val="007A65FE"/>
    <w:rsid w:val="007A6F5D"/>
    <w:rsid w:val="007A7127"/>
    <w:rsid w:val="007A716D"/>
    <w:rsid w:val="007A7440"/>
    <w:rsid w:val="007A7588"/>
    <w:rsid w:val="007A7858"/>
    <w:rsid w:val="007A7C66"/>
    <w:rsid w:val="007A7CCF"/>
    <w:rsid w:val="007A7D9F"/>
    <w:rsid w:val="007B05CA"/>
    <w:rsid w:val="007B0685"/>
    <w:rsid w:val="007B098B"/>
    <w:rsid w:val="007B1032"/>
    <w:rsid w:val="007B1162"/>
    <w:rsid w:val="007B11DF"/>
    <w:rsid w:val="007B1213"/>
    <w:rsid w:val="007B1223"/>
    <w:rsid w:val="007B13C4"/>
    <w:rsid w:val="007B13E6"/>
    <w:rsid w:val="007B15A8"/>
    <w:rsid w:val="007B226C"/>
    <w:rsid w:val="007B260E"/>
    <w:rsid w:val="007B2678"/>
    <w:rsid w:val="007B39F2"/>
    <w:rsid w:val="007B3BA8"/>
    <w:rsid w:val="007B3D27"/>
    <w:rsid w:val="007B4034"/>
    <w:rsid w:val="007B4ABF"/>
    <w:rsid w:val="007B4DF8"/>
    <w:rsid w:val="007B4F5D"/>
    <w:rsid w:val="007B5685"/>
    <w:rsid w:val="007B56CE"/>
    <w:rsid w:val="007B5955"/>
    <w:rsid w:val="007B5CF9"/>
    <w:rsid w:val="007B5FF9"/>
    <w:rsid w:val="007B63B2"/>
    <w:rsid w:val="007B68A4"/>
    <w:rsid w:val="007B6A2F"/>
    <w:rsid w:val="007B6C45"/>
    <w:rsid w:val="007B6EE9"/>
    <w:rsid w:val="007B70B1"/>
    <w:rsid w:val="007B7535"/>
    <w:rsid w:val="007B761E"/>
    <w:rsid w:val="007B79CC"/>
    <w:rsid w:val="007B7B06"/>
    <w:rsid w:val="007C04A0"/>
    <w:rsid w:val="007C073D"/>
    <w:rsid w:val="007C08C4"/>
    <w:rsid w:val="007C0919"/>
    <w:rsid w:val="007C0B15"/>
    <w:rsid w:val="007C0C6A"/>
    <w:rsid w:val="007C0DD2"/>
    <w:rsid w:val="007C1AEC"/>
    <w:rsid w:val="007C22CB"/>
    <w:rsid w:val="007C241E"/>
    <w:rsid w:val="007C2526"/>
    <w:rsid w:val="007C258D"/>
    <w:rsid w:val="007C2732"/>
    <w:rsid w:val="007C2D10"/>
    <w:rsid w:val="007C350F"/>
    <w:rsid w:val="007C377D"/>
    <w:rsid w:val="007C3802"/>
    <w:rsid w:val="007C38A2"/>
    <w:rsid w:val="007C39C0"/>
    <w:rsid w:val="007C435D"/>
    <w:rsid w:val="007C451A"/>
    <w:rsid w:val="007C46A6"/>
    <w:rsid w:val="007C4904"/>
    <w:rsid w:val="007C499C"/>
    <w:rsid w:val="007C4A57"/>
    <w:rsid w:val="007C4C20"/>
    <w:rsid w:val="007C4E4A"/>
    <w:rsid w:val="007C505A"/>
    <w:rsid w:val="007C56BB"/>
    <w:rsid w:val="007C5D3C"/>
    <w:rsid w:val="007C5F5C"/>
    <w:rsid w:val="007C71FB"/>
    <w:rsid w:val="007C747D"/>
    <w:rsid w:val="007C7918"/>
    <w:rsid w:val="007C7A24"/>
    <w:rsid w:val="007C7B1E"/>
    <w:rsid w:val="007C7C02"/>
    <w:rsid w:val="007D044D"/>
    <w:rsid w:val="007D0501"/>
    <w:rsid w:val="007D05D7"/>
    <w:rsid w:val="007D0B0E"/>
    <w:rsid w:val="007D0D23"/>
    <w:rsid w:val="007D0D8C"/>
    <w:rsid w:val="007D14D2"/>
    <w:rsid w:val="007D21D6"/>
    <w:rsid w:val="007D2341"/>
    <w:rsid w:val="007D2448"/>
    <w:rsid w:val="007D264E"/>
    <w:rsid w:val="007D2658"/>
    <w:rsid w:val="007D287C"/>
    <w:rsid w:val="007D29B7"/>
    <w:rsid w:val="007D3033"/>
    <w:rsid w:val="007D3284"/>
    <w:rsid w:val="007D350E"/>
    <w:rsid w:val="007D36F4"/>
    <w:rsid w:val="007D37A6"/>
    <w:rsid w:val="007D39C5"/>
    <w:rsid w:val="007D3C29"/>
    <w:rsid w:val="007D3CBC"/>
    <w:rsid w:val="007D4546"/>
    <w:rsid w:val="007D4585"/>
    <w:rsid w:val="007D4C71"/>
    <w:rsid w:val="007D4CD0"/>
    <w:rsid w:val="007D4DA1"/>
    <w:rsid w:val="007D4E6F"/>
    <w:rsid w:val="007D5017"/>
    <w:rsid w:val="007D5341"/>
    <w:rsid w:val="007D5773"/>
    <w:rsid w:val="007D5793"/>
    <w:rsid w:val="007D5A39"/>
    <w:rsid w:val="007D5D43"/>
    <w:rsid w:val="007D5ED0"/>
    <w:rsid w:val="007D6609"/>
    <w:rsid w:val="007D69E1"/>
    <w:rsid w:val="007D6CCE"/>
    <w:rsid w:val="007D6CE3"/>
    <w:rsid w:val="007D7483"/>
    <w:rsid w:val="007D756A"/>
    <w:rsid w:val="007D75A8"/>
    <w:rsid w:val="007D76CE"/>
    <w:rsid w:val="007D78DD"/>
    <w:rsid w:val="007D7C04"/>
    <w:rsid w:val="007D7C37"/>
    <w:rsid w:val="007D7E1E"/>
    <w:rsid w:val="007D7EE1"/>
    <w:rsid w:val="007D7EF2"/>
    <w:rsid w:val="007D7F49"/>
    <w:rsid w:val="007E04EE"/>
    <w:rsid w:val="007E0AB0"/>
    <w:rsid w:val="007E151E"/>
    <w:rsid w:val="007E1CC1"/>
    <w:rsid w:val="007E24DC"/>
    <w:rsid w:val="007E28BD"/>
    <w:rsid w:val="007E2DE3"/>
    <w:rsid w:val="007E2EFD"/>
    <w:rsid w:val="007E3455"/>
    <w:rsid w:val="007E34A1"/>
    <w:rsid w:val="007E393F"/>
    <w:rsid w:val="007E3A2C"/>
    <w:rsid w:val="007E3AE5"/>
    <w:rsid w:val="007E3BD5"/>
    <w:rsid w:val="007E4028"/>
    <w:rsid w:val="007E404D"/>
    <w:rsid w:val="007E408D"/>
    <w:rsid w:val="007E4377"/>
    <w:rsid w:val="007E4630"/>
    <w:rsid w:val="007E483E"/>
    <w:rsid w:val="007E4920"/>
    <w:rsid w:val="007E4C8F"/>
    <w:rsid w:val="007E4F44"/>
    <w:rsid w:val="007E5129"/>
    <w:rsid w:val="007E55B2"/>
    <w:rsid w:val="007E56CA"/>
    <w:rsid w:val="007E575F"/>
    <w:rsid w:val="007E5779"/>
    <w:rsid w:val="007E59D8"/>
    <w:rsid w:val="007E5CCC"/>
    <w:rsid w:val="007E5CD2"/>
    <w:rsid w:val="007E5E8A"/>
    <w:rsid w:val="007E63A0"/>
    <w:rsid w:val="007E678C"/>
    <w:rsid w:val="007E6926"/>
    <w:rsid w:val="007E6A99"/>
    <w:rsid w:val="007E6D49"/>
    <w:rsid w:val="007E6E6A"/>
    <w:rsid w:val="007E718E"/>
    <w:rsid w:val="007E71EC"/>
    <w:rsid w:val="007E7388"/>
    <w:rsid w:val="007E745F"/>
    <w:rsid w:val="007E7599"/>
    <w:rsid w:val="007E7704"/>
    <w:rsid w:val="007E7A43"/>
    <w:rsid w:val="007F0535"/>
    <w:rsid w:val="007F0833"/>
    <w:rsid w:val="007F0E68"/>
    <w:rsid w:val="007F0E9C"/>
    <w:rsid w:val="007F1147"/>
    <w:rsid w:val="007F119D"/>
    <w:rsid w:val="007F1434"/>
    <w:rsid w:val="007F1880"/>
    <w:rsid w:val="007F18D0"/>
    <w:rsid w:val="007F1A7B"/>
    <w:rsid w:val="007F1D6B"/>
    <w:rsid w:val="007F224E"/>
    <w:rsid w:val="007F2353"/>
    <w:rsid w:val="007F24A8"/>
    <w:rsid w:val="007F2733"/>
    <w:rsid w:val="007F29DC"/>
    <w:rsid w:val="007F308F"/>
    <w:rsid w:val="007F3329"/>
    <w:rsid w:val="007F333A"/>
    <w:rsid w:val="007F34AB"/>
    <w:rsid w:val="007F3616"/>
    <w:rsid w:val="007F3B04"/>
    <w:rsid w:val="007F3F8D"/>
    <w:rsid w:val="007F41E8"/>
    <w:rsid w:val="007F4494"/>
    <w:rsid w:val="007F459D"/>
    <w:rsid w:val="007F45FB"/>
    <w:rsid w:val="007F46B9"/>
    <w:rsid w:val="007F4B54"/>
    <w:rsid w:val="007F4C07"/>
    <w:rsid w:val="007F4DEF"/>
    <w:rsid w:val="007F51DF"/>
    <w:rsid w:val="007F5597"/>
    <w:rsid w:val="007F5827"/>
    <w:rsid w:val="007F5F70"/>
    <w:rsid w:val="007F688C"/>
    <w:rsid w:val="007F69C2"/>
    <w:rsid w:val="007F6DF3"/>
    <w:rsid w:val="007F71CE"/>
    <w:rsid w:val="007F7316"/>
    <w:rsid w:val="007F7331"/>
    <w:rsid w:val="007F736E"/>
    <w:rsid w:val="007F7398"/>
    <w:rsid w:val="007F7577"/>
    <w:rsid w:val="007F78D2"/>
    <w:rsid w:val="0080046C"/>
    <w:rsid w:val="0080054B"/>
    <w:rsid w:val="00800653"/>
    <w:rsid w:val="00800923"/>
    <w:rsid w:val="00800A52"/>
    <w:rsid w:val="00800CA3"/>
    <w:rsid w:val="00800DDD"/>
    <w:rsid w:val="008012BC"/>
    <w:rsid w:val="008012E8"/>
    <w:rsid w:val="008017F3"/>
    <w:rsid w:val="0080181D"/>
    <w:rsid w:val="008018AF"/>
    <w:rsid w:val="00801978"/>
    <w:rsid w:val="008019EE"/>
    <w:rsid w:val="00801B5B"/>
    <w:rsid w:val="00801B9F"/>
    <w:rsid w:val="008026DF"/>
    <w:rsid w:val="0080280F"/>
    <w:rsid w:val="008032A2"/>
    <w:rsid w:val="00803558"/>
    <w:rsid w:val="00803755"/>
    <w:rsid w:val="0080390A"/>
    <w:rsid w:val="00803972"/>
    <w:rsid w:val="00803F7A"/>
    <w:rsid w:val="0080419E"/>
    <w:rsid w:val="008042C6"/>
    <w:rsid w:val="0080447C"/>
    <w:rsid w:val="008044C3"/>
    <w:rsid w:val="008046A9"/>
    <w:rsid w:val="008046F7"/>
    <w:rsid w:val="0080487C"/>
    <w:rsid w:val="00804934"/>
    <w:rsid w:val="00804E72"/>
    <w:rsid w:val="00805225"/>
    <w:rsid w:val="008054C5"/>
    <w:rsid w:val="0080561C"/>
    <w:rsid w:val="00805AD0"/>
    <w:rsid w:val="0080636F"/>
    <w:rsid w:val="008064BC"/>
    <w:rsid w:val="00806734"/>
    <w:rsid w:val="00806A1E"/>
    <w:rsid w:val="00806BCB"/>
    <w:rsid w:val="00807062"/>
    <w:rsid w:val="00807492"/>
    <w:rsid w:val="00807502"/>
    <w:rsid w:val="00807651"/>
    <w:rsid w:val="00807804"/>
    <w:rsid w:val="00807F14"/>
    <w:rsid w:val="00810140"/>
    <w:rsid w:val="00810861"/>
    <w:rsid w:val="00810894"/>
    <w:rsid w:val="00810A0F"/>
    <w:rsid w:val="00810A3E"/>
    <w:rsid w:val="00810F17"/>
    <w:rsid w:val="008110C8"/>
    <w:rsid w:val="008111ED"/>
    <w:rsid w:val="00811334"/>
    <w:rsid w:val="008119CD"/>
    <w:rsid w:val="00811CD9"/>
    <w:rsid w:val="00812040"/>
    <w:rsid w:val="00812069"/>
    <w:rsid w:val="008120DC"/>
    <w:rsid w:val="008123EA"/>
    <w:rsid w:val="00812558"/>
    <w:rsid w:val="008125D8"/>
    <w:rsid w:val="008125E9"/>
    <w:rsid w:val="008126EF"/>
    <w:rsid w:val="00812727"/>
    <w:rsid w:val="00812F2F"/>
    <w:rsid w:val="008133DC"/>
    <w:rsid w:val="00813412"/>
    <w:rsid w:val="00813944"/>
    <w:rsid w:val="00813BDC"/>
    <w:rsid w:val="00814431"/>
    <w:rsid w:val="00814731"/>
    <w:rsid w:val="00814A9D"/>
    <w:rsid w:val="00814E68"/>
    <w:rsid w:val="008151BA"/>
    <w:rsid w:val="00815226"/>
    <w:rsid w:val="0081529D"/>
    <w:rsid w:val="008154B8"/>
    <w:rsid w:val="008154C6"/>
    <w:rsid w:val="008155A9"/>
    <w:rsid w:val="00815704"/>
    <w:rsid w:val="00815909"/>
    <w:rsid w:val="00815B2C"/>
    <w:rsid w:val="00815EB3"/>
    <w:rsid w:val="00816015"/>
    <w:rsid w:val="00816958"/>
    <w:rsid w:val="00816B2B"/>
    <w:rsid w:val="00816BC7"/>
    <w:rsid w:val="00816E10"/>
    <w:rsid w:val="00817439"/>
    <w:rsid w:val="00817658"/>
    <w:rsid w:val="00817AE3"/>
    <w:rsid w:val="00817CE7"/>
    <w:rsid w:val="00817FD4"/>
    <w:rsid w:val="00820909"/>
    <w:rsid w:val="00820C0E"/>
    <w:rsid w:val="00820F41"/>
    <w:rsid w:val="0082123A"/>
    <w:rsid w:val="00821700"/>
    <w:rsid w:val="008217DA"/>
    <w:rsid w:val="00821C2F"/>
    <w:rsid w:val="00821C5A"/>
    <w:rsid w:val="00821E09"/>
    <w:rsid w:val="00821E51"/>
    <w:rsid w:val="00821F6B"/>
    <w:rsid w:val="00821FAF"/>
    <w:rsid w:val="00821FDD"/>
    <w:rsid w:val="008220AE"/>
    <w:rsid w:val="008221AF"/>
    <w:rsid w:val="0082287C"/>
    <w:rsid w:val="00822A0C"/>
    <w:rsid w:val="00822A57"/>
    <w:rsid w:val="00822BE8"/>
    <w:rsid w:val="00822F79"/>
    <w:rsid w:val="00823275"/>
    <w:rsid w:val="0082351C"/>
    <w:rsid w:val="00823890"/>
    <w:rsid w:val="00823953"/>
    <w:rsid w:val="00823981"/>
    <w:rsid w:val="00823A84"/>
    <w:rsid w:val="00823D6B"/>
    <w:rsid w:val="00823DDA"/>
    <w:rsid w:val="00823E95"/>
    <w:rsid w:val="008244A8"/>
    <w:rsid w:val="008246B2"/>
    <w:rsid w:val="0082495F"/>
    <w:rsid w:val="00824C33"/>
    <w:rsid w:val="0082529E"/>
    <w:rsid w:val="00825367"/>
    <w:rsid w:val="00825393"/>
    <w:rsid w:val="00825900"/>
    <w:rsid w:val="00825C93"/>
    <w:rsid w:val="00825CDC"/>
    <w:rsid w:val="00825DA1"/>
    <w:rsid w:val="00826117"/>
    <w:rsid w:val="00826146"/>
    <w:rsid w:val="008264FA"/>
    <w:rsid w:val="00826536"/>
    <w:rsid w:val="00826934"/>
    <w:rsid w:val="008271EF"/>
    <w:rsid w:val="0082737A"/>
    <w:rsid w:val="00827430"/>
    <w:rsid w:val="0082758D"/>
    <w:rsid w:val="008275A8"/>
    <w:rsid w:val="00827792"/>
    <w:rsid w:val="00827CCC"/>
    <w:rsid w:val="00827D97"/>
    <w:rsid w:val="00827E19"/>
    <w:rsid w:val="00830200"/>
    <w:rsid w:val="00830716"/>
    <w:rsid w:val="008307F3"/>
    <w:rsid w:val="00830892"/>
    <w:rsid w:val="008308F8"/>
    <w:rsid w:val="00830E31"/>
    <w:rsid w:val="008311BD"/>
    <w:rsid w:val="00831246"/>
    <w:rsid w:val="008314F6"/>
    <w:rsid w:val="00831559"/>
    <w:rsid w:val="00831621"/>
    <w:rsid w:val="0083180C"/>
    <w:rsid w:val="00831C60"/>
    <w:rsid w:val="00831D7A"/>
    <w:rsid w:val="00831D96"/>
    <w:rsid w:val="00831DD8"/>
    <w:rsid w:val="00831F29"/>
    <w:rsid w:val="0083288A"/>
    <w:rsid w:val="00832FAD"/>
    <w:rsid w:val="00833257"/>
    <w:rsid w:val="00833564"/>
    <w:rsid w:val="0083373F"/>
    <w:rsid w:val="00833907"/>
    <w:rsid w:val="00833A5D"/>
    <w:rsid w:val="00833E12"/>
    <w:rsid w:val="00833E7A"/>
    <w:rsid w:val="00833E89"/>
    <w:rsid w:val="00833ED2"/>
    <w:rsid w:val="00834176"/>
    <w:rsid w:val="0083426E"/>
    <w:rsid w:val="00834526"/>
    <w:rsid w:val="008346F2"/>
    <w:rsid w:val="0083497B"/>
    <w:rsid w:val="00835009"/>
    <w:rsid w:val="008350A6"/>
    <w:rsid w:val="008351C5"/>
    <w:rsid w:val="008354C8"/>
    <w:rsid w:val="00835739"/>
    <w:rsid w:val="008364F5"/>
    <w:rsid w:val="008366C9"/>
    <w:rsid w:val="00836B88"/>
    <w:rsid w:val="008371ED"/>
    <w:rsid w:val="008377A2"/>
    <w:rsid w:val="0083789F"/>
    <w:rsid w:val="00837978"/>
    <w:rsid w:val="00837A6B"/>
    <w:rsid w:val="00837D2C"/>
    <w:rsid w:val="00840092"/>
    <w:rsid w:val="0084014F"/>
    <w:rsid w:val="008405D3"/>
    <w:rsid w:val="00840E45"/>
    <w:rsid w:val="00840E80"/>
    <w:rsid w:val="0084137B"/>
    <w:rsid w:val="008413B4"/>
    <w:rsid w:val="00841467"/>
    <w:rsid w:val="00841726"/>
    <w:rsid w:val="0084179D"/>
    <w:rsid w:val="00841A1A"/>
    <w:rsid w:val="00841BB9"/>
    <w:rsid w:val="00841F8A"/>
    <w:rsid w:val="008424BA"/>
    <w:rsid w:val="008424FF"/>
    <w:rsid w:val="0084253E"/>
    <w:rsid w:val="008428A0"/>
    <w:rsid w:val="00842A8A"/>
    <w:rsid w:val="00843173"/>
    <w:rsid w:val="008431BC"/>
    <w:rsid w:val="008432E5"/>
    <w:rsid w:val="00843625"/>
    <w:rsid w:val="008437DC"/>
    <w:rsid w:val="00843858"/>
    <w:rsid w:val="00843A5F"/>
    <w:rsid w:val="00843CF6"/>
    <w:rsid w:val="00843D77"/>
    <w:rsid w:val="00844259"/>
    <w:rsid w:val="0084439A"/>
    <w:rsid w:val="0084457E"/>
    <w:rsid w:val="00844639"/>
    <w:rsid w:val="00844AEF"/>
    <w:rsid w:val="00844BB9"/>
    <w:rsid w:val="00844C51"/>
    <w:rsid w:val="00844D1C"/>
    <w:rsid w:val="00844D96"/>
    <w:rsid w:val="0084513C"/>
    <w:rsid w:val="008455CD"/>
    <w:rsid w:val="00845939"/>
    <w:rsid w:val="0084692A"/>
    <w:rsid w:val="00846960"/>
    <w:rsid w:val="00846A6A"/>
    <w:rsid w:val="00846CBB"/>
    <w:rsid w:val="00846CFF"/>
    <w:rsid w:val="00847189"/>
    <w:rsid w:val="00847A98"/>
    <w:rsid w:val="00847B1A"/>
    <w:rsid w:val="00847FCC"/>
    <w:rsid w:val="00850240"/>
    <w:rsid w:val="008508A2"/>
    <w:rsid w:val="00850DBC"/>
    <w:rsid w:val="00850F9D"/>
    <w:rsid w:val="0085108C"/>
    <w:rsid w:val="0085136C"/>
    <w:rsid w:val="0085188E"/>
    <w:rsid w:val="008519ED"/>
    <w:rsid w:val="00851CDE"/>
    <w:rsid w:val="00851D0A"/>
    <w:rsid w:val="00851F95"/>
    <w:rsid w:val="00852970"/>
    <w:rsid w:val="00852BAB"/>
    <w:rsid w:val="00852C94"/>
    <w:rsid w:val="00852DB1"/>
    <w:rsid w:val="008531C1"/>
    <w:rsid w:val="008537B7"/>
    <w:rsid w:val="00853A78"/>
    <w:rsid w:val="00853D5D"/>
    <w:rsid w:val="0085466B"/>
    <w:rsid w:val="00854814"/>
    <w:rsid w:val="008548C7"/>
    <w:rsid w:val="008549FE"/>
    <w:rsid w:val="00854BCC"/>
    <w:rsid w:val="0085527F"/>
    <w:rsid w:val="00855450"/>
    <w:rsid w:val="00855503"/>
    <w:rsid w:val="00855A01"/>
    <w:rsid w:val="00855E31"/>
    <w:rsid w:val="00856103"/>
    <w:rsid w:val="0085624C"/>
    <w:rsid w:val="0085680D"/>
    <w:rsid w:val="00857106"/>
    <w:rsid w:val="008576C7"/>
    <w:rsid w:val="008578DA"/>
    <w:rsid w:val="00857A02"/>
    <w:rsid w:val="00857CCA"/>
    <w:rsid w:val="00860336"/>
    <w:rsid w:val="0086064D"/>
    <w:rsid w:val="00860708"/>
    <w:rsid w:val="00860805"/>
    <w:rsid w:val="00861429"/>
    <w:rsid w:val="008618D9"/>
    <w:rsid w:val="00861C58"/>
    <w:rsid w:val="00861D06"/>
    <w:rsid w:val="00861E6B"/>
    <w:rsid w:val="00861F07"/>
    <w:rsid w:val="00862150"/>
    <w:rsid w:val="00862621"/>
    <w:rsid w:val="00862675"/>
    <w:rsid w:val="008629AB"/>
    <w:rsid w:val="00862B7D"/>
    <w:rsid w:val="00862F55"/>
    <w:rsid w:val="008633B6"/>
    <w:rsid w:val="008634BE"/>
    <w:rsid w:val="00863C78"/>
    <w:rsid w:val="00863FA8"/>
    <w:rsid w:val="00864100"/>
    <w:rsid w:val="0086412D"/>
    <w:rsid w:val="00864175"/>
    <w:rsid w:val="008641FC"/>
    <w:rsid w:val="00864240"/>
    <w:rsid w:val="0086439C"/>
    <w:rsid w:val="0086469D"/>
    <w:rsid w:val="00864887"/>
    <w:rsid w:val="0086498E"/>
    <w:rsid w:val="008649B5"/>
    <w:rsid w:val="00864A23"/>
    <w:rsid w:val="00864BD3"/>
    <w:rsid w:val="00865368"/>
    <w:rsid w:val="00865426"/>
    <w:rsid w:val="008660CC"/>
    <w:rsid w:val="0086645D"/>
    <w:rsid w:val="00866555"/>
    <w:rsid w:val="008666F4"/>
    <w:rsid w:val="00866A7C"/>
    <w:rsid w:val="00866B07"/>
    <w:rsid w:val="00866D36"/>
    <w:rsid w:val="00867095"/>
    <w:rsid w:val="008672F3"/>
    <w:rsid w:val="008675E1"/>
    <w:rsid w:val="00867CB8"/>
    <w:rsid w:val="00867D02"/>
    <w:rsid w:val="00867D1E"/>
    <w:rsid w:val="008701AA"/>
    <w:rsid w:val="00870772"/>
    <w:rsid w:val="00870C60"/>
    <w:rsid w:val="00870D3D"/>
    <w:rsid w:val="00870F13"/>
    <w:rsid w:val="0087105E"/>
    <w:rsid w:val="00871129"/>
    <w:rsid w:val="00871185"/>
    <w:rsid w:val="008714EA"/>
    <w:rsid w:val="008715F2"/>
    <w:rsid w:val="00871606"/>
    <w:rsid w:val="0087168A"/>
    <w:rsid w:val="00871792"/>
    <w:rsid w:val="008721E5"/>
    <w:rsid w:val="008723B0"/>
    <w:rsid w:val="008729C7"/>
    <w:rsid w:val="00872C33"/>
    <w:rsid w:val="00872CBB"/>
    <w:rsid w:val="00873175"/>
    <w:rsid w:val="008735CA"/>
    <w:rsid w:val="008735D4"/>
    <w:rsid w:val="00873785"/>
    <w:rsid w:val="008737C4"/>
    <w:rsid w:val="008737D3"/>
    <w:rsid w:val="00873999"/>
    <w:rsid w:val="00873C8F"/>
    <w:rsid w:val="00874096"/>
    <w:rsid w:val="00874410"/>
    <w:rsid w:val="008746F2"/>
    <w:rsid w:val="008749FD"/>
    <w:rsid w:val="00874AB1"/>
    <w:rsid w:val="00874EF8"/>
    <w:rsid w:val="0087523E"/>
    <w:rsid w:val="008754EC"/>
    <w:rsid w:val="008756F6"/>
    <w:rsid w:val="00875BA7"/>
    <w:rsid w:val="00876022"/>
    <w:rsid w:val="00876148"/>
    <w:rsid w:val="00876448"/>
    <w:rsid w:val="0087698E"/>
    <w:rsid w:val="00876D62"/>
    <w:rsid w:val="00877002"/>
    <w:rsid w:val="0087720F"/>
    <w:rsid w:val="008772EB"/>
    <w:rsid w:val="00877426"/>
    <w:rsid w:val="0087749F"/>
    <w:rsid w:val="00877561"/>
    <w:rsid w:val="00877A76"/>
    <w:rsid w:val="00877EBF"/>
    <w:rsid w:val="00880493"/>
    <w:rsid w:val="00880909"/>
    <w:rsid w:val="00880A57"/>
    <w:rsid w:val="00880F12"/>
    <w:rsid w:val="008813D7"/>
    <w:rsid w:val="00882035"/>
    <w:rsid w:val="00882306"/>
    <w:rsid w:val="00882460"/>
    <w:rsid w:val="00882599"/>
    <w:rsid w:val="008825B6"/>
    <w:rsid w:val="00882871"/>
    <w:rsid w:val="00882918"/>
    <w:rsid w:val="008829A6"/>
    <w:rsid w:val="00882AA7"/>
    <w:rsid w:val="00882AF5"/>
    <w:rsid w:val="00882E3A"/>
    <w:rsid w:val="00883017"/>
    <w:rsid w:val="008830FF"/>
    <w:rsid w:val="00883177"/>
    <w:rsid w:val="0088325F"/>
    <w:rsid w:val="00883359"/>
    <w:rsid w:val="008838C2"/>
    <w:rsid w:val="00883B8D"/>
    <w:rsid w:val="00883C44"/>
    <w:rsid w:val="00883E8D"/>
    <w:rsid w:val="00883EAD"/>
    <w:rsid w:val="00883F1D"/>
    <w:rsid w:val="00883F49"/>
    <w:rsid w:val="00883FD3"/>
    <w:rsid w:val="008840E8"/>
    <w:rsid w:val="00884132"/>
    <w:rsid w:val="008848C8"/>
    <w:rsid w:val="008849C5"/>
    <w:rsid w:val="00884CF6"/>
    <w:rsid w:val="0088513D"/>
    <w:rsid w:val="008851E1"/>
    <w:rsid w:val="0088551C"/>
    <w:rsid w:val="008857D7"/>
    <w:rsid w:val="00885A36"/>
    <w:rsid w:val="00885C44"/>
    <w:rsid w:val="00885C7E"/>
    <w:rsid w:val="00886137"/>
    <w:rsid w:val="008865D1"/>
    <w:rsid w:val="00886886"/>
    <w:rsid w:val="008868A2"/>
    <w:rsid w:val="00886A74"/>
    <w:rsid w:val="00886BD5"/>
    <w:rsid w:val="00886DD7"/>
    <w:rsid w:val="00886E87"/>
    <w:rsid w:val="00886EE6"/>
    <w:rsid w:val="0088715C"/>
    <w:rsid w:val="00887173"/>
    <w:rsid w:val="0088718F"/>
    <w:rsid w:val="008871FE"/>
    <w:rsid w:val="008875CA"/>
    <w:rsid w:val="0088774B"/>
    <w:rsid w:val="008877F7"/>
    <w:rsid w:val="00887DE0"/>
    <w:rsid w:val="00887F11"/>
    <w:rsid w:val="00887FD9"/>
    <w:rsid w:val="008900A1"/>
    <w:rsid w:val="00890477"/>
    <w:rsid w:val="00890D11"/>
    <w:rsid w:val="008911B2"/>
    <w:rsid w:val="0089184F"/>
    <w:rsid w:val="00891957"/>
    <w:rsid w:val="00891AA7"/>
    <w:rsid w:val="008927D5"/>
    <w:rsid w:val="008928C8"/>
    <w:rsid w:val="00892918"/>
    <w:rsid w:val="00892AAB"/>
    <w:rsid w:val="00892AED"/>
    <w:rsid w:val="0089313E"/>
    <w:rsid w:val="008935B4"/>
    <w:rsid w:val="0089385E"/>
    <w:rsid w:val="00893992"/>
    <w:rsid w:val="00893C0C"/>
    <w:rsid w:val="0089410C"/>
    <w:rsid w:val="008941DD"/>
    <w:rsid w:val="00895424"/>
    <w:rsid w:val="00895437"/>
    <w:rsid w:val="00895486"/>
    <w:rsid w:val="00895B7E"/>
    <w:rsid w:val="00895DBF"/>
    <w:rsid w:val="00895E4D"/>
    <w:rsid w:val="0089667B"/>
    <w:rsid w:val="008969D0"/>
    <w:rsid w:val="00897673"/>
    <w:rsid w:val="00897908"/>
    <w:rsid w:val="00897A17"/>
    <w:rsid w:val="00897A34"/>
    <w:rsid w:val="00897AA0"/>
    <w:rsid w:val="00897F3F"/>
    <w:rsid w:val="008A03A0"/>
    <w:rsid w:val="008A03A8"/>
    <w:rsid w:val="008A065A"/>
    <w:rsid w:val="008A0FEF"/>
    <w:rsid w:val="008A159E"/>
    <w:rsid w:val="008A1B19"/>
    <w:rsid w:val="008A1D23"/>
    <w:rsid w:val="008A1E91"/>
    <w:rsid w:val="008A22AC"/>
    <w:rsid w:val="008A23A6"/>
    <w:rsid w:val="008A23C2"/>
    <w:rsid w:val="008A2489"/>
    <w:rsid w:val="008A2533"/>
    <w:rsid w:val="008A26D2"/>
    <w:rsid w:val="008A2AB1"/>
    <w:rsid w:val="008A333B"/>
    <w:rsid w:val="008A3585"/>
    <w:rsid w:val="008A35EA"/>
    <w:rsid w:val="008A3EC9"/>
    <w:rsid w:val="008A3FB9"/>
    <w:rsid w:val="008A3FD6"/>
    <w:rsid w:val="008A41B5"/>
    <w:rsid w:val="008A43D1"/>
    <w:rsid w:val="008A4754"/>
    <w:rsid w:val="008A4BE2"/>
    <w:rsid w:val="008A4BFB"/>
    <w:rsid w:val="008A4C80"/>
    <w:rsid w:val="008A4E7E"/>
    <w:rsid w:val="008A4FE3"/>
    <w:rsid w:val="008A5204"/>
    <w:rsid w:val="008A5338"/>
    <w:rsid w:val="008A53C0"/>
    <w:rsid w:val="008A54C5"/>
    <w:rsid w:val="008A56A4"/>
    <w:rsid w:val="008A57F6"/>
    <w:rsid w:val="008A5872"/>
    <w:rsid w:val="008A59FE"/>
    <w:rsid w:val="008A5B20"/>
    <w:rsid w:val="008A5BD9"/>
    <w:rsid w:val="008A5DED"/>
    <w:rsid w:val="008A5DFA"/>
    <w:rsid w:val="008A5E01"/>
    <w:rsid w:val="008A61EB"/>
    <w:rsid w:val="008A6337"/>
    <w:rsid w:val="008A633F"/>
    <w:rsid w:val="008A670A"/>
    <w:rsid w:val="008A6C67"/>
    <w:rsid w:val="008A6E05"/>
    <w:rsid w:val="008A70C9"/>
    <w:rsid w:val="008A74BE"/>
    <w:rsid w:val="008A75CB"/>
    <w:rsid w:val="008A7601"/>
    <w:rsid w:val="008A784E"/>
    <w:rsid w:val="008A78B5"/>
    <w:rsid w:val="008A795C"/>
    <w:rsid w:val="008A7D19"/>
    <w:rsid w:val="008A7D4B"/>
    <w:rsid w:val="008B0233"/>
    <w:rsid w:val="008B0925"/>
    <w:rsid w:val="008B0F82"/>
    <w:rsid w:val="008B11B7"/>
    <w:rsid w:val="008B1EA3"/>
    <w:rsid w:val="008B1F11"/>
    <w:rsid w:val="008B1FC8"/>
    <w:rsid w:val="008B218E"/>
    <w:rsid w:val="008B22A2"/>
    <w:rsid w:val="008B2457"/>
    <w:rsid w:val="008B2466"/>
    <w:rsid w:val="008B2498"/>
    <w:rsid w:val="008B24F7"/>
    <w:rsid w:val="008B2A3F"/>
    <w:rsid w:val="008B2D8A"/>
    <w:rsid w:val="008B3102"/>
    <w:rsid w:val="008B34FC"/>
    <w:rsid w:val="008B361C"/>
    <w:rsid w:val="008B3872"/>
    <w:rsid w:val="008B3B16"/>
    <w:rsid w:val="008B4009"/>
    <w:rsid w:val="008B435D"/>
    <w:rsid w:val="008B4383"/>
    <w:rsid w:val="008B4469"/>
    <w:rsid w:val="008B4826"/>
    <w:rsid w:val="008B485D"/>
    <w:rsid w:val="008B4AEF"/>
    <w:rsid w:val="008B50DC"/>
    <w:rsid w:val="008B54CA"/>
    <w:rsid w:val="008B54E0"/>
    <w:rsid w:val="008B5883"/>
    <w:rsid w:val="008B5A70"/>
    <w:rsid w:val="008B5AA7"/>
    <w:rsid w:val="008B5D45"/>
    <w:rsid w:val="008B5E4A"/>
    <w:rsid w:val="008B5ED0"/>
    <w:rsid w:val="008B5ED8"/>
    <w:rsid w:val="008B6044"/>
    <w:rsid w:val="008B6086"/>
    <w:rsid w:val="008B60C6"/>
    <w:rsid w:val="008B626E"/>
    <w:rsid w:val="008B62EF"/>
    <w:rsid w:val="008B6329"/>
    <w:rsid w:val="008B6526"/>
    <w:rsid w:val="008B65DD"/>
    <w:rsid w:val="008B680A"/>
    <w:rsid w:val="008B6A0A"/>
    <w:rsid w:val="008B708D"/>
    <w:rsid w:val="008B71D7"/>
    <w:rsid w:val="008B7519"/>
    <w:rsid w:val="008B7ED6"/>
    <w:rsid w:val="008C006D"/>
    <w:rsid w:val="008C061A"/>
    <w:rsid w:val="008C08C9"/>
    <w:rsid w:val="008C0947"/>
    <w:rsid w:val="008C0EF3"/>
    <w:rsid w:val="008C0F23"/>
    <w:rsid w:val="008C0FDF"/>
    <w:rsid w:val="008C10C6"/>
    <w:rsid w:val="008C1144"/>
    <w:rsid w:val="008C1286"/>
    <w:rsid w:val="008C1399"/>
    <w:rsid w:val="008C14FF"/>
    <w:rsid w:val="008C15ED"/>
    <w:rsid w:val="008C1AD0"/>
    <w:rsid w:val="008C1CB5"/>
    <w:rsid w:val="008C22A9"/>
    <w:rsid w:val="008C2453"/>
    <w:rsid w:val="008C250A"/>
    <w:rsid w:val="008C269D"/>
    <w:rsid w:val="008C279E"/>
    <w:rsid w:val="008C27EA"/>
    <w:rsid w:val="008C2914"/>
    <w:rsid w:val="008C313C"/>
    <w:rsid w:val="008C35B1"/>
    <w:rsid w:val="008C3668"/>
    <w:rsid w:val="008C3847"/>
    <w:rsid w:val="008C3D25"/>
    <w:rsid w:val="008C4A7A"/>
    <w:rsid w:val="008C55F7"/>
    <w:rsid w:val="008C56C4"/>
    <w:rsid w:val="008C57BB"/>
    <w:rsid w:val="008C587E"/>
    <w:rsid w:val="008C5AED"/>
    <w:rsid w:val="008C5DD1"/>
    <w:rsid w:val="008C63E4"/>
    <w:rsid w:val="008C63F3"/>
    <w:rsid w:val="008C65D1"/>
    <w:rsid w:val="008C6AF0"/>
    <w:rsid w:val="008C6E15"/>
    <w:rsid w:val="008C71F8"/>
    <w:rsid w:val="008C7422"/>
    <w:rsid w:val="008C757F"/>
    <w:rsid w:val="008C7ECF"/>
    <w:rsid w:val="008D02BF"/>
    <w:rsid w:val="008D0359"/>
    <w:rsid w:val="008D0B28"/>
    <w:rsid w:val="008D0F34"/>
    <w:rsid w:val="008D1099"/>
    <w:rsid w:val="008D2200"/>
    <w:rsid w:val="008D22DC"/>
    <w:rsid w:val="008D2D3E"/>
    <w:rsid w:val="008D2F8A"/>
    <w:rsid w:val="008D31C0"/>
    <w:rsid w:val="008D3F0F"/>
    <w:rsid w:val="008D4033"/>
    <w:rsid w:val="008D4049"/>
    <w:rsid w:val="008D4215"/>
    <w:rsid w:val="008D43BE"/>
    <w:rsid w:val="008D4597"/>
    <w:rsid w:val="008D4AB6"/>
    <w:rsid w:val="008D4BCA"/>
    <w:rsid w:val="008D4F5B"/>
    <w:rsid w:val="008D5114"/>
    <w:rsid w:val="008D59CD"/>
    <w:rsid w:val="008D5AEE"/>
    <w:rsid w:val="008D6081"/>
    <w:rsid w:val="008D628A"/>
    <w:rsid w:val="008D68E2"/>
    <w:rsid w:val="008D6911"/>
    <w:rsid w:val="008D6A40"/>
    <w:rsid w:val="008D707F"/>
    <w:rsid w:val="008D729E"/>
    <w:rsid w:val="008D7324"/>
    <w:rsid w:val="008D7494"/>
    <w:rsid w:val="008D770D"/>
    <w:rsid w:val="008D7EE3"/>
    <w:rsid w:val="008D7F85"/>
    <w:rsid w:val="008E01E3"/>
    <w:rsid w:val="008E04AB"/>
    <w:rsid w:val="008E0940"/>
    <w:rsid w:val="008E0B53"/>
    <w:rsid w:val="008E0E1D"/>
    <w:rsid w:val="008E0E65"/>
    <w:rsid w:val="008E0E76"/>
    <w:rsid w:val="008E1039"/>
    <w:rsid w:val="008E121C"/>
    <w:rsid w:val="008E187F"/>
    <w:rsid w:val="008E188C"/>
    <w:rsid w:val="008E1D91"/>
    <w:rsid w:val="008E22B4"/>
    <w:rsid w:val="008E22F8"/>
    <w:rsid w:val="008E2430"/>
    <w:rsid w:val="008E2441"/>
    <w:rsid w:val="008E27CC"/>
    <w:rsid w:val="008E2822"/>
    <w:rsid w:val="008E28C3"/>
    <w:rsid w:val="008E293A"/>
    <w:rsid w:val="008E2A12"/>
    <w:rsid w:val="008E2B95"/>
    <w:rsid w:val="008E2C88"/>
    <w:rsid w:val="008E2DA7"/>
    <w:rsid w:val="008E2ED4"/>
    <w:rsid w:val="008E30B3"/>
    <w:rsid w:val="008E3355"/>
    <w:rsid w:val="008E3671"/>
    <w:rsid w:val="008E39AB"/>
    <w:rsid w:val="008E3BAC"/>
    <w:rsid w:val="008E3C22"/>
    <w:rsid w:val="008E408D"/>
    <w:rsid w:val="008E421C"/>
    <w:rsid w:val="008E464E"/>
    <w:rsid w:val="008E4693"/>
    <w:rsid w:val="008E4DE4"/>
    <w:rsid w:val="008E4E8E"/>
    <w:rsid w:val="008E5140"/>
    <w:rsid w:val="008E51E6"/>
    <w:rsid w:val="008E5635"/>
    <w:rsid w:val="008E56E2"/>
    <w:rsid w:val="008E5EA5"/>
    <w:rsid w:val="008E609A"/>
    <w:rsid w:val="008E66D1"/>
    <w:rsid w:val="008E6982"/>
    <w:rsid w:val="008E6CD7"/>
    <w:rsid w:val="008E6E85"/>
    <w:rsid w:val="008E7463"/>
    <w:rsid w:val="008E7606"/>
    <w:rsid w:val="008E771C"/>
    <w:rsid w:val="008E786A"/>
    <w:rsid w:val="008E79A5"/>
    <w:rsid w:val="008E7FCD"/>
    <w:rsid w:val="008F0451"/>
    <w:rsid w:val="008F0635"/>
    <w:rsid w:val="008F065D"/>
    <w:rsid w:val="008F07DB"/>
    <w:rsid w:val="008F099A"/>
    <w:rsid w:val="008F0C3F"/>
    <w:rsid w:val="008F0CAF"/>
    <w:rsid w:val="008F0D60"/>
    <w:rsid w:val="008F0EDC"/>
    <w:rsid w:val="008F1133"/>
    <w:rsid w:val="008F1170"/>
    <w:rsid w:val="008F140B"/>
    <w:rsid w:val="008F16F6"/>
    <w:rsid w:val="008F1B1F"/>
    <w:rsid w:val="008F1D94"/>
    <w:rsid w:val="008F1F06"/>
    <w:rsid w:val="008F2637"/>
    <w:rsid w:val="008F32BC"/>
    <w:rsid w:val="008F353D"/>
    <w:rsid w:val="008F38A9"/>
    <w:rsid w:val="008F3A7A"/>
    <w:rsid w:val="008F4451"/>
    <w:rsid w:val="008F47D0"/>
    <w:rsid w:val="008F47FB"/>
    <w:rsid w:val="008F54F7"/>
    <w:rsid w:val="008F58D8"/>
    <w:rsid w:val="008F59E4"/>
    <w:rsid w:val="008F5C91"/>
    <w:rsid w:val="008F658A"/>
    <w:rsid w:val="008F662B"/>
    <w:rsid w:val="008F686F"/>
    <w:rsid w:val="008F68C8"/>
    <w:rsid w:val="008F7150"/>
    <w:rsid w:val="008F71DB"/>
    <w:rsid w:val="008F73E4"/>
    <w:rsid w:val="008F73E7"/>
    <w:rsid w:val="008F75B2"/>
    <w:rsid w:val="008F7709"/>
    <w:rsid w:val="008F7AE3"/>
    <w:rsid w:val="008F7DA0"/>
    <w:rsid w:val="009006A0"/>
    <w:rsid w:val="009006B9"/>
    <w:rsid w:val="009008C8"/>
    <w:rsid w:val="009009B7"/>
    <w:rsid w:val="00900B79"/>
    <w:rsid w:val="00900E54"/>
    <w:rsid w:val="009013B0"/>
    <w:rsid w:val="00901622"/>
    <w:rsid w:val="009017B3"/>
    <w:rsid w:val="009019AE"/>
    <w:rsid w:val="009024EF"/>
    <w:rsid w:val="009037C5"/>
    <w:rsid w:val="00903913"/>
    <w:rsid w:val="00903948"/>
    <w:rsid w:val="00903EAF"/>
    <w:rsid w:val="00903EC0"/>
    <w:rsid w:val="00903EFC"/>
    <w:rsid w:val="009044DE"/>
    <w:rsid w:val="00904A94"/>
    <w:rsid w:val="00904DB7"/>
    <w:rsid w:val="00905014"/>
    <w:rsid w:val="00905027"/>
    <w:rsid w:val="0090555A"/>
    <w:rsid w:val="00905880"/>
    <w:rsid w:val="00905B58"/>
    <w:rsid w:val="00905CB1"/>
    <w:rsid w:val="00905E24"/>
    <w:rsid w:val="00905ED9"/>
    <w:rsid w:val="00906354"/>
    <w:rsid w:val="009064F5"/>
    <w:rsid w:val="009066E7"/>
    <w:rsid w:val="00906875"/>
    <w:rsid w:val="00906BCD"/>
    <w:rsid w:val="00906E12"/>
    <w:rsid w:val="00906E4D"/>
    <w:rsid w:val="0090711C"/>
    <w:rsid w:val="00907426"/>
    <w:rsid w:val="009075B2"/>
    <w:rsid w:val="00907981"/>
    <w:rsid w:val="00907EA4"/>
    <w:rsid w:val="00907FB5"/>
    <w:rsid w:val="009103B1"/>
    <w:rsid w:val="00910620"/>
    <w:rsid w:val="009108F6"/>
    <w:rsid w:val="0091099A"/>
    <w:rsid w:val="0091106C"/>
    <w:rsid w:val="00911137"/>
    <w:rsid w:val="009112DA"/>
    <w:rsid w:val="00911832"/>
    <w:rsid w:val="00911D14"/>
    <w:rsid w:val="009123B6"/>
    <w:rsid w:val="009124AC"/>
    <w:rsid w:val="009126BE"/>
    <w:rsid w:val="00912718"/>
    <w:rsid w:val="00912983"/>
    <w:rsid w:val="00912A8F"/>
    <w:rsid w:val="00912CE8"/>
    <w:rsid w:val="00912F66"/>
    <w:rsid w:val="00912F92"/>
    <w:rsid w:val="0091362A"/>
    <w:rsid w:val="009137C3"/>
    <w:rsid w:val="00913826"/>
    <w:rsid w:val="0091393E"/>
    <w:rsid w:val="00913A06"/>
    <w:rsid w:val="00913B4A"/>
    <w:rsid w:val="00913BEA"/>
    <w:rsid w:val="00914242"/>
    <w:rsid w:val="00914280"/>
    <w:rsid w:val="00914350"/>
    <w:rsid w:val="00914358"/>
    <w:rsid w:val="0091491B"/>
    <w:rsid w:val="00914B53"/>
    <w:rsid w:val="00914F85"/>
    <w:rsid w:val="00915155"/>
    <w:rsid w:val="00915990"/>
    <w:rsid w:val="00915BCF"/>
    <w:rsid w:val="00915F53"/>
    <w:rsid w:val="00916182"/>
    <w:rsid w:val="0091650E"/>
    <w:rsid w:val="00916618"/>
    <w:rsid w:val="009166E2"/>
    <w:rsid w:val="0091673E"/>
    <w:rsid w:val="009177DA"/>
    <w:rsid w:val="00917953"/>
    <w:rsid w:val="00917995"/>
    <w:rsid w:val="00917D00"/>
    <w:rsid w:val="00917FF6"/>
    <w:rsid w:val="00920242"/>
    <w:rsid w:val="0092034F"/>
    <w:rsid w:val="00920356"/>
    <w:rsid w:val="00920519"/>
    <w:rsid w:val="009206EC"/>
    <w:rsid w:val="009207E7"/>
    <w:rsid w:val="00920D99"/>
    <w:rsid w:val="00920ECA"/>
    <w:rsid w:val="0092102B"/>
    <w:rsid w:val="00921186"/>
    <w:rsid w:val="009211CD"/>
    <w:rsid w:val="00921683"/>
    <w:rsid w:val="009216EE"/>
    <w:rsid w:val="0092175C"/>
    <w:rsid w:val="009218C3"/>
    <w:rsid w:val="00921E8C"/>
    <w:rsid w:val="009223F5"/>
    <w:rsid w:val="00922C80"/>
    <w:rsid w:val="00922C99"/>
    <w:rsid w:val="00922D9B"/>
    <w:rsid w:val="00923426"/>
    <w:rsid w:val="009234C8"/>
    <w:rsid w:val="009234F6"/>
    <w:rsid w:val="0092363E"/>
    <w:rsid w:val="00923D93"/>
    <w:rsid w:val="0092405E"/>
    <w:rsid w:val="009240F8"/>
    <w:rsid w:val="00924146"/>
    <w:rsid w:val="009243CD"/>
    <w:rsid w:val="009246DD"/>
    <w:rsid w:val="009247F0"/>
    <w:rsid w:val="00924AAE"/>
    <w:rsid w:val="00924C8D"/>
    <w:rsid w:val="00924F15"/>
    <w:rsid w:val="009250AF"/>
    <w:rsid w:val="009252B4"/>
    <w:rsid w:val="009254C0"/>
    <w:rsid w:val="0092589C"/>
    <w:rsid w:val="009258D5"/>
    <w:rsid w:val="009259F6"/>
    <w:rsid w:val="00925A70"/>
    <w:rsid w:val="00925DB1"/>
    <w:rsid w:val="00926A67"/>
    <w:rsid w:val="009271C6"/>
    <w:rsid w:val="00927D69"/>
    <w:rsid w:val="009300EE"/>
    <w:rsid w:val="00930159"/>
    <w:rsid w:val="009306E4"/>
    <w:rsid w:val="00930826"/>
    <w:rsid w:val="0093096A"/>
    <w:rsid w:val="00930E18"/>
    <w:rsid w:val="00930E63"/>
    <w:rsid w:val="009310F8"/>
    <w:rsid w:val="009317B3"/>
    <w:rsid w:val="00931CB1"/>
    <w:rsid w:val="00931D4B"/>
    <w:rsid w:val="00932032"/>
    <w:rsid w:val="009322A2"/>
    <w:rsid w:val="009325C9"/>
    <w:rsid w:val="009325DE"/>
    <w:rsid w:val="0093282A"/>
    <w:rsid w:val="00932D42"/>
    <w:rsid w:val="00932ED9"/>
    <w:rsid w:val="00932EE5"/>
    <w:rsid w:val="009333B8"/>
    <w:rsid w:val="009336A6"/>
    <w:rsid w:val="00933A6E"/>
    <w:rsid w:val="00933BD0"/>
    <w:rsid w:val="0093452F"/>
    <w:rsid w:val="00934834"/>
    <w:rsid w:val="00934876"/>
    <w:rsid w:val="009349A1"/>
    <w:rsid w:val="009349D4"/>
    <w:rsid w:val="00934A07"/>
    <w:rsid w:val="00935091"/>
    <w:rsid w:val="009353BD"/>
    <w:rsid w:val="00935B2D"/>
    <w:rsid w:val="00935BF4"/>
    <w:rsid w:val="0093601B"/>
    <w:rsid w:val="00936253"/>
    <w:rsid w:val="0093676E"/>
    <w:rsid w:val="009368CF"/>
    <w:rsid w:val="00936992"/>
    <w:rsid w:val="00936CCE"/>
    <w:rsid w:val="00936E37"/>
    <w:rsid w:val="00936E39"/>
    <w:rsid w:val="00936F70"/>
    <w:rsid w:val="00937250"/>
    <w:rsid w:val="00937E6B"/>
    <w:rsid w:val="00940312"/>
    <w:rsid w:val="00940346"/>
    <w:rsid w:val="0094050E"/>
    <w:rsid w:val="0094135E"/>
    <w:rsid w:val="00941639"/>
    <w:rsid w:val="00941D61"/>
    <w:rsid w:val="00941F59"/>
    <w:rsid w:val="009421B9"/>
    <w:rsid w:val="009421D6"/>
    <w:rsid w:val="00942392"/>
    <w:rsid w:val="00942502"/>
    <w:rsid w:val="00942C0D"/>
    <w:rsid w:val="00942F11"/>
    <w:rsid w:val="00942F27"/>
    <w:rsid w:val="009433D1"/>
    <w:rsid w:val="00943511"/>
    <w:rsid w:val="0094359E"/>
    <w:rsid w:val="00943C8C"/>
    <w:rsid w:val="00943D8C"/>
    <w:rsid w:val="00944063"/>
    <w:rsid w:val="0094415D"/>
    <w:rsid w:val="00944808"/>
    <w:rsid w:val="009449C8"/>
    <w:rsid w:val="00944E5D"/>
    <w:rsid w:val="00945466"/>
    <w:rsid w:val="00945CD8"/>
    <w:rsid w:val="00945EA8"/>
    <w:rsid w:val="00945F63"/>
    <w:rsid w:val="0094603E"/>
    <w:rsid w:val="00946160"/>
    <w:rsid w:val="00946567"/>
    <w:rsid w:val="0094661B"/>
    <w:rsid w:val="00946864"/>
    <w:rsid w:val="00946C4F"/>
    <w:rsid w:val="0094706F"/>
    <w:rsid w:val="009470B3"/>
    <w:rsid w:val="00947126"/>
    <w:rsid w:val="009471A6"/>
    <w:rsid w:val="009472A8"/>
    <w:rsid w:val="009476B1"/>
    <w:rsid w:val="00947892"/>
    <w:rsid w:val="009500B6"/>
    <w:rsid w:val="00950540"/>
    <w:rsid w:val="00950553"/>
    <w:rsid w:val="00951134"/>
    <w:rsid w:val="009511AA"/>
    <w:rsid w:val="00951377"/>
    <w:rsid w:val="009519E6"/>
    <w:rsid w:val="00951D6E"/>
    <w:rsid w:val="00951E24"/>
    <w:rsid w:val="00951EC9"/>
    <w:rsid w:val="00951F65"/>
    <w:rsid w:val="009522B3"/>
    <w:rsid w:val="0095253B"/>
    <w:rsid w:val="009528A6"/>
    <w:rsid w:val="00952C29"/>
    <w:rsid w:val="00952DE7"/>
    <w:rsid w:val="0095373A"/>
    <w:rsid w:val="0095397A"/>
    <w:rsid w:val="00954442"/>
    <w:rsid w:val="00954AFC"/>
    <w:rsid w:val="00955214"/>
    <w:rsid w:val="0095528C"/>
    <w:rsid w:val="00955A29"/>
    <w:rsid w:val="00955C4D"/>
    <w:rsid w:val="00956307"/>
    <w:rsid w:val="009563DC"/>
    <w:rsid w:val="0095658D"/>
    <w:rsid w:val="00956659"/>
    <w:rsid w:val="0095692E"/>
    <w:rsid w:val="009569FA"/>
    <w:rsid w:val="00956CA2"/>
    <w:rsid w:val="00957121"/>
    <w:rsid w:val="009572DA"/>
    <w:rsid w:val="009573BE"/>
    <w:rsid w:val="00957754"/>
    <w:rsid w:val="00957D88"/>
    <w:rsid w:val="00957F28"/>
    <w:rsid w:val="00957FBD"/>
    <w:rsid w:val="009602E7"/>
    <w:rsid w:val="00960613"/>
    <w:rsid w:val="00960BC6"/>
    <w:rsid w:val="00960DD3"/>
    <w:rsid w:val="0096102B"/>
    <w:rsid w:val="009611CD"/>
    <w:rsid w:val="00961251"/>
    <w:rsid w:val="009615CE"/>
    <w:rsid w:val="0096172A"/>
    <w:rsid w:val="00961847"/>
    <w:rsid w:val="00961B1F"/>
    <w:rsid w:val="00961E09"/>
    <w:rsid w:val="00962345"/>
    <w:rsid w:val="0096243E"/>
    <w:rsid w:val="0096268C"/>
    <w:rsid w:val="00962D0C"/>
    <w:rsid w:val="00962E0C"/>
    <w:rsid w:val="00962F2A"/>
    <w:rsid w:val="00963339"/>
    <w:rsid w:val="00963A9E"/>
    <w:rsid w:val="00963BA2"/>
    <w:rsid w:val="00963D30"/>
    <w:rsid w:val="00964B12"/>
    <w:rsid w:val="00964DB8"/>
    <w:rsid w:val="009654CC"/>
    <w:rsid w:val="009654D5"/>
    <w:rsid w:val="009657D3"/>
    <w:rsid w:val="00965DA8"/>
    <w:rsid w:val="0096602A"/>
    <w:rsid w:val="009667CD"/>
    <w:rsid w:val="00966D3A"/>
    <w:rsid w:val="0096709C"/>
    <w:rsid w:val="009670D5"/>
    <w:rsid w:val="00967117"/>
    <w:rsid w:val="00967531"/>
    <w:rsid w:val="009675EF"/>
    <w:rsid w:val="00967A2D"/>
    <w:rsid w:val="00967BB2"/>
    <w:rsid w:val="009712C8"/>
    <w:rsid w:val="009713DC"/>
    <w:rsid w:val="00971495"/>
    <w:rsid w:val="009714A6"/>
    <w:rsid w:val="00971715"/>
    <w:rsid w:val="00971813"/>
    <w:rsid w:val="009718C4"/>
    <w:rsid w:val="009719BA"/>
    <w:rsid w:val="00971B24"/>
    <w:rsid w:val="00971C28"/>
    <w:rsid w:val="00972140"/>
    <w:rsid w:val="0097235E"/>
    <w:rsid w:val="00972E8D"/>
    <w:rsid w:val="00972F27"/>
    <w:rsid w:val="00973815"/>
    <w:rsid w:val="00973949"/>
    <w:rsid w:val="00973A7E"/>
    <w:rsid w:val="00973AF0"/>
    <w:rsid w:val="0097436C"/>
    <w:rsid w:val="00974780"/>
    <w:rsid w:val="009749EB"/>
    <w:rsid w:val="00974B10"/>
    <w:rsid w:val="00974D46"/>
    <w:rsid w:val="0097536E"/>
    <w:rsid w:val="009753D7"/>
    <w:rsid w:val="00975406"/>
    <w:rsid w:val="009757D6"/>
    <w:rsid w:val="00975915"/>
    <w:rsid w:val="009761D8"/>
    <w:rsid w:val="00976C52"/>
    <w:rsid w:val="00976CB0"/>
    <w:rsid w:val="00976EE2"/>
    <w:rsid w:val="0097724B"/>
    <w:rsid w:val="00977289"/>
    <w:rsid w:val="00977406"/>
    <w:rsid w:val="009779D8"/>
    <w:rsid w:val="00977B01"/>
    <w:rsid w:val="00977B40"/>
    <w:rsid w:val="00977B5E"/>
    <w:rsid w:val="0098008A"/>
    <w:rsid w:val="00980484"/>
    <w:rsid w:val="0098055E"/>
    <w:rsid w:val="00980660"/>
    <w:rsid w:val="00980C6C"/>
    <w:rsid w:val="00980D6A"/>
    <w:rsid w:val="00980F33"/>
    <w:rsid w:val="00980FDD"/>
    <w:rsid w:val="009814A4"/>
    <w:rsid w:val="00981B08"/>
    <w:rsid w:val="009820D2"/>
    <w:rsid w:val="009826C2"/>
    <w:rsid w:val="0098324B"/>
    <w:rsid w:val="009833C9"/>
    <w:rsid w:val="00983681"/>
    <w:rsid w:val="0098371B"/>
    <w:rsid w:val="00983D87"/>
    <w:rsid w:val="0098415A"/>
    <w:rsid w:val="0098435D"/>
    <w:rsid w:val="0098467E"/>
    <w:rsid w:val="0098494E"/>
    <w:rsid w:val="00984FAD"/>
    <w:rsid w:val="009852FD"/>
    <w:rsid w:val="0098530C"/>
    <w:rsid w:val="00985570"/>
    <w:rsid w:val="009855F6"/>
    <w:rsid w:val="00985BD4"/>
    <w:rsid w:val="00985E52"/>
    <w:rsid w:val="00986465"/>
    <w:rsid w:val="0098654A"/>
    <w:rsid w:val="00986617"/>
    <w:rsid w:val="009867DE"/>
    <w:rsid w:val="0098699E"/>
    <w:rsid w:val="00986BD1"/>
    <w:rsid w:val="00986C11"/>
    <w:rsid w:val="00986DC5"/>
    <w:rsid w:val="0098707C"/>
    <w:rsid w:val="009878A4"/>
    <w:rsid w:val="00987CBB"/>
    <w:rsid w:val="00987ED2"/>
    <w:rsid w:val="0099016B"/>
    <w:rsid w:val="009905CA"/>
    <w:rsid w:val="009905F1"/>
    <w:rsid w:val="009906A4"/>
    <w:rsid w:val="009908D5"/>
    <w:rsid w:val="00990B0B"/>
    <w:rsid w:val="00990D18"/>
    <w:rsid w:val="009910CD"/>
    <w:rsid w:val="00991166"/>
    <w:rsid w:val="00991CC8"/>
    <w:rsid w:val="00991DE1"/>
    <w:rsid w:val="00991E0F"/>
    <w:rsid w:val="00992183"/>
    <w:rsid w:val="0099227A"/>
    <w:rsid w:val="009922AD"/>
    <w:rsid w:val="009922CC"/>
    <w:rsid w:val="009928B8"/>
    <w:rsid w:val="00992A9D"/>
    <w:rsid w:val="0099314E"/>
    <w:rsid w:val="0099324E"/>
    <w:rsid w:val="009935F5"/>
    <w:rsid w:val="00993B06"/>
    <w:rsid w:val="00993B2D"/>
    <w:rsid w:val="00993B37"/>
    <w:rsid w:val="00993C09"/>
    <w:rsid w:val="00993ECF"/>
    <w:rsid w:val="009940D9"/>
    <w:rsid w:val="0099414F"/>
    <w:rsid w:val="00994172"/>
    <w:rsid w:val="0099473D"/>
    <w:rsid w:val="00994862"/>
    <w:rsid w:val="009948B1"/>
    <w:rsid w:val="00994BF2"/>
    <w:rsid w:val="00994ED4"/>
    <w:rsid w:val="00994F29"/>
    <w:rsid w:val="00995017"/>
    <w:rsid w:val="0099517B"/>
    <w:rsid w:val="0099534E"/>
    <w:rsid w:val="009959A0"/>
    <w:rsid w:val="0099610F"/>
    <w:rsid w:val="00996426"/>
    <w:rsid w:val="00996555"/>
    <w:rsid w:val="00996B3C"/>
    <w:rsid w:val="00996E8E"/>
    <w:rsid w:val="00996ECD"/>
    <w:rsid w:val="0099728A"/>
    <w:rsid w:val="0099742D"/>
    <w:rsid w:val="009976F2"/>
    <w:rsid w:val="0099783F"/>
    <w:rsid w:val="009978C8"/>
    <w:rsid w:val="009979C7"/>
    <w:rsid w:val="00997EDF"/>
    <w:rsid w:val="00997FE3"/>
    <w:rsid w:val="009A008E"/>
    <w:rsid w:val="009A0AAF"/>
    <w:rsid w:val="009A0E97"/>
    <w:rsid w:val="009A0EB2"/>
    <w:rsid w:val="009A1047"/>
    <w:rsid w:val="009A1096"/>
    <w:rsid w:val="009A132E"/>
    <w:rsid w:val="009A1626"/>
    <w:rsid w:val="009A207D"/>
    <w:rsid w:val="009A29BC"/>
    <w:rsid w:val="009A2E3A"/>
    <w:rsid w:val="009A2FFA"/>
    <w:rsid w:val="009A3230"/>
    <w:rsid w:val="009A35F7"/>
    <w:rsid w:val="009A36AC"/>
    <w:rsid w:val="009A3900"/>
    <w:rsid w:val="009A3CE8"/>
    <w:rsid w:val="009A3E2D"/>
    <w:rsid w:val="009A3F9B"/>
    <w:rsid w:val="009A3F9F"/>
    <w:rsid w:val="009A402F"/>
    <w:rsid w:val="009A44A7"/>
    <w:rsid w:val="009A44B6"/>
    <w:rsid w:val="009A45D0"/>
    <w:rsid w:val="009A466B"/>
    <w:rsid w:val="009A484E"/>
    <w:rsid w:val="009A4868"/>
    <w:rsid w:val="009A4875"/>
    <w:rsid w:val="009A4B79"/>
    <w:rsid w:val="009A51A6"/>
    <w:rsid w:val="009A51E5"/>
    <w:rsid w:val="009A5782"/>
    <w:rsid w:val="009A5A07"/>
    <w:rsid w:val="009A5AD1"/>
    <w:rsid w:val="009A6500"/>
    <w:rsid w:val="009A6818"/>
    <w:rsid w:val="009A6BBA"/>
    <w:rsid w:val="009A6DA5"/>
    <w:rsid w:val="009A6EC9"/>
    <w:rsid w:val="009A6F22"/>
    <w:rsid w:val="009A7B09"/>
    <w:rsid w:val="009A7E89"/>
    <w:rsid w:val="009B040D"/>
    <w:rsid w:val="009B0505"/>
    <w:rsid w:val="009B06C3"/>
    <w:rsid w:val="009B0838"/>
    <w:rsid w:val="009B0C4F"/>
    <w:rsid w:val="009B1058"/>
    <w:rsid w:val="009B10D9"/>
    <w:rsid w:val="009B1557"/>
    <w:rsid w:val="009B160D"/>
    <w:rsid w:val="009B1CC3"/>
    <w:rsid w:val="009B1E20"/>
    <w:rsid w:val="009B21A0"/>
    <w:rsid w:val="009B250D"/>
    <w:rsid w:val="009B28F0"/>
    <w:rsid w:val="009B2962"/>
    <w:rsid w:val="009B2E39"/>
    <w:rsid w:val="009B2F8D"/>
    <w:rsid w:val="009B34FC"/>
    <w:rsid w:val="009B35D2"/>
    <w:rsid w:val="009B3748"/>
    <w:rsid w:val="009B3925"/>
    <w:rsid w:val="009B3979"/>
    <w:rsid w:val="009B3F50"/>
    <w:rsid w:val="009B45C8"/>
    <w:rsid w:val="009B508F"/>
    <w:rsid w:val="009B51C8"/>
    <w:rsid w:val="009B5FBB"/>
    <w:rsid w:val="009B61DB"/>
    <w:rsid w:val="009B62C3"/>
    <w:rsid w:val="009B6EA6"/>
    <w:rsid w:val="009B7180"/>
    <w:rsid w:val="009B748F"/>
    <w:rsid w:val="009B7B93"/>
    <w:rsid w:val="009B7C1F"/>
    <w:rsid w:val="009B7EB3"/>
    <w:rsid w:val="009C06DB"/>
    <w:rsid w:val="009C06E1"/>
    <w:rsid w:val="009C0B94"/>
    <w:rsid w:val="009C0FC9"/>
    <w:rsid w:val="009C12DB"/>
    <w:rsid w:val="009C13C5"/>
    <w:rsid w:val="009C1584"/>
    <w:rsid w:val="009C17A7"/>
    <w:rsid w:val="009C1BF4"/>
    <w:rsid w:val="009C1C21"/>
    <w:rsid w:val="009C1F17"/>
    <w:rsid w:val="009C271D"/>
    <w:rsid w:val="009C2950"/>
    <w:rsid w:val="009C2E53"/>
    <w:rsid w:val="009C3400"/>
    <w:rsid w:val="009C3951"/>
    <w:rsid w:val="009C3BBB"/>
    <w:rsid w:val="009C3C6E"/>
    <w:rsid w:val="009C4521"/>
    <w:rsid w:val="009C4558"/>
    <w:rsid w:val="009C4DF4"/>
    <w:rsid w:val="009C4E5D"/>
    <w:rsid w:val="009C4FA8"/>
    <w:rsid w:val="009C52A7"/>
    <w:rsid w:val="009C52EF"/>
    <w:rsid w:val="009C5319"/>
    <w:rsid w:val="009C5471"/>
    <w:rsid w:val="009C5714"/>
    <w:rsid w:val="009C5899"/>
    <w:rsid w:val="009C59B6"/>
    <w:rsid w:val="009C5A54"/>
    <w:rsid w:val="009C5B5E"/>
    <w:rsid w:val="009C618B"/>
    <w:rsid w:val="009C671E"/>
    <w:rsid w:val="009C6EA1"/>
    <w:rsid w:val="009C6EF2"/>
    <w:rsid w:val="009C6F57"/>
    <w:rsid w:val="009C718D"/>
    <w:rsid w:val="009C7429"/>
    <w:rsid w:val="009C75D1"/>
    <w:rsid w:val="009C777B"/>
    <w:rsid w:val="009C7A34"/>
    <w:rsid w:val="009C7B9A"/>
    <w:rsid w:val="009C7DFB"/>
    <w:rsid w:val="009D0F74"/>
    <w:rsid w:val="009D1335"/>
    <w:rsid w:val="009D13A6"/>
    <w:rsid w:val="009D1AB0"/>
    <w:rsid w:val="009D1CC0"/>
    <w:rsid w:val="009D1DC2"/>
    <w:rsid w:val="009D2316"/>
    <w:rsid w:val="009D2534"/>
    <w:rsid w:val="009D2589"/>
    <w:rsid w:val="009D2816"/>
    <w:rsid w:val="009D2831"/>
    <w:rsid w:val="009D2866"/>
    <w:rsid w:val="009D2976"/>
    <w:rsid w:val="009D2A72"/>
    <w:rsid w:val="009D32D0"/>
    <w:rsid w:val="009D37A0"/>
    <w:rsid w:val="009D392A"/>
    <w:rsid w:val="009D3B18"/>
    <w:rsid w:val="009D3B8A"/>
    <w:rsid w:val="009D3EE7"/>
    <w:rsid w:val="009D3FFB"/>
    <w:rsid w:val="009D478A"/>
    <w:rsid w:val="009D4817"/>
    <w:rsid w:val="009D4903"/>
    <w:rsid w:val="009D505E"/>
    <w:rsid w:val="009D5103"/>
    <w:rsid w:val="009D5348"/>
    <w:rsid w:val="009D5F2E"/>
    <w:rsid w:val="009D6230"/>
    <w:rsid w:val="009D65CC"/>
    <w:rsid w:val="009D68DE"/>
    <w:rsid w:val="009D6B00"/>
    <w:rsid w:val="009D6DB9"/>
    <w:rsid w:val="009D6EAE"/>
    <w:rsid w:val="009D70DC"/>
    <w:rsid w:val="009D70E7"/>
    <w:rsid w:val="009D7744"/>
    <w:rsid w:val="009D7C19"/>
    <w:rsid w:val="009D7C83"/>
    <w:rsid w:val="009D7CEC"/>
    <w:rsid w:val="009D7F7D"/>
    <w:rsid w:val="009E019C"/>
    <w:rsid w:val="009E0772"/>
    <w:rsid w:val="009E0ADD"/>
    <w:rsid w:val="009E0E18"/>
    <w:rsid w:val="009E0EDD"/>
    <w:rsid w:val="009E0F6E"/>
    <w:rsid w:val="009E11E0"/>
    <w:rsid w:val="009E1356"/>
    <w:rsid w:val="009E1362"/>
    <w:rsid w:val="009E18A8"/>
    <w:rsid w:val="009E1A49"/>
    <w:rsid w:val="009E2208"/>
    <w:rsid w:val="009E2247"/>
    <w:rsid w:val="009E24AC"/>
    <w:rsid w:val="009E24B1"/>
    <w:rsid w:val="009E28BB"/>
    <w:rsid w:val="009E2AA1"/>
    <w:rsid w:val="009E2AF7"/>
    <w:rsid w:val="009E2F97"/>
    <w:rsid w:val="009E2FD3"/>
    <w:rsid w:val="009E3290"/>
    <w:rsid w:val="009E3CDD"/>
    <w:rsid w:val="009E4047"/>
    <w:rsid w:val="009E4256"/>
    <w:rsid w:val="009E427D"/>
    <w:rsid w:val="009E441A"/>
    <w:rsid w:val="009E4496"/>
    <w:rsid w:val="009E4551"/>
    <w:rsid w:val="009E4B1D"/>
    <w:rsid w:val="009E4BF8"/>
    <w:rsid w:val="009E5071"/>
    <w:rsid w:val="009E53BF"/>
    <w:rsid w:val="009E54C6"/>
    <w:rsid w:val="009E57A2"/>
    <w:rsid w:val="009E5A13"/>
    <w:rsid w:val="009E5B3B"/>
    <w:rsid w:val="009E5BD4"/>
    <w:rsid w:val="009E5C7A"/>
    <w:rsid w:val="009E5DE6"/>
    <w:rsid w:val="009E6732"/>
    <w:rsid w:val="009E7449"/>
    <w:rsid w:val="009E79F1"/>
    <w:rsid w:val="009E7A25"/>
    <w:rsid w:val="009E7A44"/>
    <w:rsid w:val="009E7C62"/>
    <w:rsid w:val="009E7D2A"/>
    <w:rsid w:val="009F050B"/>
    <w:rsid w:val="009F066C"/>
    <w:rsid w:val="009F0809"/>
    <w:rsid w:val="009F092A"/>
    <w:rsid w:val="009F0999"/>
    <w:rsid w:val="009F0B5D"/>
    <w:rsid w:val="009F115B"/>
    <w:rsid w:val="009F1410"/>
    <w:rsid w:val="009F1552"/>
    <w:rsid w:val="009F16B8"/>
    <w:rsid w:val="009F183C"/>
    <w:rsid w:val="009F1A23"/>
    <w:rsid w:val="009F2703"/>
    <w:rsid w:val="009F2E8A"/>
    <w:rsid w:val="009F2F12"/>
    <w:rsid w:val="009F2F48"/>
    <w:rsid w:val="009F382F"/>
    <w:rsid w:val="009F3A99"/>
    <w:rsid w:val="009F3C4C"/>
    <w:rsid w:val="009F3EBD"/>
    <w:rsid w:val="009F3EC1"/>
    <w:rsid w:val="009F40CC"/>
    <w:rsid w:val="009F4257"/>
    <w:rsid w:val="009F453F"/>
    <w:rsid w:val="009F467D"/>
    <w:rsid w:val="009F478D"/>
    <w:rsid w:val="009F4BB8"/>
    <w:rsid w:val="009F4C46"/>
    <w:rsid w:val="009F4F3D"/>
    <w:rsid w:val="009F5136"/>
    <w:rsid w:val="009F524F"/>
    <w:rsid w:val="009F54F1"/>
    <w:rsid w:val="009F590A"/>
    <w:rsid w:val="009F5CC2"/>
    <w:rsid w:val="009F5D52"/>
    <w:rsid w:val="009F6326"/>
    <w:rsid w:val="009F6359"/>
    <w:rsid w:val="009F6384"/>
    <w:rsid w:val="009F66B1"/>
    <w:rsid w:val="009F69CC"/>
    <w:rsid w:val="009F6A06"/>
    <w:rsid w:val="009F6BAD"/>
    <w:rsid w:val="009F6C8C"/>
    <w:rsid w:val="009F6C99"/>
    <w:rsid w:val="009F6E73"/>
    <w:rsid w:val="009F6FF7"/>
    <w:rsid w:val="009F7148"/>
    <w:rsid w:val="009F75C1"/>
    <w:rsid w:val="009F7CA0"/>
    <w:rsid w:val="009F7E95"/>
    <w:rsid w:val="00A00336"/>
    <w:rsid w:val="00A00490"/>
    <w:rsid w:val="00A0080E"/>
    <w:rsid w:val="00A00A6E"/>
    <w:rsid w:val="00A00C18"/>
    <w:rsid w:val="00A00D94"/>
    <w:rsid w:val="00A00DC4"/>
    <w:rsid w:val="00A00F14"/>
    <w:rsid w:val="00A01750"/>
    <w:rsid w:val="00A0199D"/>
    <w:rsid w:val="00A019B5"/>
    <w:rsid w:val="00A01A33"/>
    <w:rsid w:val="00A01FD1"/>
    <w:rsid w:val="00A020DF"/>
    <w:rsid w:val="00A02256"/>
    <w:rsid w:val="00A022F2"/>
    <w:rsid w:val="00A024F0"/>
    <w:rsid w:val="00A02C2D"/>
    <w:rsid w:val="00A02CD3"/>
    <w:rsid w:val="00A02F42"/>
    <w:rsid w:val="00A03327"/>
    <w:rsid w:val="00A0337D"/>
    <w:rsid w:val="00A03681"/>
    <w:rsid w:val="00A03885"/>
    <w:rsid w:val="00A03C0B"/>
    <w:rsid w:val="00A03F14"/>
    <w:rsid w:val="00A04683"/>
    <w:rsid w:val="00A046F8"/>
    <w:rsid w:val="00A0474B"/>
    <w:rsid w:val="00A04A31"/>
    <w:rsid w:val="00A04B2F"/>
    <w:rsid w:val="00A04F09"/>
    <w:rsid w:val="00A05064"/>
    <w:rsid w:val="00A052B3"/>
    <w:rsid w:val="00A055A7"/>
    <w:rsid w:val="00A05904"/>
    <w:rsid w:val="00A0593B"/>
    <w:rsid w:val="00A05C0C"/>
    <w:rsid w:val="00A05C92"/>
    <w:rsid w:val="00A05DC6"/>
    <w:rsid w:val="00A060E5"/>
    <w:rsid w:val="00A06752"/>
    <w:rsid w:val="00A067E1"/>
    <w:rsid w:val="00A06BB2"/>
    <w:rsid w:val="00A06CF6"/>
    <w:rsid w:val="00A06FAD"/>
    <w:rsid w:val="00A074CA"/>
    <w:rsid w:val="00A07FBB"/>
    <w:rsid w:val="00A100A5"/>
    <w:rsid w:val="00A1041C"/>
    <w:rsid w:val="00A10FA0"/>
    <w:rsid w:val="00A1108D"/>
    <w:rsid w:val="00A116E9"/>
    <w:rsid w:val="00A11904"/>
    <w:rsid w:val="00A11A13"/>
    <w:rsid w:val="00A11E40"/>
    <w:rsid w:val="00A12753"/>
    <w:rsid w:val="00A12E9A"/>
    <w:rsid w:val="00A12F64"/>
    <w:rsid w:val="00A1312F"/>
    <w:rsid w:val="00A133EE"/>
    <w:rsid w:val="00A13756"/>
    <w:rsid w:val="00A13C34"/>
    <w:rsid w:val="00A141F0"/>
    <w:rsid w:val="00A14A26"/>
    <w:rsid w:val="00A14D07"/>
    <w:rsid w:val="00A14F3F"/>
    <w:rsid w:val="00A14FB2"/>
    <w:rsid w:val="00A15090"/>
    <w:rsid w:val="00A152E6"/>
    <w:rsid w:val="00A15AA1"/>
    <w:rsid w:val="00A15C41"/>
    <w:rsid w:val="00A15EB4"/>
    <w:rsid w:val="00A1616B"/>
    <w:rsid w:val="00A1674E"/>
    <w:rsid w:val="00A16ABC"/>
    <w:rsid w:val="00A17002"/>
    <w:rsid w:val="00A17284"/>
    <w:rsid w:val="00A1737E"/>
    <w:rsid w:val="00A17A57"/>
    <w:rsid w:val="00A17BEF"/>
    <w:rsid w:val="00A20646"/>
    <w:rsid w:val="00A20A96"/>
    <w:rsid w:val="00A20BE2"/>
    <w:rsid w:val="00A212B9"/>
    <w:rsid w:val="00A2176E"/>
    <w:rsid w:val="00A21838"/>
    <w:rsid w:val="00A218B5"/>
    <w:rsid w:val="00A21A7E"/>
    <w:rsid w:val="00A22549"/>
    <w:rsid w:val="00A2261B"/>
    <w:rsid w:val="00A22854"/>
    <w:rsid w:val="00A2285A"/>
    <w:rsid w:val="00A229CC"/>
    <w:rsid w:val="00A22AA1"/>
    <w:rsid w:val="00A22C90"/>
    <w:rsid w:val="00A22D23"/>
    <w:rsid w:val="00A230B1"/>
    <w:rsid w:val="00A23267"/>
    <w:rsid w:val="00A23607"/>
    <w:rsid w:val="00A23961"/>
    <w:rsid w:val="00A24026"/>
    <w:rsid w:val="00A244A5"/>
    <w:rsid w:val="00A24964"/>
    <w:rsid w:val="00A24989"/>
    <w:rsid w:val="00A253EC"/>
    <w:rsid w:val="00A25C5A"/>
    <w:rsid w:val="00A25C62"/>
    <w:rsid w:val="00A25DDF"/>
    <w:rsid w:val="00A2637F"/>
    <w:rsid w:val="00A268D4"/>
    <w:rsid w:val="00A2696D"/>
    <w:rsid w:val="00A26AEB"/>
    <w:rsid w:val="00A26F2C"/>
    <w:rsid w:val="00A2721F"/>
    <w:rsid w:val="00A2745E"/>
    <w:rsid w:val="00A27821"/>
    <w:rsid w:val="00A27A6D"/>
    <w:rsid w:val="00A27AC8"/>
    <w:rsid w:val="00A27CAE"/>
    <w:rsid w:val="00A27EE4"/>
    <w:rsid w:val="00A30031"/>
    <w:rsid w:val="00A3030F"/>
    <w:rsid w:val="00A30748"/>
    <w:rsid w:val="00A307BC"/>
    <w:rsid w:val="00A30C4D"/>
    <w:rsid w:val="00A3108C"/>
    <w:rsid w:val="00A3178C"/>
    <w:rsid w:val="00A31912"/>
    <w:rsid w:val="00A31C25"/>
    <w:rsid w:val="00A31D5F"/>
    <w:rsid w:val="00A31F7D"/>
    <w:rsid w:val="00A321A9"/>
    <w:rsid w:val="00A32225"/>
    <w:rsid w:val="00A32408"/>
    <w:rsid w:val="00A3267C"/>
    <w:rsid w:val="00A329B5"/>
    <w:rsid w:val="00A32A6B"/>
    <w:rsid w:val="00A32B8F"/>
    <w:rsid w:val="00A32C4A"/>
    <w:rsid w:val="00A32E2D"/>
    <w:rsid w:val="00A33476"/>
    <w:rsid w:val="00A338A1"/>
    <w:rsid w:val="00A33D3F"/>
    <w:rsid w:val="00A34010"/>
    <w:rsid w:val="00A340A8"/>
    <w:rsid w:val="00A34200"/>
    <w:rsid w:val="00A343B9"/>
    <w:rsid w:val="00A3471A"/>
    <w:rsid w:val="00A350F9"/>
    <w:rsid w:val="00A353CD"/>
    <w:rsid w:val="00A357C1"/>
    <w:rsid w:val="00A35D33"/>
    <w:rsid w:val="00A35E6B"/>
    <w:rsid w:val="00A35ED0"/>
    <w:rsid w:val="00A361AE"/>
    <w:rsid w:val="00A36600"/>
    <w:rsid w:val="00A36A9F"/>
    <w:rsid w:val="00A36DF2"/>
    <w:rsid w:val="00A36EBD"/>
    <w:rsid w:val="00A37773"/>
    <w:rsid w:val="00A37952"/>
    <w:rsid w:val="00A37CA6"/>
    <w:rsid w:val="00A37EC6"/>
    <w:rsid w:val="00A40048"/>
    <w:rsid w:val="00A402D9"/>
    <w:rsid w:val="00A404C3"/>
    <w:rsid w:val="00A406D0"/>
    <w:rsid w:val="00A406DF"/>
    <w:rsid w:val="00A40AE5"/>
    <w:rsid w:val="00A410A4"/>
    <w:rsid w:val="00A41C13"/>
    <w:rsid w:val="00A41E85"/>
    <w:rsid w:val="00A4209E"/>
    <w:rsid w:val="00A422B2"/>
    <w:rsid w:val="00A4230C"/>
    <w:rsid w:val="00A429C2"/>
    <w:rsid w:val="00A42BA2"/>
    <w:rsid w:val="00A42DE2"/>
    <w:rsid w:val="00A430AA"/>
    <w:rsid w:val="00A430FB"/>
    <w:rsid w:val="00A432F4"/>
    <w:rsid w:val="00A43430"/>
    <w:rsid w:val="00A434F2"/>
    <w:rsid w:val="00A43B47"/>
    <w:rsid w:val="00A43B76"/>
    <w:rsid w:val="00A43C6A"/>
    <w:rsid w:val="00A43D60"/>
    <w:rsid w:val="00A43EBE"/>
    <w:rsid w:val="00A4432C"/>
    <w:rsid w:val="00A445FA"/>
    <w:rsid w:val="00A447B5"/>
    <w:rsid w:val="00A44AB7"/>
    <w:rsid w:val="00A44B5B"/>
    <w:rsid w:val="00A44CE9"/>
    <w:rsid w:val="00A44F5B"/>
    <w:rsid w:val="00A45165"/>
    <w:rsid w:val="00A452B0"/>
    <w:rsid w:val="00A459BF"/>
    <w:rsid w:val="00A45B90"/>
    <w:rsid w:val="00A460F4"/>
    <w:rsid w:val="00A462F2"/>
    <w:rsid w:val="00A4640E"/>
    <w:rsid w:val="00A4645A"/>
    <w:rsid w:val="00A465F5"/>
    <w:rsid w:val="00A4677C"/>
    <w:rsid w:val="00A46951"/>
    <w:rsid w:val="00A46B0B"/>
    <w:rsid w:val="00A46C4E"/>
    <w:rsid w:val="00A46CE8"/>
    <w:rsid w:val="00A46DE5"/>
    <w:rsid w:val="00A47926"/>
    <w:rsid w:val="00A479A4"/>
    <w:rsid w:val="00A47CB5"/>
    <w:rsid w:val="00A47EFB"/>
    <w:rsid w:val="00A50180"/>
    <w:rsid w:val="00A504B2"/>
    <w:rsid w:val="00A509BF"/>
    <w:rsid w:val="00A50D7D"/>
    <w:rsid w:val="00A50F55"/>
    <w:rsid w:val="00A51972"/>
    <w:rsid w:val="00A519AA"/>
    <w:rsid w:val="00A51C28"/>
    <w:rsid w:val="00A51CC6"/>
    <w:rsid w:val="00A51D6D"/>
    <w:rsid w:val="00A52646"/>
    <w:rsid w:val="00A52DF1"/>
    <w:rsid w:val="00A53530"/>
    <w:rsid w:val="00A53579"/>
    <w:rsid w:val="00A539A5"/>
    <w:rsid w:val="00A539A8"/>
    <w:rsid w:val="00A53A45"/>
    <w:rsid w:val="00A53D52"/>
    <w:rsid w:val="00A53F23"/>
    <w:rsid w:val="00A542E5"/>
    <w:rsid w:val="00A54412"/>
    <w:rsid w:val="00A5458A"/>
    <w:rsid w:val="00A54A87"/>
    <w:rsid w:val="00A54E8B"/>
    <w:rsid w:val="00A54F1A"/>
    <w:rsid w:val="00A55190"/>
    <w:rsid w:val="00A5520A"/>
    <w:rsid w:val="00A55606"/>
    <w:rsid w:val="00A55749"/>
    <w:rsid w:val="00A55935"/>
    <w:rsid w:val="00A55A68"/>
    <w:rsid w:val="00A55F32"/>
    <w:rsid w:val="00A5696E"/>
    <w:rsid w:val="00A56B71"/>
    <w:rsid w:val="00A56C44"/>
    <w:rsid w:val="00A57532"/>
    <w:rsid w:val="00A577CE"/>
    <w:rsid w:val="00A57A0F"/>
    <w:rsid w:val="00A57FCF"/>
    <w:rsid w:val="00A60044"/>
    <w:rsid w:val="00A600A8"/>
    <w:rsid w:val="00A604DE"/>
    <w:rsid w:val="00A60514"/>
    <w:rsid w:val="00A6053D"/>
    <w:rsid w:val="00A607F8"/>
    <w:rsid w:val="00A60AFD"/>
    <w:rsid w:val="00A60DEA"/>
    <w:rsid w:val="00A60E9D"/>
    <w:rsid w:val="00A60F8A"/>
    <w:rsid w:val="00A60FFC"/>
    <w:rsid w:val="00A61670"/>
    <w:rsid w:val="00A61836"/>
    <w:rsid w:val="00A6202A"/>
    <w:rsid w:val="00A62155"/>
    <w:rsid w:val="00A623ED"/>
    <w:rsid w:val="00A62489"/>
    <w:rsid w:val="00A62603"/>
    <w:rsid w:val="00A62669"/>
    <w:rsid w:val="00A62B8D"/>
    <w:rsid w:val="00A62E58"/>
    <w:rsid w:val="00A6316B"/>
    <w:rsid w:val="00A632CD"/>
    <w:rsid w:val="00A633B1"/>
    <w:rsid w:val="00A634DB"/>
    <w:rsid w:val="00A637F6"/>
    <w:rsid w:val="00A638B5"/>
    <w:rsid w:val="00A63939"/>
    <w:rsid w:val="00A63A15"/>
    <w:rsid w:val="00A63D70"/>
    <w:rsid w:val="00A6454F"/>
    <w:rsid w:val="00A64684"/>
    <w:rsid w:val="00A64913"/>
    <w:rsid w:val="00A64D5A"/>
    <w:rsid w:val="00A660B6"/>
    <w:rsid w:val="00A66498"/>
    <w:rsid w:val="00A67221"/>
    <w:rsid w:val="00A6723F"/>
    <w:rsid w:val="00A673A7"/>
    <w:rsid w:val="00A67432"/>
    <w:rsid w:val="00A675BE"/>
    <w:rsid w:val="00A67A8B"/>
    <w:rsid w:val="00A67AD3"/>
    <w:rsid w:val="00A67DAF"/>
    <w:rsid w:val="00A67EA5"/>
    <w:rsid w:val="00A70048"/>
    <w:rsid w:val="00A701F3"/>
    <w:rsid w:val="00A70246"/>
    <w:rsid w:val="00A70257"/>
    <w:rsid w:val="00A704A3"/>
    <w:rsid w:val="00A707FD"/>
    <w:rsid w:val="00A70AD5"/>
    <w:rsid w:val="00A70E8B"/>
    <w:rsid w:val="00A7106D"/>
    <w:rsid w:val="00A716FD"/>
    <w:rsid w:val="00A7193C"/>
    <w:rsid w:val="00A732C6"/>
    <w:rsid w:val="00A73459"/>
    <w:rsid w:val="00A7359B"/>
    <w:rsid w:val="00A739ED"/>
    <w:rsid w:val="00A73D04"/>
    <w:rsid w:val="00A73D61"/>
    <w:rsid w:val="00A7450B"/>
    <w:rsid w:val="00A74A3B"/>
    <w:rsid w:val="00A74C62"/>
    <w:rsid w:val="00A75001"/>
    <w:rsid w:val="00A7504E"/>
    <w:rsid w:val="00A7529C"/>
    <w:rsid w:val="00A756B5"/>
    <w:rsid w:val="00A759B7"/>
    <w:rsid w:val="00A75EAA"/>
    <w:rsid w:val="00A76183"/>
    <w:rsid w:val="00A76383"/>
    <w:rsid w:val="00A76752"/>
    <w:rsid w:val="00A7679A"/>
    <w:rsid w:val="00A76938"/>
    <w:rsid w:val="00A769FC"/>
    <w:rsid w:val="00A77453"/>
    <w:rsid w:val="00A7770D"/>
    <w:rsid w:val="00A77724"/>
    <w:rsid w:val="00A77980"/>
    <w:rsid w:val="00A77CD0"/>
    <w:rsid w:val="00A77D02"/>
    <w:rsid w:val="00A77E16"/>
    <w:rsid w:val="00A77E36"/>
    <w:rsid w:val="00A80430"/>
    <w:rsid w:val="00A806F1"/>
    <w:rsid w:val="00A80AE8"/>
    <w:rsid w:val="00A813EF"/>
    <w:rsid w:val="00A816B0"/>
    <w:rsid w:val="00A81B91"/>
    <w:rsid w:val="00A82171"/>
    <w:rsid w:val="00A82715"/>
    <w:rsid w:val="00A82852"/>
    <w:rsid w:val="00A82AE2"/>
    <w:rsid w:val="00A82AFB"/>
    <w:rsid w:val="00A82C93"/>
    <w:rsid w:val="00A82CF2"/>
    <w:rsid w:val="00A82D21"/>
    <w:rsid w:val="00A83A3F"/>
    <w:rsid w:val="00A83B43"/>
    <w:rsid w:val="00A83E5D"/>
    <w:rsid w:val="00A84580"/>
    <w:rsid w:val="00A84EF9"/>
    <w:rsid w:val="00A851DB"/>
    <w:rsid w:val="00A8589F"/>
    <w:rsid w:val="00A85C64"/>
    <w:rsid w:val="00A85C7F"/>
    <w:rsid w:val="00A85ECB"/>
    <w:rsid w:val="00A85F83"/>
    <w:rsid w:val="00A86155"/>
    <w:rsid w:val="00A86353"/>
    <w:rsid w:val="00A86AA0"/>
    <w:rsid w:val="00A86ED6"/>
    <w:rsid w:val="00A86FED"/>
    <w:rsid w:val="00A870F2"/>
    <w:rsid w:val="00A873FC"/>
    <w:rsid w:val="00A87827"/>
    <w:rsid w:val="00A87DA6"/>
    <w:rsid w:val="00A90089"/>
    <w:rsid w:val="00A904A3"/>
    <w:rsid w:val="00A90882"/>
    <w:rsid w:val="00A90A13"/>
    <w:rsid w:val="00A90A24"/>
    <w:rsid w:val="00A90A5B"/>
    <w:rsid w:val="00A914D6"/>
    <w:rsid w:val="00A917F0"/>
    <w:rsid w:val="00A91AAE"/>
    <w:rsid w:val="00A91AD2"/>
    <w:rsid w:val="00A91BD3"/>
    <w:rsid w:val="00A91F4C"/>
    <w:rsid w:val="00A925D5"/>
    <w:rsid w:val="00A92854"/>
    <w:rsid w:val="00A92B6D"/>
    <w:rsid w:val="00A92E8D"/>
    <w:rsid w:val="00A92FD6"/>
    <w:rsid w:val="00A9302C"/>
    <w:rsid w:val="00A939DC"/>
    <w:rsid w:val="00A940FE"/>
    <w:rsid w:val="00A9421F"/>
    <w:rsid w:val="00A942E3"/>
    <w:rsid w:val="00A94425"/>
    <w:rsid w:val="00A946DE"/>
    <w:rsid w:val="00A9479B"/>
    <w:rsid w:val="00A949CC"/>
    <w:rsid w:val="00A94BBD"/>
    <w:rsid w:val="00A94C66"/>
    <w:rsid w:val="00A94CAA"/>
    <w:rsid w:val="00A951D0"/>
    <w:rsid w:val="00A95592"/>
    <w:rsid w:val="00A955F0"/>
    <w:rsid w:val="00A95822"/>
    <w:rsid w:val="00A958C5"/>
    <w:rsid w:val="00A95BA2"/>
    <w:rsid w:val="00A95D3E"/>
    <w:rsid w:val="00A95F6D"/>
    <w:rsid w:val="00A95FAE"/>
    <w:rsid w:val="00A96212"/>
    <w:rsid w:val="00A96791"/>
    <w:rsid w:val="00A96AC2"/>
    <w:rsid w:val="00A96B80"/>
    <w:rsid w:val="00A96D7E"/>
    <w:rsid w:val="00A96E36"/>
    <w:rsid w:val="00A971FF"/>
    <w:rsid w:val="00A9734F"/>
    <w:rsid w:val="00A978E8"/>
    <w:rsid w:val="00A97A55"/>
    <w:rsid w:val="00A97D30"/>
    <w:rsid w:val="00AA0560"/>
    <w:rsid w:val="00AA0CA3"/>
    <w:rsid w:val="00AA0DA4"/>
    <w:rsid w:val="00AA0DBF"/>
    <w:rsid w:val="00AA11B7"/>
    <w:rsid w:val="00AA11DC"/>
    <w:rsid w:val="00AA15C3"/>
    <w:rsid w:val="00AA186F"/>
    <w:rsid w:val="00AA1D03"/>
    <w:rsid w:val="00AA20D1"/>
    <w:rsid w:val="00AA2370"/>
    <w:rsid w:val="00AA2618"/>
    <w:rsid w:val="00AA2927"/>
    <w:rsid w:val="00AA2ABF"/>
    <w:rsid w:val="00AA2B3B"/>
    <w:rsid w:val="00AA2F92"/>
    <w:rsid w:val="00AA2FBB"/>
    <w:rsid w:val="00AA332C"/>
    <w:rsid w:val="00AA33DC"/>
    <w:rsid w:val="00AA355E"/>
    <w:rsid w:val="00AA4035"/>
    <w:rsid w:val="00AA4374"/>
    <w:rsid w:val="00AA483E"/>
    <w:rsid w:val="00AA4CE6"/>
    <w:rsid w:val="00AA502E"/>
    <w:rsid w:val="00AA5E78"/>
    <w:rsid w:val="00AA5E8B"/>
    <w:rsid w:val="00AA61AA"/>
    <w:rsid w:val="00AA66CC"/>
    <w:rsid w:val="00AA67BF"/>
    <w:rsid w:val="00AA6894"/>
    <w:rsid w:val="00AA6B63"/>
    <w:rsid w:val="00AA6D24"/>
    <w:rsid w:val="00AA6D7B"/>
    <w:rsid w:val="00AA7458"/>
    <w:rsid w:val="00AA75E1"/>
    <w:rsid w:val="00AA7A04"/>
    <w:rsid w:val="00AA7FD9"/>
    <w:rsid w:val="00AB07D6"/>
    <w:rsid w:val="00AB0910"/>
    <w:rsid w:val="00AB0A46"/>
    <w:rsid w:val="00AB1402"/>
    <w:rsid w:val="00AB1419"/>
    <w:rsid w:val="00AB1CBA"/>
    <w:rsid w:val="00AB1FAD"/>
    <w:rsid w:val="00AB228F"/>
    <w:rsid w:val="00AB241F"/>
    <w:rsid w:val="00AB25C7"/>
    <w:rsid w:val="00AB2736"/>
    <w:rsid w:val="00AB288C"/>
    <w:rsid w:val="00AB3141"/>
    <w:rsid w:val="00AB3404"/>
    <w:rsid w:val="00AB383D"/>
    <w:rsid w:val="00AB3997"/>
    <w:rsid w:val="00AB3A0B"/>
    <w:rsid w:val="00AB3B75"/>
    <w:rsid w:val="00AB4035"/>
    <w:rsid w:val="00AB425D"/>
    <w:rsid w:val="00AB4275"/>
    <w:rsid w:val="00AB42E4"/>
    <w:rsid w:val="00AB5319"/>
    <w:rsid w:val="00AB5492"/>
    <w:rsid w:val="00AB56EE"/>
    <w:rsid w:val="00AB5F99"/>
    <w:rsid w:val="00AB63DB"/>
    <w:rsid w:val="00AB65C8"/>
    <w:rsid w:val="00AB66E0"/>
    <w:rsid w:val="00AB6873"/>
    <w:rsid w:val="00AB6C8D"/>
    <w:rsid w:val="00AB71EA"/>
    <w:rsid w:val="00AB742D"/>
    <w:rsid w:val="00AB7585"/>
    <w:rsid w:val="00AB75B8"/>
    <w:rsid w:val="00AB7743"/>
    <w:rsid w:val="00AB7829"/>
    <w:rsid w:val="00AB78C9"/>
    <w:rsid w:val="00AB7AAE"/>
    <w:rsid w:val="00AB7D71"/>
    <w:rsid w:val="00AB7E4A"/>
    <w:rsid w:val="00AC03D5"/>
    <w:rsid w:val="00AC05BE"/>
    <w:rsid w:val="00AC0669"/>
    <w:rsid w:val="00AC08E5"/>
    <w:rsid w:val="00AC1027"/>
    <w:rsid w:val="00AC1333"/>
    <w:rsid w:val="00AC15ED"/>
    <w:rsid w:val="00AC1887"/>
    <w:rsid w:val="00AC1BA2"/>
    <w:rsid w:val="00AC1BC0"/>
    <w:rsid w:val="00AC1D8E"/>
    <w:rsid w:val="00AC251E"/>
    <w:rsid w:val="00AC268D"/>
    <w:rsid w:val="00AC2C70"/>
    <w:rsid w:val="00AC2F75"/>
    <w:rsid w:val="00AC3062"/>
    <w:rsid w:val="00AC3386"/>
    <w:rsid w:val="00AC3664"/>
    <w:rsid w:val="00AC3CE7"/>
    <w:rsid w:val="00AC3FCD"/>
    <w:rsid w:val="00AC4142"/>
    <w:rsid w:val="00AC498E"/>
    <w:rsid w:val="00AC4A80"/>
    <w:rsid w:val="00AC4D3C"/>
    <w:rsid w:val="00AC4ED0"/>
    <w:rsid w:val="00AC5A0D"/>
    <w:rsid w:val="00AC5B3B"/>
    <w:rsid w:val="00AC5BE4"/>
    <w:rsid w:val="00AC5D37"/>
    <w:rsid w:val="00AC679D"/>
    <w:rsid w:val="00AC708F"/>
    <w:rsid w:val="00AC7324"/>
    <w:rsid w:val="00AC7510"/>
    <w:rsid w:val="00AC7A61"/>
    <w:rsid w:val="00AC7B3D"/>
    <w:rsid w:val="00AC7EDF"/>
    <w:rsid w:val="00AD0009"/>
    <w:rsid w:val="00AD042E"/>
    <w:rsid w:val="00AD0721"/>
    <w:rsid w:val="00AD0816"/>
    <w:rsid w:val="00AD08CF"/>
    <w:rsid w:val="00AD0913"/>
    <w:rsid w:val="00AD0AB7"/>
    <w:rsid w:val="00AD0B5E"/>
    <w:rsid w:val="00AD0CB9"/>
    <w:rsid w:val="00AD0E42"/>
    <w:rsid w:val="00AD0E8C"/>
    <w:rsid w:val="00AD112B"/>
    <w:rsid w:val="00AD11CF"/>
    <w:rsid w:val="00AD120C"/>
    <w:rsid w:val="00AD1796"/>
    <w:rsid w:val="00AD1A4B"/>
    <w:rsid w:val="00AD1E7A"/>
    <w:rsid w:val="00AD2287"/>
    <w:rsid w:val="00AD22FC"/>
    <w:rsid w:val="00AD26A2"/>
    <w:rsid w:val="00AD28B3"/>
    <w:rsid w:val="00AD2949"/>
    <w:rsid w:val="00AD3022"/>
    <w:rsid w:val="00AD398A"/>
    <w:rsid w:val="00AD3ADE"/>
    <w:rsid w:val="00AD3D35"/>
    <w:rsid w:val="00AD40AA"/>
    <w:rsid w:val="00AD42D3"/>
    <w:rsid w:val="00AD4427"/>
    <w:rsid w:val="00AD4544"/>
    <w:rsid w:val="00AD485B"/>
    <w:rsid w:val="00AD4A30"/>
    <w:rsid w:val="00AD5304"/>
    <w:rsid w:val="00AD5417"/>
    <w:rsid w:val="00AD6247"/>
    <w:rsid w:val="00AD69B3"/>
    <w:rsid w:val="00AD6CDB"/>
    <w:rsid w:val="00AD6E69"/>
    <w:rsid w:val="00AD71CA"/>
    <w:rsid w:val="00AD72A3"/>
    <w:rsid w:val="00AD7312"/>
    <w:rsid w:val="00AD7867"/>
    <w:rsid w:val="00AD78BB"/>
    <w:rsid w:val="00AD7BF5"/>
    <w:rsid w:val="00AD7C40"/>
    <w:rsid w:val="00AD7E6C"/>
    <w:rsid w:val="00AE0047"/>
    <w:rsid w:val="00AE0602"/>
    <w:rsid w:val="00AE07C3"/>
    <w:rsid w:val="00AE0D80"/>
    <w:rsid w:val="00AE0EE7"/>
    <w:rsid w:val="00AE106F"/>
    <w:rsid w:val="00AE1247"/>
    <w:rsid w:val="00AE12C6"/>
    <w:rsid w:val="00AE12EB"/>
    <w:rsid w:val="00AE149A"/>
    <w:rsid w:val="00AE1785"/>
    <w:rsid w:val="00AE1839"/>
    <w:rsid w:val="00AE1B63"/>
    <w:rsid w:val="00AE1B90"/>
    <w:rsid w:val="00AE1C60"/>
    <w:rsid w:val="00AE1C9C"/>
    <w:rsid w:val="00AE1D73"/>
    <w:rsid w:val="00AE1EEF"/>
    <w:rsid w:val="00AE1F3C"/>
    <w:rsid w:val="00AE1FC4"/>
    <w:rsid w:val="00AE217B"/>
    <w:rsid w:val="00AE2831"/>
    <w:rsid w:val="00AE2CD1"/>
    <w:rsid w:val="00AE2D1B"/>
    <w:rsid w:val="00AE2D89"/>
    <w:rsid w:val="00AE313C"/>
    <w:rsid w:val="00AE3417"/>
    <w:rsid w:val="00AE36E0"/>
    <w:rsid w:val="00AE38B2"/>
    <w:rsid w:val="00AE3982"/>
    <w:rsid w:val="00AE3C13"/>
    <w:rsid w:val="00AE45D7"/>
    <w:rsid w:val="00AE4725"/>
    <w:rsid w:val="00AE4774"/>
    <w:rsid w:val="00AE483E"/>
    <w:rsid w:val="00AE4D55"/>
    <w:rsid w:val="00AE4FFF"/>
    <w:rsid w:val="00AE504F"/>
    <w:rsid w:val="00AE509E"/>
    <w:rsid w:val="00AE50FD"/>
    <w:rsid w:val="00AE5126"/>
    <w:rsid w:val="00AE512B"/>
    <w:rsid w:val="00AE516E"/>
    <w:rsid w:val="00AE566A"/>
    <w:rsid w:val="00AE5C84"/>
    <w:rsid w:val="00AE6293"/>
    <w:rsid w:val="00AE640F"/>
    <w:rsid w:val="00AE66E5"/>
    <w:rsid w:val="00AE69FC"/>
    <w:rsid w:val="00AE6E73"/>
    <w:rsid w:val="00AE761A"/>
    <w:rsid w:val="00AE780D"/>
    <w:rsid w:val="00AE7901"/>
    <w:rsid w:val="00AE7B60"/>
    <w:rsid w:val="00AE7E99"/>
    <w:rsid w:val="00AF0215"/>
    <w:rsid w:val="00AF0891"/>
    <w:rsid w:val="00AF0AF4"/>
    <w:rsid w:val="00AF1764"/>
    <w:rsid w:val="00AF1BC9"/>
    <w:rsid w:val="00AF29D9"/>
    <w:rsid w:val="00AF2D11"/>
    <w:rsid w:val="00AF35AD"/>
    <w:rsid w:val="00AF35D4"/>
    <w:rsid w:val="00AF35E2"/>
    <w:rsid w:val="00AF4227"/>
    <w:rsid w:val="00AF4296"/>
    <w:rsid w:val="00AF4543"/>
    <w:rsid w:val="00AF459E"/>
    <w:rsid w:val="00AF4CC1"/>
    <w:rsid w:val="00AF4E50"/>
    <w:rsid w:val="00AF4E67"/>
    <w:rsid w:val="00AF4E78"/>
    <w:rsid w:val="00AF5047"/>
    <w:rsid w:val="00AF526D"/>
    <w:rsid w:val="00AF52ED"/>
    <w:rsid w:val="00AF53E1"/>
    <w:rsid w:val="00AF54C8"/>
    <w:rsid w:val="00AF5518"/>
    <w:rsid w:val="00AF5768"/>
    <w:rsid w:val="00AF5E42"/>
    <w:rsid w:val="00AF6443"/>
    <w:rsid w:val="00AF6964"/>
    <w:rsid w:val="00AF698F"/>
    <w:rsid w:val="00AF6C27"/>
    <w:rsid w:val="00AF70C9"/>
    <w:rsid w:val="00AF7828"/>
    <w:rsid w:val="00AF7861"/>
    <w:rsid w:val="00AF794E"/>
    <w:rsid w:val="00AF7957"/>
    <w:rsid w:val="00AF7BFD"/>
    <w:rsid w:val="00B000FB"/>
    <w:rsid w:val="00B001EB"/>
    <w:rsid w:val="00B005EC"/>
    <w:rsid w:val="00B00717"/>
    <w:rsid w:val="00B00B24"/>
    <w:rsid w:val="00B00BC9"/>
    <w:rsid w:val="00B00E70"/>
    <w:rsid w:val="00B010A1"/>
    <w:rsid w:val="00B010B6"/>
    <w:rsid w:val="00B0116C"/>
    <w:rsid w:val="00B014EB"/>
    <w:rsid w:val="00B01960"/>
    <w:rsid w:val="00B01B96"/>
    <w:rsid w:val="00B01F16"/>
    <w:rsid w:val="00B01F6E"/>
    <w:rsid w:val="00B02743"/>
    <w:rsid w:val="00B02FD3"/>
    <w:rsid w:val="00B03029"/>
    <w:rsid w:val="00B03065"/>
    <w:rsid w:val="00B0319A"/>
    <w:rsid w:val="00B03327"/>
    <w:rsid w:val="00B03730"/>
    <w:rsid w:val="00B03B9B"/>
    <w:rsid w:val="00B03CE7"/>
    <w:rsid w:val="00B03D1A"/>
    <w:rsid w:val="00B03F7D"/>
    <w:rsid w:val="00B0400A"/>
    <w:rsid w:val="00B0452A"/>
    <w:rsid w:val="00B047E2"/>
    <w:rsid w:val="00B04C03"/>
    <w:rsid w:val="00B0524C"/>
    <w:rsid w:val="00B056F6"/>
    <w:rsid w:val="00B057F4"/>
    <w:rsid w:val="00B06151"/>
    <w:rsid w:val="00B0620A"/>
    <w:rsid w:val="00B065A7"/>
    <w:rsid w:val="00B068EC"/>
    <w:rsid w:val="00B07560"/>
    <w:rsid w:val="00B07859"/>
    <w:rsid w:val="00B0788C"/>
    <w:rsid w:val="00B07B12"/>
    <w:rsid w:val="00B07E76"/>
    <w:rsid w:val="00B10162"/>
    <w:rsid w:val="00B1022C"/>
    <w:rsid w:val="00B10361"/>
    <w:rsid w:val="00B10502"/>
    <w:rsid w:val="00B10666"/>
    <w:rsid w:val="00B10E73"/>
    <w:rsid w:val="00B10F60"/>
    <w:rsid w:val="00B1101F"/>
    <w:rsid w:val="00B1144B"/>
    <w:rsid w:val="00B11450"/>
    <w:rsid w:val="00B11A75"/>
    <w:rsid w:val="00B11C95"/>
    <w:rsid w:val="00B12B82"/>
    <w:rsid w:val="00B12DEF"/>
    <w:rsid w:val="00B12F0B"/>
    <w:rsid w:val="00B130A6"/>
    <w:rsid w:val="00B13665"/>
    <w:rsid w:val="00B139DA"/>
    <w:rsid w:val="00B13AEC"/>
    <w:rsid w:val="00B143EA"/>
    <w:rsid w:val="00B148F8"/>
    <w:rsid w:val="00B149D0"/>
    <w:rsid w:val="00B14E76"/>
    <w:rsid w:val="00B1595B"/>
    <w:rsid w:val="00B15B7E"/>
    <w:rsid w:val="00B15ECA"/>
    <w:rsid w:val="00B15F07"/>
    <w:rsid w:val="00B161AF"/>
    <w:rsid w:val="00B164BA"/>
    <w:rsid w:val="00B165F0"/>
    <w:rsid w:val="00B16B8B"/>
    <w:rsid w:val="00B16DB0"/>
    <w:rsid w:val="00B16E16"/>
    <w:rsid w:val="00B16F60"/>
    <w:rsid w:val="00B1712E"/>
    <w:rsid w:val="00B17248"/>
    <w:rsid w:val="00B17755"/>
    <w:rsid w:val="00B177D8"/>
    <w:rsid w:val="00B179BB"/>
    <w:rsid w:val="00B17BAC"/>
    <w:rsid w:val="00B17C54"/>
    <w:rsid w:val="00B20E26"/>
    <w:rsid w:val="00B20E83"/>
    <w:rsid w:val="00B2115C"/>
    <w:rsid w:val="00B2129A"/>
    <w:rsid w:val="00B212AC"/>
    <w:rsid w:val="00B212C7"/>
    <w:rsid w:val="00B2140F"/>
    <w:rsid w:val="00B22070"/>
    <w:rsid w:val="00B222E3"/>
    <w:rsid w:val="00B2233E"/>
    <w:rsid w:val="00B223E7"/>
    <w:rsid w:val="00B22744"/>
    <w:rsid w:val="00B230EF"/>
    <w:rsid w:val="00B23270"/>
    <w:rsid w:val="00B23274"/>
    <w:rsid w:val="00B2342E"/>
    <w:rsid w:val="00B235B8"/>
    <w:rsid w:val="00B23AAA"/>
    <w:rsid w:val="00B24158"/>
    <w:rsid w:val="00B245C0"/>
    <w:rsid w:val="00B2497F"/>
    <w:rsid w:val="00B24C40"/>
    <w:rsid w:val="00B24F24"/>
    <w:rsid w:val="00B250BE"/>
    <w:rsid w:val="00B252C7"/>
    <w:rsid w:val="00B2532F"/>
    <w:rsid w:val="00B253E6"/>
    <w:rsid w:val="00B25665"/>
    <w:rsid w:val="00B2591F"/>
    <w:rsid w:val="00B25F19"/>
    <w:rsid w:val="00B26005"/>
    <w:rsid w:val="00B26CD1"/>
    <w:rsid w:val="00B26CDC"/>
    <w:rsid w:val="00B271BD"/>
    <w:rsid w:val="00B2732B"/>
    <w:rsid w:val="00B2745D"/>
    <w:rsid w:val="00B27919"/>
    <w:rsid w:val="00B27B48"/>
    <w:rsid w:val="00B27BD4"/>
    <w:rsid w:val="00B27C3A"/>
    <w:rsid w:val="00B27EB7"/>
    <w:rsid w:val="00B30019"/>
    <w:rsid w:val="00B302D6"/>
    <w:rsid w:val="00B30712"/>
    <w:rsid w:val="00B3097F"/>
    <w:rsid w:val="00B30B2A"/>
    <w:rsid w:val="00B30C2C"/>
    <w:rsid w:val="00B3109D"/>
    <w:rsid w:val="00B314D5"/>
    <w:rsid w:val="00B3181F"/>
    <w:rsid w:val="00B31BF1"/>
    <w:rsid w:val="00B31C32"/>
    <w:rsid w:val="00B32316"/>
    <w:rsid w:val="00B325AD"/>
    <w:rsid w:val="00B32892"/>
    <w:rsid w:val="00B32A69"/>
    <w:rsid w:val="00B32D8C"/>
    <w:rsid w:val="00B33067"/>
    <w:rsid w:val="00B330EC"/>
    <w:rsid w:val="00B33224"/>
    <w:rsid w:val="00B337D1"/>
    <w:rsid w:val="00B33830"/>
    <w:rsid w:val="00B33B32"/>
    <w:rsid w:val="00B33B3E"/>
    <w:rsid w:val="00B33D4A"/>
    <w:rsid w:val="00B33D52"/>
    <w:rsid w:val="00B34537"/>
    <w:rsid w:val="00B34A59"/>
    <w:rsid w:val="00B34D1F"/>
    <w:rsid w:val="00B34DBA"/>
    <w:rsid w:val="00B34E83"/>
    <w:rsid w:val="00B35076"/>
    <w:rsid w:val="00B3510E"/>
    <w:rsid w:val="00B3525F"/>
    <w:rsid w:val="00B35440"/>
    <w:rsid w:val="00B3585F"/>
    <w:rsid w:val="00B35BD3"/>
    <w:rsid w:val="00B35C41"/>
    <w:rsid w:val="00B36A6C"/>
    <w:rsid w:val="00B36A8B"/>
    <w:rsid w:val="00B36ABC"/>
    <w:rsid w:val="00B37025"/>
    <w:rsid w:val="00B3706A"/>
    <w:rsid w:val="00B37C97"/>
    <w:rsid w:val="00B37D75"/>
    <w:rsid w:val="00B40580"/>
    <w:rsid w:val="00B406CF"/>
    <w:rsid w:val="00B40848"/>
    <w:rsid w:val="00B40F24"/>
    <w:rsid w:val="00B40FB0"/>
    <w:rsid w:val="00B4128E"/>
    <w:rsid w:val="00B41A42"/>
    <w:rsid w:val="00B41BCD"/>
    <w:rsid w:val="00B42118"/>
    <w:rsid w:val="00B425A2"/>
    <w:rsid w:val="00B42713"/>
    <w:rsid w:val="00B42D23"/>
    <w:rsid w:val="00B42EA6"/>
    <w:rsid w:val="00B4337D"/>
    <w:rsid w:val="00B4354A"/>
    <w:rsid w:val="00B4363D"/>
    <w:rsid w:val="00B4369E"/>
    <w:rsid w:val="00B43A01"/>
    <w:rsid w:val="00B43B39"/>
    <w:rsid w:val="00B43FEF"/>
    <w:rsid w:val="00B44291"/>
    <w:rsid w:val="00B44327"/>
    <w:rsid w:val="00B445AD"/>
    <w:rsid w:val="00B4479B"/>
    <w:rsid w:val="00B44ACE"/>
    <w:rsid w:val="00B44DE5"/>
    <w:rsid w:val="00B44F27"/>
    <w:rsid w:val="00B4514C"/>
    <w:rsid w:val="00B45168"/>
    <w:rsid w:val="00B451FB"/>
    <w:rsid w:val="00B45318"/>
    <w:rsid w:val="00B45553"/>
    <w:rsid w:val="00B45672"/>
    <w:rsid w:val="00B458BF"/>
    <w:rsid w:val="00B459D3"/>
    <w:rsid w:val="00B45B49"/>
    <w:rsid w:val="00B45C6A"/>
    <w:rsid w:val="00B46289"/>
    <w:rsid w:val="00B4638F"/>
    <w:rsid w:val="00B465A2"/>
    <w:rsid w:val="00B46658"/>
    <w:rsid w:val="00B46D68"/>
    <w:rsid w:val="00B4703F"/>
    <w:rsid w:val="00B470C5"/>
    <w:rsid w:val="00B4732C"/>
    <w:rsid w:val="00B47421"/>
    <w:rsid w:val="00B47DD4"/>
    <w:rsid w:val="00B47DF0"/>
    <w:rsid w:val="00B50341"/>
    <w:rsid w:val="00B5059A"/>
    <w:rsid w:val="00B5072A"/>
    <w:rsid w:val="00B508BC"/>
    <w:rsid w:val="00B51095"/>
    <w:rsid w:val="00B510A2"/>
    <w:rsid w:val="00B51161"/>
    <w:rsid w:val="00B51597"/>
    <w:rsid w:val="00B51786"/>
    <w:rsid w:val="00B51857"/>
    <w:rsid w:val="00B51997"/>
    <w:rsid w:val="00B519B1"/>
    <w:rsid w:val="00B51B5B"/>
    <w:rsid w:val="00B51F69"/>
    <w:rsid w:val="00B52BEE"/>
    <w:rsid w:val="00B530DA"/>
    <w:rsid w:val="00B53120"/>
    <w:rsid w:val="00B534B7"/>
    <w:rsid w:val="00B5374F"/>
    <w:rsid w:val="00B5378B"/>
    <w:rsid w:val="00B537CD"/>
    <w:rsid w:val="00B53923"/>
    <w:rsid w:val="00B53A17"/>
    <w:rsid w:val="00B54204"/>
    <w:rsid w:val="00B542E1"/>
    <w:rsid w:val="00B5499B"/>
    <w:rsid w:val="00B54EF9"/>
    <w:rsid w:val="00B560F6"/>
    <w:rsid w:val="00B569A3"/>
    <w:rsid w:val="00B56ACD"/>
    <w:rsid w:val="00B56F7F"/>
    <w:rsid w:val="00B5742E"/>
    <w:rsid w:val="00B574E3"/>
    <w:rsid w:val="00B57AFF"/>
    <w:rsid w:val="00B6050B"/>
    <w:rsid w:val="00B60567"/>
    <w:rsid w:val="00B6070E"/>
    <w:rsid w:val="00B60823"/>
    <w:rsid w:val="00B60940"/>
    <w:rsid w:val="00B60D7F"/>
    <w:rsid w:val="00B612CA"/>
    <w:rsid w:val="00B61B1F"/>
    <w:rsid w:val="00B61F40"/>
    <w:rsid w:val="00B6229E"/>
    <w:rsid w:val="00B622E6"/>
    <w:rsid w:val="00B62390"/>
    <w:rsid w:val="00B626AF"/>
    <w:rsid w:val="00B627AE"/>
    <w:rsid w:val="00B62CA9"/>
    <w:rsid w:val="00B63163"/>
    <w:rsid w:val="00B63449"/>
    <w:rsid w:val="00B63695"/>
    <w:rsid w:val="00B63C50"/>
    <w:rsid w:val="00B63DCB"/>
    <w:rsid w:val="00B6404D"/>
    <w:rsid w:val="00B64092"/>
    <w:rsid w:val="00B640C6"/>
    <w:rsid w:val="00B643D3"/>
    <w:rsid w:val="00B64589"/>
    <w:rsid w:val="00B64817"/>
    <w:rsid w:val="00B64AD8"/>
    <w:rsid w:val="00B64C20"/>
    <w:rsid w:val="00B65007"/>
    <w:rsid w:val="00B653B3"/>
    <w:rsid w:val="00B65A3E"/>
    <w:rsid w:val="00B65CD5"/>
    <w:rsid w:val="00B66157"/>
    <w:rsid w:val="00B66513"/>
    <w:rsid w:val="00B66603"/>
    <w:rsid w:val="00B670A9"/>
    <w:rsid w:val="00B6748C"/>
    <w:rsid w:val="00B67852"/>
    <w:rsid w:val="00B67C30"/>
    <w:rsid w:val="00B702E1"/>
    <w:rsid w:val="00B7030D"/>
    <w:rsid w:val="00B7043A"/>
    <w:rsid w:val="00B70441"/>
    <w:rsid w:val="00B70561"/>
    <w:rsid w:val="00B70B3B"/>
    <w:rsid w:val="00B71156"/>
    <w:rsid w:val="00B713AC"/>
    <w:rsid w:val="00B71450"/>
    <w:rsid w:val="00B718C4"/>
    <w:rsid w:val="00B71F23"/>
    <w:rsid w:val="00B72261"/>
    <w:rsid w:val="00B724F1"/>
    <w:rsid w:val="00B72C1E"/>
    <w:rsid w:val="00B72F41"/>
    <w:rsid w:val="00B72F65"/>
    <w:rsid w:val="00B73207"/>
    <w:rsid w:val="00B73762"/>
    <w:rsid w:val="00B73873"/>
    <w:rsid w:val="00B739A5"/>
    <w:rsid w:val="00B73F93"/>
    <w:rsid w:val="00B7457A"/>
    <w:rsid w:val="00B746FF"/>
    <w:rsid w:val="00B74763"/>
    <w:rsid w:val="00B74CF8"/>
    <w:rsid w:val="00B752A7"/>
    <w:rsid w:val="00B7563D"/>
    <w:rsid w:val="00B75C7F"/>
    <w:rsid w:val="00B75D18"/>
    <w:rsid w:val="00B75F89"/>
    <w:rsid w:val="00B76049"/>
    <w:rsid w:val="00B76721"/>
    <w:rsid w:val="00B76A25"/>
    <w:rsid w:val="00B76A44"/>
    <w:rsid w:val="00B76B06"/>
    <w:rsid w:val="00B77049"/>
    <w:rsid w:val="00B7706C"/>
    <w:rsid w:val="00B7713A"/>
    <w:rsid w:val="00B771C4"/>
    <w:rsid w:val="00B77B7C"/>
    <w:rsid w:val="00B77CA4"/>
    <w:rsid w:val="00B803F4"/>
    <w:rsid w:val="00B80653"/>
    <w:rsid w:val="00B808C3"/>
    <w:rsid w:val="00B80C92"/>
    <w:rsid w:val="00B80E07"/>
    <w:rsid w:val="00B811A3"/>
    <w:rsid w:val="00B8120D"/>
    <w:rsid w:val="00B812C2"/>
    <w:rsid w:val="00B816EE"/>
    <w:rsid w:val="00B819EC"/>
    <w:rsid w:val="00B81D63"/>
    <w:rsid w:val="00B81E3A"/>
    <w:rsid w:val="00B81F5E"/>
    <w:rsid w:val="00B826F9"/>
    <w:rsid w:val="00B83063"/>
    <w:rsid w:val="00B83AE3"/>
    <w:rsid w:val="00B83DA8"/>
    <w:rsid w:val="00B84103"/>
    <w:rsid w:val="00B8479E"/>
    <w:rsid w:val="00B847D6"/>
    <w:rsid w:val="00B84C90"/>
    <w:rsid w:val="00B84CE2"/>
    <w:rsid w:val="00B84DE7"/>
    <w:rsid w:val="00B8574D"/>
    <w:rsid w:val="00B85A16"/>
    <w:rsid w:val="00B85A85"/>
    <w:rsid w:val="00B85AED"/>
    <w:rsid w:val="00B85E0C"/>
    <w:rsid w:val="00B85EE8"/>
    <w:rsid w:val="00B85FF7"/>
    <w:rsid w:val="00B8627A"/>
    <w:rsid w:val="00B865B9"/>
    <w:rsid w:val="00B86DF7"/>
    <w:rsid w:val="00B86ED2"/>
    <w:rsid w:val="00B870F4"/>
    <w:rsid w:val="00B87371"/>
    <w:rsid w:val="00B8740E"/>
    <w:rsid w:val="00B87627"/>
    <w:rsid w:val="00B876BA"/>
    <w:rsid w:val="00B87BB7"/>
    <w:rsid w:val="00B90076"/>
    <w:rsid w:val="00B903AF"/>
    <w:rsid w:val="00B903E1"/>
    <w:rsid w:val="00B90531"/>
    <w:rsid w:val="00B90E53"/>
    <w:rsid w:val="00B91D64"/>
    <w:rsid w:val="00B92299"/>
    <w:rsid w:val="00B92707"/>
    <w:rsid w:val="00B929D0"/>
    <w:rsid w:val="00B92E03"/>
    <w:rsid w:val="00B93356"/>
    <w:rsid w:val="00B943F5"/>
    <w:rsid w:val="00B945FA"/>
    <w:rsid w:val="00B94A72"/>
    <w:rsid w:val="00B94CA6"/>
    <w:rsid w:val="00B94F2E"/>
    <w:rsid w:val="00B94FD6"/>
    <w:rsid w:val="00B953AC"/>
    <w:rsid w:val="00B953E2"/>
    <w:rsid w:val="00B956BB"/>
    <w:rsid w:val="00B956D1"/>
    <w:rsid w:val="00B95D90"/>
    <w:rsid w:val="00B95FB4"/>
    <w:rsid w:val="00B9622C"/>
    <w:rsid w:val="00B964C7"/>
    <w:rsid w:val="00B965B8"/>
    <w:rsid w:val="00B9689D"/>
    <w:rsid w:val="00B97337"/>
    <w:rsid w:val="00B978A3"/>
    <w:rsid w:val="00B97930"/>
    <w:rsid w:val="00BA02E4"/>
    <w:rsid w:val="00BA0430"/>
    <w:rsid w:val="00BA052A"/>
    <w:rsid w:val="00BA0923"/>
    <w:rsid w:val="00BA0A8B"/>
    <w:rsid w:val="00BA0BB2"/>
    <w:rsid w:val="00BA112D"/>
    <w:rsid w:val="00BA1974"/>
    <w:rsid w:val="00BA1D67"/>
    <w:rsid w:val="00BA1EAF"/>
    <w:rsid w:val="00BA1EFB"/>
    <w:rsid w:val="00BA21B3"/>
    <w:rsid w:val="00BA271E"/>
    <w:rsid w:val="00BA2734"/>
    <w:rsid w:val="00BA2A29"/>
    <w:rsid w:val="00BA2DAF"/>
    <w:rsid w:val="00BA2DE6"/>
    <w:rsid w:val="00BA3A11"/>
    <w:rsid w:val="00BA3EA5"/>
    <w:rsid w:val="00BA4DB9"/>
    <w:rsid w:val="00BA4DE6"/>
    <w:rsid w:val="00BA4DF0"/>
    <w:rsid w:val="00BA52F4"/>
    <w:rsid w:val="00BA5D9D"/>
    <w:rsid w:val="00BA5E3F"/>
    <w:rsid w:val="00BA6252"/>
    <w:rsid w:val="00BA6306"/>
    <w:rsid w:val="00BA649B"/>
    <w:rsid w:val="00BA6508"/>
    <w:rsid w:val="00BA6891"/>
    <w:rsid w:val="00BA7331"/>
    <w:rsid w:val="00BA74A4"/>
    <w:rsid w:val="00BA74AF"/>
    <w:rsid w:val="00BA77DE"/>
    <w:rsid w:val="00BA78A5"/>
    <w:rsid w:val="00BA7B3A"/>
    <w:rsid w:val="00BA7DBC"/>
    <w:rsid w:val="00BA7DE6"/>
    <w:rsid w:val="00BB087B"/>
    <w:rsid w:val="00BB0D40"/>
    <w:rsid w:val="00BB1007"/>
    <w:rsid w:val="00BB1202"/>
    <w:rsid w:val="00BB1441"/>
    <w:rsid w:val="00BB1486"/>
    <w:rsid w:val="00BB1519"/>
    <w:rsid w:val="00BB157E"/>
    <w:rsid w:val="00BB159D"/>
    <w:rsid w:val="00BB15D5"/>
    <w:rsid w:val="00BB168B"/>
    <w:rsid w:val="00BB1708"/>
    <w:rsid w:val="00BB1A27"/>
    <w:rsid w:val="00BB1BA1"/>
    <w:rsid w:val="00BB1EDA"/>
    <w:rsid w:val="00BB1F29"/>
    <w:rsid w:val="00BB2224"/>
    <w:rsid w:val="00BB24BF"/>
    <w:rsid w:val="00BB27B1"/>
    <w:rsid w:val="00BB29D0"/>
    <w:rsid w:val="00BB2A9D"/>
    <w:rsid w:val="00BB2B08"/>
    <w:rsid w:val="00BB2DA7"/>
    <w:rsid w:val="00BB2F1E"/>
    <w:rsid w:val="00BB3426"/>
    <w:rsid w:val="00BB389D"/>
    <w:rsid w:val="00BB397A"/>
    <w:rsid w:val="00BB3D8E"/>
    <w:rsid w:val="00BB3FA7"/>
    <w:rsid w:val="00BB45F5"/>
    <w:rsid w:val="00BB47EB"/>
    <w:rsid w:val="00BB51AE"/>
    <w:rsid w:val="00BB5367"/>
    <w:rsid w:val="00BB57ED"/>
    <w:rsid w:val="00BB58F3"/>
    <w:rsid w:val="00BB5996"/>
    <w:rsid w:val="00BB5CBB"/>
    <w:rsid w:val="00BB5E3E"/>
    <w:rsid w:val="00BB5EC1"/>
    <w:rsid w:val="00BB5FE7"/>
    <w:rsid w:val="00BB66DA"/>
    <w:rsid w:val="00BB6758"/>
    <w:rsid w:val="00BB692B"/>
    <w:rsid w:val="00BB6C0B"/>
    <w:rsid w:val="00BB6D22"/>
    <w:rsid w:val="00BB7223"/>
    <w:rsid w:val="00BB73B2"/>
    <w:rsid w:val="00BB7904"/>
    <w:rsid w:val="00BB797C"/>
    <w:rsid w:val="00BB79DD"/>
    <w:rsid w:val="00BB7A7C"/>
    <w:rsid w:val="00BB7D4F"/>
    <w:rsid w:val="00BC001F"/>
    <w:rsid w:val="00BC0040"/>
    <w:rsid w:val="00BC046B"/>
    <w:rsid w:val="00BC0672"/>
    <w:rsid w:val="00BC06DA"/>
    <w:rsid w:val="00BC0E61"/>
    <w:rsid w:val="00BC13E4"/>
    <w:rsid w:val="00BC1669"/>
    <w:rsid w:val="00BC1874"/>
    <w:rsid w:val="00BC1C9E"/>
    <w:rsid w:val="00BC1EB5"/>
    <w:rsid w:val="00BC208A"/>
    <w:rsid w:val="00BC25C3"/>
    <w:rsid w:val="00BC2B27"/>
    <w:rsid w:val="00BC2B6C"/>
    <w:rsid w:val="00BC2CBF"/>
    <w:rsid w:val="00BC2F32"/>
    <w:rsid w:val="00BC32C4"/>
    <w:rsid w:val="00BC363E"/>
    <w:rsid w:val="00BC3912"/>
    <w:rsid w:val="00BC399A"/>
    <w:rsid w:val="00BC3A70"/>
    <w:rsid w:val="00BC3ECC"/>
    <w:rsid w:val="00BC4B93"/>
    <w:rsid w:val="00BC4D1E"/>
    <w:rsid w:val="00BC545B"/>
    <w:rsid w:val="00BC5705"/>
    <w:rsid w:val="00BC59C4"/>
    <w:rsid w:val="00BC5B59"/>
    <w:rsid w:val="00BC5E4C"/>
    <w:rsid w:val="00BC6457"/>
    <w:rsid w:val="00BC694C"/>
    <w:rsid w:val="00BC695E"/>
    <w:rsid w:val="00BC69B6"/>
    <w:rsid w:val="00BC7750"/>
    <w:rsid w:val="00BC7D68"/>
    <w:rsid w:val="00BC7F17"/>
    <w:rsid w:val="00BD00D5"/>
    <w:rsid w:val="00BD01E3"/>
    <w:rsid w:val="00BD0534"/>
    <w:rsid w:val="00BD0BBA"/>
    <w:rsid w:val="00BD0BD9"/>
    <w:rsid w:val="00BD1015"/>
    <w:rsid w:val="00BD11A4"/>
    <w:rsid w:val="00BD1431"/>
    <w:rsid w:val="00BD1703"/>
    <w:rsid w:val="00BD182C"/>
    <w:rsid w:val="00BD23B9"/>
    <w:rsid w:val="00BD253A"/>
    <w:rsid w:val="00BD2DD3"/>
    <w:rsid w:val="00BD3392"/>
    <w:rsid w:val="00BD376A"/>
    <w:rsid w:val="00BD3851"/>
    <w:rsid w:val="00BD3AC0"/>
    <w:rsid w:val="00BD3B94"/>
    <w:rsid w:val="00BD3C09"/>
    <w:rsid w:val="00BD43CD"/>
    <w:rsid w:val="00BD479F"/>
    <w:rsid w:val="00BD4AD6"/>
    <w:rsid w:val="00BD4E89"/>
    <w:rsid w:val="00BD516D"/>
    <w:rsid w:val="00BD52F7"/>
    <w:rsid w:val="00BD5479"/>
    <w:rsid w:val="00BD5DFD"/>
    <w:rsid w:val="00BD5F68"/>
    <w:rsid w:val="00BD5FE7"/>
    <w:rsid w:val="00BD74F8"/>
    <w:rsid w:val="00BD7B5B"/>
    <w:rsid w:val="00BD7F0D"/>
    <w:rsid w:val="00BE0078"/>
    <w:rsid w:val="00BE02CA"/>
    <w:rsid w:val="00BE036B"/>
    <w:rsid w:val="00BE0564"/>
    <w:rsid w:val="00BE0669"/>
    <w:rsid w:val="00BE09D3"/>
    <w:rsid w:val="00BE119A"/>
    <w:rsid w:val="00BE12EB"/>
    <w:rsid w:val="00BE13B4"/>
    <w:rsid w:val="00BE15EF"/>
    <w:rsid w:val="00BE1748"/>
    <w:rsid w:val="00BE1769"/>
    <w:rsid w:val="00BE1772"/>
    <w:rsid w:val="00BE18CB"/>
    <w:rsid w:val="00BE19D0"/>
    <w:rsid w:val="00BE242C"/>
    <w:rsid w:val="00BE2819"/>
    <w:rsid w:val="00BE2924"/>
    <w:rsid w:val="00BE2B70"/>
    <w:rsid w:val="00BE2BAC"/>
    <w:rsid w:val="00BE2C66"/>
    <w:rsid w:val="00BE2D68"/>
    <w:rsid w:val="00BE2E56"/>
    <w:rsid w:val="00BE325E"/>
    <w:rsid w:val="00BE3682"/>
    <w:rsid w:val="00BE4511"/>
    <w:rsid w:val="00BE4789"/>
    <w:rsid w:val="00BE4C55"/>
    <w:rsid w:val="00BE4CA3"/>
    <w:rsid w:val="00BE5112"/>
    <w:rsid w:val="00BE5181"/>
    <w:rsid w:val="00BE5566"/>
    <w:rsid w:val="00BE579A"/>
    <w:rsid w:val="00BE5843"/>
    <w:rsid w:val="00BE5BDD"/>
    <w:rsid w:val="00BE6217"/>
    <w:rsid w:val="00BE65B4"/>
    <w:rsid w:val="00BE6738"/>
    <w:rsid w:val="00BE682E"/>
    <w:rsid w:val="00BE6C36"/>
    <w:rsid w:val="00BE6CC7"/>
    <w:rsid w:val="00BE6D0F"/>
    <w:rsid w:val="00BE6D9A"/>
    <w:rsid w:val="00BE71E1"/>
    <w:rsid w:val="00BE786B"/>
    <w:rsid w:val="00BE7E7C"/>
    <w:rsid w:val="00BF01AD"/>
    <w:rsid w:val="00BF0490"/>
    <w:rsid w:val="00BF0904"/>
    <w:rsid w:val="00BF0952"/>
    <w:rsid w:val="00BF0B10"/>
    <w:rsid w:val="00BF0CD9"/>
    <w:rsid w:val="00BF0F87"/>
    <w:rsid w:val="00BF10C8"/>
    <w:rsid w:val="00BF1528"/>
    <w:rsid w:val="00BF195B"/>
    <w:rsid w:val="00BF1970"/>
    <w:rsid w:val="00BF1BD6"/>
    <w:rsid w:val="00BF1D32"/>
    <w:rsid w:val="00BF1DF4"/>
    <w:rsid w:val="00BF21CB"/>
    <w:rsid w:val="00BF22DF"/>
    <w:rsid w:val="00BF2504"/>
    <w:rsid w:val="00BF2521"/>
    <w:rsid w:val="00BF25E4"/>
    <w:rsid w:val="00BF2A7A"/>
    <w:rsid w:val="00BF2B60"/>
    <w:rsid w:val="00BF2FFF"/>
    <w:rsid w:val="00BF323C"/>
    <w:rsid w:val="00BF337C"/>
    <w:rsid w:val="00BF33CC"/>
    <w:rsid w:val="00BF341C"/>
    <w:rsid w:val="00BF3ADC"/>
    <w:rsid w:val="00BF3B6E"/>
    <w:rsid w:val="00BF3C9D"/>
    <w:rsid w:val="00BF3DF1"/>
    <w:rsid w:val="00BF3E42"/>
    <w:rsid w:val="00BF45DF"/>
    <w:rsid w:val="00BF49BB"/>
    <w:rsid w:val="00BF4A56"/>
    <w:rsid w:val="00BF5797"/>
    <w:rsid w:val="00BF5DD2"/>
    <w:rsid w:val="00BF633E"/>
    <w:rsid w:val="00BF63EF"/>
    <w:rsid w:val="00BF64A2"/>
    <w:rsid w:val="00BF6653"/>
    <w:rsid w:val="00BF6AF0"/>
    <w:rsid w:val="00BF6CE5"/>
    <w:rsid w:val="00BF6DB8"/>
    <w:rsid w:val="00BF6E57"/>
    <w:rsid w:val="00BF6EFE"/>
    <w:rsid w:val="00BF7401"/>
    <w:rsid w:val="00BF7736"/>
    <w:rsid w:val="00BF77DA"/>
    <w:rsid w:val="00BF79F4"/>
    <w:rsid w:val="00BF7C00"/>
    <w:rsid w:val="00C001D6"/>
    <w:rsid w:val="00C00263"/>
    <w:rsid w:val="00C002ED"/>
    <w:rsid w:val="00C007DA"/>
    <w:rsid w:val="00C009B5"/>
    <w:rsid w:val="00C00A23"/>
    <w:rsid w:val="00C00D1B"/>
    <w:rsid w:val="00C01115"/>
    <w:rsid w:val="00C01261"/>
    <w:rsid w:val="00C0156E"/>
    <w:rsid w:val="00C0168A"/>
    <w:rsid w:val="00C01963"/>
    <w:rsid w:val="00C01B82"/>
    <w:rsid w:val="00C01E44"/>
    <w:rsid w:val="00C025E5"/>
    <w:rsid w:val="00C03331"/>
    <w:rsid w:val="00C038F2"/>
    <w:rsid w:val="00C03A9B"/>
    <w:rsid w:val="00C043AD"/>
    <w:rsid w:val="00C046DC"/>
    <w:rsid w:val="00C048A7"/>
    <w:rsid w:val="00C04DB6"/>
    <w:rsid w:val="00C04EA3"/>
    <w:rsid w:val="00C05682"/>
    <w:rsid w:val="00C058E4"/>
    <w:rsid w:val="00C059F3"/>
    <w:rsid w:val="00C05B38"/>
    <w:rsid w:val="00C05BAC"/>
    <w:rsid w:val="00C060D0"/>
    <w:rsid w:val="00C06352"/>
    <w:rsid w:val="00C06403"/>
    <w:rsid w:val="00C0656A"/>
    <w:rsid w:val="00C065BB"/>
    <w:rsid w:val="00C069E3"/>
    <w:rsid w:val="00C069FB"/>
    <w:rsid w:val="00C06B0D"/>
    <w:rsid w:val="00C06C1F"/>
    <w:rsid w:val="00C06D3E"/>
    <w:rsid w:val="00C07285"/>
    <w:rsid w:val="00C07375"/>
    <w:rsid w:val="00C101AB"/>
    <w:rsid w:val="00C1036B"/>
    <w:rsid w:val="00C10514"/>
    <w:rsid w:val="00C1062B"/>
    <w:rsid w:val="00C10663"/>
    <w:rsid w:val="00C10705"/>
    <w:rsid w:val="00C10C36"/>
    <w:rsid w:val="00C10C80"/>
    <w:rsid w:val="00C10DB2"/>
    <w:rsid w:val="00C11014"/>
    <w:rsid w:val="00C1104A"/>
    <w:rsid w:val="00C11438"/>
    <w:rsid w:val="00C11488"/>
    <w:rsid w:val="00C12050"/>
    <w:rsid w:val="00C125CE"/>
    <w:rsid w:val="00C12CD9"/>
    <w:rsid w:val="00C12D3D"/>
    <w:rsid w:val="00C12DA5"/>
    <w:rsid w:val="00C12E45"/>
    <w:rsid w:val="00C13187"/>
    <w:rsid w:val="00C133F3"/>
    <w:rsid w:val="00C13678"/>
    <w:rsid w:val="00C13725"/>
    <w:rsid w:val="00C13987"/>
    <w:rsid w:val="00C13AC6"/>
    <w:rsid w:val="00C13F60"/>
    <w:rsid w:val="00C141A0"/>
    <w:rsid w:val="00C14590"/>
    <w:rsid w:val="00C1468A"/>
    <w:rsid w:val="00C14767"/>
    <w:rsid w:val="00C14A99"/>
    <w:rsid w:val="00C14C3D"/>
    <w:rsid w:val="00C14FEB"/>
    <w:rsid w:val="00C156B9"/>
    <w:rsid w:val="00C158F7"/>
    <w:rsid w:val="00C15A05"/>
    <w:rsid w:val="00C162EB"/>
    <w:rsid w:val="00C1631E"/>
    <w:rsid w:val="00C1636F"/>
    <w:rsid w:val="00C163C9"/>
    <w:rsid w:val="00C16855"/>
    <w:rsid w:val="00C16862"/>
    <w:rsid w:val="00C16B3F"/>
    <w:rsid w:val="00C16F9D"/>
    <w:rsid w:val="00C17137"/>
    <w:rsid w:val="00C17244"/>
    <w:rsid w:val="00C17882"/>
    <w:rsid w:val="00C179C6"/>
    <w:rsid w:val="00C17B4F"/>
    <w:rsid w:val="00C17F60"/>
    <w:rsid w:val="00C2003D"/>
    <w:rsid w:val="00C20566"/>
    <w:rsid w:val="00C209E0"/>
    <w:rsid w:val="00C20A43"/>
    <w:rsid w:val="00C20E20"/>
    <w:rsid w:val="00C219DB"/>
    <w:rsid w:val="00C21A6E"/>
    <w:rsid w:val="00C220B0"/>
    <w:rsid w:val="00C221FF"/>
    <w:rsid w:val="00C22293"/>
    <w:rsid w:val="00C2303C"/>
    <w:rsid w:val="00C23084"/>
    <w:rsid w:val="00C231C1"/>
    <w:rsid w:val="00C23368"/>
    <w:rsid w:val="00C23A96"/>
    <w:rsid w:val="00C23EE9"/>
    <w:rsid w:val="00C241EC"/>
    <w:rsid w:val="00C24222"/>
    <w:rsid w:val="00C24389"/>
    <w:rsid w:val="00C247A2"/>
    <w:rsid w:val="00C247FD"/>
    <w:rsid w:val="00C24822"/>
    <w:rsid w:val="00C248B9"/>
    <w:rsid w:val="00C24B4B"/>
    <w:rsid w:val="00C24D55"/>
    <w:rsid w:val="00C24E49"/>
    <w:rsid w:val="00C24E56"/>
    <w:rsid w:val="00C2518B"/>
    <w:rsid w:val="00C25978"/>
    <w:rsid w:val="00C25992"/>
    <w:rsid w:val="00C25C1A"/>
    <w:rsid w:val="00C25D84"/>
    <w:rsid w:val="00C25F40"/>
    <w:rsid w:val="00C26045"/>
    <w:rsid w:val="00C260AC"/>
    <w:rsid w:val="00C26447"/>
    <w:rsid w:val="00C26566"/>
    <w:rsid w:val="00C2679D"/>
    <w:rsid w:val="00C268A8"/>
    <w:rsid w:val="00C269CC"/>
    <w:rsid w:val="00C26CEC"/>
    <w:rsid w:val="00C26EBA"/>
    <w:rsid w:val="00C26F5D"/>
    <w:rsid w:val="00C273CA"/>
    <w:rsid w:val="00C278B2"/>
    <w:rsid w:val="00C27A8A"/>
    <w:rsid w:val="00C27C66"/>
    <w:rsid w:val="00C27CA0"/>
    <w:rsid w:val="00C27E3B"/>
    <w:rsid w:val="00C3056F"/>
    <w:rsid w:val="00C30E88"/>
    <w:rsid w:val="00C31268"/>
    <w:rsid w:val="00C3158A"/>
    <w:rsid w:val="00C31670"/>
    <w:rsid w:val="00C317FF"/>
    <w:rsid w:val="00C3191D"/>
    <w:rsid w:val="00C31ABD"/>
    <w:rsid w:val="00C31EF9"/>
    <w:rsid w:val="00C31FD7"/>
    <w:rsid w:val="00C32149"/>
    <w:rsid w:val="00C3237C"/>
    <w:rsid w:val="00C32393"/>
    <w:rsid w:val="00C32A03"/>
    <w:rsid w:val="00C32FA9"/>
    <w:rsid w:val="00C330B1"/>
    <w:rsid w:val="00C331F6"/>
    <w:rsid w:val="00C33229"/>
    <w:rsid w:val="00C33242"/>
    <w:rsid w:val="00C33243"/>
    <w:rsid w:val="00C333A1"/>
    <w:rsid w:val="00C33B9A"/>
    <w:rsid w:val="00C340B7"/>
    <w:rsid w:val="00C34201"/>
    <w:rsid w:val="00C3431D"/>
    <w:rsid w:val="00C3442D"/>
    <w:rsid w:val="00C3463C"/>
    <w:rsid w:val="00C34C99"/>
    <w:rsid w:val="00C3501E"/>
    <w:rsid w:val="00C350A0"/>
    <w:rsid w:val="00C3570F"/>
    <w:rsid w:val="00C35E09"/>
    <w:rsid w:val="00C3655E"/>
    <w:rsid w:val="00C36705"/>
    <w:rsid w:val="00C368A4"/>
    <w:rsid w:val="00C36DF5"/>
    <w:rsid w:val="00C36F84"/>
    <w:rsid w:val="00C37127"/>
    <w:rsid w:val="00C3722F"/>
    <w:rsid w:val="00C37392"/>
    <w:rsid w:val="00C37983"/>
    <w:rsid w:val="00C37E24"/>
    <w:rsid w:val="00C4061A"/>
    <w:rsid w:val="00C40B3C"/>
    <w:rsid w:val="00C40FD4"/>
    <w:rsid w:val="00C414FB"/>
    <w:rsid w:val="00C416FA"/>
    <w:rsid w:val="00C41FA3"/>
    <w:rsid w:val="00C42101"/>
    <w:rsid w:val="00C421CD"/>
    <w:rsid w:val="00C4258C"/>
    <w:rsid w:val="00C42C85"/>
    <w:rsid w:val="00C42C96"/>
    <w:rsid w:val="00C4363E"/>
    <w:rsid w:val="00C43643"/>
    <w:rsid w:val="00C4364F"/>
    <w:rsid w:val="00C43699"/>
    <w:rsid w:val="00C439AF"/>
    <w:rsid w:val="00C43B2F"/>
    <w:rsid w:val="00C43D01"/>
    <w:rsid w:val="00C4440D"/>
    <w:rsid w:val="00C4475A"/>
    <w:rsid w:val="00C448C1"/>
    <w:rsid w:val="00C44AF3"/>
    <w:rsid w:val="00C44AF8"/>
    <w:rsid w:val="00C44BB9"/>
    <w:rsid w:val="00C44CF8"/>
    <w:rsid w:val="00C44D51"/>
    <w:rsid w:val="00C44D6C"/>
    <w:rsid w:val="00C45225"/>
    <w:rsid w:val="00C45BE9"/>
    <w:rsid w:val="00C45CFE"/>
    <w:rsid w:val="00C45DC5"/>
    <w:rsid w:val="00C46285"/>
    <w:rsid w:val="00C46463"/>
    <w:rsid w:val="00C4695E"/>
    <w:rsid w:val="00C46D81"/>
    <w:rsid w:val="00C46DDE"/>
    <w:rsid w:val="00C472FA"/>
    <w:rsid w:val="00C47327"/>
    <w:rsid w:val="00C47401"/>
    <w:rsid w:val="00C476B4"/>
    <w:rsid w:val="00C478F1"/>
    <w:rsid w:val="00C47912"/>
    <w:rsid w:val="00C47D92"/>
    <w:rsid w:val="00C47EC3"/>
    <w:rsid w:val="00C504F6"/>
    <w:rsid w:val="00C506A3"/>
    <w:rsid w:val="00C508D9"/>
    <w:rsid w:val="00C50B77"/>
    <w:rsid w:val="00C50D5B"/>
    <w:rsid w:val="00C510C6"/>
    <w:rsid w:val="00C510F8"/>
    <w:rsid w:val="00C5117B"/>
    <w:rsid w:val="00C51727"/>
    <w:rsid w:val="00C51981"/>
    <w:rsid w:val="00C51A68"/>
    <w:rsid w:val="00C51DC0"/>
    <w:rsid w:val="00C5210C"/>
    <w:rsid w:val="00C52477"/>
    <w:rsid w:val="00C52878"/>
    <w:rsid w:val="00C52932"/>
    <w:rsid w:val="00C52F46"/>
    <w:rsid w:val="00C532BD"/>
    <w:rsid w:val="00C53488"/>
    <w:rsid w:val="00C53774"/>
    <w:rsid w:val="00C53788"/>
    <w:rsid w:val="00C53DC5"/>
    <w:rsid w:val="00C54548"/>
    <w:rsid w:val="00C54C57"/>
    <w:rsid w:val="00C55323"/>
    <w:rsid w:val="00C55748"/>
    <w:rsid w:val="00C55A2D"/>
    <w:rsid w:val="00C55DCA"/>
    <w:rsid w:val="00C55E6C"/>
    <w:rsid w:val="00C55EE4"/>
    <w:rsid w:val="00C560C3"/>
    <w:rsid w:val="00C562E2"/>
    <w:rsid w:val="00C5668B"/>
    <w:rsid w:val="00C56A28"/>
    <w:rsid w:val="00C56F3B"/>
    <w:rsid w:val="00C570A8"/>
    <w:rsid w:val="00C5731E"/>
    <w:rsid w:val="00C57382"/>
    <w:rsid w:val="00C57863"/>
    <w:rsid w:val="00C57AAB"/>
    <w:rsid w:val="00C57F27"/>
    <w:rsid w:val="00C6004D"/>
    <w:rsid w:val="00C60563"/>
    <w:rsid w:val="00C60713"/>
    <w:rsid w:val="00C60C3D"/>
    <w:rsid w:val="00C60E2D"/>
    <w:rsid w:val="00C60FCE"/>
    <w:rsid w:val="00C61481"/>
    <w:rsid w:val="00C61631"/>
    <w:rsid w:val="00C616CE"/>
    <w:rsid w:val="00C61B6D"/>
    <w:rsid w:val="00C61CB6"/>
    <w:rsid w:val="00C61F26"/>
    <w:rsid w:val="00C62142"/>
    <w:rsid w:val="00C6227C"/>
    <w:rsid w:val="00C625E4"/>
    <w:rsid w:val="00C62BA7"/>
    <w:rsid w:val="00C62E5A"/>
    <w:rsid w:val="00C62F43"/>
    <w:rsid w:val="00C630B8"/>
    <w:rsid w:val="00C63334"/>
    <w:rsid w:val="00C63602"/>
    <w:rsid w:val="00C63722"/>
    <w:rsid w:val="00C638C3"/>
    <w:rsid w:val="00C63DC1"/>
    <w:rsid w:val="00C64149"/>
    <w:rsid w:val="00C64292"/>
    <w:rsid w:val="00C64DC8"/>
    <w:rsid w:val="00C6512C"/>
    <w:rsid w:val="00C65156"/>
    <w:rsid w:val="00C655E7"/>
    <w:rsid w:val="00C659EA"/>
    <w:rsid w:val="00C65A5E"/>
    <w:rsid w:val="00C66021"/>
    <w:rsid w:val="00C66437"/>
    <w:rsid w:val="00C66F19"/>
    <w:rsid w:val="00C67251"/>
    <w:rsid w:val="00C67593"/>
    <w:rsid w:val="00C67C68"/>
    <w:rsid w:val="00C67D41"/>
    <w:rsid w:val="00C67ED4"/>
    <w:rsid w:val="00C70524"/>
    <w:rsid w:val="00C7056D"/>
    <w:rsid w:val="00C7121E"/>
    <w:rsid w:val="00C713B7"/>
    <w:rsid w:val="00C71450"/>
    <w:rsid w:val="00C71562"/>
    <w:rsid w:val="00C71778"/>
    <w:rsid w:val="00C71865"/>
    <w:rsid w:val="00C71BF1"/>
    <w:rsid w:val="00C71DB8"/>
    <w:rsid w:val="00C71EB7"/>
    <w:rsid w:val="00C71EBA"/>
    <w:rsid w:val="00C71F4C"/>
    <w:rsid w:val="00C720B7"/>
    <w:rsid w:val="00C720E1"/>
    <w:rsid w:val="00C72497"/>
    <w:rsid w:val="00C72795"/>
    <w:rsid w:val="00C72CF4"/>
    <w:rsid w:val="00C72EEC"/>
    <w:rsid w:val="00C7316D"/>
    <w:rsid w:val="00C735BB"/>
    <w:rsid w:val="00C73815"/>
    <w:rsid w:val="00C73C05"/>
    <w:rsid w:val="00C7455A"/>
    <w:rsid w:val="00C745CE"/>
    <w:rsid w:val="00C7491A"/>
    <w:rsid w:val="00C74A5E"/>
    <w:rsid w:val="00C74B39"/>
    <w:rsid w:val="00C74C9C"/>
    <w:rsid w:val="00C74DAE"/>
    <w:rsid w:val="00C751D3"/>
    <w:rsid w:val="00C754CF"/>
    <w:rsid w:val="00C75584"/>
    <w:rsid w:val="00C7597C"/>
    <w:rsid w:val="00C75987"/>
    <w:rsid w:val="00C7599A"/>
    <w:rsid w:val="00C75A03"/>
    <w:rsid w:val="00C75D2F"/>
    <w:rsid w:val="00C75D84"/>
    <w:rsid w:val="00C7631B"/>
    <w:rsid w:val="00C765E2"/>
    <w:rsid w:val="00C76829"/>
    <w:rsid w:val="00C76890"/>
    <w:rsid w:val="00C76EDA"/>
    <w:rsid w:val="00C771CB"/>
    <w:rsid w:val="00C775F8"/>
    <w:rsid w:val="00C77D02"/>
    <w:rsid w:val="00C77D08"/>
    <w:rsid w:val="00C77F55"/>
    <w:rsid w:val="00C80491"/>
    <w:rsid w:val="00C806EB"/>
    <w:rsid w:val="00C80796"/>
    <w:rsid w:val="00C80824"/>
    <w:rsid w:val="00C8082A"/>
    <w:rsid w:val="00C80963"/>
    <w:rsid w:val="00C80FF4"/>
    <w:rsid w:val="00C8115C"/>
    <w:rsid w:val="00C8143A"/>
    <w:rsid w:val="00C8154A"/>
    <w:rsid w:val="00C81AD3"/>
    <w:rsid w:val="00C81B9E"/>
    <w:rsid w:val="00C8209D"/>
    <w:rsid w:val="00C82741"/>
    <w:rsid w:val="00C82CE1"/>
    <w:rsid w:val="00C82FAD"/>
    <w:rsid w:val="00C8346B"/>
    <w:rsid w:val="00C834F8"/>
    <w:rsid w:val="00C8397E"/>
    <w:rsid w:val="00C83AB2"/>
    <w:rsid w:val="00C83FDB"/>
    <w:rsid w:val="00C85033"/>
    <w:rsid w:val="00C8558E"/>
    <w:rsid w:val="00C856C2"/>
    <w:rsid w:val="00C857B1"/>
    <w:rsid w:val="00C857BD"/>
    <w:rsid w:val="00C85FBA"/>
    <w:rsid w:val="00C865A0"/>
    <w:rsid w:val="00C86AD1"/>
    <w:rsid w:val="00C86C33"/>
    <w:rsid w:val="00C86F69"/>
    <w:rsid w:val="00C875B8"/>
    <w:rsid w:val="00C877CC"/>
    <w:rsid w:val="00C87807"/>
    <w:rsid w:val="00C87821"/>
    <w:rsid w:val="00C87831"/>
    <w:rsid w:val="00C87AE4"/>
    <w:rsid w:val="00C87C7D"/>
    <w:rsid w:val="00C87D8C"/>
    <w:rsid w:val="00C87E9E"/>
    <w:rsid w:val="00C9039E"/>
    <w:rsid w:val="00C9054B"/>
    <w:rsid w:val="00C90A96"/>
    <w:rsid w:val="00C90B21"/>
    <w:rsid w:val="00C90F9F"/>
    <w:rsid w:val="00C910AA"/>
    <w:rsid w:val="00C912F8"/>
    <w:rsid w:val="00C91589"/>
    <w:rsid w:val="00C916B5"/>
    <w:rsid w:val="00C9183A"/>
    <w:rsid w:val="00C919E0"/>
    <w:rsid w:val="00C91B19"/>
    <w:rsid w:val="00C92154"/>
    <w:rsid w:val="00C92276"/>
    <w:rsid w:val="00C92AB8"/>
    <w:rsid w:val="00C92C7C"/>
    <w:rsid w:val="00C92D4A"/>
    <w:rsid w:val="00C92DB7"/>
    <w:rsid w:val="00C93156"/>
    <w:rsid w:val="00C931BB"/>
    <w:rsid w:val="00C931F4"/>
    <w:rsid w:val="00C935AC"/>
    <w:rsid w:val="00C936A6"/>
    <w:rsid w:val="00C937DC"/>
    <w:rsid w:val="00C93D17"/>
    <w:rsid w:val="00C93D60"/>
    <w:rsid w:val="00C93EE7"/>
    <w:rsid w:val="00C93EFC"/>
    <w:rsid w:val="00C941CC"/>
    <w:rsid w:val="00C94229"/>
    <w:rsid w:val="00C948F6"/>
    <w:rsid w:val="00C94C98"/>
    <w:rsid w:val="00C95F21"/>
    <w:rsid w:val="00C965CD"/>
    <w:rsid w:val="00C96651"/>
    <w:rsid w:val="00C96843"/>
    <w:rsid w:val="00C96A8B"/>
    <w:rsid w:val="00C96AB2"/>
    <w:rsid w:val="00C96B13"/>
    <w:rsid w:val="00C96C54"/>
    <w:rsid w:val="00C96E3A"/>
    <w:rsid w:val="00C971AF"/>
    <w:rsid w:val="00C977C0"/>
    <w:rsid w:val="00C979E6"/>
    <w:rsid w:val="00C97B74"/>
    <w:rsid w:val="00C97BA9"/>
    <w:rsid w:val="00C97EFB"/>
    <w:rsid w:val="00CA03F3"/>
    <w:rsid w:val="00CA07F9"/>
    <w:rsid w:val="00CA0959"/>
    <w:rsid w:val="00CA0BAD"/>
    <w:rsid w:val="00CA0DF5"/>
    <w:rsid w:val="00CA0E56"/>
    <w:rsid w:val="00CA1161"/>
    <w:rsid w:val="00CA1248"/>
    <w:rsid w:val="00CA12D3"/>
    <w:rsid w:val="00CA1DCC"/>
    <w:rsid w:val="00CA223C"/>
    <w:rsid w:val="00CA27CA"/>
    <w:rsid w:val="00CA2C2C"/>
    <w:rsid w:val="00CA3012"/>
    <w:rsid w:val="00CA31A0"/>
    <w:rsid w:val="00CA321E"/>
    <w:rsid w:val="00CA32F6"/>
    <w:rsid w:val="00CA334B"/>
    <w:rsid w:val="00CA360F"/>
    <w:rsid w:val="00CA37C7"/>
    <w:rsid w:val="00CA3ECF"/>
    <w:rsid w:val="00CA3FC7"/>
    <w:rsid w:val="00CA4AE2"/>
    <w:rsid w:val="00CA4C1D"/>
    <w:rsid w:val="00CA53A0"/>
    <w:rsid w:val="00CA55E8"/>
    <w:rsid w:val="00CA58E0"/>
    <w:rsid w:val="00CA5BE5"/>
    <w:rsid w:val="00CA61CE"/>
    <w:rsid w:val="00CA62CA"/>
    <w:rsid w:val="00CA6767"/>
    <w:rsid w:val="00CA691F"/>
    <w:rsid w:val="00CA6D7D"/>
    <w:rsid w:val="00CA7658"/>
    <w:rsid w:val="00CA7908"/>
    <w:rsid w:val="00CA79F5"/>
    <w:rsid w:val="00CA7A25"/>
    <w:rsid w:val="00CA7C2A"/>
    <w:rsid w:val="00CB0178"/>
    <w:rsid w:val="00CB0639"/>
    <w:rsid w:val="00CB0A5A"/>
    <w:rsid w:val="00CB0C9B"/>
    <w:rsid w:val="00CB1135"/>
    <w:rsid w:val="00CB1594"/>
    <w:rsid w:val="00CB1678"/>
    <w:rsid w:val="00CB16D4"/>
    <w:rsid w:val="00CB16F6"/>
    <w:rsid w:val="00CB1723"/>
    <w:rsid w:val="00CB1773"/>
    <w:rsid w:val="00CB19BE"/>
    <w:rsid w:val="00CB1FFE"/>
    <w:rsid w:val="00CB201E"/>
    <w:rsid w:val="00CB253B"/>
    <w:rsid w:val="00CB2875"/>
    <w:rsid w:val="00CB2F78"/>
    <w:rsid w:val="00CB3087"/>
    <w:rsid w:val="00CB3388"/>
    <w:rsid w:val="00CB33BB"/>
    <w:rsid w:val="00CB3592"/>
    <w:rsid w:val="00CB3912"/>
    <w:rsid w:val="00CB3E64"/>
    <w:rsid w:val="00CB4086"/>
    <w:rsid w:val="00CB44B8"/>
    <w:rsid w:val="00CB4541"/>
    <w:rsid w:val="00CB465C"/>
    <w:rsid w:val="00CB47FF"/>
    <w:rsid w:val="00CB491D"/>
    <w:rsid w:val="00CB520F"/>
    <w:rsid w:val="00CB5225"/>
    <w:rsid w:val="00CB5614"/>
    <w:rsid w:val="00CB5768"/>
    <w:rsid w:val="00CB5918"/>
    <w:rsid w:val="00CB5E0F"/>
    <w:rsid w:val="00CB6445"/>
    <w:rsid w:val="00CB66A4"/>
    <w:rsid w:val="00CB6993"/>
    <w:rsid w:val="00CB6EEF"/>
    <w:rsid w:val="00CB7075"/>
    <w:rsid w:val="00CB747C"/>
    <w:rsid w:val="00CB7511"/>
    <w:rsid w:val="00CB77B1"/>
    <w:rsid w:val="00CB797D"/>
    <w:rsid w:val="00CB7DC2"/>
    <w:rsid w:val="00CB7DC6"/>
    <w:rsid w:val="00CB7E5E"/>
    <w:rsid w:val="00CB7F8C"/>
    <w:rsid w:val="00CC021C"/>
    <w:rsid w:val="00CC0320"/>
    <w:rsid w:val="00CC0541"/>
    <w:rsid w:val="00CC063A"/>
    <w:rsid w:val="00CC0825"/>
    <w:rsid w:val="00CC08A2"/>
    <w:rsid w:val="00CC0B5B"/>
    <w:rsid w:val="00CC0B8F"/>
    <w:rsid w:val="00CC0BE2"/>
    <w:rsid w:val="00CC0D75"/>
    <w:rsid w:val="00CC0FFE"/>
    <w:rsid w:val="00CC1129"/>
    <w:rsid w:val="00CC1623"/>
    <w:rsid w:val="00CC1E80"/>
    <w:rsid w:val="00CC20BC"/>
    <w:rsid w:val="00CC2169"/>
    <w:rsid w:val="00CC2881"/>
    <w:rsid w:val="00CC2A70"/>
    <w:rsid w:val="00CC2C76"/>
    <w:rsid w:val="00CC2FB2"/>
    <w:rsid w:val="00CC32AB"/>
    <w:rsid w:val="00CC33C3"/>
    <w:rsid w:val="00CC34B1"/>
    <w:rsid w:val="00CC3636"/>
    <w:rsid w:val="00CC395E"/>
    <w:rsid w:val="00CC39FB"/>
    <w:rsid w:val="00CC3C55"/>
    <w:rsid w:val="00CC429F"/>
    <w:rsid w:val="00CC448B"/>
    <w:rsid w:val="00CC46D8"/>
    <w:rsid w:val="00CC4D29"/>
    <w:rsid w:val="00CC4EBF"/>
    <w:rsid w:val="00CC5109"/>
    <w:rsid w:val="00CC5252"/>
    <w:rsid w:val="00CC542C"/>
    <w:rsid w:val="00CC5499"/>
    <w:rsid w:val="00CC5503"/>
    <w:rsid w:val="00CC5A05"/>
    <w:rsid w:val="00CC5A79"/>
    <w:rsid w:val="00CC61A8"/>
    <w:rsid w:val="00CC6450"/>
    <w:rsid w:val="00CC68F0"/>
    <w:rsid w:val="00CC6A57"/>
    <w:rsid w:val="00CC6C1E"/>
    <w:rsid w:val="00CC6E9E"/>
    <w:rsid w:val="00CC6FE9"/>
    <w:rsid w:val="00CC7069"/>
    <w:rsid w:val="00CC73AC"/>
    <w:rsid w:val="00CC73D3"/>
    <w:rsid w:val="00CC745D"/>
    <w:rsid w:val="00CC7628"/>
    <w:rsid w:val="00CC77D5"/>
    <w:rsid w:val="00CC7B8B"/>
    <w:rsid w:val="00CD00D1"/>
    <w:rsid w:val="00CD0488"/>
    <w:rsid w:val="00CD0675"/>
    <w:rsid w:val="00CD088A"/>
    <w:rsid w:val="00CD126F"/>
    <w:rsid w:val="00CD12F7"/>
    <w:rsid w:val="00CD1469"/>
    <w:rsid w:val="00CD1599"/>
    <w:rsid w:val="00CD17A0"/>
    <w:rsid w:val="00CD1BB3"/>
    <w:rsid w:val="00CD23B1"/>
    <w:rsid w:val="00CD2516"/>
    <w:rsid w:val="00CD2874"/>
    <w:rsid w:val="00CD28ED"/>
    <w:rsid w:val="00CD2E13"/>
    <w:rsid w:val="00CD32B4"/>
    <w:rsid w:val="00CD331A"/>
    <w:rsid w:val="00CD370D"/>
    <w:rsid w:val="00CD3A1A"/>
    <w:rsid w:val="00CD3B29"/>
    <w:rsid w:val="00CD410A"/>
    <w:rsid w:val="00CD41EB"/>
    <w:rsid w:val="00CD4734"/>
    <w:rsid w:val="00CD4E69"/>
    <w:rsid w:val="00CD4EF4"/>
    <w:rsid w:val="00CD5237"/>
    <w:rsid w:val="00CD5270"/>
    <w:rsid w:val="00CD626B"/>
    <w:rsid w:val="00CD6314"/>
    <w:rsid w:val="00CD637E"/>
    <w:rsid w:val="00CD6644"/>
    <w:rsid w:val="00CD690F"/>
    <w:rsid w:val="00CD6C14"/>
    <w:rsid w:val="00CD6C3E"/>
    <w:rsid w:val="00CD6C7E"/>
    <w:rsid w:val="00CD6D4F"/>
    <w:rsid w:val="00CD6FF4"/>
    <w:rsid w:val="00CD7087"/>
    <w:rsid w:val="00CD710B"/>
    <w:rsid w:val="00CD71DD"/>
    <w:rsid w:val="00CD78EE"/>
    <w:rsid w:val="00CE030F"/>
    <w:rsid w:val="00CE038E"/>
    <w:rsid w:val="00CE0AA9"/>
    <w:rsid w:val="00CE0E6C"/>
    <w:rsid w:val="00CE12CF"/>
    <w:rsid w:val="00CE163F"/>
    <w:rsid w:val="00CE21BC"/>
    <w:rsid w:val="00CE2265"/>
    <w:rsid w:val="00CE2307"/>
    <w:rsid w:val="00CE2361"/>
    <w:rsid w:val="00CE26EA"/>
    <w:rsid w:val="00CE29EB"/>
    <w:rsid w:val="00CE404D"/>
    <w:rsid w:val="00CE444C"/>
    <w:rsid w:val="00CE4912"/>
    <w:rsid w:val="00CE4A8C"/>
    <w:rsid w:val="00CE4D0C"/>
    <w:rsid w:val="00CE5B8F"/>
    <w:rsid w:val="00CE5EF5"/>
    <w:rsid w:val="00CE6106"/>
    <w:rsid w:val="00CE6403"/>
    <w:rsid w:val="00CE690C"/>
    <w:rsid w:val="00CE69D1"/>
    <w:rsid w:val="00CE6D77"/>
    <w:rsid w:val="00CE6E49"/>
    <w:rsid w:val="00CE764C"/>
    <w:rsid w:val="00CE7658"/>
    <w:rsid w:val="00CE78EA"/>
    <w:rsid w:val="00CF0150"/>
    <w:rsid w:val="00CF0417"/>
    <w:rsid w:val="00CF068E"/>
    <w:rsid w:val="00CF0A50"/>
    <w:rsid w:val="00CF0F8A"/>
    <w:rsid w:val="00CF10A2"/>
    <w:rsid w:val="00CF1564"/>
    <w:rsid w:val="00CF1A5D"/>
    <w:rsid w:val="00CF1A82"/>
    <w:rsid w:val="00CF1D45"/>
    <w:rsid w:val="00CF2070"/>
    <w:rsid w:val="00CF2227"/>
    <w:rsid w:val="00CF2251"/>
    <w:rsid w:val="00CF26E5"/>
    <w:rsid w:val="00CF298D"/>
    <w:rsid w:val="00CF2998"/>
    <w:rsid w:val="00CF3115"/>
    <w:rsid w:val="00CF317A"/>
    <w:rsid w:val="00CF361C"/>
    <w:rsid w:val="00CF3892"/>
    <w:rsid w:val="00CF3C3F"/>
    <w:rsid w:val="00CF3C65"/>
    <w:rsid w:val="00CF3DA2"/>
    <w:rsid w:val="00CF408A"/>
    <w:rsid w:val="00CF4151"/>
    <w:rsid w:val="00CF429E"/>
    <w:rsid w:val="00CF42F6"/>
    <w:rsid w:val="00CF448A"/>
    <w:rsid w:val="00CF4A36"/>
    <w:rsid w:val="00CF4F81"/>
    <w:rsid w:val="00CF50EC"/>
    <w:rsid w:val="00CF5133"/>
    <w:rsid w:val="00CF5B78"/>
    <w:rsid w:val="00CF5B91"/>
    <w:rsid w:val="00CF5CBF"/>
    <w:rsid w:val="00CF5ED5"/>
    <w:rsid w:val="00CF60EA"/>
    <w:rsid w:val="00CF667E"/>
    <w:rsid w:val="00CF6827"/>
    <w:rsid w:val="00CF6CB7"/>
    <w:rsid w:val="00CF71ED"/>
    <w:rsid w:val="00CF7379"/>
    <w:rsid w:val="00CF76E1"/>
    <w:rsid w:val="00CF777D"/>
    <w:rsid w:val="00CF78F9"/>
    <w:rsid w:val="00CF7A3A"/>
    <w:rsid w:val="00CF7B02"/>
    <w:rsid w:val="00CF7CBE"/>
    <w:rsid w:val="00CF7DFC"/>
    <w:rsid w:val="00D00B3C"/>
    <w:rsid w:val="00D00D99"/>
    <w:rsid w:val="00D00DC2"/>
    <w:rsid w:val="00D012DF"/>
    <w:rsid w:val="00D01390"/>
    <w:rsid w:val="00D014CA"/>
    <w:rsid w:val="00D01744"/>
    <w:rsid w:val="00D018F1"/>
    <w:rsid w:val="00D019B3"/>
    <w:rsid w:val="00D019FE"/>
    <w:rsid w:val="00D01ECA"/>
    <w:rsid w:val="00D022D1"/>
    <w:rsid w:val="00D028EE"/>
    <w:rsid w:val="00D02A3F"/>
    <w:rsid w:val="00D02C81"/>
    <w:rsid w:val="00D02D45"/>
    <w:rsid w:val="00D0304B"/>
    <w:rsid w:val="00D03602"/>
    <w:rsid w:val="00D03D15"/>
    <w:rsid w:val="00D03E21"/>
    <w:rsid w:val="00D04305"/>
    <w:rsid w:val="00D0472D"/>
    <w:rsid w:val="00D04C19"/>
    <w:rsid w:val="00D04F24"/>
    <w:rsid w:val="00D05767"/>
    <w:rsid w:val="00D0592E"/>
    <w:rsid w:val="00D05C08"/>
    <w:rsid w:val="00D05D84"/>
    <w:rsid w:val="00D05E3B"/>
    <w:rsid w:val="00D060F1"/>
    <w:rsid w:val="00D062E0"/>
    <w:rsid w:val="00D06348"/>
    <w:rsid w:val="00D0636C"/>
    <w:rsid w:val="00D06952"/>
    <w:rsid w:val="00D06B8A"/>
    <w:rsid w:val="00D06C48"/>
    <w:rsid w:val="00D07373"/>
    <w:rsid w:val="00D07555"/>
    <w:rsid w:val="00D0765A"/>
    <w:rsid w:val="00D078C6"/>
    <w:rsid w:val="00D10444"/>
    <w:rsid w:val="00D1081E"/>
    <w:rsid w:val="00D1081F"/>
    <w:rsid w:val="00D10CC0"/>
    <w:rsid w:val="00D10E1B"/>
    <w:rsid w:val="00D10F9F"/>
    <w:rsid w:val="00D112F1"/>
    <w:rsid w:val="00D11892"/>
    <w:rsid w:val="00D118B4"/>
    <w:rsid w:val="00D11BB4"/>
    <w:rsid w:val="00D11CF1"/>
    <w:rsid w:val="00D120D3"/>
    <w:rsid w:val="00D12211"/>
    <w:rsid w:val="00D12348"/>
    <w:rsid w:val="00D1271E"/>
    <w:rsid w:val="00D12773"/>
    <w:rsid w:val="00D12892"/>
    <w:rsid w:val="00D129CA"/>
    <w:rsid w:val="00D12A34"/>
    <w:rsid w:val="00D12B9F"/>
    <w:rsid w:val="00D13089"/>
    <w:rsid w:val="00D13196"/>
    <w:rsid w:val="00D131A0"/>
    <w:rsid w:val="00D13732"/>
    <w:rsid w:val="00D137E4"/>
    <w:rsid w:val="00D13A00"/>
    <w:rsid w:val="00D13AD5"/>
    <w:rsid w:val="00D13B56"/>
    <w:rsid w:val="00D13C55"/>
    <w:rsid w:val="00D13C8F"/>
    <w:rsid w:val="00D13EE4"/>
    <w:rsid w:val="00D13FE6"/>
    <w:rsid w:val="00D1419D"/>
    <w:rsid w:val="00D145D5"/>
    <w:rsid w:val="00D14638"/>
    <w:rsid w:val="00D1463E"/>
    <w:rsid w:val="00D14E07"/>
    <w:rsid w:val="00D1515E"/>
    <w:rsid w:val="00D15359"/>
    <w:rsid w:val="00D156B5"/>
    <w:rsid w:val="00D15A90"/>
    <w:rsid w:val="00D15B9E"/>
    <w:rsid w:val="00D15DD9"/>
    <w:rsid w:val="00D164A8"/>
    <w:rsid w:val="00D16569"/>
    <w:rsid w:val="00D1667A"/>
    <w:rsid w:val="00D17215"/>
    <w:rsid w:val="00D1750F"/>
    <w:rsid w:val="00D1775A"/>
    <w:rsid w:val="00D17883"/>
    <w:rsid w:val="00D17925"/>
    <w:rsid w:val="00D17B69"/>
    <w:rsid w:val="00D17D11"/>
    <w:rsid w:val="00D17DA3"/>
    <w:rsid w:val="00D204AB"/>
    <w:rsid w:val="00D20573"/>
    <w:rsid w:val="00D2057D"/>
    <w:rsid w:val="00D208E2"/>
    <w:rsid w:val="00D20E49"/>
    <w:rsid w:val="00D20EA6"/>
    <w:rsid w:val="00D21746"/>
    <w:rsid w:val="00D21A7D"/>
    <w:rsid w:val="00D21A8F"/>
    <w:rsid w:val="00D21E2F"/>
    <w:rsid w:val="00D21F10"/>
    <w:rsid w:val="00D21FDE"/>
    <w:rsid w:val="00D220D3"/>
    <w:rsid w:val="00D22154"/>
    <w:rsid w:val="00D226C7"/>
    <w:rsid w:val="00D22CCA"/>
    <w:rsid w:val="00D22D1E"/>
    <w:rsid w:val="00D22D92"/>
    <w:rsid w:val="00D22EFF"/>
    <w:rsid w:val="00D22FE6"/>
    <w:rsid w:val="00D230FE"/>
    <w:rsid w:val="00D234CF"/>
    <w:rsid w:val="00D236B4"/>
    <w:rsid w:val="00D238DD"/>
    <w:rsid w:val="00D23981"/>
    <w:rsid w:val="00D23C14"/>
    <w:rsid w:val="00D24BB0"/>
    <w:rsid w:val="00D24D47"/>
    <w:rsid w:val="00D257B0"/>
    <w:rsid w:val="00D2591C"/>
    <w:rsid w:val="00D25F1F"/>
    <w:rsid w:val="00D26021"/>
    <w:rsid w:val="00D26145"/>
    <w:rsid w:val="00D262AD"/>
    <w:rsid w:val="00D262C3"/>
    <w:rsid w:val="00D26334"/>
    <w:rsid w:val="00D264CF"/>
    <w:rsid w:val="00D2651B"/>
    <w:rsid w:val="00D26B87"/>
    <w:rsid w:val="00D271B6"/>
    <w:rsid w:val="00D275E8"/>
    <w:rsid w:val="00D278C9"/>
    <w:rsid w:val="00D279BB"/>
    <w:rsid w:val="00D279C4"/>
    <w:rsid w:val="00D27AE8"/>
    <w:rsid w:val="00D27B5B"/>
    <w:rsid w:val="00D301F0"/>
    <w:rsid w:val="00D30225"/>
    <w:rsid w:val="00D3028F"/>
    <w:rsid w:val="00D306C5"/>
    <w:rsid w:val="00D30B22"/>
    <w:rsid w:val="00D30BD6"/>
    <w:rsid w:val="00D31308"/>
    <w:rsid w:val="00D3167F"/>
    <w:rsid w:val="00D316AA"/>
    <w:rsid w:val="00D316BB"/>
    <w:rsid w:val="00D31B09"/>
    <w:rsid w:val="00D31B78"/>
    <w:rsid w:val="00D31CBE"/>
    <w:rsid w:val="00D32140"/>
    <w:rsid w:val="00D322ED"/>
    <w:rsid w:val="00D3259C"/>
    <w:rsid w:val="00D330F1"/>
    <w:rsid w:val="00D338EA"/>
    <w:rsid w:val="00D33AEB"/>
    <w:rsid w:val="00D33BC5"/>
    <w:rsid w:val="00D33BD7"/>
    <w:rsid w:val="00D34281"/>
    <w:rsid w:val="00D34429"/>
    <w:rsid w:val="00D34712"/>
    <w:rsid w:val="00D3471D"/>
    <w:rsid w:val="00D348FD"/>
    <w:rsid w:val="00D35016"/>
    <w:rsid w:val="00D358F9"/>
    <w:rsid w:val="00D359DE"/>
    <w:rsid w:val="00D35A37"/>
    <w:rsid w:val="00D35CEC"/>
    <w:rsid w:val="00D363FE"/>
    <w:rsid w:val="00D36C9F"/>
    <w:rsid w:val="00D36EBB"/>
    <w:rsid w:val="00D37938"/>
    <w:rsid w:val="00D3796A"/>
    <w:rsid w:val="00D37D39"/>
    <w:rsid w:val="00D37F63"/>
    <w:rsid w:val="00D37F9A"/>
    <w:rsid w:val="00D37F9C"/>
    <w:rsid w:val="00D400B6"/>
    <w:rsid w:val="00D40B71"/>
    <w:rsid w:val="00D40C16"/>
    <w:rsid w:val="00D40C97"/>
    <w:rsid w:val="00D41019"/>
    <w:rsid w:val="00D41565"/>
    <w:rsid w:val="00D4167D"/>
    <w:rsid w:val="00D41734"/>
    <w:rsid w:val="00D417C9"/>
    <w:rsid w:val="00D41EF4"/>
    <w:rsid w:val="00D42399"/>
    <w:rsid w:val="00D4281A"/>
    <w:rsid w:val="00D42EC6"/>
    <w:rsid w:val="00D42F4C"/>
    <w:rsid w:val="00D43052"/>
    <w:rsid w:val="00D4336A"/>
    <w:rsid w:val="00D43401"/>
    <w:rsid w:val="00D43E1D"/>
    <w:rsid w:val="00D43F8B"/>
    <w:rsid w:val="00D4415D"/>
    <w:rsid w:val="00D443F5"/>
    <w:rsid w:val="00D44A50"/>
    <w:rsid w:val="00D44DD5"/>
    <w:rsid w:val="00D44E9E"/>
    <w:rsid w:val="00D45112"/>
    <w:rsid w:val="00D4537D"/>
    <w:rsid w:val="00D455F0"/>
    <w:rsid w:val="00D45941"/>
    <w:rsid w:val="00D45943"/>
    <w:rsid w:val="00D45F04"/>
    <w:rsid w:val="00D461B9"/>
    <w:rsid w:val="00D4649F"/>
    <w:rsid w:val="00D46BDE"/>
    <w:rsid w:val="00D46C32"/>
    <w:rsid w:val="00D47134"/>
    <w:rsid w:val="00D4756A"/>
    <w:rsid w:val="00D47581"/>
    <w:rsid w:val="00D478EA"/>
    <w:rsid w:val="00D47971"/>
    <w:rsid w:val="00D47A5A"/>
    <w:rsid w:val="00D47A6E"/>
    <w:rsid w:val="00D47BE9"/>
    <w:rsid w:val="00D47E41"/>
    <w:rsid w:val="00D47F00"/>
    <w:rsid w:val="00D50284"/>
    <w:rsid w:val="00D504B4"/>
    <w:rsid w:val="00D50566"/>
    <w:rsid w:val="00D5106E"/>
    <w:rsid w:val="00D512D7"/>
    <w:rsid w:val="00D5137D"/>
    <w:rsid w:val="00D513F9"/>
    <w:rsid w:val="00D51D5D"/>
    <w:rsid w:val="00D52E24"/>
    <w:rsid w:val="00D52E2C"/>
    <w:rsid w:val="00D52FA4"/>
    <w:rsid w:val="00D53121"/>
    <w:rsid w:val="00D53323"/>
    <w:rsid w:val="00D539B5"/>
    <w:rsid w:val="00D53B08"/>
    <w:rsid w:val="00D5477D"/>
    <w:rsid w:val="00D54BE9"/>
    <w:rsid w:val="00D54CC3"/>
    <w:rsid w:val="00D54E4C"/>
    <w:rsid w:val="00D54E6B"/>
    <w:rsid w:val="00D55032"/>
    <w:rsid w:val="00D55CEF"/>
    <w:rsid w:val="00D55D1F"/>
    <w:rsid w:val="00D55DB1"/>
    <w:rsid w:val="00D55EC8"/>
    <w:rsid w:val="00D56662"/>
    <w:rsid w:val="00D572C8"/>
    <w:rsid w:val="00D5731C"/>
    <w:rsid w:val="00D57A2D"/>
    <w:rsid w:val="00D57D22"/>
    <w:rsid w:val="00D6006A"/>
    <w:rsid w:val="00D60430"/>
    <w:rsid w:val="00D60741"/>
    <w:rsid w:val="00D607A5"/>
    <w:rsid w:val="00D607A8"/>
    <w:rsid w:val="00D60A5C"/>
    <w:rsid w:val="00D60FCE"/>
    <w:rsid w:val="00D61570"/>
    <w:rsid w:val="00D615B2"/>
    <w:rsid w:val="00D615C2"/>
    <w:rsid w:val="00D6186E"/>
    <w:rsid w:val="00D61A7A"/>
    <w:rsid w:val="00D62205"/>
    <w:rsid w:val="00D62268"/>
    <w:rsid w:val="00D6231A"/>
    <w:rsid w:val="00D62335"/>
    <w:rsid w:val="00D62357"/>
    <w:rsid w:val="00D62444"/>
    <w:rsid w:val="00D6251D"/>
    <w:rsid w:val="00D62851"/>
    <w:rsid w:val="00D62C22"/>
    <w:rsid w:val="00D62DD5"/>
    <w:rsid w:val="00D631B2"/>
    <w:rsid w:val="00D632F9"/>
    <w:rsid w:val="00D63C1E"/>
    <w:rsid w:val="00D6487B"/>
    <w:rsid w:val="00D6493B"/>
    <w:rsid w:val="00D649F8"/>
    <w:rsid w:val="00D64D0A"/>
    <w:rsid w:val="00D64F15"/>
    <w:rsid w:val="00D65011"/>
    <w:rsid w:val="00D6542E"/>
    <w:rsid w:val="00D6549F"/>
    <w:rsid w:val="00D6550B"/>
    <w:rsid w:val="00D655AC"/>
    <w:rsid w:val="00D66890"/>
    <w:rsid w:val="00D66895"/>
    <w:rsid w:val="00D66AF2"/>
    <w:rsid w:val="00D66DC9"/>
    <w:rsid w:val="00D672AF"/>
    <w:rsid w:val="00D677C0"/>
    <w:rsid w:val="00D67AC2"/>
    <w:rsid w:val="00D67BB0"/>
    <w:rsid w:val="00D67E28"/>
    <w:rsid w:val="00D67E9D"/>
    <w:rsid w:val="00D70538"/>
    <w:rsid w:val="00D70658"/>
    <w:rsid w:val="00D70B27"/>
    <w:rsid w:val="00D70FBD"/>
    <w:rsid w:val="00D713D2"/>
    <w:rsid w:val="00D7149A"/>
    <w:rsid w:val="00D714D9"/>
    <w:rsid w:val="00D716A1"/>
    <w:rsid w:val="00D716D6"/>
    <w:rsid w:val="00D7212F"/>
    <w:rsid w:val="00D7217A"/>
    <w:rsid w:val="00D7274E"/>
    <w:rsid w:val="00D72A49"/>
    <w:rsid w:val="00D732FF"/>
    <w:rsid w:val="00D735B3"/>
    <w:rsid w:val="00D73806"/>
    <w:rsid w:val="00D7387D"/>
    <w:rsid w:val="00D73C3D"/>
    <w:rsid w:val="00D73DBC"/>
    <w:rsid w:val="00D73DE6"/>
    <w:rsid w:val="00D74462"/>
    <w:rsid w:val="00D74532"/>
    <w:rsid w:val="00D748B4"/>
    <w:rsid w:val="00D748CA"/>
    <w:rsid w:val="00D74F3A"/>
    <w:rsid w:val="00D750C6"/>
    <w:rsid w:val="00D75122"/>
    <w:rsid w:val="00D752A9"/>
    <w:rsid w:val="00D75938"/>
    <w:rsid w:val="00D75D23"/>
    <w:rsid w:val="00D7623C"/>
    <w:rsid w:val="00D766D2"/>
    <w:rsid w:val="00D76783"/>
    <w:rsid w:val="00D76C5D"/>
    <w:rsid w:val="00D76D31"/>
    <w:rsid w:val="00D76E6D"/>
    <w:rsid w:val="00D76FE6"/>
    <w:rsid w:val="00D770AE"/>
    <w:rsid w:val="00D7788A"/>
    <w:rsid w:val="00D77A8D"/>
    <w:rsid w:val="00D80298"/>
    <w:rsid w:val="00D8044C"/>
    <w:rsid w:val="00D8079E"/>
    <w:rsid w:val="00D80986"/>
    <w:rsid w:val="00D809FD"/>
    <w:rsid w:val="00D80AD1"/>
    <w:rsid w:val="00D80BD1"/>
    <w:rsid w:val="00D80DDF"/>
    <w:rsid w:val="00D80F3E"/>
    <w:rsid w:val="00D812F7"/>
    <w:rsid w:val="00D8143A"/>
    <w:rsid w:val="00D81449"/>
    <w:rsid w:val="00D81610"/>
    <w:rsid w:val="00D8162B"/>
    <w:rsid w:val="00D81692"/>
    <w:rsid w:val="00D816BD"/>
    <w:rsid w:val="00D81E23"/>
    <w:rsid w:val="00D81E9E"/>
    <w:rsid w:val="00D81F33"/>
    <w:rsid w:val="00D81FD5"/>
    <w:rsid w:val="00D82367"/>
    <w:rsid w:val="00D823F0"/>
    <w:rsid w:val="00D827D5"/>
    <w:rsid w:val="00D82DC1"/>
    <w:rsid w:val="00D82F58"/>
    <w:rsid w:val="00D83261"/>
    <w:rsid w:val="00D8341A"/>
    <w:rsid w:val="00D8380A"/>
    <w:rsid w:val="00D83C35"/>
    <w:rsid w:val="00D83E66"/>
    <w:rsid w:val="00D83F20"/>
    <w:rsid w:val="00D84197"/>
    <w:rsid w:val="00D843B9"/>
    <w:rsid w:val="00D843D0"/>
    <w:rsid w:val="00D844F6"/>
    <w:rsid w:val="00D8475E"/>
    <w:rsid w:val="00D8485C"/>
    <w:rsid w:val="00D84912"/>
    <w:rsid w:val="00D84987"/>
    <w:rsid w:val="00D84F83"/>
    <w:rsid w:val="00D85084"/>
    <w:rsid w:val="00D85C23"/>
    <w:rsid w:val="00D85C5A"/>
    <w:rsid w:val="00D85C5E"/>
    <w:rsid w:val="00D85F90"/>
    <w:rsid w:val="00D868BF"/>
    <w:rsid w:val="00D86A1D"/>
    <w:rsid w:val="00D86AD3"/>
    <w:rsid w:val="00D86CA6"/>
    <w:rsid w:val="00D8723E"/>
    <w:rsid w:val="00D87BD1"/>
    <w:rsid w:val="00D87FB1"/>
    <w:rsid w:val="00D87FEF"/>
    <w:rsid w:val="00D90047"/>
    <w:rsid w:val="00D90554"/>
    <w:rsid w:val="00D90982"/>
    <w:rsid w:val="00D90A73"/>
    <w:rsid w:val="00D90A94"/>
    <w:rsid w:val="00D90C76"/>
    <w:rsid w:val="00D90CE2"/>
    <w:rsid w:val="00D9103F"/>
    <w:rsid w:val="00D91084"/>
    <w:rsid w:val="00D9155E"/>
    <w:rsid w:val="00D917AE"/>
    <w:rsid w:val="00D91C77"/>
    <w:rsid w:val="00D91EB9"/>
    <w:rsid w:val="00D921DF"/>
    <w:rsid w:val="00D92668"/>
    <w:rsid w:val="00D929E0"/>
    <w:rsid w:val="00D92C2A"/>
    <w:rsid w:val="00D935C5"/>
    <w:rsid w:val="00D935FE"/>
    <w:rsid w:val="00D93A51"/>
    <w:rsid w:val="00D93C82"/>
    <w:rsid w:val="00D93E32"/>
    <w:rsid w:val="00D93F94"/>
    <w:rsid w:val="00D94291"/>
    <w:rsid w:val="00D942F0"/>
    <w:rsid w:val="00D943B0"/>
    <w:rsid w:val="00D9462F"/>
    <w:rsid w:val="00D9480B"/>
    <w:rsid w:val="00D94AA7"/>
    <w:rsid w:val="00D94AAF"/>
    <w:rsid w:val="00D94B1D"/>
    <w:rsid w:val="00D94D91"/>
    <w:rsid w:val="00D94E57"/>
    <w:rsid w:val="00D95053"/>
    <w:rsid w:val="00D95205"/>
    <w:rsid w:val="00D9522E"/>
    <w:rsid w:val="00D95B12"/>
    <w:rsid w:val="00D962BF"/>
    <w:rsid w:val="00D966F2"/>
    <w:rsid w:val="00D96D99"/>
    <w:rsid w:val="00D96EF2"/>
    <w:rsid w:val="00D96F5F"/>
    <w:rsid w:val="00D97229"/>
    <w:rsid w:val="00D974D4"/>
    <w:rsid w:val="00D978BC"/>
    <w:rsid w:val="00DA084E"/>
    <w:rsid w:val="00DA0D02"/>
    <w:rsid w:val="00DA107D"/>
    <w:rsid w:val="00DA13D3"/>
    <w:rsid w:val="00DA1B50"/>
    <w:rsid w:val="00DA1E52"/>
    <w:rsid w:val="00DA1F1C"/>
    <w:rsid w:val="00DA201A"/>
    <w:rsid w:val="00DA208C"/>
    <w:rsid w:val="00DA258F"/>
    <w:rsid w:val="00DA2625"/>
    <w:rsid w:val="00DA28BC"/>
    <w:rsid w:val="00DA2ADD"/>
    <w:rsid w:val="00DA2B06"/>
    <w:rsid w:val="00DA2CBB"/>
    <w:rsid w:val="00DA2D11"/>
    <w:rsid w:val="00DA31E3"/>
    <w:rsid w:val="00DA34A1"/>
    <w:rsid w:val="00DA3820"/>
    <w:rsid w:val="00DA3F0D"/>
    <w:rsid w:val="00DA3F27"/>
    <w:rsid w:val="00DA4382"/>
    <w:rsid w:val="00DA4821"/>
    <w:rsid w:val="00DA4891"/>
    <w:rsid w:val="00DA498B"/>
    <w:rsid w:val="00DA4A29"/>
    <w:rsid w:val="00DA4D10"/>
    <w:rsid w:val="00DA4D1A"/>
    <w:rsid w:val="00DA50A0"/>
    <w:rsid w:val="00DA5176"/>
    <w:rsid w:val="00DA5239"/>
    <w:rsid w:val="00DA5406"/>
    <w:rsid w:val="00DA5883"/>
    <w:rsid w:val="00DA59F3"/>
    <w:rsid w:val="00DA5BB2"/>
    <w:rsid w:val="00DA6022"/>
    <w:rsid w:val="00DA62CA"/>
    <w:rsid w:val="00DA6DA1"/>
    <w:rsid w:val="00DA7BE3"/>
    <w:rsid w:val="00DA7CFE"/>
    <w:rsid w:val="00DB0028"/>
    <w:rsid w:val="00DB00B7"/>
    <w:rsid w:val="00DB06B5"/>
    <w:rsid w:val="00DB0743"/>
    <w:rsid w:val="00DB09D8"/>
    <w:rsid w:val="00DB0C13"/>
    <w:rsid w:val="00DB108B"/>
    <w:rsid w:val="00DB134B"/>
    <w:rsid w:val="00DB173E"/>
    <w:rsid w:val="00DB1948"/>
    <w:rsid w:val="00DB1A84"/>
    <w:rsid w:val="00DB1B8A"/>
    <w:rsid w:val="00DB2026"/>
    <w:rsid w:val="00DB270B"/>
    <w:rsid w:val="00DB2C2C"/>
    <w:rsid w:val="00DB2EAD"/>
    <w:rsid w:val="00DB2FBE"/>
    <w:rsid w:val="00DB33A8"/>
    <w:rsid w:val="00DB3AAB"/>
    <w:rsid w:val="00DB3C3D"/>
    <w:rsid w:val="00DB42BE"/>
    <w:rsid w:val="00DB45F0"/>
    <w:rsid w:val="00DB4B07"/>
    <w:rsid w:val="00DB4B43"/>
    <w:rsid w:val="00DB4F21"/>
    <w:rsid w:val="00DB61EF"/>
    <w:rsid w:val="00DB6389"/>
    <w:rsid w:val="00DB651D"/>
    <w:rsid w:val="00DB69E5"/>
    <w:rsid w:val="00DB6CA3"/>
    <w:rsid w:val="00DB700B"/>
    <w:rsid w:val="00DB70D0"/>
    <w:rsid w:val="00DB720A"/>
    <w:rsid w:val="00DB726B"/>
    <w:rsid w:val="00DB755B"/>
    <w:rsid w:val="00DB7B11"/>
    <w:rsid w:val="00DB7E07"/>
    <w:rsid w:val="00DC05AE"/>
    <w:rsid w:val="00DC088A"/>
    <w:rsid w:val="00DC0FD9"/>
    <w:rsid w:val="00DC15F2"/>
    <w:rsid w:val="00DC1A99"/>
    <w:rsid w:val="00DC20FC"/>
    <w:rsid w:val="00DC21BC"/>
    <w:rsid w:val="00DC23FD"/>
    <w:rsid w:val="00DC2661"/>
    <w:rsid w:val="00DC27B0"/>
    <w:rsid w:val="00DC2855"/>
    <w:rsid w:val="00DC2A3F"/>
    <w:rsid w:val="00DC2C7F"/>
    <w:rsid w:val="00DC2FC4"/>
    <w:rsid w:val="00DC3002"/>
    <w:rsid w:val="00DC308B"/>
    <w:rsid w:val="00DC311F"/>
    <w:rsid w:val="00DC316F"/>
    <w:rsid w:val="00DC34CA"/>
    <w:rsid w:val="00DC372E"/>
    <w:rsid w:val="00DC388B"/>
    <w:rsid w:val="00DC3AE1"/>
    <w:rsid w:val="00DC410F"/>
    <w:rsid w:val="00DC46E3"/>
    <w:rsid w:val="00DC4882"/>
    <w:rsid w:val="00DC526E"/>
    <w:rsid w:val="00DC5572"/>
    <w:rsid w:val="00DC573C"/>
    <w:rsid w:val="00DC5A80"/>
    <w:rsid w:val="00DC5B67"/>
    <w:rsid w:val="00DC5D1B"/>
    <w:rsid w:val="00DC5DDD"/>
    <w:rsid w:val="00DC6018"/>
    <w:rsid w:val="00DC60E0"/>
    <w:rsid w:val="00DC6474"/>
    <w:rsid w:val="00DC6827"/>
    <w:rsid w:val="00DC6B77"/>
    <w:rsid w:val="00DC6D10"/>
    <w:rsid w:val="00DC6DDB"/>
    <w:rsid w:val="00DC6ED0"/>
    <w:rsid w:val="00DC7236"/>
    <w:rsid w:val="00DC72EC"/>
    <w:rsid w:val="00DC7465"/>
    <w:rsid w:val="00DC74F5"/>
    <w:rsid w:val="00DC7B9C"/>
    <w:rsid w:val="00DC7BC5"/>
    <w:rsid w:val="00DC7C01"/>
    <w:rsid w:val="00DD02EF"/>
    <w:rsid w:val="00DD043F"/>
    <w:rsid w:val="00DD0A46"/>
    <w:rsid w:val="00DD11F3"/>
    <w:rsid w:val="00DD1855"/>
    <w:rsid w:val="00DD199B"/>
    <w:rsid w:val="00DD1B12"/>
    <w:rsid w:val="00DD1C23"/>
    <w:rsid w:val="00DD1DD1"/>
    <w:rsid w:val="00DD2080"/>
    <w:rsid w:val="00DD2136"/>
    <w:rsid w:val="00DD23F7"/>
    <w:rsid w:val="00DD241A"/>
    <w:rsid w:val="00DD27F8"/>
    <w:rsid w:val="00DD2940"/>
    <w:rsid w:val="00DD294D"/>
    <w:rsid w:val="00DD2C0D"/>
    <w:rsid w:val="00DD2D55"/>
    <w:rsid w:val="00DD2D8D"/>
    <w:rsid w:val="00DD2E4C"/>
    <w:rsid w:val="00DD30B0"/>
    <w:rsid w:val="00DD3189"/>
    <w:rsid w:val="00DD3356"/>
    <w:rsid w:val="00DD3396"/>
    <w:rsid w:val="00DD3412"/>
    <w:rsid w:val="00DD344A"/>
    <w:rsid w:val="00DD37BA"/>
    <w:rsid w:val="00DD3B97"/>
    <w:rsid w:val="00DD3BB6"/>
    <w:rsid w:val="00DD3BFD"/>
    <w:rsid w:val="00DD3C63"/>
    <w:rsid w:val="00DD459E"/>
    <w:rsid w:val="00DD4655"/>
    <w:rsid w:val="00DD4808"/>
    <w:rsid w:val="00DD4873"/>
    <w:rsid w:val="00DD4A29"/>
    <w:rsid w:val="00DD4AE7"/>
    <w:rsid w:val="00DD4CFE"/>
    <w:rsid w:val="00DD5211"/>
    <w:rsid w:val="00DD52A7"/>
    <w:rsid w:val="00DD57BA"/>
    <w:rsid w:val="00DD57EE"/>
    <w:rsid w:val="00DD57FC"/>
    <w:rsid w:val="00DD5938"/>
    <w:rsid w:val="00DD6813"/>
    <w:rsid w:val="00DD7155"/>
    <w:rsid w:val="00DD7255"/>
    <w:rsid w:val="00DD739D"/>
    <w:rsid w:val="00DD73CF"/>
    <w:rsid w:val="00DD74FF"/>
    <w:rsid w:val="00DD7884"/>
    <w:rsid w:val="00DD79F9"/>
    <w:rsid w:val="00DD7B1F"/>
    <w:rsid w:val="00DD7D58"/>
    <w:rsid w:val="00DD7DAB"/>
    <w:rsid w:val="00DE04E0"/>
    <w:rsid w:val="00DE0511"/>
    <w:rsid w:val="00DE0E9A"/>
    <w:rsid w:val="00DE0F83"/>
    <w:rsid w:val="00DE1285"/>
    <w:rsid w:val="00DE13C5"/>
    <w:rsid w:val="00DE193C"/>
    <w:rsid w:val="00DE1A78"/>
    <w:rsid w:val="00DE1CF4"/>
    <w:rsid w:val="00DE22D1"/>
    <w:rsid w:val="00DE2865"/>
    <w:rsid w:val="00DE29C8"/>
    <w:rsid w:val="00DE2F83"/>
    <w:rsid w:val="00DE37CE"/>
    <w:rsid w:val="00DE39A4"/>
    <w:rsid w:val="00DE3B4A"/>
    <w:rsid w:val="00DE3BEA"/>
    <w:rsid w:val="00DE3CF4"/>
    <w:rsid w:val="00DE3F00"/>
    <w:rsid w:val="00DE3FD9"/>
    <w:rsid w:val="00DE475D"/>
    <w:rsid w:val="00DE4A3D"/>
    <w:rsid w:val="00DE5079"/>
    <w:rsid w:val="00DE518A"/>
    <w:rsid w:val="00DE532D"/>
    <w:rsid w:val="00DE545E"/>
    <w:rsid w:val="00DE56E1"/>
    <w:rsid w:val="00DE5853"/>
    <w:rsid w:val="00DE5939"/>
    <w:rsid w:val="00DE5A9C"/>
    <w:rsid w:val="00DE5B26"/>
    <w:rsid w:val="00DE5BE0"/>
    <w:rsid w:val="00DE5CD2"/>
    <w:rsid w:val="00DE6056"/>
    <w:rsid w:val="00DE688B"/>
    <w:rsid w:val="00DE6D07"/>
    <w:rsid w:val="00DE6D86"/>
    <w:rsid w:val="00DE6DCA"/>
    <w:rsid w:val="00DE6ED1"/>
    <w:rsid w:val="00DE73A8"/>
    <w:rsid w:val="00DE7918"/>
    <w:rsid w:val="00DE7A86"/>
    <w:rsid w:val="00DE7BB3"/>
    <w:rsid w:val="00DE7CCB"/>
    <w:rsid w:val="00DE7D67"/>
    <w:rsid w:val="00DF01C3"/>
    <w:rsid w:val="00DF0850"/>
    <w:rsid w:val="00DF0ABF"/>
    <w:rsid w:val="00DF0C20"/>
    <w:rsid w:val="00DF0F55"/>
    <w:rsid w:val="00DF0FF1"/>
    <w:rsid w:val="00DF12E5"/>
    <w:rsid w:val="00DF156A"/>
    <w:rsid w:val="00DF16A7"/>
    <w:rsid w:val="00DF178E"/>
    <w:rsid w:val="00DF201F"/>
    <w:rsid w:val="00DF2041"/>
    <w:rsid w:val="00DF22B2"/>
    <w:rsid w:val="00DF243C"/>
    <w:rsid w:val="00DF2AAB"/>
    <w:rsid w:val="00DF35C7"/>
    <w:rsid w:val="00DF3A19"/>
    <w:rsid w:val="00DF3F1D"/>
    <w:rsid w:val="00DF3FD5"/>
    <w:rsid w:val="00DF4017"/>
    <w:rsid w:val="00DF49CD"/>
    <w:rsid w:val="00DF49D3"/>
    <w:rsid w:val="00DF4BD5"/>
    <w:rsid w:val="00DF4EBE"/>
    <w:rsid w:val="00DF5D15"/>
    <w:rsid w:val="00DF5E18"/>
    <w:rsid w:val="00DF63E0"/>
    <w:rsid w:val="00DF64D1"/>
    <w:rsid w:val="00DF6836"/>
    <w:rsid w:val="00DF692E"/>
    <w:rsid w:val="00DF69C7"/>
    <w:rsid w:val="00DF6BB0"/>
    <w:rsid w:val="00DF6BD2"/>
    <w:rsid w:val="00DF6C32"/>
    <w:rsid w:val="00DF764E"/>
    <w:rsid w:val="00DF7758"/>
    <w:rsid w:val="00DF7986"/>
    <w:rsid w:val="00DF7E1B"/>
    <w:rsid w:val="00E008DC"/>
    <w:rsid w:val="00E00CDE"/>
    <w:rsid w:val="00E00D68"/>
    <w:rsid w:val="00E00ED4"/>
    <w:rsid w:val="00E01055"/>
    <w:rsid w:val="00E0121D"/>
    <w:rsid w:val="00E01277"/>
    <w:rsid w:val="00E01351"/>
    <w:rsid w:val="00E0142F"/>
    <w:rsid w:val="00E016ED"/>
    <w:rsid w:val="00E01783"/>
    <w:rsid w:val="00E017FC"/>
    <w:rsid w:val="00E01912"/>
    <w:rsid w:val="00E01A73"/>
    <w:rsid w:val="00E02136"/>
    <w:rsid w:val="00E026DB"/>
    <w:rsid w:val="00E0298F"/>
    <w:rsid w:val="00E029CF"/>
    <w:rsid w:val="00E029E8"/>
    <w:rsid w:val="00E02A63"/>
    <w:rsid w:val="00E02B13"/>
    <w:rsid w:val="00E02C97"/>
    <w:rsid w:val="00E03396"/>
    <w:rsid w:val="00E03456"/>
    <w:rsid w:val="00E0357B"/>
    <w:rsid w:val="00E03826"/>
    <w:rsid w:val="00E03832"/>
    <w:rsid w:val="00E03BE8"/>
    <w:rsid w:val="00E03D5C"/>
    <w:rsid w:val="00E03F51"/>
    <w:rsid w:val="00E0401D"/>
    <w:rsid w:val="00E04056"/>
    <w:rsid w:val="00E04135"/>
    <w:rsid w:val="00E04292"/>
    <w:rsid w:val="00E04472"/>
    <w:rsid w:val="00E04480"/>
    <w:rsid w:val="00E044D4"/>
    <w:rsid w:val="00E04708"/>
    <w:rsid w:val="00E047D3"/>
    <w:rsid w:val="00E04ABD"/>
    <w:rsid w:val="00E04BB6"/>
    <w:rsid w:val="00E04D4A"/>
    <w:rsid w:val="00E04D86"/>
    <w:rsid w:val="00E05130"/>
    <w:rsid w:val="00E05846"/>
    <w:rsid w:val="00E05A0C"/>
    <w:rsid w:val="00E05DB5"/>
    <w:rsid w:val="00E05E3B"/>
    <w:rsid w:val="00E05ECA"/>
    <w:rsid w:val="00E067A2"/>
    <w:rsid w:val="00E06824"/>
    <w:rsid w:val="00E06C4D"/>
    <w:rsid w:val="00E074AE"/>
    <w:rsid w:val="00E07508"/>
    <w:rsid w:val="00E07793"/>
    <w:rsid w:val="00E07C78"/>
    <w:rsid w:val="00E07D17"/>
    <w:rsid w:val="00E1001F"/>
    <w:rsid w:val="00E10067"/>
    <w:rsid w:val="00E101DA"/>
    <w:rsid w:val="00E102E9"/>
    <w:rsid w:val="00E1034E"/>
    <w:rsid w:val="00E10624"/>
    <w:rsid w:val="00E108E5"/>
    <w:rsid w:val="00E10ADF"/>
    <w:rsid w:val="00E11287"/>
    <w:rsid w:val="00E112C7"/>
    <w:rsid w:val="00E11C38"/>
    <w:rsid w:val="00E11D84"/>
    <w:rsid w:val="00E12095"/>
    <w:rsid w:val="00E124D9"/>
    <w:rsid w:val="00E129FC"/>
    <w:rsid w:val="00E12D74"/>
    <w:rsid w:val="00E1317D"/>
    <w:rsid w:val="00E13EC2"/>
    <w:rsid w:val="00E141D2"/>
    <w:rsid w:val="00E142B8"/>
    <w:rsid w:val="00E147C8"/>
    <w:rsid w:val="00E14865"/>
    <w:rsid w:val="00E149F4"/>
    <w:rsid w:val="00E14B7E"/>
    <w:rsid w:val="00E14D83"/>
    <w:rsid w:val="00E1513B"/>
    <w:rsid w:val="00E152A5"/>
    <w:rsid w:val="00E15542"/>
    <w:rsid w:val="00E1567A"/>
    <w:rsid w:val="00E16464"/>
    <w:rsid w:val="00E1653F"/>
    <w:rsid w:val="00E16DDB"/>
    <w:rsid w:val="00E1729A"/>
    <w:rsid w:val="00E17598"/>
    <w:rsid w:val="00E17CBE"/>
    <w:rsid w:val="00E2005F"/>
    <w:rsid w:val="00E2010C"/>
    <w:rsid w:val="00E2019D"/>
    <w:rsid w:val="00E20287"/>
    <w:rsid w:val="00E202A0"/>
    <w:rsid w:val="00E20334"/>
    <w:rsid w:val="00E20845"/>
    <w:rsid w:val="00E20AFA"/>
    <w:rsid w:val="00E20D14"/>
    <w:rsid w:val="00E20DAD"/>
    <w:rsid w:val="00E2107A"/>
    <w:rsid w:val="00E2140A"/>
    <w:rsid w:val="00E21773"/>
    <w:rsid w:val="00E218E1"/>
    <w:rsid w:val="00E219F1"/>
    <w:rsid w:val="00E21BB4"/>
    <w:rsid w:val="00E21DB4"/>
    <w:rsid w:val="00E2209B"/>
    <w:rsid w:val="00E2248E"/>
    <w:rsid w:val="00E229B9"/>
    <w:rsid w:val="00E22B14"/>
    <w:rsid w:val="00E22FC5"/>
    <w:rsid w:val="00E23215"/>
    <w:rsid w:val="00E235CA"/>
    <w:rsid w:val="00E235D0"/>
    <w:rsid w:val="00E2367B"/>
    <w:rsid w:val="00E2389A"/>
    <w:rsid w:val="00E23984"/>
    <w:rsid w:val="00E239B6"/>
    <w:rsid w:val="00E23C17"/>
    <w:rsid w:val="00E23C63"/>
    <w:rsid w:val="00E23E58"/>
    <w:rsid w:val="00E242D6"/>
    <w:rsid w:val="00E246EE"/>
    <w:rsid w:val="00E24B01"/>
    <w:rsid w:val="00E24BD1"/>
    <w:rsid w:val="00E24C6B"/>
    <w:rsid w:val="00E25345"/>
    <w:rsid w:val="00E256B6"/>
    <w:rsid w:val="00E258EF"/>
    <w:rsid w:val="00E25B94"/>
    <w:rsid w:val="00E26063"/>
    <w:rsid w:val="00E261A1"/>
    <w:rsid w:val="00E2631F"/>
    <w:rsid w:val="00E26C49"/>
    <w:rsid w:val="00E26EC6"/>
    <w:rsid w:val="00E2714B"/>
    <w:rsid w:val="00E274F1"/>
    <w:rsid w:val="00E276C1"/>
    <w:rsid w:val="00E276F0"/>
    <w:rsid w:val="00E27702"/>
    <w:rsid w:val="00E2793B"/>
    <w:rsid w:val="00E27C23"/>
    <w:rsid w:val="00E27F49"/>
    <w:rsid w:val="00E305DC"/>
    <w:rsid w:val="00E307BB"/>
    <w:rsid w:val="00E30C8C"/>
    <w:rsid w:val="00E30D0B"/>
    <w:rsid w:val="00E3122F"/>
    <w:rsid w:val="00E31462"/>
    <w:rsid w:val="00E31972"/>
    <w:rsid w:val="00E321C0"/>
    <w:rsid w:val="00E324FD"/>
    <w:rsid w:val="00E32882"/>
    <w:rsid w:val="00E330A8"/>
    <w:rsid w:val="00E3316C"/>
    <w:rsid w:val="00E3323B"/>
    <w:rsid w:val="00E33527"/>
    <w:rsid w:val="00E33641"/>
    <w:rsid w:val="00E33859"/>
    <w:rsid w:val="00E33D2B"/>
    <w:rsid w:val="00E33DC4"/>
    <w:rsid w:val="00E33DD9"/>
    <w:rsid w:val="00E33F30"/>
    <w:rsid w:val="00E33FD6"/>
    <w:rsid w:val="00E34405"/>
    <w:rsid w:val="00E348A3"/>
    <w:rsid w:val="00E34A17"/>
    <w:rsid w:val="00E34A7B"/>
    <w:rsid w:val="00E34BFA"/>
    <w:rsid w:val="00E34C15"/>
    <w:rsid w:val="00E34D58"/>
    <w:rsid w:val="00E34DE3"/>
    <w:rsid w:val="00E34DFD"/>
    <w:rsid w:val="00E35254"/>
    <w:rsid w:val="00E35666"/>
    <w:rsid w:val="00E356E1"/>
    <w:rsid w:val="00E35744"/>
    <w:rsid w:val="00E35825"/>
    <w:rsid w:val="00E35BD5"/>
    <w:rsid w:val="00E35C12"/>
    <w:rsid w:val="00E36043"/>
    <w:rsid w:val="00E36347"/>
    <w:rsid w:val="00E3645E"/>
    <w:rsid w:val="00E3653D"/>
    <w:rsid w:val="00E365DA"/>
    <w:rsid w:val="00E367A6"/>
    <w:rsid w:val="00E36957"/>
    <w:rsid w:val="00E3697A"/>
    <w:rsid w:val="00E36B17"/>
    <w:rsid w:val="00E36B90"/>
    <w:rsid w:val="00E37081"/>
    <w:rsid w:val="00E37094"/>
    <w:rsid w:val="00E376F1"/>
    <w:rsid w:val="00E378E3"/>
    <w:rsid w:val="00E37DF3"/>
    <w:rsid w:val="00E4023E"/>
    <w:rsid w:val="00E40513"/>
    <w:rsid w:val="00E40648"/>
    <w:rsid w:val="00E4079A"/>
    <w:rsid w:val="00E40A30"/>
    <w:rsid w:val="00E40A4A"/>
    <w:rsid w:val="00E40F61"/>
    <w:rsid w:val="00E41092"/>
    <w:rsid w:val="00E41165"/>
    <w:rsid w:val="00E41216"/>
    <w:rsid w:val="00E41395"/>
    <w:rsid w:val="00E414B1"/>
    <w:rsid w:val="00E417A1"/>
    <w:rsid w:val="00E422FB"/>
    <w:rsid w:val="00E4239C"/>
    <w:rsid w:val="00E4295E"/>
    <w:rsid w:val="00E42A0D"/>
    <w:rsid w:val="00E42AEA"/>
    <w:rsid w:val="00E42BB3"/>
    <w:rsid w:val="00E42D87"/>
    <w:rsid w:val="00E42D96"/>
    <w:rsid w:val="00E436A4"/>
    <w:rsid w:val="00E436C6"/>
    <w:rsid w:val="00E438C2"/>
    <w:rsid w:val="00E43D1F"/>
    <w:rsid w:val="00E43E3E"/>
    <w:rsid w:val="00E441A2"/>
    <w:rsid w:val="00E4462B"/>
    <w:rsid w:val="00E44A2E"/>
    <w:rsid w:val="00E44CE3"/>
    <w:rsid w:val="00E44DFB"/>
    <w:rsid w:val="00E44E3C"/>
    <w:rsid w:val="00E4556A"/>
    <w:rsid w:val="00E45B53"/>
    <w:rsid w:val="00E45BE6"/>
    <w:rsid w:val="00E46525"/>
    <w:rsid w:val="00E4653B"/>
    <w:rsid w:val="00E46EE3"/>
    <w:rsid w:val="00E46F0D"/>
    <w:rsid w:val="00E47004"/>
    <w:rsid w:val="00E47843"/>
    <w:rsid w:val="00E47B27"/>
    <w:rsid w:val="00E47B92"/>
    <w:rsid w:val="00E47D96"/>
    <w:rsid w:val="00E47F6A"/>
    <w:rsid w:val="00E5042E"/>
    <w:rsid w:val="00E50710"/>
    <w:rsid w:val="00E50A54"/>
    <w:rsid w:val="00E50F19"/>
    <w:rsid w:val="00E518D8"/>
    <w:rsid w:val="00E52502"/>
    <w:rsid w:val="00E52B3B"/>
    <w:rsid w:val="00E52B6B"/>
    <w:rsid w:val="00E52D59"/>
    <w:rsid w:val="00E52F52"/>
    <w:rsid w:val="00E532FD"/>
    <w:rsid w:val="00E53638"/>
    <w:rsid w:val="00E53863"/>
    <w:rsid w:val="00E538EA"/>
    <w:rsid w:val="00E53D0A"/>
    <w:rsid w:val="00E53DBD"/>
    <w:rsid w:val="00E53F62"/>
    <w:rsid w:val="00E543AE"/>
    <w:rsid w:val="00E54408"/>
    <w:rsid w:val="00E54624"/>
    <w:rsid w:val="00E548DB"/>
    <w:rsid w:val="00E549EA"/>
    <w:rsid w:val="00E54D84"/>
    <w:rsid w:val="00E55BFA"/>
    <w:rsid w:val="00E55C9C"/>
    <w:rsid w:val="00E55FB5"/>
    <w:rsid w:val="00E5606F"/>
    <w:rsid w:val="00E56077"/>
    <w:rsid w:val="00E56953"/>
    <w:rsid w:val="00E56BB1"/>
    <w:rsid w:val="00E56C6B"/>
    <w:rsid w:val="00E56DD0"/>
    <w:rsid w:val="00E56E69"/>
    <w:rsid w:val="00E56EF1"/>
    <w:rsid w:val="00E56F17"/>
    <w:rsid w:val="00E57176"/>
    <w:rsid w:val="00E576BB"/>
    <w:rsid w:val="00E577D1"/>
    <w:rsid w:val="00E578D3"/>
    <w:rsid w:val="00E57B86"/>
    <w:rsid w:val="00E57DA5"/>
    <w:rsid w:val="00E6009A"/>
    <w:rsid w:val="00E60561"/>
    <w:rsid w:val="00E6077C"/>
    <w:rsid w:val="00E60906"/>
    <w:rsid w:val="00E60E7B"/>
    <w:rsid w:val="00E6142F"/>
    <w:rsid w:val="00E61544"/>
    <w:rsid w:val="00E6232C"/>
    <w:rsid w:val="00E627DF"/>
    <w:rsid w:val="00E62859"/>
    <w:rsid w:val="00E6287E"/>
    <w:rsid w:val="00E62975"/>
    <w:rsid w:val="00E629FF"/>
    <w:rsid w:val="00E62B1A"/>
    <w:rsid w:val="00E6308B"/>
    <w:rsid w:val="00E6338A"/>
    <w:rsid w:val="00E6344C"/>
    <w:rsid w:val="00E63B38"/>
    <w:rsid w:val="00E641C5"/>
    <w:rsid w:val="00E648E8"/>
    <w:rsid w:val="00E64B00"/>
    <w:rsid w:val="00E64C0E"/>
    <w:rsid w:val="00E64C22"/>
    <w:rsid w:val="00E64CC1"/>
    <w:rsid w:val="00E64D07"/>
    <w:rsid w:val="00E64E52"/>
    <w:rsid w:val="00E65145"/>
    <w:rsid w:val="00E651A2"/>
    <w:rsid w:val="00E652BD"/>
    <w:rsid w:val="00E65667"/>
    <w:rsid w:val="00E656B0"/>
    <w:rsid w:val="00E65733"/>
    <w:rsid w:val="00E6622F"/>
    <w:rsid w:val="00E6632F"/>
    <w:rsid w:val="00E66827"/>
    <w:rsid w:val="00E66BBE"/>
    <w:rsid w:val="00E66F00"/>
    <w:rsid w:val="00E67546"/>
    <w:rsid w:val="00E67690"/>
    <w:rsid w:val="00E67848"/>
    <w:rsid w:val="00E67990"/>
    <w:rsid w:val="00E67D3D"/>
    <w:rsid w:val="00E702E9"/>
    <w:rsid w:val="00E70376"/>
    <w:rsid w:val="00E7040A"/>
    <w:rsid w:val="00E705E6"/>
    <w:rsid w:val="00E70624"/>
    <w:rsid w:val="00E7089B"/>
    <w:rsid w:val="00E70C71"/>
    <w:rsid w:val="00E70C9C"/>
    <w:rsid w:val="00E70D03"/>
    <w:rsid w:val="00E70DD0"/>
    <w:rsid w:val="00E71156"/>
    <w:rsid w:val="00E714F2"/>
    <w:rsid w:val="00E71629"/>
    <w:rsid w:val="00E7170E"/>
    <w:rsid w:val="00E71AF9"/>
    <w:rsid w:val="00E71B48"/>
    <w:rsid w:val="00E72135"/>
    <w:rsid w:val="00E726E1"/>
    <w:rsid w:val="00E727DB"/>
    <w:rsid w:val="00E72A31"/>
    <w:rsid w:val="00E72A63"/>
    <w:rsid w:val="00E72C46"/>
    <w:rsid w:val="00E72FEC"/>
    <w:rsid w:val="00E73291"/>
    <w:rsid w:val="00E7366D"/>
    <w:rsid w:val="00E73DE5"/>
    <w:rsid w:val="00E740D1"/>
    <w:rsid w:val="00E7447E"/>
    <w:rsid w:val="00E74905"/>
    <w:rsid w:val="00E74A03"/>
    <w:rsid w:val="00E74DEF"/>
    <w:rsid w:val="00E750D4"/>
    <w:rsid w:val="00E7540C"/>
    <w:rsid w:val="00E75510"/>
    <w:rsid w:val="00E75609"/>
    <w:rsid w:val="00E75969"/>
    <w:rsid w:val="00E759DB"/>
    <w:rsid w:val="00E75E8D"/>
    <w:rsid w:val="00E75F6B"/>
    <w:rsid w:val="00E76090"/>
    <w:rsid w:val="00E76169"/>
    <w:rsid w:val="00E7627F"/>
    <w:rsid w:val="00E76AEC"/>
    <w:rsid w:val="00E76C50"/>
    <w:rsid w:val="00E76C77"/>
    <w:rsid w:val="00E76FB4"/>
    <w:rsid w:val="00E770AF"/>
    <w:rsid w:val="00E77117"/>
    <w:rsid w:val="00E77193"/>
    <w:rsid w:val="00E77258"/>
    <w:rsid w:val="00E7745D"/>
    <w:rsid w:val="00E778CE"/>
    <w:rsid w:val="00E77E6D"/>
    <w:rsid w:val="00E80062"/>
    <w:rsid w:val="00E801A7"/>
    <w:rsid w:val="00E802CC"/>
    <w:rsid w:val="00E80669"/>
    <w:rsid w:val="00E80D88"/>
    <w:rsid w:val="00E80E06"/>
    <w:rsid w:val="00E80F81"/>
    <w:rsid w:val="00E811A8"/>
    <w:rsid w:val="00E8122D"/>
    <w:rsid w:val="00E812CA"/>
    <w:rsid w:val="00E8136E"/>
    <w:rsid w:val="00E81416"/>
    <w:rsid w:val="00E818AB"/>
    <w:rsid w:val="00E81B0C"/>
    <w:rsid w:val="00E81BBC"/>
    <w:rsid w:val="00E81BFE"/>
    <w:rsid w:val="00E81C07"/>
    <w:rsid w:val="00E82021"/>
    <w:rsid w:val="00E82213"/>
    <w:rsid w:val="00E825EF"/>
    <w:rsid w:val="00E82A06"/>
    <w:rsid w:val="00E82A86"/>
    <w:rsid w:val="00E82DB3"/>
    <w:rsid w:val="00E83011"/>
    <w:rsid w:val="00E83D04"/>
    <w:rsid w:val="00E83FE2"/>
    <w:rsid w:val="00E844BD"/>
    <w:rsid w:val="00E8454C"/>
    <w:rsid w:val="00E84922"/>
    <w:rsid w:val="00E8503E"/>
    <w:rsid w:val="00E8531C"/>
    <w:rsid w:val="00E854A2"/>
    <w:rsid w:val="00E85708"/>
    <w:rsid w:val="00E857D4"/>
    <w:rsid w:val="00E857F9"/>
    <w:rsid w:val="00E858F2"/>
    <w:rsid w:val="00E85C2D"/>
    <w:rsid w:val="00E86173"/>
    <w:rsid w:val="00E861F3"/>
    <w:rsid w:val="00E862EE"/>
    <w:rsid w:val="00E86560"/>
    <w:rsid w:val="00E8659E"/>
    <w:rsid w:val="00E87098"/>
    <w:rsid w:val="00E87115"/>
    <w:rsid w:val="00E87384"/>
    <w:rsid w:val="00E87473"/>
    <w:rsid w:val="00E87852"/>
    <w:rsid w:val="00E87EAE"/>
    <w:rsid w:val="00E87F66"/>
    <w:rsid w:val="00E90019"/>
    <w:rsid w:val="00E900FF"/>
    <w:rsid w:val="00E9021F"/>
    <w:rsid w:val="00E9047B"/>
    <w:rsid w:val="00E9053E"/>
    <w:rsid w:val="00E90778"/>
    <w:rsid w:val="00E907BC"/>
    <w:rsid w:val="00E9093F"/>
    <w:rsid w:val="00E90A16"/>
    <w:rsid w:val="00E90C66"/>
    <w:rsid w:val="00E911D6"/>
    <w:rsid w:val="00E9180D"/>
    <w:rsid w:val="00E91812"/>
    <w:rsid w:val="00E91B1B"/>
    <w:rsid w:val="00E921AE"/>
    <w:rsid w:val="00E922B5"/>
    <w:rsid w:val="00E9262F"/>
    <w:rsid w:val="00E927FD"/>
    <w:rsid w:val="00E92C07"/>
    <w:rsid w:val="00E92DD5"/>
    <w:rsid w:val="00E92FE0"/>
    <w:rsid w:val="00E935E1"/>
    <w:rsid w:val="00E94090"/>
    <w:rsid w:val="00E943E7"/>
    <w:rsid w:val="00E94481"/>
    <w:rsid w:val="00E94946"/>
    <w:rsid w:val="00E94C4A"/>
    <w:rsid w:val="00E94E35"/>
    <w:rsid w:val="00E94E77"/>
    <w:rsid w:val="00E94F19"/>
    <w:rsid w:val="00E950B0"/>
    <w:rsid w:val="00E95119"/>
    <w:rsid w:val="00E95382"/>
    <w:rsid w:val="00E95492"/>
    <w:rsid w:val="00E954E0"/>
    <w:rsid w:val="00E955EF"/>
    <w:rsid w:val="00E9594F"/>
    <w:rsid w:val="00E95D91"/>
    <w:rsid w:val="00E962E0"/>
    <w:rsid w:val="00E96333"/>
    <w:rsid w:val="00E965C5"/>
    <w:rsid w:val="00E969A3"/>
    <w:rsid w:val="00E96B85"/>
    <w:rsid w:val="00E9793C"/>
    <w:rsid w:val="00E97DD1"/>
    <w:rsid w:val="00EA0065"/>
    <w:rsid w:val="00EA0086"/>
    <w:rsid w:val="00EA0363"/>
    <w:rsid w:val="00EA0472"/>
    <w:rsid w:val="00EA073F"/>
    <w:rsid w:val="00EA0D5A"/>
    <w:rsid w:val="00EA1B9C"/>
    <w:rsid w:val="00EA1F84"/>
    <w:rsid w:val="00EA23AC"/>
    <w:rsid w:val="00EA264C"/>
    <w:rsid w:val="00EA2D54"/>
    <w:rsid w:val="00EA2EFE"/>
    <w:rsid w:val="00EA30AD"/>
    <w:rsid w:val="00EA35F8"/>
    <w:rsid w:val="00EA3D9C"/>
    <w:rsid w:val="00EA40CA"/>
    <w:rsid w:val="00EA449A"/>
    <w:rsid w:val="00EA4AB2"/>
    <w:rsid w:val="00EA4F9C"/>
    <w:rsid w:val="00EA505F"/>
    <w:rsid w:val="00EA54D7"/>
    <w:rsid w:val="00EA59FD"/>
    <w:rsid w:val="00EA6101"/>
    <w:rsid w:val="00EA619C"/>
    <w:rsid w:val="00EA638D"/>
    <w:rsid w:val="00EA66FD"/>
    <w:rsid w:val="00EA6789"/>
    <w:rsid w:val="00EA6AF4"/>
    <w:rsid w:val="00EA6EB2"/>
    <w:rsid w:val="00EA725C"/>
    <w:rsid w:val="00EA7846"/>
    <w:rsid w:val="00EA7A53"/>
    <w:rsid w:val="00EA7B59"/>
    <w:rsid w:val="00EA7C55"/>
    <w:rsid w:val="00EB02CE"/>
    <w:rsid w:val="00EB035E"/>
    <w:rsid w:val="00EB07EF"/>
    <w:rsid w:val="00EB0970"/>
    <w:rsid w:val="00EB09E3"/>
    <w:rsid w:val="00EB0BF4"/>
    <w:rsid w:val="00EB0C10"/>
    <w:rsid w:val="00EB0E7C"/>
    <w:rsid w:val="00EB0EC3"/>
    <w:rsid w:val="00EB1432"/>
    <w:rsid w:val="00EB14B9"/>
    <w:rsid w:val="00EB1911"/>
    <w:rsid w:val="00EB19BB"/>
    <w:rsid w:val="00EB1C5F"/>
    <w:rsid w:val="00EB1C69"/>
    <w:rsid w:val="00EB1DAB"/>
    <w:rsid w:val="00EB1E7A"/>
    <w:rsid w:val="00EB20B5"/>
    <w:rsid w:val="00EB20C0"/>
    <w:rsid w:val="00EB279B"/>
    <w:rsid w:val="00EB2912"/>
    <w:rsid w:val="00EB2994"/>
    <w:rsid w:val="00EB2CB6"/>
    <w:rsid w:val="00EB303B"/>
    <w:rsid w:val="00EB371C"/>
    <w:rsid w:val="00EB382D"/>
    <w:rsid w:val="00EB3988"/>
    <w:rsid w:val="00EB3B07"/>
    <w:rsid w:val="00EB3B8C"/>
    <w:rsid w:val="00EB3C31"/>
    <w:rsid w:val="00EB407C"/>
    <w:rsid w:val="00EB40D5"/>
    <w:rsid w:val="00EB44AE"/>
    <w:rsid w:val="00EB4539"/>
    <w:rsid w:val="00EB4894"/>
    <w:rsid w:val="00EB538B"/>
    <w:rsid w:val="00EB544D"/>
    <w:rsid w:val="00EB559D"/>
    <w:rsid w:val="00EB5C6D"/>
    <w:rsid w:val="00EB5F30"/>
    <w:rsid w:val="00EB60DA"/>
    <w:rsid w:val="00EB63BF"/>
    <w:rsid w:val="00EB64CD"/>
    <w:rsid w:val="00EB659D"/>
    <w:rsid w:val="00EB6E51"/>
    <w:rsid w:val="00EB6E85"/>
    <w:rsid w:val="00EB72B0"/>
    <w:rsid w:val="00EC11D5"/>
    <w:rsid w:val="00EC1445"/>
    <w:rsid w:val="00EC155E"/>
    <w:rsid w:val="00EC1DEA"/>
    <w:rsid w:val="00EC1F56"/>
    <w:rsid w:val="00EC1F85"/>
    <w:rsid w:val="00EC2060"/>
    <w:rsid w:val="00EC20E3"/>
    <w:rsid w:val="00EC21B8"/>
    <w:rsid w:val="00EC2778"/>
    <w:rsid w:val="00EC304A"/>
    <w:rsid w:val="00EC3083"/>
    <w:rsid w:val="00EC36A1"/>
    <w:rsid w:val="00EC3D1D"/>
    <w:rsid w:val="00EC3D55"/>
    <w:rsid w:val="00EC3E4F"/>
    <w:rsid w:val="00EC429E"/>
    <w:rsid w:val="00EC45E7"/>
    <w:rsid w:val="00EC460F"/>
    <w:rsid w:val="00EC477F"/>
    <w:rsid w:val="00EC4D54"/>
    <w:rsid w:val="00EC4D89"/>
    <w:rsid w:val="00EC4FE7"/>
    <w:rsid w:val="00EC5689"/>
    <w:rsid w:val="00EC5A91"/>
    <w:rsid w:val="00EC5BD4"/>
    <w:rsid w:val="00EC6405"/>
    <w:rsid w:val="00EC6A54"/>
    <w:rsid w:val="00EC6E1F"/>
    <w:rsid w:val="00EC715A"/>
    <w:rsid w:val="00EC74AF"/>
    <w:rsid w:val="00EC77B1"/>
    <w:rsid w:val="00EC7AAD"/>
    <w:rsid w:val="00EC7E0E"/>
    <w:rsid w:val="00EC7F4F"/>
    <w:rsid w:val="00ED0BCB"/>
    <w:rsid w:val="00ED0E5A"/>
    <w:rsid w:val="00ED10F8"/>
    <w:rsid w:val="00ED11AA"/>
    <w:rsid w:val="00ED1A02"/>
    <w:rsid w:val="00ED25E3"/>
    <w:rsid w:val="00ED26BC"/>
    <w:rsid w:val="00ED289A"/>
    <w:rsid w:val="00ED2CD6"/>
    <w:rsid w:val="00ED2D9D"/>
    <w:rsid w:val="00ED2DB1"/>
    <w:rsid w:val="00ED3172"/>
    <w:rsid w:val="00ED3439"/>
    <w:rsid w:val="00ED3879"/>
    <w:rsid w:val="00ED3C79"/>
    <w:rsid w:val="00ED3CD8"/>
    <w:rsid w:val="00ED3DED"/>
    <w:rsid w:val="00ED3DF3"/>
    <w:rsid w:val="00ED3EA2"/>
    <w:rsid w:val="00ED4504"/>
    <w:rsid w:val="00ED4680"/>
    <w:rsid w:val="00ED4B68"/>
    <w:rsid w:val="00ED4BF9"/>
    <w:rsid w:val="00ED57FE"/>
    <w:rsid w:val="00ED582A"/>
    <w:rsid w:val="00ED59B7"/>
    <w:rsid w:val="00ED5C87"/>
    <w:rsid w:val="00ED686A"/>
    <w:rsid w:val="00ED6D8A"/>
    <w:rsid w:val="00ED6E78"/>
    <w:rsid w:val="00ED6E99"/>
    <w:rsid w:val="00ED709B"/>
    <w:rsid w:val="00ED72DB"/>
    <w:rsid w:val="00ED756C"/>
    <w:rsid w:val="00ED763E"/>
    <w:rsid w:val="00ED7AB9"/>
    <w:rsid w:val="00ED7BB9"/>
    <w:rsid w:val="00ED7C8F"/>
    <w:rsid w:val="00EE0466"/>
    <w:rsid w:val="00EE093C"/>
    <w:rsid w:val="00EE141A"/>
    <w:rsid w:val="00EE14D4"/>
    <w:rsid w:val="00EE1659"/>
    <w:rsid w:val="00EE1A9B"/>
    <w:rsid w:val="00EE204F"/>
    <w:rsid w:val="00EE23DC"/>
    <w:rsid w:val="00EE244A"/>
    <w:rsid w:val="00EE2ACF"/>
    <w:rsid w:val="00EE3195"/>
    <w:rsid w:val="00EE341E"/>
    <w:rsid w:val="00EE38B1"/>
    <w:rsid w:val="00EE3E44"/>
    <w:rsid w:val="00EE41E7"/>
    <w:rsid w:val="00EE4586"/>
    <w:rsid w:val="00EE45CA"/>
    <w:rsid w:val="00EE45CF"/>
    <w:rsid w:val="00EE479D"/>
    <w:rsid w:val="00EE48F5"/>
    <w:rsid w:val="00EE526C"/>
    <w:rsid w:val="00EE532F"/>
    <w:rsid w:val="00EE53DD"/>
    <w:rsid w:val="00EE5FB5"/>
    <w:rsid w:val="00EE6182"/>
    <w:rsid w:val="00EE669E"/>
    <w:rsid w:val="00EE6831"/>
    <w:rsid w:val="00EE689B"/>
    <w:rsid w:val="00EE6A0E"/>
    <w:rsid w:val="00EE6AB6"/>
    <w:rsid w:val="00EE72B7"/>
    <w:rsid w:val="00EE7600"/>
    <w:rsid w:val="00EE7DCA"/>
    <w:rsid w:val="00EE7FDF"/>
    <w:rsid w:val="00EF006F"/>
    <w:rsid w:val="00EF0070"/>
    <w:rsid w:val="00EF0173"/>
    <w:rsid w:val="00EF05C0"/>
    <w:rsid w:val="00EF05D2"/>
    <w:rsid w:val="00EF0982"/>
    <w:rsid w:val="00EF0AB6"/>
    <w:rsid w:val="00EF13DA"/>
    <w:rsid w:val="00EF17BC"/>
    <w:rsid w:val="00EF17C1"/>
    <w:rsid w:val="00EF1BA6"/>
    <w:rsid w:val="00EF1FFE"/>
    <w:rsid w:val="00EF24A3"/>
    <w:rsid w:val="00EF3278"/>
    <w:rsid w:val="00EF392B"/>
    <w:rsid w:val="00EF395F"/>
    <w:rsid w:val="00EF4412"/>
    <w:rsid w:val="00EF4694"/>
    <w:rsid w:val="00EF4A58"/>
    <w:rsid w:val="00EF4AC0"/>
    <w:rsid w:val="00EF4BE2"/>
    <w:rsid w:val="00EF4FD8"/>
    <w:rsid w:val="00EF541C"/>
    <w:rsid w:val="00EF5441"/>
    <w:rsid w:val="00EF5889"/>
    <w:rsid w:val="00EF5EF0"/>
    <w:rsid w:val="00EF603E"/>
    <w:rsid w:val="00EF61E5"/>
    <w:rsid w:val="00EF69FF"/>
    <w:rsid w:val="00EF6AB8"/>
    <w:rsid w:val="00EF6B5F"/>
    <w:rsid w:val="00EF6F4E"/>
    <w:rsid w:val="00EF6FB8"/>
    <w:rsid w:val="00EF7846"/>
    <w:rsid w:val="00EF7882"/>
    <w:rsid w:val="00EF7E59"/>
    <w:rsid w:val="00F006B5"/>
    <w:rsid w:val="00F009CA"/>
    <w:rsid w:val="00F00B67"/>
    <w:rsid w:val="00F0150C"/>
    <w:rsid w:val="00F0191C"/>
    <w:rsid w:val="00F0195A"/>
    <w:rsid w:val="00F01991"/>
    <w:rsid w:val="00F01A8E"/>
    <w:rsid w:val="00F01B09"/>
    <w:rsid w:val="00F023DF"/>
    <w:rsid w:val="00F025DD"/>
    <w:rsid w:val="00F02621"/>
    <w:rsid w:val="00F02686"/>
    <w:rsid w:val="00F02C1D"/>
    <w:rsid w:val="00F02DE5"/>
    <w:rsid w:val="00F02F4E"/>
    <w:rsid w:val="00F0324B"/>
    <w:rsid w:val="00F03D87"/>
    <w:rsid w:val="00F04101"/>
    <w:rsid w:val="00F046B8"/>
    <w:rsid w:val="00F04A51"/>
    <w:rsid w:val="00F04D70"/>
    <w:rsid w:val="00F04E28"/>
    <w:rsid w:val="00F04F6C"/>
    <w:rsid w:val="00F055E7"/>
    <w:rsid w:val="00F056AA"/>
    <w:rsid w:val="00F058A8"/>
    <w:rsid w:val="00F061E0"/>
    <w:rsid w:val="00F064DC"/>
    <w:rsid w:val="00F06A30"/>
    <w:rsid w:val="00F06F56"/>
    <w:rsid w:val="00F071F7"/>
    <w:rsid w:val="00F0737E"/>
    <w:rsid w:val="00F07411"/>
    <w:rsid w:val="00F07481"/>
    <w:rsid w:val="00F07508"/>
    <w:rsid w:val="00F0775B"/>
    <w:rsid w:val="00F07CE6"/>
    <w:rsid w:val="00F07E35"/>
    <w:rsid w:val="00F07EFE"/>
    <w:rsid w:val="00F10234"/>
    <w:rsid w:val="00F1073F"/>
    <w:rsid w:val="00F10C3A"/>
    <w:rsid w:val="00F11026"/>
    <w:rsid w:val="00F115C0"/>
    <w:rsid w:val="00F1168B"/>
    <w:rsid w:val="00F11B5A"/>
    <w:rsid w:val="00F11C9C"/>
    <w:rsid w:val="00F11F16"/>
    <w:rsid w:val="00F12A0E"/>
    <w:rsid w:val="00F12B45"/>
    <w:rsid w:val="00F13156"/>
    <w:rsid w:val="00F135C6"/>
    <w:rsid w:val="00F13749"/>
    <w:rsid w:val="00F1376D"/>
    <w:rsid w:val="00F13CE1"/>
    <w:rsid w:val="00F13FAA"/>
    <w:rsid w:val="00F1408F"/>
    <w:rsid w:val="00F142E5"/>
    <w:rsid w:val="00F1435E"/>
    <w:rsid w:val="00F1437D"/>
    <w:rsid w:val="00F143BC"/>
    <w:rsid w:val="00F1440C"/>
    <w:rsid w:val="00F1454E"/>
    <w:rsid w:val="00F146E7"/>
    <w:rsid w:val="00F1478E"/>
    <w:rsid w:val="00F149AE"/>
    <w:rsid w:val="00F14B84"/>
    <w:rsid w:val="00F14BF6"/>
    <w:rsid w:val="00F15041"/>
    <w:rsid w:val="00F1529D"/>
    <w:rsid w:val="00F15927"/>
    <w:rsid w:val="00F15987"/>
    <w:rsid w:val="00F15B71"/>
    <w:rsid w:val="00F16284"/>
    <w:rsid w:val="00F162E0"/>
    <w:rsid w:val="00F16363"/>
    <w:rsid w:val="00F163AB"/>
    <w:rsid w:val="00F163BE"/>
    <w:rsid w:val="00F1653C"/>
    <w:rsid w:val="00F1654A"/>
    <w:rsid w:val="00F16D32"/>
    <w:rsid w:val="00F16DAD"/>
    <w:rsid w:val="00F1701C"/>
    <w:rsid w:val="00F17054"/>
    <w:rsid w:val="00F170BE"/>
    <w:rsid w:val="00F170EA"/>
    <w:rsid w:val="00F17511"/>
    <w:rsid w:val="00F177C1"/>
    <w:rsid w:val="00F17A26"/>
    <w:rsid w:val="00F17E0B"/>
    <w:rsid w:val="00F17FE5"/>
    <w:rsid w:val="00F20FA6"/>
    <w:rsid w:val="00F20FC4"/>
    <w:rsid w:val="00F2120C"/>
    <w:rsid w:val="00F217C9"/>
    <w:rsid w:val="00F21845"/>
    <w:rsid w:val="00F21F8D"/>
    <w:rsid w:val="00F223C8"/>
    <w:rsid w:val="00F229CE"/>
    <w:rsid w:val="00F229E4"/>
    <w:rsid w:val="00F22A31"/>
    <w:rsid w:val="00F22F51"/>
    <w:rsid w:val="00F23227"/>
    <w:rsid w:val="00F233C2"/>
    <w:rsid w:val="00F23E9C"/>
    <w:rsid w:val="00F23F39"/>
    <w:rsid w:val="00F24162"/>
    <w:rsid w:val="00F2427E"/>
    <w:rsid w:val="00F24595"/>
    <w:rsid w:val="00F246EF"/>
    <w:rsid w:val="00F24C3E"/>
    <w:rsid w:val="00F24C8F"/>
    <w:rsid w:val="00F24ED9"/>
    <w:rsid w:val="00F25002"/>
    <w:rsid w:val="00F25059"/>
    <w:rsid w:val="00F25231"/>
    <w:rsid w:val="00F252CA"/>
    <w:rsid w:val="00F253C2"/>
    <w:rsid w:val="00F2549D"/>
    <w:rsid w:val="00F2563D"/>
    <w:rsid w:val="00F258E9"/>
    <w:rsid w:val="00F2618C"/>
    <w:rsid w:val="00F264B6"/>
    <w:rsid w:val="00F26796"/>
    <w:rsid w:val="00F26EB2"/>
    <w:rsid w:val="00F2718C"/>
    <w:rsid w:val="00F272B1"/>
    <w:rsid w:val="00F274E9"/>
    <w:rsid w:val="00F27708"/>
    <w:rsid w:val="00F27990"/>
    <w:rsid w:val="00F27A47"/>
    <w:rsid w:val="00F27AAC"/>
    <w:rsid w:val="00F27D20"/>
    <w:rsid w:val="00F30337"/>
    <w:rsid w:val="00F30648"/>
    <w:rsid w:val="00F308DF"/>
    <w:rsid w:val="00F30A23"/>
    <w:rsid w:val="00F30A49"/>
    <w:rsid w:val="00F30ECB"/>
    <w:rsid w:val="00F3117E"/>
    <w:rsid w:val="00F31343"/>
    <w:rsid w:val="00F31A8B"/>
    <w:rsid w:val="00F31B33"/>
    <w:rsid w:val="00F32112"/>
    <w:rsid w:val="00F3242F"/>
    <w:rsid w:val="00F329B8"/>
    <w:rsid w:val="00F32C1A"/>
    <w:rsid w:val="00F33650"/>
    <w:rsid w:val="00F3386A"/>
    <w:rsid w:val="00F33886"/>
    <w:rsid w:val="00F33B60"/>
    <w:rsid w:val="00F33E8D"/>
    <w:rsid w:val="00F33E9B"/>
    <w:rsid w:val="00F33F20"/>
    <w:rsid w:val="00F33F49"/>
    <w:rsid w:val="00F34595"/>
    <w:rsid w:val="00F34DF3"/>
    <w:rsid w:val="00F34DF4"/>
    <w:rsid w:val="00F34ECB"/>
    <w:rsid w:val="00F35125"/>
    <w:rsid w:val="00F352D0"/>
    <w:rsid w:val="00F3534A"/>
    <w:rsid w:val="00F35947"/>
    <w:rsid w:val="00F359A4"/>
    <w:rsid w:val="00F35A66"/>
    <w:rsid w:val="00F35F5E"/>
    <w:rsid w:val="00F35FB8"/>
    <w:rsid w:val="00F3600A"/>
    <w:rsid w:val="00F36126"/>
    <w:rsid w:val="00F3620F"/>
    <w:rsid w:val="00F366E6"/>
    <w:rsid w:val="00F36B24"/>
    <w:rsid w:val="00F36C91"/>
    <w:rsid w:val="00F36FBD"/>
    <w:rsid w:val="00F3763F"/>
    <w:rsid w:val="00F376D7"/>
    <w:rsid w:val="00F3781B"/>
    <w:rsid w:val="00F40001"/>
    <w:rsid w:val="00F4040A"/>
    <w:rsid w:val="00F406E4"/>
    <w:rsid w:val="00F40996"/>
    <w:rsid w:val="00F409D2"/>
    <w:rsid w:val="00F40B22"/>
    <w:rsid w:val="00F40D02"/>
    <w:rsid w:val="00F414C6"/>
    <w:rsid w:val="00F41831"/>
    <w:rsid w:val="00F41987"/>
    <w:rsid w:val="00F42185"/>
    <w:rsid w:val="00F42439"/>
    <w:rsid w:val="00F426B8"/>
    <w:rsid w:val="00F4284B"/>
    <w:rsid w:val="00F43185"/>
    <w:rsid w:val="00F43E2E"/>
    <w:rsid w:val="00F440BC"/>
    <w:rsid w:val="00F4477E"/>
    <w:rsid w:val="00F44AC0"/>
    <w:rsid w:val="00F454BB"/>
    <w:rsid w:val="00F45B45"/>
    <w:rsid w:val="00F45FA1"/>
    <w:rsid w:val="00F46725"/>
    <w:rsid w:val="00F46757"/>
    <w:rsid w:val="00F46926"/>
    <w:rsid w:val="00F46AD2"/>
    <w:rsid w:val="00F46DD6"/>
    <w:rsid w:val="00F47059"/>
    <w:rsid w:val="00F47773"/>
    <w:rsid w:val="00F47935"/>
    <w:rsid w:val="00F47B1B"/>
    <w:rsid w:val="00F47D2F"/>
    <w:rsid w:val="00F47F78"/>
    <w:rsid w:val="00F50164"/>
    <w:rsid w:val="00F50472"/>
    <w:rsid w:val="00F5047F"/>
    <w:rsid w:val="00F5063D"/>
    <w:rsid w:val="00F50899"/>
    <w:rsid w:val="00F50AC3"/>
    <w:rsid w:val="00F50D2F"/>
    <w:rsid w:val="00F514C8"/>
    <w:rsid w:val="00F5156F"/>
    <w:rsid w:val="00F51775"/>
    <w:rsid w:val="00F51C29"/>
    <w:rsid w:val="00F51F7F"/>
    <w:rsid w:val="00F523D1"/>
    <w:rsid w:val="00F529CD"/>
    <w:rsid w:val="00F52CCC"/>
    <w:rsid w:val="00F52D03"/>
    <w:rsid w:val="00F53458"/>
    <w:rsid w:val="00F535BF"/>
    <w:rsid w:val="00F54200"/>
    <w:rsid w:val="00F542A1"/>
    <w:rsid w:val="00F54602"/>
    <w:rsid w:val="00F548EB"/>
    <w:rsid w:val="00F54C51"/>
    <w:rsid w:val="00F55127"/>
    <w:rsid w:val="00F5549B"/>
    <w:rsid w:val="00F55587"/>
    <w:rsid w:val="00F5590D"/>
    <w:rsid w:val="00F55B81"/>
    <w:rsid w:val="00F55E40"/>
    <w:rsid w:val="00F55FBF"/>
    <w:rsid w:val="00F55FDB"/>
    <w:rsid w:val="00F56044"/>
    <w:rsid w:val="00F56337"/>
    <w:rsid w:val="00F56E19"/>
    <w:rsid w:val="00F57410"/>
    <w:rsid w:val="00F57B17"/>
    <w:rsid w:val="00F6020B"/>
    <w:rsid w:val="00F605D9"/>
    <w:rsid w:val="00F6087D"/>
    <w:rsid w:val="00F6092C"/>
    <w:rsid w:val="00F60BF1"/>
    <w:rsid w:val="00F60DB9"/>
    <w:rsid w:val="00F610CC"/>
    <w:rsid w:val="00F613D2"/>
    <w:rsid w:val="00F6141B"/>
    <w:rsid w:val="00F614EE"/>
    <w:rsid w:val="00F617B8"/>
    <w:rsid w:val="00F62057"/>
    <w:rsid w:val="00F62103"/>
    <w:rsid w:val="00F62214"/>
    <w:rsid w:val="00F62936"/>
    <w:rsid w:val="00F62A70"/>
    <w:rsid w:val="00F63114"/>
    <w:rsid w:val="00F63584"/>
    <w:rsid w:val="00F635AC"/>
    <w:rsid w:val="00F6370A"/>
    <w:rsid w:val="00F63726"/>
    <w:rsid w:val="00F6403E"/>
    <w:rsid w:val="00F64238"/>
    <w:rsid w:val="00F64316"/>
    <w:rsid w:val="00F645BC"/>
    <w:rsid w:val="00F6499D"/>
    <w:rsid w:val="00F64A15"/>
    <w:rsid w:val="00F64E88"/>
    <w:rsid w:val="00F64EF3"/>
    <w:rsid w:val="00F650E5"/>
    <w:rsid w:val="00F65132"/>
    <w:rsid w:val="00F65145"/>
    <w:rsid w:val="00F65898"/>
    <w:rsid w:val="00F65962"/>
    <w:rsid w:val="00F65A33"/>
    <w:rsid w:val="00F65B50"/>
    <w:rsid w:val="00F65D04"/>
    <w:rsid w:val="00F65EE3"/>
    <w:rsid w:val="00F6604F"/>
    <w:rsid w:val="00F66272"/>
    <w:rsid w:val="00F6632E"/>
    <w:rsid w:val="00F66447"/>
    <w:rsid w:val="00F666E4"/>
    <w:rsid w:val="00F66744"/>
    <w:rsid w:val="00F66B76"/>
    <w:rsid w:val="00F66EF3"/>
    <w:rsid w:val="00F67183"/>
    <w:rsid w:val="00F674B6"/>
    <w:rsid w:val="00F679D0"/>
    <w:rsid w:val="00F67AF6"/>
    <w:rsid w:val="00F67E6F"/>
    <w:rsid w:val="00F7021B"/>
    <w:rsid w:val="00F7021E"/>
    <w:rsid w:val="00F7062C"/>
    <w:rsid w:val="00F709D1"/>
    <w:rsid w:val="00F70AA1"/>
    <w:rsid w:val="00F70AF2"/>
    <w:rsid w:val="00F70B60"/>
    <w:rsid w:val="00F70B83"/>
    <w:rsid w:val="00F70D0C"/>
    <w:rsid w:val="00F70DFD"/>
    <w:rsid w:val="00F70F8E"/>
    <w:rsid w:val="00F7158D"/>
    <w:rsid w:val="00F715A5"/>
    <w:rsid w:val="00F7161D"/>
    <w:rsid w:val="00F717BC"/>
    <w:rsid w:val="00F71A76"/>
    <w:rsid w:val="00F71C92"/>
    <w:rsid w:val="00F71EAF"/>
    <w:rsid w:val="00F71F14"/>
    <w:rsid w:val="00F71FCF"/>
    <w:rsid w:val="00F72249"/>
    <w:rsid w:val="00F722A7"/>
    <w:rsid w:val="00F72483"/>
    <w:rsid w:val="00F72586"/>
    <w:rsid w:val="00F725B6"/>
    <w:rsid w:val="00F725DE"/>
    <w:rsid w:val="00F72A80"/>
    <w:rsid w:val="00F72CDA"/>
    <w:rsid w:val="00F72D0F"/>
    <w:rsid w:val="00F72DF1"/>
    <w:rsid w:val="00F72E9A"/>
    <w:rsid w:val="00F732A3"/>
    <w:rsid w:val="00F73389"/>
    <w:rsid w:val="00F73833"/>
    <w:rsid w:val="00F739A8"/>
    <w:rsid w:val="00F740A2"/>
    <w:rsid w:val="00F7442B"/>
    <w:rsid w:val="00F74875"/>
    <w:rsid w:val="00F74935"/>
    <w:rsid w:val="00F74993"/>
    <w:rsid w:val="00F756B4"/>
    <w:rsid w:val="00F758D7"/>
    <w:rsid w:val="00F75A23"/>
    <w:rsid w:val="00F75C3D"/>
    <w:rsid w:val="00F75C8C"/>
    <w:rsid w:val="00F75D2E"/>
    <w:rsid w:val="00F75D71"/>
    <w:rsid w:val="00F76118"/>
    <w:rsid w:val="00F7614C"/>
    <w:rsid w:val="00F76157"/>
    <w:rsid w:val="00F76376"/>
    <w:rsid w:val="00F768E3"/>
    <w:rsid w:val="00F7695D"/>
    <w:rsid w:val="00F76BF0"/>
    <w:rsid w:val="00F76C05"/>
    <w:rsid w:val="00F76CC2"/>
    <w:rsid w:val="00F76F87"/>
    <w:rsid w:val="00F770B1"/>
    <w:rsid w:val="00F77186"/>
    <w:rsid w:val="00F773C6"/>
    <w:rsid w:val="00F77410"/>
    <w:rsid w:val="00F775A4"/>
    <w:rsid w:val="00F77752"/>
    <w:rsid w:val="00F80101"/>
    <w:rsid w:val="00F80432"/>
    <w:rsid w:val="00F808ED"/>
    <w:rsid w:val="00F80A86"/>
    <w:rsid w:val="00F80AAF"/>
    <w:rsid w:val="00F80B7D"/>
    <w:rsid w:val="00F80C70"/>
    <w:rsid w:val="00F80D6C"/>
    <w:rsid w:val="00F80EE2"/>
    <w:rsid w:val="00F80FDE"/>
    <w:rsid w:val="00F810C3"/>
    <w:rsid w:val="00F81297"/>
    <w:rsid w:val="00F814EE"/>
    <w:rsid w:val="00F81525"/>
    <w:rsid w:val="00F816DD"/>
    <w:rsid w:val="00F8184E"/>
    <w:rsid w:val="00F81A89"/>
    <w:rsid w:val="00F8262C"/>
    <w:rsid w:val="00F828EA"/>
    <w:rsid w:val="00F82BD8"/>
    <w:rsid w:val="00F83260"/>
    <w:rsid w:val="00F83531"/>
    <w:rsid w:val="00F836BF"/>
    <w:rsid w:val="00F8380C"/>
    <w:rsid w:val="00F83923"/>
    <w:rsid w:val="00F83C08"/>
    <w:rsid w:val="00F843B8"/>
    <w:rsid w:val="00F845A6"/>
    <w:rsid w:val="00F84A31"/>
    <w:rsid w:val="00F84C4A"/>
    <w:rsid w:val="00F850B5"/>
    <w:rsid w:val="00F850E0"/>
    <w:rsid w:val="00F850EA"/>
    <w:rsid w:val="00F85100"/>
    <w:rsid w:val="00F8529D"/>
    <w:rsid w:val="00F857C1"/>
    <w:rsid w:val="00F85DB5"/>
    <w:rsid w:val="00F85E8D"/>
    <w:rsid w:val="00F86193"/>
    <w:rsid w:val="00F86301"/>
    <w:rsid w:val="00F869A0"/>
    <w:rsid w:val="00F86F2D"/>
    <w:rsid w:val="00F87105"/>
    <w:rsid w:val="00F87181"/>
    <w:rsid w:val="00F875F1"/>
    <w:rsid w:val="00F8794A"/>
    <w:rsid w:val="00F87FC9"/>
    <w:rsid w:val="00F90058"/>
    <w:rsid w:val="00F901CF"/>
    <w:rsid w:val="00F90497"/>
    <w:rsid w:val="00F905E9"/>
    <w:rsid w:val="00F90647"/>
    <w:rsid w:val="00F90A46"/>
    <w:rsid w:val="00F90BED"/>
    <w:rsid w:val="00F91183"/>
    <w:rsid w:val="00F9120D"/>
    <w:rsid w:val="00F91267"/>
    <w:rsid w:val="00F91275"/>
    <w:rsid w:val="00F91418"/>
    <w:rsid w:val="00F9165C"/>
    <w:rsid w:val="00F91999"/>
    <w:rsid w:val="00F91A46"/>
    <w:rsid w:val="00F91E17"/>
    <w:rsid w:val="00F91E58"/>
    <w:rsid w:val="00F922C2"/>
    <w:rsid w:val="00F92541"/>
    <w:rsid w:val="00F929BF"/>
    <w:rsid w:val="00F92B9E"/>
    <w:rsid w:val="00F92CF2"/>
    <w:rsid w:val="00F92D87"/>
    <w:rsid w:val="00F93454"/>
    <w:rsid w:val="00F9358A"/>
    <w:rsid w:val="00F93869"/>
    <w:rsid w:val="00F938F3"/>
    <w:rsid w:val="00F93DE4"/>
    <w:rsid w:val="00F94034"/>
    <w:rsid w:val="00F94118"/>
    <w:rsid w:val="00F94375"/>
    <w:rsid w:val="00F94461"/>
    <w:rsid w:val="00F94778"/>
    <w:rsid w:val="00F94D19"/>
    <w:rsid w:val="00F9543E"/>
    <w:rsid w:val="00F9578C"/>
    <w:rsid w:val="00F959B2"/>
    <w:rsid w:val="00F95A9B"/>
    <w:rsid w:val="00F95DBB"/>
    <w:rsid w:val="00F960D3"/>
    <w:rsid w:val="00F963B3"/>
    <w:rsid w:val="00F966F2"/>
    <w:rsid w:val="00F96930"/>
    <w:rsid w:val="00F9725A"/>
    <w:rsid w:val="00F975B1"/>
    <w:rsid w:val="00F9790A"/>
    <w:rsid w:val="00F97A28"/>
    <w:rsid w:val="00FA0124"/>
    <w:rsid w:val="00FA04CC"/>
    <w:rsid w:val="00FA0E10"/>
    <w:rsid w:val="00FA0E45"/>
    <w:rsid w:val="00FA0F53"/>
    <w:rsid w:val="00FA1238"/>
    <w:rsid w:val="00FA13A3"/>
    <w:rsid w:val="00FA168A"/>
    <w:rsid w:val="00FA1691"/>
    <w:rsid w:val="00FA1784"/>
    <w:rsid w:val="00FA1B99"/>
    <w:rsid w:val="00FA1E96"/>
    <w:rsid w:val="00FA20D9"/>
    <w:rsid w:val="00FA2776"/>
    <w:rsid w:val="00FA2878"/>
    <w:rsid w:val="00FA290A"/>
    <w:rsid w:val="00FA2ABD"/>
    <w:rsid w:val="00FA2D96"/>
    <w:rsid w:val="00FA36BD"/>
    <w:rsid w:val="00FA36D5"/>
    <w:rsid w:val="00FA3D27"/>
    <w:rsid w:val="00FA40D3"/>
    <w:rsid w:val="00FA4851"/>
    <w:rsid w:val="00FA499C"/>
    <w:rsid w:val="00FA5989"/>
    <w:rsid w:val="00FA59B8"/>
    <w:rsid w:val="00FA5A54"/>
    <w:rsid w:val="00FA5DD5"/>
    <w:rsid w:val="00FA65DD"/>
    <w:rsid w:val="00FA6812"/>
    <w:rsid w:val="00FA6BE9"/>
    <w:rsid w:val="00FA6E3A"/>
    <w:rsid w:val="00FA75D2"/>
    <w:rsid w:val="00FB02A4"/>
    <w:rsid w:val="00FB0417"/>
    <w:rsid w:val="00FB060D"/>
    <w:rsid w:val="00FB0CF5"/>
    <w:rsid w:val="00FB0F60"/>
    <w:rsid w:val="00FB1280"/>
    <w:rsid w:val="00FB1C67"/>
    <w:rsid w:val="00FB258E"/>
    <w:rsid w:val="00FB2716"/>
    <w:rsid w:val="00FB2B58"/>
    <w:rsid w:val="00FB2C5C"/>
    <w:rsid w:val="00FB2DFB"/>
    <w:rsid w:val="00FB3287"/>
    <w:rsid w:val="00FB33C3"/>
    <w:rsid w:val="00FB33DB"/>
    <w:rsid w:val="00FB3D09"/>
    <w:rsid w:val="00FB3FF3"/>
    <w:rsid w:val="00FB47ED"/>
    <w:rsid w:val="00FB480E"/>
    <w:rsid w:val="00FB4B79"/>
    <w:rsid w:val="00FB4D37"/>
    <w:rsid w:val="00FB5172"/>
    <w:rsid w:val="00FB5341"/>
    <w:rsid w:val="00FB557B"/>
    <w:rsid w:val="00FB56B5"/>
    <w:rsid w:val="00FB5E56"/>
    <w:rsid w:val="00FB5ECE"/>
    <w:rsid w:val="00FB5EF1"/>
    <w:rsid w:val="00FB5F10"/>
    <w:rsid w:val="00FB6261"/>
    <w:rsid w:val="00FB633C"/>
    <w:rsid w:val="00FB6364"/>
    <w:rsid w:val="00FB65BA"/>
    <w:rsid w:val="00FB661B"/>
    <w:rsid w:val="00FB683B"/>
    <w:rsid w:val="00FB6989"/>
    <w:rsid w:val="00FB6B74"/>
    <w:rsid w:val="00FB6B85"/>
    <w:rsid w:val="00FB6DC8"/>
    <w:rsid w:val="00FB7555"/>
    <w:rsid w:val="00FB77BB"/>
    <w:rsid w:val="00FB7872"/>
    <w:rsid w:val="00FC05D6"/>
    <w:rsid w:val="00FC067A"/>
    <w:rsid w:val="00FC079C"/>
    <w:rsid w:val="00FC0A6D"/>
    <w:rsid w:val="00FC0B02"/>
    <w:rsid w:val="00FC0C4C"/>
    <w:rsid w:val="00FC0E42"/>
    <w:rsid w:val="00FC13B7"/>
    <w:rsid w:val="00FC1616"/>
    <w:rsid w:val="00FC1835"/>
    <w:rsid w:val="00FC1A70"/>
    <w:rsid w:val="00FC1C1D"/>
    <w:rsid w:val="00FC1FEB"/>
    <w:rsid w:val="00FC25E9"/>
    <w:rsid w:val="00FC2698"/>
    <w:rsid w:val="00FC29C8"/>
    <w:rsid w:val="00FC2A22"/>
    <w:rsid w:val="00FC2FFC"/>
    <w:rsid w:val="00FC385F"/>
    <w:rsid w:val="00FC3E96"/>
    <w:rsid w:val="00FC3FFE"/>
    <w:rsid w:val="00FC40E4"/>
    <w:rsid w:val="00FC4317"/>
    <w:rsid w:val="00FC47C5"/>
    <w:rsid w:val="00FC47F1"/>
    <w:rsid w:val="00FC52B4"/>
    <w:rsid w:val="00FC5571"/>
    <w:rsid w:val="00FC55C1"/>
    <w:rsid w:val="00FC55E9"/>
    <w:rsid w:val="00FC5FB2"/>
    <w:rsid w:val="00FC601F"/>
    <w:rsid w:val="00FC60EC"/>
    <w:rsid w:val="00FC6200"/>
    <w:rsid w:val="00FC6270"/>
    <w:rsid w:val="00FC63E9"/>
    <w:rsid w:val="00FC6840"/>
    <w:rsid w:val="00FC6A4B"/>
    <w:rsid w:val="00FC6EAA"/>
    <w:rsid w:val="00FC6FCA"/>
    <w:rsid w:val="00FC7684"/>
    <w:rsid w:val="00FC7ADE"/>
    <w:rsid w:val="00FC7DA9"/>
    <w:rsid w:val="00FC7DE7"/>
    <w:rsid w:val="00FC7F9E"/>
    <w:rsid w:val="00FD020D"/>
    <w:rsid w:val="00FD0394"/>
    <w:rsid w:val="00FD0614"/>
    <w:rsid w:val="00FD0782"/>
    <w:rsid w:val="00FD08F9"/>
    <w:rsid w:val="00FD12F6"/>
    <w:rsid w:val="00FD12FD"/>
    <w:rsid w:val="00FD1694"/>
    <w:rsid w:val="00FD1A16"/>
    <w:rsid w:val="00FD1C3B"/>
    <w:rsid w:val="00FD216A"/>
    <w:rsid w:val="00FD269B"/>
    <w:rsid w:val="00FD2E10"/>
    <w:rsid w:val="00FD2E7E"/>
    <w:rsid w:val="00FD333D"/>
    <w:rsid w:val="00FD3673"/>
    <w:rsid w:val="00FD3C1E"/>
    <w:rsid w:val="00FD435E"/>
    <w:rsid w:val="00FD48E0"/>
    <w:rsid w:val="00FD4D11"/>
    <w:rsid w:val="00FD513E"/>
    <w:rsid w:val="00FD592D"/>
    <w:rsid w:val="00FD5A3A"/>
    <w:rsid w:val="00FD5BA7"/>
    <w:rsid w:val="00FD5BD7"/>
    <w:rsid w:val="00FD5CEB"/>
    <w:rsid w:val="00FD5E51"/>
    <w:rsid w:val="00FD6190"/>
    <w:rsid w:val="00FD6796"/>
    <w:rsid w:val="00FD67D1"/>
    <w:rsid w:val="00FD7033"/>
    <w:rsid w:val="00FD774E"/>
    <w:rsid w:val="00FD776C"/>
    <w:rsid w:val="00FD7A78"/>
    <w:rsid w:val="00FD7E33"/>
    <w:rsid w:val="00FE014A"/>
    <w:rsid w:val="00FE0364"/>
    <w:rsid w:val="00FE06BF"/>
    <w:rsid w:val="00FE088F"/>
    <w:rsid w:val="00FE08C9"/>
    <w:rsid w:val="00FE09DE"/>
    <w:rsid w:val="00FE0BDF"/>
    <w:rsid w:val="00FE0E4B"/>
    <w:rsid w:val="00FE0F02"/>
    <w:rsid w:val="00FE115A"/>
    <w:rsid w:val="00FE1438"/>
    <w:rsid w:val="00FE152B"/>
    <w:rsid w:val="00FE162D"/>
    <w:rsid w:val="00FE1764"/>
    <w:rsid w:val="00FE187E"/>
    <w:rsid w:val="00FE19DB"/>
    <w:rsid w:val="00FE19FF"/>
    <w:rsid w:val="00FE1A11"/>
    <w:rsid w:val="00FE1C93"/>
    <w:rsid w:val="00FE1CAB"/>
    <w:rsid w:val="00FE1D35"/>
    <w:rsid w:val="00FE2195"/>
    <w:rsid w:val="00FE2356"/>
    <w:rsid w:val="00FE240B"/>
    <w:rsid w:val="00FE2640"/>
    <w:rsid w:val="00FE28D6"/>
    <w:rsid w:val="00FE2908"/>
    <w:rsid w:val="00FE2C15"/>
    <w:rsid w:val="00FE2C21"/>
    <w:rsid w:val="00FE3142"/>
    <w:rsid w:val="00FE3233"/>
    <w:rsid w:val="00FE38AF"/>
    <w:rsid w:val="00FE39C7"/>
    <w:rsid w:val="00FE3BB7"/>
    <w:rsid w:val="00FE3EAD"/>
    <w:rsid w:val="00FE402B"/>
    <w:rsid w:val="00FE43A9"/>
    <w:rsid w:val="00FE4584"/>
    <w:rsid w:val="00FE4596"/>
    <w:rsid w:val="00FE4823"/>
    <w:rsid w:val="00FE4CD1"/>
    <w:rsid w:val="00FE5089"/>
    <w:rsid w:val="00FE53FB"/>
    <w:rsid w:val="00FE5524"/>
    <w:rsid w:val="00FE5558"/>
    <w:rsid w:val="00FE5645"/>
    <w:rsid w:val="00FE5816"/>
    <w:rsid w:val="00FE5AD5"/>
    <w:rsid w:val="00FE5FDD"/>
    <w:rsid w:val="00FE64B8"/>
    <w:rsid w:val="00FE65B4"/>
    <w:rsid w:val="00FE65F7"/>
    <w:rsid w:val="00FE6762"/>
    <w:rsid w:val="00FE67C3"/>
    <w:rsid w:val="00FE683E"/>
    <w:rsid w:val="00FE6A7A"/>
    <w:rsid w:val="00FE6B37"/>
    <w:rsid w:val="00FE7396"/>
    <w:rsid w:val="00FE74F1"/>
    <w:rsid w:val="00FE794E"/>
    <w:rsid w:val="00FE79B2"/>
    <w:rsid w:val="00FE7C59"/>
    <w:rsid w:val="00FE7E1B"/>
    <w:rsid w:val="00FF0341"/>
    <w:rsid w:val="00FF0CEC"/>
    <w:rsid w:val="00FF10C2"/>
    <w:rsid w:val="00FF121D"/>
    <w:rsid w:val="00FF133A"/>
    <w:rsid w:val="00FF14A1"/>
    <w:rsid w:val="00FF16AE"/>
    <w:rsid w:val="00FF1A1D"/>
    <w:rsid w:val="00FF1E1C"/>
    <w:rsid w:val="00FF2030"/>
    <w:rsid w:val="00FF26F5"/>
    <w:rsid w:val="00FF2955"/>
    <w:rsid w:val="00FF2B48"/>
    <w:rsid w:val="00FF2F99"/>
    <w:rsid w:val="00FF3845"/>
    <w:rsid w:val="00FF3900"/>
    <w:rsid w:val="00FF3AFD"/>
    <w:rsid w:val="00FF444D"/>
    <w:rsid w:val="00FF4471"/>
    <w:rsid w:val="00FF4986"/>
    <w:rsid w:val="00FF4C41"/>
    <w:rsid w:val="00FF5428"/>
    <w:rsid w:val="00FF54F3"/>
    <w:rsid w:val="00FF5A06"/>
    <w:rsid w:val="00FF5CE0"/>
    <w:rsid w:val="00FF5D5B"/>
    <w:rsid w:val="00FF5E6B"/>
    <w:rsid w:val="00FF6045"/>
    <w:rsid w:val="00FF6419"/>
    <w:rsid w:val="00FF6C90"/>
    <w:rsid w:val="00FF77FA"/>
    <w:rsid w:val="00FF7EAB"/>
    <w:rsid w:val="04193A87"/>
    <w:rsid w:val="04CA1C6C"/>
    <w:rsid w:val="053CF3C6"/>
    <w:rsid w:val="0557F6E4"/>
    <w:rsid w:val="05C93342"/>
    <w:rsid w:val="0925D005"/>
    <w:rsid w:val="092BD97F"/>
    <w:rsid w:val="09386C71"/>
    <w:rsid w:val="0B5710AF"/>
    <w:rsid w:val="0BCB24FB"/>
    <w:rsid w:val="0C7CB8F6"/>
    <w:rsid w:val="0D830046"/>
    <w:rsid w:val="0DA3D663"/>
    <w:rsid w:val="0F73ABF5"/>
    <w:rsid w:val="10160044"/>
    <w:rsid w:val="14B79852"/>
    <w:rsid w:val="1580D81A"/>
    <w:rsid w:val="163E55C8"/>
    <w:rsid w:val="17936EF9"/>
    <w:rsid w:val="1AE74B2C"/>
    <w:rsid w:val="1B363B18"/>
    <w:rsid w:val="1B6CFFBF"/>
    <w:rsid w:val="1D7561D7"/>
    <w:rsid w:val="1EA46E12"/>
    <w:rsid w:val="228897B3"/>
    <w:rsid w:val="22A8C710"/>
    <w:rsid w:val="22BF8BBC"/>
    <w:rsid w:val="2437E576"/>
    <w:rsid w:val="278CAB3B"/>
    <w:rsid w:val="287EBBE8"/>
    <w:rsid w:val="28DA53C0"/>
    <w:rsid w:val="29CDAD19"/>
    <w:rsid w:val="2A91A7B7"/>
    <w:rsid w:val="2B5DC15F"/>
    <w:rsid w:val="2C8AAE4D"/>
    <w:rsid w:val="2D366D7D"/>
    <w:rsid w:val="2DA6F43D"/>
    <w:rsid w:val="307C5733"/>
    <w:rsid w:val="30C02ED2"/>
    <w:rsid w:val="31B7724C"/>
    <w:rsid w:val="3227A3F8"/>
    <w:rsid w:val="3375732A"/>
    <w:rsid w:val="33BAE1D5"/>
    <w:rsid w:val="3460E0AD"/>
    <w:rsid w:val="34BDE15D"/>
    <w:rsid w:val="354CC213"/>
    <w:rsid w:val="39A88DBC"/>
    <w:rsid w:val="3AB48358"/>
    <w:rsid w:val="3BE39BAD"/>
    <w:rsid w:val="3D1C7DF1"/>
    <w:rsid w:val="3D8FD90C"/>
    <w:rsid w:val="3F056B48"/>
    <w:rsid w:val="3F4349A2"/>
    <w:rsid w:val="413C6A3A"/>
    <w:rsid w:val="415589EB"/>
    <w:rsid w:val="42B749B6"/>
    <w:rsid w:val="46F0FEA4"/>
    <w:rsid w:val="47941C24"/>
    <w:rsid w:val="4A38091F"/>
    <w:rsid w:val="4A4D8E23"/>
    <w:rsid w:val="4BECE967"/>
    <w:rsid w:val="4D5259AE"/>
    <w:rsid w:val="4D86DE2A"/>
    <w:rsid w:val="4DFCDC4A"/>
    <w:rsid w:val="5004A5EE"/>
    <w:rsid w:val="504ECFFF"/>
    <w:rsid w:val="50DAA113"/>
    <w:rsid w:val="51275737"/>
    <w:rsid w:val="529B313D"/>
    <w:rsid w:val="540F45CF"/>
    <w:rsid w:val="54EA3469"/>
    <w:rsid w:val="5509274E"/>
    <w:rsid w:val="573A4D13"/>
    <w:rsid w:val="580B57F9"/>
    <w:rsid w:val="5A036021"/>
    <w:rsid w:val="5A955C38"/>
    <w:rsid w:val="5AC702B2"/>
    <w:rsid w:val="5AFC905D"/>
    <w:rsid w:val="5BA6CD32"/>
    <w:rsid w:val="5D52309B"/>
    <w:rsid w:val="5E427F27"/>
    <w:rsid w:val="5F4476A8"/>
    <w:rsid w:val="60AC3731"/>
    <w:rsid w:val="61D7816D"/>
    <w:rsid w:val="62029A48"/>
    <w:rsid w:val="64FDA84F"/>
    <w:rsid w:val="6609B9A1"/>
    <w:rsid w:val="66D2104F"/>
    <w:rsid w:val="66F254EE"/>
    <w:rsid w:val="66F56CAF"/>
    <w:rsid w:val="672B1468"/>
    <w:rsid w:val="67CCFF62"/>
    <w:rsid w:val="681C7572"/>
    <w:rsid w:val="691EB0BD"/>
    <w:rsid w:val="69EE253F"/>
    <w:rsid w:val="6AAEE417"/>
    <w:rsid w:val="6C323175"/>
    <w:rsid w:val="703A281F"/>
    <w:rsid w:val="7045A3DF"/>
    <w:rsid w:val="7059281F"/>
    <w:rsid w:val="70A7136A"/>
    <w:rsid w:val="71574A90"/>
    <w:rsid w:val="7194A162"/>
    <w:rsid w:val="73A0E4D8"/>
    <w:rsid w:val="73C18B75"/>
    <w:rsid w:val="74E2A9BB"/>
    <w:rsid w:val="754C0922"/>
    <w:rsid w:val="77E156E2"/>
    <w:rsid w:val="78209E2D"/>
    <w:rsid w:val="788EA206"/>
    <w:rsid w:val="79970CA9"/>
    <w:rsid w:val="79E40EDF"/>
    <w:rsid w:val="7A839DE5"/>
    <w:rsid w:val="7B0D30B2"/>
    <w:rsid w:val="7C1E9BE9"/>
    <w:rsid w:val="7DB1D4DA"/>
    <w:rsid w:val="7DDA4DC2"/>
    <w:rsid w:val="7E47AD06"/>
    <w:rsid w:val="7E75B2AA"/>
    <w:rsid w:val="7E7E026F"/>
    <w:rsid w:val="7ECEFF62"/>
    <w:rsid w:val="7F644EAC"/>
  </w:rsids>
  <m:mathPr>
    <m:mathFont m:val="Cambria Math"/>
    <m:brkBin m:val="before"/>
    <m:brkBinSub m:val="--"/>
    <m:smallFrac m:val="0"/>
    <m:dispDef/>
    <m:lMargin m:val="0"/>
    <m:rMargin m:val="0"/>
    <m:defJc m:val="centerGroup"/>
    <m:wrapIndent m:val="1440"/>
    <m:intLim m:val="subSup"/>
    <m:naryLim m:val="undOvr"/>
  </m:mathPr>
  <w:themeFontLang w:val="en-AU" w:eastAsia="zh-CN" w:bidi="dz-B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2B561"/>
  <w15:docId w15:val="{02DF9E8A-0A08-4F6D-ABFF-7E3F13CA5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0" w:unhideWhenUsed="1" w:qFormat="1"/>
    <w:lsdException w:name="heading 6" w:semiHidden="1" w:uiPriority="1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2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CBB"/>
    <w:pPr>
      <w:spacing w:before="120" w:after="120" w:line="276" w:lineRule="auto"/>
      <w:jc w:val="both"/>
    </w:pPr>
    <w:rPr>
      <w:rFonts w:ascii="Century Gothic" w:eastAsia="Times New Roman" w:hAnsi="Century Gothic" w:cs="Times New Roman"/>
      <w:color w:val="000000"/>
      <w:kern w:val="28"/>
      <w:sz w:val="21"/>
      <w:szCs w:val="20"/>
    </w:rPr>
  </w:style>
  <w:style w:type="paragraph" w:styleId="Heading1">
    <w:name w:val="heading 1"/>
    <w:aliases w:val="H1"/>
    <w:basedOn w:val="Normal"/>
    <w:next w:val="Normal"/>
    <w:link w:val="Heading1Char"/>
    <w:uiPriority w:val="9"/>
    <w:qFormat/>
    <w:rsid w:val="005B0AA3"/>
    <w:pPr>
      <w:keepNext/>
      <w:keepLines/>
      <w:numPr>
        <w:numId w:val="2"/>
      </w:numPr>
      <w:spacing w:after="240"/>
      <w:ind w:left="851"/>
      <w:jc w:val="left"/>
      <w:outlineLvl w:val="0"/>
    </w:pPr>
    <w:rPr>
      <w:rFonts w:eastAsiaTheme="majorEastAsia" w:cstheme="majorBidi"/>
      <w:b/>
      <w:bCs/>
      <w:caps/>
      <w:color w:val="44546A" w:themeColor="text2"/>
      <w:sz w:val="32"/>
      <w:szCs w:val="28"/>
    </w:rPr>
  </w:style>
  <w:style w:type="paragraph" w:styleId="Heading2">
    <w:name w:val="heading 2"/>
    <w:aliases w:val="H2"/>
    <w:basedOn w:val="Normal"/>
    <w:next w:val="Normal"/>
    <w:link w:val="Heading2Char"/>
    <w:uiPriority w:val="9"/>
    <w:qFormat/>
    <w:rsid w:val="005B0AA3"/>
    <w:pPr>
      <w:keepNext/>
      <w:keepLines/>
      <w:numPr>
        <w:ilvl w:val="1"/>
        <w:numId w:val="2"/>
      </w:numPr>
      <w:spacing w:before="360"/>
      <w:outlineLvl w:val="1"/>
    </w:pPr>
    <w:rPr>
      <w:rFonts w:eastAsiaTheme="majorEastAsia" w:cstheme="majorBidi"/>
      <w:b/>
      <w:bCs/>
      <w:color w:val="44546A" w:themeColor="text2"/>
      <w:sz w:val="26"/>
      <w:szCs w:val="26"/>
    </w:rPr>
  </w:style>
  <w:style w:type="paragraph" w:styleId="Heading3">
    <w:name w:val="heading 3"/>
    <w:aliases w:val="H3"/>
    <w:basedOn w:val="Normal"/>
    <w:next w:val="Normal"/>
    <w:link w:val="Heading3Char"/>
    <w:uiPriority w:val="9"/>
    <w:unhideWhenUsed/>
    <w:qFormat/>
    <w:rsid w:val="00494246"/>
    <w:pPr>
      <w:keepNext/>
      <w:keepLines/>
      <w:spacing w:before="40" w:after="0"/>
      <w:outlineLvl w:val="2"/>
    </w:pPr>
    <w:rPr>
      <w:rFonts w:eastAsiaTheme="majorEastAsia" w:cstheme="majorBidi"/>
      <w:b/>
      <w:i/>
      <w:color w:val="44546A" w:themeColor="text2"/>
      <w:sz w:val="24"/>
      <w:szCs w:val="24"/>
    </w:rPr>
  </w:style>
  <w:style w:type="paragraph" w:styleId="Heading4">
    <w:name w:val="heading 4"/>
    <w:aliases w:val="H4"/>
    <w:basedOn w:val="Normal"/>
    <w:next w:val="Normal"/>
    <w:link w:val="Heading4Char"/>
    <w:uiPriority w:val="9"/>
    <w:qFormat/>
    <w:rsid w:val="00C86AD1"/>
    <w:pPr>
      <w:keepNext/>
      <w:keepLines/>
      <w:numPr>
        <w:ilvl w:val="3"/>
        <w:numId w:val="2"/>
      </w:numPr>
      <w:spacing w:before="160"/>
      <w:ind w:left="0"/>
      <w:outlineLvl w:val="3"/>
    </w:pPr>
    <w:rPr>
      <w:rFonts w:eastAsiaTheme="majorEastAsia" w:cstheme="majorBidi"/>
      <w:bCs/>
      <w:i/>
      <w:iCs/>
      <w:color w:val="auto"/>
      <w:u w:val="single"/>
    </w:rPr>
  </w:style>
  <w:style w:type="paragraph" w:styleId="Heading5">
    <w:name w:val="heading 5"/>
    <w:aliases w:val="H5"/>
    <w:basedOn w:val="Normal"/>
    <w:next w:val="Normal"/>
    <w:link w:val="Heading5Char"/>
    <w:uiPriority w:val="10"/>
    <w:qFormat/>
    <w:rsid w:val="005B0AA3"/>
    <w:pPr>
      <w:keepNext/>
      <w:keepLines/>
      <w:numPr>
        <w:ilvl w:val="4"/>
        <w:numId w:val="2"/>
      </w:numPr>
      <w:spacing w:before="200" w:after="0"/>
      <w:ind w:left="0"/>
      <w:outlineLvl w:val="4"/>
    </w:pPr>
    <w:rPr>
      <w:rFonts w:eastAsiaTheme="majorEastAsia" w:cstheme="majorBidi"/>
      <w:color w:val="1F4D78" w:themeColor="accent1" w:themeShade="7F"/>
    </w:rPr>
  </w:style>
  <w:style w:type="paragraph" w:styleId="Heading6">
    <w:name w:val="heading 6"/>
    <w:aliases w:val="H6"/>
    <w:basedOn w:val="Normal"/>
    <w:next w:val="Normal"/>
    <w:link w:val="Heading6Char"/>
    <w:uiPriority w:val="11"/>
    <w:unhideWhenUsed/>
    <w:qFormat/>
    <w:rsid w:val="005B0AA3"/>
    <w:pPr>
      <w:keepNext/>
      <w:keepLines/>
      <w:numPr>
        <w:ilvl w:val="5"/>
        <w:numId w:val="2"/>
      </w:numPr>
      <w:spacing w:before="200" w:after="0"/>
      <w:ind w:left="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5B0AA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9"/>
    <w:unhideWhenUsed/>
    <w:qFormat/>
    <w:rsid w:val="005B0AA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C002ED"/>
    <w:pPr>
      <w:keepNext/>
      <w:keepLines/>
      <w:spacing w:after="0"/>
      <w:outlineLvl w:val="8"/>
    </w:pPr>
    <w:rPr>
      <w:rFonts w:eastAsiaTheme="majorEastAsia"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5B0AA3"/>
    <w:rPr>
      <w:rFonts w:ascii="Century Gothic" w:eastAsiaTheme="majorEastAsia" w:hAnsi="Century Gothic" w:cstheme="majorBidi"/>
      <w:b/>
      <w:bCs/>
      <w:caps/>
      <w:color w:val="44546A" w:themeColor="text2"/>
      <w:kern w:val="28"/>
      <w:sz w:val="32"/>
      <w:szCs w:val="28"/>
    </w:rPr>
  </w:style>
  <w:style w:type="character" w:customStyle="1" w:styleId="Heading2Char">
    <w:name w:val="Heading 2 Char"/>
    <w:aliases w:val="H2 Char"/>
    <w:basedOn w:val="DefaultParagraphFont"/>
    <w:link w:val="Heading2"/>
    <w:uiPriority w:val="9"/>
    <w:rsid w:val="005B0AA3"/>
    <w:rPr>
      <w:rFonts w:ascii="Century Gothic" w:eastAsiaTheme="majorEastAsia" w:hAnsi="Century Gothic" w:cstheme="majorBidi"/>
      <w:b/>
      <w:bCs/>
      <w:color w:val="44546A" w:themeColor="text2"/>
      <w:kern w:val="28"/>
      <w:sz w:val="26"/>
      <w:szCs w:val="26"/>
    </w:rPr>
  </w:style>
  <w:style w:type="character" w:customStyle="1" w:styleId="Heading3Char">
    <w:name w:val="Heading 3 Char"/>
    <w:aliases w:val="H3 Char"/>
    <w:basedOn w:val="DefaultParagraphFont"/>
    <w:link w:val="Heading3"/>
    <w:uiPriority w:val="9"/>
    <w:rsid w:val="00494246"/>
    <w:rPr>
      <w:rFonts w:ascii="Century Gothic" w:eastAsiaTheme="majorEastAsia" w:hAnsi="Century Gothic" w:cstheme="majorBidi"/>
      <w:b/>
      <w:i/>
      <w:color w:val="44546A" w:themeColor="text2"/>
      <w:kern w:val="28"/>
      <w:sz w:val="24"/>
      <w:szCs w:val="24"/>
    </w:rPr>
  </w:style>
  <w:style w:type="character" w:customStyle="1" w:styleId="Heading4Char">
    <w:name w:val="Heading 4 Char"/>
    <w:aliases w:val="H4 Char"/>
    <w:basedOn w:val="DefaultParagraphFont"/>
    <w:link w:val="Heading4"/>
    <w:uiPriority w:val="9"/>
    <w:rsid w:val="00C86AD1"/>
    <w:rPr>
      <w:rFonts w:ascii="Century Gothic" w:eastAsiaTheme="majorEastAsia" w:hAnsi="Century Gothic" w:cstheme="majorBidi"/>
      <w:bCs/>
      <w:i/>
      <w:iCs/>
      <w:kern w:val="28"/>
      <w:sz w:val="21"/>
      <w:szCs w:val="20"/>
      <w:u w:val="single"/>
    </w:rPr>
  </w:style>
  <w:style w:type="character" w:customStyle="1" w:styleId="Heading5Char">
    <w:name w:val="Heading 5 Char"/>
    <w:aliases w:val="H5 Char"/>
    <w:basedOn w:val="DefaultParagraphFont"/>
    <w:link w:val="Heading5"/>
    <w:uiPriority w:val="10"/>
    <w:rsid w:val="005B0AA3"/>
    <w:rPr>
      <w:rFonts w:ascii="Century Gothic" w:eastAsiaTheme="majorEastAsia" w:hAnsi="Century Gothic" w:cstheme="majorBidi"/>
      <w:color w:val="1F4D78" w:themeColor="accent1" w:themeShade="7F"/>
      <w:kern w:val="28"/>
      <w:sz w:val="21"/>
      <w:szCs w:val="20"/>
    </w:rPr>
  </w:style>
  <w:style w:type="character" w:customStyle="1" w:styleId="Heading6Char">
    <w:name w:val="Heading 6 Char"/>
    <w:aliases w:val="H6 Char"/>
    <w:basedOn w:val="DefaultParagraphFont"/>
    <w:link w:val="Heading6"/>
    <w:uiPriority w:val="11"/>
    <w:rsid w:val="005B0AA3"/>
    <w:rPr>
      <w:rFonts w:asciiTheme="majorHAnsi" w:eastAsiaTheme="majorEastAsia" w:hAnsiTheme="majorHAnsi" w:cstheme="majorBidi"/>
      <w:i/>
      <w:iCs/>
      <w:color w:val="1F4D78" w:themeColor="accent1" w:themeShade="7F"/>
      <w:kern w:val="28"/>
      <w:sz w:val="21"/>
      <w:szCs w:val="20"/>
    </w:rPr>
  </w:style>
  <w:style w:type="character" w:customStyle="1" w:styleId="Heading7Char">
    <w:name w:val="Heading 7 Char"/>
    <w:basedOn w:val="DefaultParagraphFont"/>
    <w:link w:val="Heading7"/>
    <w:uiPriority w:val="9"/>
    <w:semiHidden/>
    <w:rsid w:val="005B0AA3"/>
    <w:rPr>
      <w:rFonts w:asciiTheme="majorHAnsi" w:eastAsiaTheme="majorEastAsia" w:hAnsiTheme="majorHAnsi" w:cstheme="majorBidi"/>
      <w:i/>
      <w:iCs/>
      <w:color w:val="404040" w:themeColor="text1" w:themeTint="BF"/>
      <w:kern w:val="28"/>
      <w:sz w:val="21"/>
      <w:szCs w:val="20"/>
    </w:rPr>
  </w:style>
  <w:style w:type="character" w:customStyle="1" w:styleId="Heading8Char">
    <w:name w:val="Heading 8 Char"/>
    <w:basedOn w:val="DefaultParagraphFont"/>
    <w:link w:val="Heading8"/>
    <w:uiPriority w:val="99"/>
    <w:rsid w:val="005B0AA3"/>
    <w:rPr>
      <w:rFonts w:asciiTheme="majorHAnsi" w:eastAsiaTheme="majorEastAsia" w:hAnsiTheme="majorHAnsi" w:cstheme="majorBidi"/>
      <w:color w:val="404040" w:themeColor="text1" w:themeTint="BF"/>
      <w:kern w:val="28"/>
      <w:sz w:val="20"/>
      <w:szCs w:val="20"/>
    </w:rPr>
  </w:style>
  <w:style w:type="character" w:styleId="Hyperlink">
    <w:name w:val="Hyperlink"/>
    <w:basedOn w:val="DefaultParagraphFont"/>
    <w:uiPriority w:val="99"/>
    <w:rsid w:val="005B0AA3"/>
    <w:rPr>
      <w:color w:val="0000FF"/>
      <w:u w:val="single"/>
    </w:rPr>
  </w:style>
  <w:style w:type="paragraph" w:styleId="TOC1">
    <w:name w:val="toc 1"/>
    <w:basedOn w:val="Normal"/>
    <w:next w:val="Normal"/>
    <w:autoRedefine/>
    <w:uiPriority w:val="39"/>
    <w:unhideWhenUsed/>
    <w:rsid w:val="007A450F"/>
    <w:pPr>
      <w:tabs>
        <w:tab w:val="right" w:leader="dot" w:pos="9016"/>
      </w:tabs>
      <w:spacing w:after="100"/>
    </w:pPr>
    <w:rPr>
      <w:b/>
      <w:caps/>
    </w:rPr>
  </w:style>
  <w:style w:type="paragraph" w:styleId="TOC2">
    <w:name w:val="toc 2"/>
    <w:basedOn w:val="Normal"/>
    <w:next w:val="Normal"/>
    <w:autoRedefine/>
    <w:uiPriority w:val="39"/>
    <w:unhideWhenUsed/>
    <w:rsid w:val="009A44B6"/>
    <w:pPr>
      <w:tabs>
        <w:tab w:val="left" w:pos="660"/>
        <w:tab w:val="right" w:leader="dot" w:pos="9010"/>
      </w:tabs>
      <w:spacing w:after="100"/>
      <w:contextualSpacing/>
    </w:pPr>
    <w:rPr>
      <w:noProof/>
    </w:rPr>
  </w:style>
  <w:style w:type="paragraph" w:styleId="Header">
    <w:name w:val="header"/>
    <w:basedOn w:val="Normal"/>
    <w:link w:val="HeaderChar"/>
    <w:uiPriority w:val="99"/>
    <w:unhideWhenUsed/>
    <w:rsid w:val="005B0AA3"/>
    <w:pPr>
      <w:tabs>
        <w:tab w:val="center" w:pos="4513"/>
        <w:tab w:val="right" w:pos="9026"/>
      </w:tabs>
    </w:pPr>
  </w:style>
  <w:style w:type="character" w:customStyle="1" w:styleId="HeaderChar">
    <w:name w:val="Header Char"/>
    <w:basedOn w:val="DefaultParagraphFont"/>
    <w:link w:val="Header"/>
    <w:uiPriority w:val="99"/>
    <w:rsid w:val="005B0AA3"/>
    <w:rPr>
      <w:rFonts w:ascii="Century Gothic" w:eastAsia="Times New Roman" w:hAnsi="Century Gothic" w:cs="Times New Roman"/>
      <w:color w:val="000000"/>
      <w:kern w:val="28"/>
      <w:szCs w:val="20"/>
    </w:rPr>
  </w:style>
  <w:style w:type="paragraph" w:styleId="Footer">
    <w:name w:val="footer"/>
    <w:basedOn w:val="Normal"/>
    <w:link w:val="FooterChar"/>
    <w:uiPriority w:val="99"/>
    <w:unhideWhenUsed/>
    <w:rsid w:val="005B0AA3"/>
    <w:pPr>
      <w:tabs>
        <w:tab w:val="center" w:pos="4513"/>
        <w:tab w:val="right" w:pos="9026"/>
      </w:tabs>
    </w:pPr>
    <w:rPr>
      <w:sz w:val="20"/>
    </w:rPr>
  </w:style>
  <w:style w:type="character" w:customStyle="1" w:styleId="FooterChar">
    <w:name w:val="Footer Char"/>
    <w:basedOn w:val="DefaultParagraphFont"/>
    <w:link w:val="Footer"/>
    <w:uiPriority w:val="99"/>
    <w:rsid w:val="005B0AA3"/>
    <w:rPr>
      <w:rFonts w:ascii="Century Gothic" w:eastAsia="Times New Roman" w:hAnsi="Century Gothic" w:cs="Times New Roman"/>
      <w:color w:val="000000"/>
      <w:kern w:val="28"/>
      <w:sz w:val="20"/>
      <w:szCs w:val="20"/>
    </w:rPr>
  </w:style>
  <w:style w:type="paragraph" w:customStyle="1" w:styleId="H1anotincinTOC">
    <w:name w:val="H1a not inc. in TOC"/>
    <w:basedOn w:val="Heading1"/>
    <w:next w:val="Normal"/>
    <w:uiPriority w:val="5"/>
    <w:qFormat/>
    <w:rsid w:val="005B0AA3"/>
    <w:pPr>
      <w:keepLines w:val="0"/>
      <w:numPr>
        <w:numId w:val="0"/>
      </w:numPr>
      <w:spacing w:before="0"/>
      <w:outlineLvl w:val="9"/>
    </w:pPr>
    <w:rPr>
      <w:rFonts w:eastAsia="Times New Roman" w:cs="Arial"/>
      <w:color w:val="000000"/>
      <w:spacing w:val="40"/>
      <w:szCs w:val="32"/>
      <w:lang w:eastAsia="en-AU"/>
    </w:rPr>
  </w:style>
  <w:style w:type="paragraph" w:styleId="TableofFigures">
    <w:name w:val="table of figures"/>
    <w:basedOn w:val="Normal"/>
    <w:next w:val="Normal"/>
    <w:uiPriority w:val="99"/>
    <w:rsid w:val="005B0AA3"/>
    <w:pPr>
      <w:tabs>
        <w:tab w:val="left" w:pos="1080"/>
        <w:tab w:val="right" w:leader="dot" w:pos="9000"/>
      </w:tabs>
      <w:ind w:left="964" w:hanging="964"/>
    </w:pPr>
    <w:rPr>
      <w:kern w:val="0"/>
      <w:lang w:eastAsia="en-AU"/>
    </w:rPr>
  </w:style>
  <w:style w:type="paragraph" w:styleId="ListBullet">
    <w:name w:val="List Bullet"/>
    <w:basedOn w:val="ListParagraph"/>
    <w:uiPriority w:val="99"/>
    <w:qFormat/>
    <w:rsid w:val="005B0AA3"/>
    <w:pPr>
      <w:numPr>
        <w:numId w:val="1"/>
      </w:numPr>
      <w:contextualSpacing w:val="0"/>
    </w:pPr>
    <w:rPr>
      <w:rFonts w:cs="Arial"/>
      <w:szCs w:val="22"/>
      <w:lang w:eastAsia="en-AU"/>
    </w:rPr>
  </w:style>
  <w:style w:type="paragraph" w:styleId="ListParagraph">
    <w:name w:val="List Paragraph"/>
    <w:basedOn w:val="Normal"/>
    <w:link w:val="ListParagraphChar"/>
    <w:uiPriority w:val="34"/>
    <w:qFormat/>
    <w:rsid w:val="005B0AA3"/>
    <w:pPr>
      <w:ind w:left="720"/>
      <w:contextualSpacing/>
    </w:pPr>
  </w:style>
  <w:style w:type="character" w:customStyle="1" w:styleId="ListParagraphChar">
    <w:name w:val="List Paragraph Char"/>
    <w:link w:val="ListParagraph"/>
    <w:uiPriority w:val="34"/>
    <w:rsid w:val="006237D5"/>
    <w:rPr>
      <w:rFonts w:ascii="Century Gothic" w:eastAsia="Times New Roman" w:hAnsi="Century Gothic" w:cs="Times New Roman"/>
      <w:color w:val="000000"/>
      <w:kern w:val="28"/>
      <w:szCs w:val="20"/>
    </w:rPr>
  </w:style>
  <w:style w:type="character" w:styleId="CommentReference">
    <w:name w:val="annotation reference"/>
    <w:basedOn w:val="DefaultParagraphFont"/>
    <w:uiPriority w:val="99"/>
    <w:semiHidden/>
    <w:unhideWhenUsed/>
    <w:rsid w:val="001B09A2"/>
    <w:rPr>
      <w:sz w:val="16"/>
      <w:szCs w:val="16"/>
    </w:rPr>
  </w:style>
  <w:style w:type="paragraph" w:styleId="CommentText">
    <w:name w:val="annotation text"/>
    <w:basedOn w:val="Normal"/>
    <w:link w:val="CommentTextChar"/>
    <w:uiPriority w:val="99"/>
    <w:unhideWhenUsed/>
    <w:rsid w:val="001B09A2"/>
    <w:pPr>
      <w:spacing w:line="240" w:lineRule="auto"/>
    </w:pPr>
    <w:rPr>
      <w:sz w:val="20"/>
    </w:rPr>
  </w:style>
  <w:style w:type="character" w:customStyle="1" w:styleId="CommentTextChar">
    <w:name w:val="Comment Text Char"/>
    <w:basedOn w:val="DefaultParagraphFont"/>
    <w:link w:val="CommentText"/>
    <w:uiPriority w:val="99"/>
    <w:rsid w:val="001B09A2"/>
    <w:rPr>
      <w:rFonts w:ascii="Century Gothic" w:eastAsia="Times New Roman" w:hAnsi="Century Gothic" w:cs="Times New Roman"/>
      <w:color w:val="000000"/>
      <w:kern w:val="28"/>
      <w:sz w:val="20"/>
      <w:szCs w:val="20"/>
    </w:rPr>
  </w:style>
  <w:style w:type="paragraph" w:styleId="CommentSubject">
    <w:name w:val="annotation subject"/>
    <w:basedOn w:val="CommentText"/>
    <w:next w:val="CommentText"/>
    <w:link w:val="CommentSubjectChar"/>
    <w:uiPriority w:val="99"/>
    <w:semiHidden/>
    <w:unhideWhenUsed/>
    <w:rsid w:val="001B09A2"/>
    <w:rPr>
      <w:b/>
      <w:bCs/>
    </w:rPr>
  </w:style>
  <w:style w:type="character" w:customStyle="1" w:styleId="CommentSubjectChar">
    <w:name w:val="Comment Subject Char"/>
    <w:basedOn w:val="CommentTextChar"/>
    <w:link w:val="CommentSubject"/>
    <w:uiPriority w:val="99"/>
    <w:semiHidden/>
    <w:rsid w:val="001B09A2"/>
    <w:rPr>
      <w:rFonts w:ascii="Century Gothic" w:eastAsia="Times New Roman" w:hAnsi="Century Gothic" w:cs="Times New Roman"/>
      <w:b/>
      <w:bCs/>
      <w:color w:val="000000"/>
      <w:kern w:val="28"/>
      <w:sz w:val="20"/>
      <w:szCs w:val="20"/>
    </w:rPr>
  </w:style>
  <w:style w:type="paragraph" w:styleId="BalloonText">
    <w:name w:val="Balloon Text"/>
    <w:basedOn w:val="Normal"/>
    <w:link w:val="BalloonTextChar"/>
    <w:uiPriority w:val="99"/>
    <w:semiHidden/>
    <w:unhideWhenUsed/>
    <w:rsid w:val="001B09A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9A2"/>
    <w:rPr>
      <w:rFonts w:ascii="Segoe UI" w:eastAsia="Times New Roman" w:hAnsi="Segoe UI" w:cs="Segoe UI"/>
      <w:color w:val="000000"/>
      <w:kern w:val="28"/>
      <w:sz w:val="18"/>
      <w:szCs w:val="18"/>
    </w:rPr>
  </w:style>
  <w:style w:type="paragraph" w:styleId="ListNumber">
    <w:name w:val="List Number"/>
    <w:basedOn w:val="ListParagraph"/>
    <w:uiPriority w:val="22"/>
    <w:qFormat/>
    <w:rsid w:val="00986C11"/>
    <w:pPr>
      <w:numPr>
        <w:numId w:val="3"/>
      </w:numPr>
      <w:contextualSpacing w:val="0"/>
    </w:pPr>
    <w:rPr>
      <w:rFonts w:cs="Arial"/>
      <w:szCs w:val="22"/>
      <w:lang w:eastAsia="en-AU"/>
    </w:rPr>
  </w:style>
  <w:style w:type="paragraph" w:styleId="Caption">
    <w:name w:val="caption"/>
    <w:aliases w:val="CaptionTable,CaptionTable Char,Centered Char,Caption Char1,Centered Char Char,Centered,Figures"/>
    <w:basedOn w:val="Normal"/>
    <w:next w:val="Normal"/>
    <w:link w:val="CaptionChar"/>
    <w:uiPriority w:val="35"/>
    <w:unhideWhenUsed/>
    <w:qFormat/>
    <w:rsid w:val="00986C11"/>
    <w:pPr>
      <w:spacing w:after="200" w:line="240" w:lineRule="auto"/>
    </w:pPr>
    <w:rPr>
      <w:b/>
      <w:bCs/>
      <w:color w:val="auto"/>
      <w:sz w:val="20"/>
      <w:szCs w:val="18"/>
    </w:rPr>
  </w:style>
  <w:style w:type="character" w:customStyle="1" w:styleId="CaptionChar">
    <w:name w:val="Caption Char"/>
    <w:aliases w:val="CaptionTable Char1,CaptionTable Char Char,Centered Char Char1,Caption Char1 Char,Centered Char Char Char,Centered Char1,Figures Char"/>
    <w:link w:val="Caption"/>
    <w:uiPriority w:val="35"/>
    <w:rsid w:val="00986C11"/>
    <w:rPr>
      <w:rFonts w:ascii="Century Gothic" w:eastAsia="Times New Roman" w:hAnsi="Century Gothic" w:cs="Times New Roman"/>
      <w:b/>
      <w:bCs/>
      <w:kern w:val="28"/>
      <w:sz w:val="20"/>
      <w:szCs w:val="18"/>
    </w:rPr>
  </w:style>
  <w:style w:type="paragraph" w:customStyle="1" w:styleId="Captions">
    <w:name w:val="Captions"/>
    <w:basedOn w:val="Normal"/>
    <w:next w:val="Normal"/>
    <w:autoRedefine/>
    <w:qFormat/>
    <w:rsid w:val="00605FB2"/>
    <w:pPr>
      <w:spacing w:after="200" w:line="240" w:lineRule="auto"/>
    </w:pPr>
    <w:rPr>
      <w:rFonts w:eastAsia="MS Mincho" w:cs="Arial"/>
      <w:b/>
      <w:color w:val="auto"/>
      <w:kern w:val="0"/>
      <w:sz w:val="20"/>
      <w:lang w:val="en-US"/>
    </w:rPr>
  </w:style>
  <w:style w:type="table" w:styleId="TableGrid">
    <w:name w:val="Table Grid"/>
    <w:basedOn w:val="TableNormal"/>
    <w:uiPriority w:val="39"/>
    <w:rsid w:val="007E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7">
    <w:name w:val="Char Char7"/>
    <w:uiPriority w:val="99"/>
    <w:locked/>
    <w:rsid w:val="006237D5"/>
    <w:rPr>
      <w:rFonts w:ascii="Frutiger LT Std 45 Light" w:hAnsi="Frutiger LT Std 45 Light" w:cs="Frutiger LT Std 45 Light"/>
      <w:color w:val="548DD4"/>
      <w:spacing w:val="5"/>
      <w:kern w:val="28"/>
      <w:sz w:val="28"/>
      <w:szCs w:val="28"/>
      <w:lang w:val="en-AU" w:eastAsia="en-US" w:bidi="ar-SA"/>
    </w:rPr>
  </w:style>
  <w:style w:type="paragraph" w:customStyle="1" w:styleId="TableHeading">
    <w:name w:val="TableHeading"/>
    <w:basedOn w:val="Normal"/>
    <w:uiPriority w:val="13"/>
    <w:qFormat/>
    <w:rsid w:val="002241AB"/>
    <w:rPr>
      <w:rFonts w:cs="Arial"/>
      <w:b/>
      <w:sz w:val="20"/>
      <w:szCs w:val="22"/>
    </w:rPr>
  </w:style>
  <w:style w:type="paragraph" w:styleId="TOCHeading">
    <w:name w:val="TOC Heading"/>
    <w:basedOn w:val="Heading1"/>
    <w:next w:val="Normal"/>
    <w:uiPriority w:val="39"/>
    <w:unhideWhenUsed/>
    <w:qFormat/>
    <w:rsid w:val="00040A6D"/>
    <w:pPr>
      <w:numPr>
        <w:numId w:val="0"/>
      </w:numPr>
      <w:spacing w:before="240" w:after="0"/>
      <w:jc w:val="both"/>
      <w:outlineLvl w:val="9"/>
    </w:pPr>
    <w:rPr>
      <w:rFonts w:asciiTheme="majorHAnsi" w:hAnsiTheme="majorHAnsi"/>
      <w:b w:val="0"/>
      <w:bCs w:val="0"/>
      <w:caps w:val="0"/>
      <w:color w:val="2E74B5" w:themeColor="accent1" w:themeShade="BF"/>
      <w:szCs w:val="32"/>
    </w:rPr>
  </w:style>
  <w:style w:type="paragraph" w:styleId="FootnoteText">
    <w:name w:val="footnote text"/>
    <w:basedOn w:val="Normal"/>
    <w:link w:val="FootnoteTextChar"/>
    <w:uiPriority w:val="99"/>
    <w:semiHidden/>
    <w:unhideWhenUsed/>
    <w:rsid w:val="002E4118"/>
    <w:pPr>
      <w:spacing w:before="0" w:after="0" w:line="240" w:lineRule="auto"/>
    </w:pPr>
    <w:rPr>
      <w:sz w:val="20"/>
    </w:rPr>
  </w:style>
  <w:style w:type="character" w:customStyle="1" w:styleId="FootnoteTextChar">
    <w:name w:val="Footnote Text Char"/>
    <w:basedOn w:val="DefaultParagraphFont"/>
    <w:link w:val="FootnoteText"/>
    <w:uiPriority w:val="99"/>
    <w:semiHidden/>
    <w:rsid w:val="002E4118"/>
    <w:rPr>
      <w:rFonts w:ascii="Century Gothic" w:eastAsia="Times New Roman" w:hAnsi="Century Gothic" w:cs="Times New Roman"/>
      <w:color w:val="000000"/>
      <w:kern w:val="28"/>
      <w:sz w:val="20"/>
      <w:szCs w:val="20"/>
    </w:rPr>
  </w:style>
  <w:style w:type="character" w:styleId="FootnoteReference">
    <w:name w:val="footnote reference"/>
    <w:basedOn w:val="DefaultParagraphFont"/>
    <w:uiPriority w:val="99"/>
    <w:unhideWhenUsed/>
    <w:rsid w:val="002E4118"/>
    <w:rPr>
      <w:vertAlign w:val="superscript"/>
    </w:rPr>
  </w:style>
  <w:style w:type="paragraph" w:customStyle="1" w:styleId="Reporttext">
    <w:name w:val="Report text"/>
    <w:basedOn w:val="Normal"/>
    <w:link w:val="ReporttextChar"/>
    <w:qFormat/>
    <w:rsid w:val="004F5412"/>
    <w:pPr>
      <w:spacing w:before="0" w:after="170" w:line="260" w:lineRule="atLeast"/>
      <w:jc w:val="left"/>
    </w:pPr>
    <w:rPr>
      <w:rFonts w:ascii="Segoe UI" w:eastAsia="MS Mincho" w:hAnsi="Segoe UI"/>
      <w:color w:val="auto"/>
      <w:kern w:val="0"/>
      <w:sz w:val="20"/>
      <w:szCs w:val="18"/>
    </w:rPr>
  </w:style>
  <w:style w:type="character" w:customStyle="1" w:styleId="ReporttextChar">
    <w:name w:val="Report text Char"/>
    <w:basedOn w:val="DefaultParagraphFont"/>
    <w:link w:val="Reporttext"/>
    <w:rsid w:val="004F5412"/>
    <w:rPr>
      <w:rFonts w:ascii="Segoe UI" w:eastAsia="MS Mincho" w:hAnsi="Segoe UI" w:cs="Times New Roman"/>
      <w:sz w:val="20"/>
      <w:szCs w:val="18"/>
    </w:rPr>
  </w:style>
  <w:style w:type="paragraph" w:styleId="BodyText">
    <w:name w:val="Body Text"/>
    <w:link w:val="BodyTextChar"/>
    <w:uiPriority w:val="99"/>
    <w:semiHidden/>
    <w:unhideWhenUsed/>
    <w:rsid w:val="00C75987"/>
    <w:pPr>
      <w:spacing w:after="120" w:line="240" w:lineRule="auto"/>
      <w:jc w:val="center"/>
    </w:pPr>
    <w:rPr>
      <w:rFonts w:ascii="Gill Sans MT" w:eastAsia="Times New Roman" w:hAnsi="Gill Sans MT" w:cs="Times New Roman"/>
      <w:color w:val="000000"/>
      <w:kern w:val="28"/>
      <w:sz w:val="48"/>
      <w:szCs w:val="48"/>
      <w:lang w:val="en-US"/>
    </w:rPr>
  </w:style>
  <w:style w:type="character" w:customStyle="1" w:styleId="BodyTextChar">
    <w:name w:val="Body Text Char"/>
    <w:basedOn w:val="DefaultParagraphFont"/>
    <w:link w:val="BodyText"/>
    <w:uiPriority w:val="99"/>
    <w:semiHidden/>
    <w:rsid w:val="00C75987"/>
    <w:rPr>
      <w:rFonts w:ascii="Gill Sans MT" w:eastAsia="Times New Roman" w:hAnsi="Gill Sans MT" w:cs="Times New Roman"/>
      <w:color w:val="000000"/>
      <w:kern w:val="28"/>
      <w:sz w:val="48"/>
      <w:szCs w:val="48"/>
      <w:lang w:val="en-US"/>
    </w:rPr>
  </w:style>
  <w:style w:type="paragraph" w:styleId="TOC3">
    <w:name w:val="toc 3"/>
    <w:basedOn w:val="Normal"/>
    <w:next w:val="Normal"/>
    <w:autoRedefine/>
    <w:uiPriority w:val="39"/>
    <w:unhideWhenUsed/>
    <w:rsid w:val="00C73815"/>
    <w:pPr>
      <w:tabs>
        <w:tab w:val="left" w:pos="660"/>
        <w:tab w:val="right" w:leader="dot" w:pos="9010"/>
      </w:tabs>
      <w:spacing w:before="60" w:after="60"/>
      <w:ind w:left="113"/>
    </w:pPr>
    <w:rPr>
      <w:i/>
    </w:rPr>
  </w:style>
  <w:style w:type="paragraph" w:styleId="Title">
    <w:name w:val="Title"/>
    <w:basedOn w:val="Normal"/>
    <w:next w:val="Normal"/>
    <w:link w:val="TitleChar"/>
    <w:autoRedefine/>
    <w:uiPriority w:val="10"/>
    <w:qFormat/>
    <w:rsid w:val="00C75987"/>
    <w:pPr>
      <w:spacing w:after="960"/>
    </w:pPr>
    <w:rPr>
      <w:rFonts w:cs="Arial"/>
      <w:b/>
      <w:color w:val="0070C0"/>
      <w:sz w:val="40"/>
      <w:szCs w:val="43"/>
    </w:rPr>
  </w:style>
  <w:style w:type="character" w:customStyle="1" w:styleId="TitleChar">
    <w:name w:val="Title Char"/>
    <w:basedOn w:val="DefaultParagraphFont"/>
    <w:link w:val="Title"/>
    <w:uiPriority w:val="10"/>
    <w:rsid w:val="00C75987"/>
    <w:rPr>
      <w:rFonts w:ascii="Century Gothic" w:eastAsia="Times New Roman" w:hAnsi="Century Gothic" w:cs="Arial"/>
      <w:b/>
      <w:color w:val="0070C0"/>
      <w:kern w:val="28"/>
      <w:sz w:val="40"/>
      <w:szCs w:val="43"/>
    </w:rPr>
  </w:style>
  <w:style w:type="paragraph" w:styleId="TOC4">
    <w:name w:val="toc 4"/>
    <w:basedOn w:val="Normal"/>
    <w:next w:val="Normal"/>
    <w:autoRedefine/>
    <w:uiPriority w:val="39"/>
    <w:unhideWhenUsed/>
    <w:rsid w:val="00C75987"/>
    <w:pPr>
      <w:spacing w:after="100"/>
      <w:ind w:left="660"/>
    </w:pPr>
    <w:rPr>
      <w:rFonts w:ascii="Calibri" w:hAnsi="Calibri"/>
      <w:i/>
      <w:sz w:val="20"/>
    </w:rPr>
  </w:style>
  <w:style w:type="paragraph" w:customStyle="1" w:styleId="TableText">
    <w:name w:val="TableText"/>
    <w:basedOn w:val="Normal"/>
    <w:next w:val="Normal"/>
    <w:link w:val="TableTextChar"/>
    <w:uiPriority w:val="14"/>
    <w:qFormat/>
    <w:rsid w:val="00C75987"/>
    <w:rPr>
      <w:rFonts w:cs="Arial"/>
      <w:sz w:val="20"/>
      <w:szCs w:val="22"/>
    </w:rPr>
  </w:style>
  <w:style w:type="character" w:customStyle="1" w:styleId="TableTextChar">
    <w:name w:val="TableText Char"/>
    <w:basedOn w:val="DefaultParagraphFont"/>
    <w:link w:val="TableText"/>
    <w:uiPriority w:val="14"/>
    <w:rsid w:val="00C75987"/>
    <w:rPr>
      <w:rFonts w:ascii="Century Gothic" w:eastAsia="Times New Roman" w:hAnsi="Century Gothic" w:cs="Arial"/>
      <w:color w:val="000000"/>
      <w:kern w:val="28"/>
      <w:sz w:val="20"/>
    </w:rPr>
  </w:style>
  <w:style w:type="paragraph" w:customStyle="1" w:styleId="DocumentDetails">
    <w:name w:val="DocumentDetails"/>
    <w:basedOn w:val="Normal"/>
    <w:uiPriority w:val="99"/>
    <w:rsid w:val="00C75987"/>
    <w:pPr>
      <w:tabs>
        <w:tab w:val="left" w:pos="2552"/>
      </w:tabs>
      <w:ind w:left="2552" w:hanging="2552"/>
    </w:pPr>
    <w:rPr>
      <w:rFonts w:cs="Arial"/>
      <w:szCs w:val="22"/>
    </w:rPr>
  </w:style>
  <w:style w:type="character" w:styleId="Strong">
    <w:name w:val="Strong"/>
    <w:basedOn w:val="DefaultParagraphFont"/>
    <w:uiPriority w:val="22"/>
    <w:qFormat/>
    <w:rsid w:val="00C75987"/>
    <w:rPr>
      <w:b/>
      <w:bCs/>
    </w:rPr>
  </w:style>
  <w:style w:type="paragraph" w:customStyle="1" w:styleId="PrelimHeadings">
    <w:name w:val="PrelimHeadings"/>
    <w:basedOn w:val="Normal"/>
    <w:next w:val="Normal"/>
    <w:uiPriority w:val="99"/>
    <w:rsid w:val="00C75987"/>
    <w:rPr>
      <w:rFonts w:cs="Arial"/>
      <w:b/>
      <w:szCs w:val="22"/>
    </w:rPr>
  </w:style>
  <w:style w:type="paragraph" w:customStyle="1" w:styleId="PrelimText">
    <w:name w:val="PrelimText"/>
    <w:basedOn w:val="Normal"/>
    <w:uiPriority w:val="99"/>
    <w:rsid w:val="00C75987"/>
    <w:rPr>
      <w:rFonts w:cs="Arial"/>
      <w:szCs w:val="22"/>
    </w:rPr>
  </w:style>
  <w:style w:type="paragraph" w:styleId="PlainText">
    <w:name w:val="Plain Text"/>
    <w:basedOn w:val="Normal"/>
    <w:link w:val="PlainTextChar"/>
    <w:uiPriority w:val="99"/>
    <w:unhideWhenUsed/>
    <w:rsid w:val="00C75987"/>
    <w:rPr>
      <w:rFonts w:ascii="Consolas" w:hAnsi="Consolas" w:cs="Consolas"/>
      <w:szCs w:val="21"/>
    </w:rPr>
  </w:style>
  <w:style w:type="character" w:customStyle="1" w:styleId="PlainTextChar">
    <w:name w:val="Plain Text Char"/>
    <w:basedOn w:val="DefaultParagraphFont"/>
    <w:link w:val="PlainText"/>
    <w:uiPriority w:val="99"/>
    <w:rsid w:val="00C75987"/>
    <w:rPr>
      <w:rFonts w:ascii="Consolas" w:eastAsia="Times New Roman" w:hAnsi="Consolas" w:cs="Consolas"/>
      <w:color w:val="000000"/>
      <w:kern w:val="28"/>
      <w:sz w:val="21"/>
      <w:szCs w:val="21"/>
    </w:rPr>
  </w:style>
  <w:style w:type="paragraph" w:customStyle="1" w:styleId="PrelimTextLeftAlign">
    <w:name w:val="PrelimText+LeftAlign"/>
    <w:basedOn w:val="Normal"/>
    <w:uiPriority w:val="99"/>
    <w:rsid w:val="00C75987"/>
    <w:rPr>
      <w:rFonts w:cs="Arial"/>
      <w:szCs w:val="22"/>
    </w:rPr>
  </w:style>
  <w:style w:type="paragraph" w:customStyle="1" w:styleId="TitlePageVerticalPeriod">
    <w:name w:val="TitlePageVerticalPeriod"/>
    <w:basedOn w:val="Normal"/>
    <w:uiPriority w:val="99"/>
    <w:qFormat/>
    <w:rsid w:val="00C75987"/>
    <w:rPr>
      <w:rFonts w:ascii="Arial Bold" w:hAnsi="Arial Bold"/>
      <w:color w:val="0070C0"/>
      <w:sz w:val="36"/>
    </w:rPr>
  </w:style>
  <w:style w:type="paragraph" w:customStyle="1" w:styleId="Authors">
    <w:name w:val="Authors"/>
    <w:basedOn w:val="Normal"/>
    <w:uiPriority w:val="19"/>
    <w:qFormat/>
    <w:rsid w:val="00C75987"/>
    <w:pPr>
      <w:pBdr>
        <w:top w:val="single" w:sz="18" w:space="15" w:color="5B9BD5" w:themeColor="accent1"/>
        <w:bottom w:val="single" w:sz="18" w:space="30" w:color="5B9BD5" w:themeColor="accent1"/>
      </w:pBdr>
      <w:tabs>
        <w:tab w:val="left" w:pos="7740"/>
      </w:tabs>
      <w:spacing w:before="320" w:after="320"/>
    </w:pPr>
    <w:rPr>
      <w:rFonts w:cs="Arial"/>
      <w:color w:val="auto"/>
      <w:sz w:val="28"/>
      <w:szCs w:val="28"/>
    </w:rPr>
  </w:style>
  <w:style w:type="paragraph" w:customStyle="1" w:styleId="DraftReport">
    <w:name w:val="DraftReport"/>
    <w:basedOn w:val="Normal"/>
    <w:next w:val="Normal"/>
    <w:uiPriority w:val="99"/>
    <w:rsid w:val="00C75987"/>
    <w:pPr>
      <w:spacing w:after="360"/>
      <w:jc w:val="center"/>
    </w:pPr>
    <w:rPr>
      <w:rFonts w:ascii="Arial Bold" w:hAnsi="Arial Bold"/>
      <w:color w:val="999999"/>
      <w:sz w:val="72"/>
    </w:rPr>
  </w:style>
  <w:style w:type="paragraph" w:customStyle="1" w:styleId="Heading3a">
    <w:name w:val="Heading 3a"/>
    <w:basedOn w:val="Heading3"/>
    <w:next w:val="Normal"/>
    <w:uiPriority w:val="8"/>
    <w:rsid w:val="00C75987"/>
    <w:pPr>
      <w:keepLines w:val="0"/>
      <w:spacing w:before="240" w:after="240"/>
      <w:ind w:left="1440" w:hanging="720"/>
      <w:outlineLvl w:val="9"/>
    </w:pPr>
    <w:rPr>
      <w:rFonts w:eastAsia="Times New Roman" w:cs="Arial"/>
      <w:bCs/>
      <w:color w:val="000000"/>
      <w:kern w:val="0"/>
      <w:sz w:val="22"/>
      <w:szCs w:val="26"/>
      <w:lang w:eastAsia="en-AU"/>
    </w:rPr>
  </w:style>
  <w:style w:type="paragraph" w:styleId="ListBullet2">
    <w:name w:val="List Bullet 2"/>
    <w:basedOn w:val="ListParagraph"/>
    <w:uiPriority w:val="99"/>
    <w:unhideWhenUsed/>
    <w:rsid w:val="00C75987"/>
    <w:pPr>
      <w:numPr>
        <w:ilvl w:val="1"/>
        <w:numId w:val="6"/>
      </w:numPr>
      <w:contextualSpacing w:val="0"/>
    </w:pPr>
    <w:rPr>
      <w:rFonts w:cs="Arial"/>
      <w:szCs w:val="22"/>
      <w:lang w:eastAsia="en-AU"/>
    </w:rPr>
  </w:style>
  <w:style w:type="paragraph" w:customStyle="1" w:styleId="TableCaption">
    <w:name w:val="TableCaption"/>
    <w:basedOn w:val="Normal"/>
    <w:next w:val="Normal"/>
    <w:uiPriority w:val="12"/>
    <w:qFormat/>
    <w:rsid w:val="00C75987"/>
    <w:rPr>
      <w:b/>
      <w:sz w:val="20"/>
    </w:rPr>
  </w:style>
  <w:style w:type="paragraph" w:customStyle="1" w:styleId="FigureCaption">
    <w:name w:val="FigureCaption"/>
    <w:basedOn w:val="Normal"/>
    <w:uiPriority w:val="15"/>
    <w:qFormat/>
    <w:rsid w:val="00C75987"/>
    <w:rPr>
      <w:b/>
      <w:sz w:val="20"/>
    </w:rPr>
  </w:style>
  <w:style w:type="paragraph" w:customStyle="1" w:styleId="PhotoCaption">
    <w:name w:val="PhotoCaption"/>
    <w:basedOn w:val="Normal"/>
    <w:next w:val="Normal"/>
    <w:uiPriority w:val="16"/>
    <w:qFormat/>
    <w:rsid w:val="00C75987"/>
    <w:rPr>
      <w:b/>
      <w:sz w:val="20"/>
    </w:rPr>
  </w:style>
  <w:style w:type="paragraph" w:customStyle="1" w:styleId="UserNote">
    <w:name w:val="UserNote"/>
    <w:basedOn w:val="PrelimHeadings"/>
    <w:uiPriority w:val="99"/>
    <w:qFormat/>
    <w:rsid w:val="00C75987"/>
    <w:pPr>
      <w:jc w:val="left"/>
    </w:pPr>
    <w:rPr>
      <w:color w:val="FF0000"/>
      <w:sz w:val="28"/>
    </w:rPr>
  </w:style>
  <w:style w:type="character" w:customStyle="1" w:styleId="Red">
    <w:name w:val="Red"/>
    <w:basedOn w:val="DefaultParagraphFont"/>
    <w:uiPriority w:val="22"/>
    <w:qFormat/>
    <w:rsid w:val="00C75987"/>
    <w:rPr>
      <w:color w:val="FF0000"/>
    </w:rPr>
  </w:style>
  <w:style w:type="paragraph" w:customStyle="1" w:styleId="ReportSubtitle">
    <w:name w:val="ReportSubtitle"/>
    <w:basedOn w:val="Normal"/>
    <w:uiPriority w:val="18"/>
    <w:qFormat/>
    <w:rsid w:val="00C75987"/>
    <w:rPr>
      <w:b/>
      <w:color w:val="0070C0"/>
      <w:sz w:val="28"/>
      <w:szCs w:val="28"/>
    </w:rPr>
  </w:style>
  <w:style w:type="paragraph" w:customStyle="1" w:styleId="Default">
    <w:name w:val="Default"/>
    <w:unhideWhenUsed/>
    <w:rsid w:val="00C75987"/>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20"/>
    <w:qFormat/>
    <w:rsid w:val="00C75987"/>
    <w:rPr>
      <w:i/>
      <w:iCs/>
    </w:rPr>
  </w:style>
  <w:style w:type="paragraph" w:customStyle="1" w:styleId="H2anotincinTOC">
    <w:name w:val="H2a not inc. in TOC"/>
    <w:basedOn w:val="Heading2"/>
    <w:uiPriority w:val="7"/>
    <w:rsid w:val="00C75987"/>
    <w:pPr>
      <w:numPr>
        <w:ilvl w:val="0"/>
        <w:numId w:val="0"/>
      </w:numPr>
    </w:pPr>
  </w:style>
  <w:style w:type="paragraph" w:customStyle="1" w:styleId="H1notnumberedinTOC">
    <w:name w:val="H1 not numbered in TOC"/>
    <w:basedOn w:val="Heading1"/>
    <w:uiPriority w:val="4"/>
    <w:qFormat/>
    <w:rsid w:val="00C75987"/>
    <w:pPr>
      <w:numPr>
        <w:numId w:val="0"/>
      </w:numPr>
    </w:pPr>
  </w:style>
  <w:style w:type="paragraph" w:customStyle="1" w:styleId="H2notnumberedinTOC">
    <w:name w:val="H2 not numbered in TOC"/>
    <w:basedOn w:val="Heading2"/>
    <w:next w:val="Normal"/>
    <w:uiPriority w:val="6"/>
    <w:qFormat/>
    <w:rsid w:val="00C75987"/>
    <w:pPr>
      <w:numPr>
        <w:ilvl w:val="0"/>
        <w:numId w:val="0"/>
      </w:numPr>
      <w:ind w:left="720" w:hanging="720"/>
    </w:pPr>
  </w:style>
  <w:style w:type="paragraph" w:customStyle="1" w:styleId="References">
    <w:name w:val="References"/>
    <w:basedOn w:val="Normal"/>
    <w:uiPriority w:val="22"/>
    <w:qFormat/>
    <w:rsid w:val="00C75987"/>
    <w:pPr>
      <w:ind w:left="357" w:hanging="357"/>
    </w:pPr>
    <w:rPr>
      <w:rFonts w:cs="Arial"/>
      <w:szCs w:val="22"/>
    </w:rPr>
  </w:style>
  <w:style w:type="character" w:customStyle="1" w:styleId="DocumentMapChar">
    <w:name w:val="Document Map Char"/>
    <w:basedOn w:val="DefaultParagraphFont"/>
    <w:link w:val="DocumentMap"/>
    <w:uiPriority w:val="99"/>
    <w:semiHidden/>
    <w:rsid w:val="00C75987"/>
    <w:rPr>
      <w:rFonts w:ascii="Tahoma" w:eastAsia="Times New Roman" w:hAnsi="Tahoma" w:cs="Tahoma"/>
      <w:color w:val="000000"/>
      <w:kern w:val="28"/>
      <w:sz w:val="16"/>
      <w:szCs w:val="16"/>
    </w:rPr>
  </w:style>
  <w:style w:type="paragraph" w:styleId="DocumentMap">
    <w:name w:val="Document Map"/>
    <w:basedOn w:val="Normal"/>
    <w:link w:val="DocumentMapChar"/>
    <w:uiPriority w:val="99"/>
    <w:semiHidden/>
    <w:unhideWhenUsed/>
    <w:rsid w:val="00C75987"/>
    <w:pPr>
      <w:spacing w:after="0"/>
    </w:pPr>
    <w:rPr>
      <w:rFonts w:ascii="Tahoma" w:hAnsi="Tahoma" w:cs="Tahoma"/>
      <w:sz w:val="16"/>
      <w:szCs w:val="16"/>
    </w:rPr>
  </w:style>
  <w:style w:type="paragraph" w:styleId="Subtitle">
    <w:name w:val="Subtitle"/>
    <w:basedOn w:val="Heading2"/>
    <w:next w:val="Normal"/>
    <w:link w:val="SubtitleChar"/>
    <w:uiPriority w:val="11"/>
    <w:qFormat/>
    <w:rsid w:val="00C75987"/>
    <w:pPr>
      <w:numPr>
        <w:ilvl w:val="0"/>
        <w:numId w:val="0"/>
      </w:numPr>
      <w:spacing w:before="200" w:after="0"/>
      <w:jc w:val="center"/>
    </w:pPr>
    <w:rPr>
      <w:kern w:val="0"/>
      <w:sz w:val="28"/>
    </w:rPr>
  </w:style>
  <w:style w:type="character" w:customStyle="1" w:styleId="SubtitleChar">
    <w:name w:val="Subtitle Char"/>
    <w:basedOn w:val="DefaultParagraphFont"/>
    <w:link w:val="Subtitle"/>
    <w:uiPriority w:val="11"/>
    <w:rsid w:val="00C75987"/>
    <w:rPr>
      <w:rFonts w:ascii="Century Gothic" w:eastAsiaTheme="majorEastAsia" w:hAnsi="Century Gothic" w:cstheme="majorBidi"/>
      <w:b/>
      <w:bCs/>
      <w:color w:val="44546A" w:themeColor="text2"/>
      <w:sz w:val="28"/>
      <w:szCs w:val="26"/>
    </w:rPr>
  </w:style>
  <w:style w:type="paragraph" w:customStyle="1" w:styleId="Para0">
    <w:name w:val="Para 0"/>
    <w:basedOn w:val="Normal"/>
    <w:rsid w:val="00C75987"/>
    <w:pPr>
      <w:spacing w:after="220" w:line="300" w:lineRule="auto"/>
    </w:pPr>
    <w:rPr>
      <w:rFonts w:ascii="Arial" w:hAnsi="Arial"/>
      <w:kern w:val="0"/>
      <w:sz w:val="20"/>
      <w:lang w:val="en-GB"/>
    </w:rPr>
  </w:style>
  <w:style w:type="paragraph" w:customStyle="1" w:styleId="Para0bullet">
    <w:name w:val="Para 0 bullet"/>
    <w:basedOn w:val="Para0"/>
    <w:link w:val="Para0bulletChar"/>
    <w:rsid w:val="00C75987"/>
    <w:pPr>
      <w:numPr>
        <w:numId w:val="7"/>
      </w:numPr>
      <w:spacing w:after="60"/>
    </w:pPr>
  </w:style>
  <w:style w:type="character" w:customStyle="1" w:styleId="Para0bulletChar">
    <w:name w:val="Para 0 bullet Char"/>
    <w:link w:val="Para0bullet"/>
    <w:rsid w:val="00C75987"/>
    <w:rPr>
      <w:rFonts w:ascii="Arial" w:eastAsia="Times New Roman" w:hAnsi="Arial" w:cs="Times New Roman"/>
      <w:color w:val="000000"/>
      <w:sz w:val="20"/>
      <w:szCs w:val="20"/>
      <w:lang w:val="en-GB"/>
    </w:rPr>
  </w:style>
  <w:style w:type="paragraph" w:customStyle="1" w:styleId="EndNoteBibliography">
    <w:name w:val="EndNote Bibliography"/>
    <w:basedOn w:val="Normal"/>
    <w:link w:val="EndNoteBibliographyChar"/>
    <w:rsid w:val="00C75987"/>
    <w:pPr>
      <w:spacing w:after="200"/>
    </w:pPr>
    <w:rPr>
      <w:rFonts w:ascii="Calibri" w:eastAsiaTheme="minorHAnsi" w:hAnsi="Calibri" w:cs="Calibri"/>
      <w:noProof/>
      <w:color w:val="auto"/>
      <w:kern w:val="0"/>
      <w:szCs w:val="22"/>
      <w:lang w:val="en-US"/>
    </w:rPr>
  </w:style>
  <w:style w:type="character" w:customStyle="1" w:styleId="EndNoteBibliographyChar">
    <w:name w:val="EndNote Bibliography Char"/>
    <w:basedOn w:val="DefaultParagraphFont"/>
    <w:link w:val="EndNoteBibliography"/>
    <w:rsid w:val="00C75987"/>
    <w:rPr>
      <w:rFonts w:ascii="Calibri" w:hAnsi="Calibri" w:cs="Calibri"/>
      <w:noProof/>
      <w:lang w:val="en-US"/>
    </w:rPr>
  </w:style>
  <w:style w:type="paragraph" w:customStyle="1" w:styleId="BodyText1">
    <w:name w:val="Body Text1"/>
    <w:basedOn w:val="BodyText"/>
    <w:link w:val="BodytextChar0"/>
    <w:rsid w:val="00C75987"/>
    <w:pPr>
      <w:spacing w:before="120" w:after="240"/>
      <w:jc w:val="both"/>
    </w:pPr>
    <w:rPr>
      <w:rFonts w:ascii="Arial" w:eastAsia="Calibri" w:hAnsi="Arial"/>
      <w:color w:val="auto"/>
      <w:kern w:val="0"/>
      <w:sz w:val="20"/>
      <w:szCs w:val="20"/>
      <w:lang w:val="en-AU"/>
    </w:rPr>
  </w:style>
  <w:style w:type="character" w:customStyle="1" w:styleId="BodytextChar0">
    <w:name w:val="Body text Char"/>
    <w:basedOn w:val="DefaultParagraphFont"/>
    <w:link w:val="BodyText1"/>
    <w:locked/>
    <w:rsid w:val="00C75987"/>
    <w:rPr>
      <w:rFonts w:ascii="Arial" w:eastAsia="Calibri" w:hAnsi="Arial" w:cs="Times New Roman"/>
      <w:sz w:val="20"/>
      <w:szCs w:val="20"/>
    </w:rPr>
  </w:style>
  <w:style w:type="paragraph" w:styleId="NormalWeb">
    <w:name w:val="Normal (Web)"/>
    <w:basedOn w:val="Normal"/>
    <w:uiPriority w:val="99"/>
    <w:unhideWhenUsed/>
    <w:rsid w:val="00C75987"/>
    <w:pPr>
      <w:spacing w:before="100" w:beforeAutospacing="1" w:after="100" w:afterAutospacing="1"/>
    </w:pPr>
    <w:rPr>
      <w:rFonts w:ascii="Times New Roman" w:hAnsi="Times New Roman"/>
      <w:color w:val="auto"/>
      <w:kern w:val="0"/>
      <w:sz w:val="24"/>
      <w:szCs w:val="24"/>
      <w:lang w:val="en-US"/>
    </w:rPr>
  </w:style>
  <w:style w:type="character" w:customStyle="1" w:styleId="st">
    <w:name w:val="st"/>
    <w:basedOn w:val="DefaultParagraphFont"/>
    <w:rsid w:val="00C75987"/>
  </w:style>
  <w:style w:type="character" w:styleId="IntenseEmphasis">
    <w:name w:val="Intense Emphasis"/>
    <w:basedOn w:val="DefaultParagraphFont"/>
    <w:uiPriority w:val="21"/>
    <w:qFormat/>
    <w:rsid w:val="00C75987"/>
    <w:rPr>
      <w:rFonts w:ascii="Century Gothic" w:hAnsi="Century Gothic"/>
      <w:i/>
      <w:iCs/>
      <w:color w:val="auto"/>
    </w:rPr>
  </w:style>
  <w:style w:type="paragraph" w:customStyle="1" w:styleId="IWCEBodytext15spacing">
    <w:name w:val="IWCE Body text 1.5 spacing"/>
    <w:basedOn w:val="Normal"/>
    <w:link w:val="IWCEBodytext15spacingChar"/>
    <w:uiPriority w:val="99"/>
    <w:rsid w:val="00C75987"/>
    <w:pPr>
      <w:spacing w:before="0" w:after="200"/>
    </w:pPr>
    <w:rPr>
      <w:rFonts w:ascii="Garamond" w:eastAsia="Calibri" w:hAnsi="Garamond"/>
      <w:color w:val="auto"/>
      <w:kern w:val="0"/>
      <w:szCs w:val="22"/>
      <w:lang w:val="en-US"/>
    </w:rPr>
  </w:style>
  <w:style w:type="character" w:customStyle="1" w:styleId="IWCEBodytext15spacingChar">
    <w:name w:val="IWCE Body text 1.5 spacing Char"/>
    <w:basedOn w:val="DefaultParagraphFont"/>
    <w:link w:val="IWCEBodytext15spacing"/>
    <w:uiPriority w:val="99"/>
    <w:rsid w:val="00C75987"/>
    <w:rPr>
      <w:rFonts w:ascii="Garamond" w:eastAsia="Calibri" w:hAnsi="Garamond" w:cs="Times New Roman"/>
      <w:lang w:val="en-US"/>
    </w:rPr>
  </w:style>
  <w:style w:type="paragraph" w:styleId="BodyTextIndent3">
    <w:name w:val="Body Text Indent 3"/>
    <w:basedOn w:val="Normal"/>
    <w:link w:val="BodyTextIndent3Char"/>
    <w:rsid w:val="00C75987"/>
    <w:pPr>
      <w:spacing w:before="0" w:line="240" w:lineRule="auto"/>
      <w:ind w:left="283"/>
    </w:pPr>
    <w:rPr>
      <w:rFonts w:ascii="Times New Roman" w:hAnsi="Times New Roman"/>
      <w:color w:val="auto"/>
      <w:kern w:val="0"/>
      <w:sz w:val="16"/>
      <w:szCs w:val="16"/>
    </w:rPr>
  </w:style>
  <w:style w:type="character" w:customStyle="1" w:styleId="BodyTextIndent3Char">
    <w:name w:val="Body Text Indent 3 Char"/>
    <w:basedOn w:val="DefaultParagraphFont"/>
    <w:link w:val="BodyTextIndent3"/>
    <w:rsid w:val="00C75987"/>
    <w:rPr>
      <w:rFonts w:ascii="Times New Roman" w:eastAsia="Times New Roman" w:hAnsi="Times New Roman" w:cs="Times New Roman"/>
      <w:sz w:val="16"/>
      <w:szCs w:val="16"/>
    </w:rPr>
  </w:style>
  <w:style w:type="paragraph" w:customStyle="1" w:styleId="IWCEBodytextsinglespacing">
    <w:name w:val="IWCE Body text single spacing"/>
    <w:basedOn w:val="Default"/>
    <w:rsid w:val="00C75987"/>
    <w:pPr>
      <w:jc w:val="both"/>
    </w:pPr>
    <w:rPr>
      <w:rFonts w:eastAsia="Times New Roman" w:cs="Times New Roman"/>
      <w:sz w:val="22"/>
      <w:szCs w:val="20"/>
      <w:lang w:eastAsia="en-AU"/>
    </w:rPr>
  </w:style>
  <w:style w:type="paragraph" w:customStyle="1" w:styleId="IWCEReferencelist">
    <w:name w:val="IWCE Reference list"/>
    <w:basedOn w:val="Normal"/>
    <w:link w:val="IWCEReferencelistChar"/>
    <w:uiPriority w:val="99"/>
    <w:rsid w:val="00C75987"/>
    <w:pPr>
      <w:spacing w:before="0" w:after="240" w:line="240" w:lineRule="auto"/>
    </w:pPr>
    <w:rPr>
      <w:rFonts w:ascii="Arial" w:eastAsia="Calibri" w:hAnsi="Arial"/>
      <w:color w:val="auto"/>
      <w:kern w:val="0"/>
      <w:szCs w:val="22"/>
      <w:lang w:val="en-US"/>
    </w:rPr>
  </w:style>
  <w:style w:type="character" w:customStyle="1" w:styleId="IWCEReferencelistChar">
    <w:name w:val="IWCE Reference list Char"/>
    <w:basedOn w:val="DefaultParagraphFont"/>
    <w:link w:val="IWCEReferencelist"/>
    <w:uiPriority w:val="99"/>
    <w:rsid w:val="00C75987"/>
    <w:rPr>
      <w:rFonts w:ascii="Arial" w:eastAsia="Calibri" w:hAnsi="Arial" w:cs="Times New Roman"/>
      <w:lang w:val="en-US"/>
    </w:rPr>
  </w:style>
  <w:style w:type="paragraph" w:customStyle="1" w:styleId="Bullet">
    <w:name w:val="Bullet"/>
    <w:basedOn w:val="Normal"/>
    <w:uiPriority w:val="99"/>
    <w:rsid w:val="00C75987"/>
    <w:pPr>
      <w:numPr>
        <w:numId w:val="8"/>
      </w:numPr>
      <w:spacing w:before="0" w:line="240" w:lineRule="auto"/>
    </w:pPr>
    <w:rPr>
      <w:rFonts w:ascii="Times New Roman" w:hAnsi="Times New Roman"/>
      <w:color w:val="auto"/>
      <w:kern w:val="0"/>
      <w:sz w:val="24"/>
    </w:rPr>
  </w:style>
  <w:style w:type="paragraph" w:customStyle="1" w:styleId="CM6">
    <w:name w:val="CM6"/>
    <w:basedOn w:val="Normal"/>
    <w:next w:val="Normal"/>
    <w:uiPriority w:val="99"/>
    <w:rsid w:val="00C75987"/>
    <w:pPr>
      <w:widowControl w:val="0"/>
      <w:autoSpaceDE w:val="0"/>
      <w:autoSpaceDN w:val="0"/>
      <w:adjustRightInd w:val="0"/>
      <w:spacing w:before="0" w:after="0" w:line="268" w:lineRule="atLeast"/>
    </w:pPr>
    <w:rPr>
      <w:rFonts w:ascii="Calibri,Bold" w:eastAsiaTheme="minorEastAsia" w:hAnsi="Calibri,Bold" w:cstheme="minorBidi"/>
      <w:color w:val="auto"/>
      <w:kern w:val="0"/>
      <w:sz w:val="24"/>
      <w:szCs w:val="24"/>
      <w:lang w:eastAsia="en-AU"/>
    </w:rPr>
  </w:style>
  <w:style w:type="character" w:customStyle="1" w:styleId="BodyText2Char">
    <w:name w:val="Body Text 2 Char"/>
    <w:basedOn w:val="DefaultParagraphFont"/>
    <w:link w:val="BodyText2"/>
    <w:uiPriority w:val="99"/>
    <w:semiHidden/>
    <w:rsid w:val="00C75987"/>
    <w:rPr>
      <w:rFonts w:ascii="Century Gothic" w:eastAsia="Times New Roman" w:hAnsi="Century Gothic" w:cs="Times New Roman"/>
      <w:color w:val="000000"/>
      <w:kern w:val="28"/>
      <w:szCs w:val="20"/>
    </w:rPr>
  </w:style>
  <w:style w:type="paragraph" w:styleId="BodyText2">
    <w:name w:val="Body Text 2"/>
    <w:basedOn w:val="Normal"/>
    <w:link w:val="BodyText2Char"/>
    <w:uiPriority w:val="99"/>
    <w:semiHidden/>
    <w:unhideWhenUsed/>
    <w:rsid w:val="00C75987"/>
    <w:pPr>
      <w:spacing w:line="480" w:lineRule="auto"/>
    </w:pPr>
  </w:style>
  <w:style w:type="paragraph" w:styleId="NoSpacing">
    <w:name w:val="No Spacing"/>
    <w:basedOn w:val="Normal"/>
    <w:link w:val="NoSpacingChar"/>
    <w:uiPriority w:val="1"/>
    <w:qFormat/>
    <w:rsid w:val="00C75987"/>
    <w:pPr>
      <w:spacing w:before="0" w:after="0" w:line="240" w:lineRule="auto"/>
      <w:jc w:val="left"/>
    </w:pPr>
    <w:rPr>
      <w:rFonts w:ascii="Calibri" w:hAnsi="Calibri"/>
      <w:color w:val="auto"/>
      <w:kern w:val="0"/>
      <w:sz w:val="20"/>
      <w:lang w:val="en-US" w:bidi="en-US"/>
    </w:rPr>
  </w:style>
  <w:style w:type="character" w:customStyle="1" w:styleId="NoSpacingChar">
    <w:name w:val="No Spacing Char"/>
    <w:basedOn w:val="DefaultParagraphFont"/>
    <w:link w:val="NoSpacing"/>
    <w:uiPriority w:val="1"/>
    <w:rsid w:val="00C75987"/>
    <w:rPr>
      <w:rFonts w:ascii="Calibri" w:eastAsia="Times New Roman" w:hAnsi="Calibri" w:cs="Times New Roman"/>
      <w:sz w:val="20"/>
      <w:szCs w:val="20"/>
      <w:lang w:val="en-US" w:bidi="en-US"/>
    </w:rPr>
  </w:style>
  <w:style w:type="character" w:customStyle="1" w:styleId="EndnoteTextChar">
    <w:name w:val="Endnote Text Char"/>
    <w:basedOn w:val="DefaultParagraphFont"/>
    <w:link w:val="EndnoteText"/>
    <w:uiPriority w:val="99"/>
    <w:semiHidden/>
    <w:rsid w:val="00C75987"/>
    <w:rPr>
      <w:rFonts w:ascii="Century Gothic" w:eastAsia="Times New Roman" w:hAnsi="Century Gothic" w:cs="Times New Roman"/>
      <w:color w:val="000000"/>
      <w:kern w:val="28"/>
      <w:sz w:val="20"/>
      <w:szCs w:val="20"/>
    </w:rPr>
  </w:style>
  <w:style w:type="paragraph" w:styleId="EndnoteText">
    <w:name w:val="endnote text"/>
    <w:basedOn w:val="Normal"/>
    <w:link w:val="EndnoteTextChar"/>
    <w:uiPriority w:val="99"/>
    <w:semiHidden/>
    <w:unhideWhenUsed/>
    <w:rsid w:val="00C75987"/>
    <w:pPr>
      <w:spacing w:before="0" w:after="0" w:line="240" w:lineRule="auto"/>
    </w:pPr>
    <w:rPr>
      <w:sz w:val="20"/>
    </w:rPr>
  </w:style>
  <w:style w:type="paragraph" w:styleId="Revision">
    <w:name w:val="Revision"/>
    <w:hidden/>
    <w:uiPriority w:val="99"/>
    <w:semiHidden/>
    <w:rsid w:val="001F70CE"/>
    <w:pPr>
      <w:spacing w:after="0" w:line="240" w:lineRule="auto"/>
    </w:pPr>
    <w:rPr>
      <w:rFonts w:ascii="Century Gothic" w:eastAsia="Times New Roman" w:hAnsi="Century Gothic" w:cs="Times New Roman"/>
      <w:color w:val="000000"/>
      <w:kern w:val="28"/>
      <w:szCs w:val="20"/>
    </w:rPr>
  </w:style>
  <w:style w:type="character" w:styleId="FollowedHyperlink">
    <w:name w:val="FollowedHyperlink"/>
    <w:basedOn w:val="DefaultParagraphFont"/>
    <w:uiPriority w:val="99"/>
    <w:semiHidden/>
    <w:unhideWhenUsed/>
    <w:rsid w:val="00F91999"/>
    <w:rPr>
      <w:color w:val="954F72" w:themeColor="followedHyperlink"/>
      <w:u w:val="single"/>
    </w:rPr>
  </w:style>
  <w:style w:type="paragraph" w:customStyle="1" w:styleId="EndNoteBibliographyTitle">
    <w:name w:val="EndNote Bibliography Title"/>
    <w:basedOn w:val="Normal"/>
    <w:link w:val="EndNoteBibliographyTitleChar"/>
    <w:rsid w:val="0088325F"/>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88325F"/>
    <w:rPr>
      <w:rFonts w:ascii="Century Gothic" w:eastAsia="Times New Roman" w:hAnsi="Century Gothic" w:cs="Times New Roman"/>
      <w:noProof/>
      <w:color w:val="000000"/>
      <w:kern w:val="28"/>
      <w:szCs w:val="20"/>
      <w:lang w:val="en-US"/>
    </w:rPr>
  </w:style>
  <w:style w:type="character" w:customStyle="1" w:styleId="UnresolvedMention1">
    <w:name w:val="Unresolved Mention1"/>
    <w:basedOn w:val="DefaultParagraphFont"/>
    <w:uiPriority w:val="99"/>
    <w:semiHidden/>
    <w:unhideWhenUsed/>
    <w:rsid w:val="00F65132"/>
    <w:rPr>
      <w:color w:val="605E5C"/>
      <w:shd w:val="clear" w:color="auto" w:fill="E1DFDD"/>
    </w:rPr>
  </w:style>
  <w:style w:type="paragraph" w:styleId="ListBullet3">
    <w:name w:val="List Bullet 3"/>
    <w:basedOn w:val="Normal"/>
    <w:uiPriority w:val="99"/>
    <w:semiHidden/>
    <w:unhideWhenUsed/>
    <w:rsid w:val="00250A03"/>
    <w:pPr>
      <w:snapToGrid w:val="0"/>
      <w:spacing w:before="0" w:after="60" w:line="240" w:lineRule="auto"/>
      <w:ind w:left="1106" w:hanging="369"/>
      <w:jc w:val="left"/>
    </w:pPr>
    <w:rPr>
      <w:rFonts w:ascii="Arial" w:hAnsi="Arial" w:cs="Arial"/>
      <w:color w:val="auto"/>
      <w:kern w:val="0"/>
      <w:sz w:val="22"/>
      <w:szCs w:val="22"/>
      <w:lang w:val="en-GB" w:eastAsia="en-AU"/>
    </w:rPr>
  </w:style>
  <w:style w:type="paragraph" w:styleId="ListBullet4">
    <w:name w:val="List Bullet 4"/>
    <w:basedOn w:val="Normal"/>
    <w:uiPriority w:val="99"/>
    <w:semiHidden/>
    <w:unhideWhenUsed/>
    <w:rsid w:val="00250A03"/>
    <w:pPr>
      <w:snapToGrid w:val="0"/>
      <w:spacing w:before="0" w:after="60" w:line="240" w:lineRule="auto"/>
      <w:ind w:left="1474" w:hanging="368"/>
      <w:jc w:val="left"/>
    </w:pPr>
    <w:rPr>
      <w:rFonts w:ascii="Arial" w:hAnsi="Arial" w:cs="Arial"/>
      <w:color w:val="auto"/>
      <w:kern w:val="0"/>
      <w:sz w:val="22"/>
      <w:szCs w:val="22"/>
      <w:lang w:val="en-GB" w:eastAsia="en-AU"/>
    </w:rPr>
  </w:style>
  <w:style w:type="paragraph" w:styleId="ListBullet5">
    <w:name w:val="List Bullet 5"/>
    <w:basedOn w:val="Normal"/>
    <w:uiPriority w:val="99"/>
    <w:semiHidden/>
    <w:unhideWhenUsed/>
    <w:rsid w:val="00250A03"/>
    <w:pPr>
      <w:snapToGrid w:val="0"/>
      <w:spacing w:before="0" w:after="60" w:line="240" w:lineRule="auto"/>
      <w:ind w:left="1800" w:hanging="360"/>
      <w:jc w:val="left"/>
    </w:pPr>
    <w:rPr>
      <w:rFonts w:ascii="Arial" w:hAnsi="Arial" w:cs="Arial"/>
      <w:color w:val="auto"/>
      <w:kern w:val="0"/>
      <w:sz w:val="22"/>
      <w:szCs w:val="22"/>
      <w:lang w:val="en-GB" w:eastAsia="en-AU"/>
    </w:rPr>
  </w:style>
  <w:style w:type="numbering" w:customStyle="1" w:styleId="BulletList">
    <w:name w:val="Bullet List"/>
    <w:uiPriority w:val="99"/>
    <w:rsid w:val="00250A03"/>
    <w:pPr>
      <w:numPr>
        <w:numId w:val="9"/>
      </w:numPr>
    </w:pPr>
  </w:style>
  <w:style w:type="character" w:styleId="UnresolvedMention">
    <w:name w:val="Unresolved Mention"/>
    <w:basedOn w:val="DefaultParagraphFont"/>
    <w:uiPriority w:val="99"/>
    <w:semiHidden/>
    <w:unhideWhenUsed/>
    <w:rsid w:val="00065519"/>
    <w:rPr>
      <w:color w:val="605E5C"/>
      <w:shd w:val="clear" w:color="auto" w:fill="E1DFDD"/>
    </w:rPr>
  </w:style>
  <w:style w:type="character" w:customStyle="1" w:styleId="spelle">
    <w:name w:val="spelle"/>
    <w:basedOn w:val="DefaultParagraphFont"/>
    <w:rsid w:val="00ED6D8A"/>
  </w:style>
  <w:style w:type="paragraph" w:customStyle="1" w:styleId="TableBullets">
    <w:name w:val="TableBullets"/>
    <w:basedOn w:val="TableText"/>
    <w:qFormat/>
    <w:rsid w:val="00653BDD"/>
    <w:pPr>
      <w:numPr>
        <w:numId w:val="11"/>
      </w:numPr>
      <w:tabs>
        <w:tab w:val="num" w:pos="360"/>
      </w:tabs>
      <w:spacing w:before="40" w:after="40" w:line="240" w:lineRule="auto"/>
      <w:ind w:left="0" w:firstLine="0"/>
    </w:pPr>
    <w:rPr>
      <w:rFonts w:asciiTheme="minorHAnsi" w:eastAsia="Calibri" w:hAnsiTheme="minorHAnsi"/>
      <w:lang w:eastAsia="en-AU"/>
    </w:rPr>
  </w:style>
  <w:style w:type="character" w:customStyle="1" w:styleId="Heading1Char1">
    <w:name w:val="Heading 1 Char1"/>
    <w:aliases w:val="H1 Char1"/>
    <w:basedOn w:val="DefaultParagraphFont"/>
    <w:uiPriority w:val="9"/>
    <w:rsid w:val="001E11D2"/>
    <w:rPr>
      <w:rFonts w:asciiTheme="majorHAnsi" w:eastAsiaTheme="majorEastAsia" w:hAnsiTheme="majorHAnsi" w:cstheme="majorBidi"/>
      <w:color w:val="2E74B5" w:themeColor="accent1" w:themeShade="BF"/>
      <w:kern w:val="28"/>
      <w:sz w:val="32"/>
      <w:szCs w:val="32"/>
    </w:rPr>
  </w:style>
  <w:style w:type="paragraph" w:customStyle="1" w:styleId="msonormal0">
    <w:name w:val="msonormal"/>
    <w:basedOn w:val="Normal"/>
    <w:uiPriority w:val="99"/>
    <w:rsid w:val="001E11D2"/>
    <w:pPr>
      <w:spacing w:before="100" w:beforeAutospacing="1" w:after="100" w:afterAutospacing="1"/>
    </w:pPr>
    <w:rPr>
      <w:rFonts w:ascii="Times New Roman" w:hAnsi="Times New Roman"/>
      <w:color w:val="auto"/>
      <w:kern w:val="0"/>
      <w:sz w:val="24"/>
      <w:szCs w:val="24"/>
      <w:lang w:val="en-US"/>
    </w:rPr>
  </w:style>
  <w:style w:type="character" w:customStyle="1" w:styleId="DocumentMapChar1">
    <w:name w:val="Document Map Char1"/>
    <w:basedOn w:val="DefaultParagraphFont"/>
    <w:uiPriority w:val="99"/>
    <w:semiHidden/>
    <w:rsid w:val="001E11D2"/>
    <w:rPr>
      <w:rFonts w:ascii="Segoe UI" w:eastAsia="Times New Roman" w:hAnsi="Segoe UI" w:cs="Segoe UI"/>
      <w:color w:val="000000"/>
      <w:kern w:val="28"/>
      <w:sz w:val="16"/>
      <w:szCs w:val="16"/>
    </w:rPr>
  </w:style>
  <w:style w:type="character" w:customStyle="1" w:styleId="BodyText2Char1">
    <w:name w:val="Body Text 2 Char1"/>
    <w:basedOn w:val="DefaultParagraphFont"/>
    <w:uiPriority w:val="99"/>
    <w:semiHidden/>
    <w:rsid w:val="001E11D2"/>
    <w:rPr>
      <w:rFonts w:ascii="Century Gothic" w:eastAsia="Times New Roman" w:hAnsi="Century Gothic" w:cs="Times New Roman"/>
      <w:color w:val="000000"/>
      <w:kern w:val="28"/>
      <w:sz w:val="21"/>
      <w:szCs w:val="20"/>
    </w:rPr>
  </w:style>
  <w:style w:type="character" w:customStyle="1" w:styleId="EndnoteTextChar1">
    <w:name w:val="Endnote Text Char1"/>
    <w:basedOn w:val="DefaultParagraphFont"/>
    <w:uiPriority w:val="99"/>
    <w:semiHidden/>
    <w:rsid w:val="001E11D2"/>
    <w:rPr>
      <w:rFonts w:ascii="Century Gothic" w:eastAsia="Times New Roman" w:hAnsi="Century Gothic" w:cs="Times New Roman"/>
      <w:color w:val="000000"/>
      <w:kern w:val="28"/>
      <w:sz w:val="20"/>
      <w:szCs w:val="20"/>
    </w:rPr>
  </w:style>
  <w:style w:type="paragraph" w:customStyle="1" w:styleId="xmsonormal">
    <w:name w:val="x_msonormal"/>
    <w:basedOn w:val="Normal"/>
    <w:rsid w:val="001E11D2"/>
    <w:pPr>
      <w:spacing w:before="0" w:after="0" w:line="240" w:lineRule="auto"/>
      <w:jc w:val="left"/>
    </w:pPr>
    <w:rPr>
      <w:rFonts w:ascii="Calibri" w:eastAsiaTheme="minorHAnsi" w:hAnsi="Calibri" w:cs="Calibri"/>
      <w:color w:val="auto"/>
      <w:kern w:val="0"/>
      <w:sz w:val="22"/>
      <w:szCs w:val="22"/>
      <w:lang w:eastAsia="en-AU"/>
    </w:rPr>
  </w:style>
  <w:style w:type="character" w:customStyle="1" w:styleId="Heading2Char1">
    <w:name w:val="Heading 2 Char1"/>
    <w:aliases w:val="H2 Char1"/>
    <w:basedOn w:val="DefaultParagraphFont"/>
    <w:uiPriority w:val="9"/>
    <w:semiHidden/>
    <w:rsid w:val="00A229CC"/>
    <w:rPr>
      <w:rFonts w:asciiTheme="majorHAnsi" w:eastAsiaTheme="majorEastAsia" w:hAnsiTheme="majorHAnsi" w:cstheme="majorBidi"/>
      <w:color w:val="2E74B5" w:themeColor="accent1" w:themeShade="BF"/>
      <w:kern w:val="28"/>
      <w:sz w:val="26"/>
      <w:szCs w:val="26"/>
    </w:rPr>
  </w:style>
  <w:style w:type="character" w:customStyle="1" w:styleId="Heading3Char1">
    <w:name w:val="Heading 3 Char1"/>
    <w:aliases w:val="H3 Char1"/>
    <w:basedOn w:val="DefaultParagraphFont"/>
    <w:uiPriority w:val="9"/>
    <w:semiHidden/>
    <w:rsid w:val="00A229CC"/>
    <w:rPr>
      <w:rFonts w:asciiTheme="majorHAnsi" w:eastAsiaTheme="majorEastAsia" w:hAnsiTheme="majorHAnsi" w:cstheme="majorBidi"/>
      <w:color w:val="1F4D78" w:themeColor="accent1" w:themeShade="7F"/>
      <w:kern w:val="28"/>
      <w:sz w:val="24"/>
      <w:szCs w:val="24"/>
    </w:rPr>
  </w:style>
  <w:style w:type="character" w:customStyle="1" w:styleId="Heading4Char1">
    <w:name w:val="Heading 4 Char1"/>
    <w:aliases w:val="H4 Char1"/>
    <w:basedOn w:val="DefaultParagraphFont"/>
    <w:uiPriority w:val="9"/>
    <w:semiHidden/>
    <w:rsid w:val="00A229CC"/>
    <w:rPr>
      <w:rFonts w:asciiTheme="majorHAnsi" w:eastAsiaTheme="majorEastAsia" w:hAnsiTheme="majorHAnsi" w:cstheme="majorBidi"/>
      <w:i/>
      <w:iCs/>
      <w:color w:val="2E74B5" w:themeColor="accent1" w:themeShade="BF"/>
      <w:kern w:val="28"/>
      <w:sz w:val="21"/>
    </w:rPr>
  </w:style>
  <w:style w:type="character" w:customStyle="1" w:styleId="Heading5Char1">
    <w:name w:val="Heading 5 Char1"/>
    <w:aliases w:val="H5 Char1"/>
    <w:basedOn w:val="DefaultParagraphFont"/>
    <w:uiPriority w:val="10"/>
    <w:semiHidden/>
    <w:rsid w:val="00A229CC"/>
    <w:rPr>
      <w:rFonts w:asciiTheme="majorHAnsi" w:eastAsiaTheme="majorEastAsia" w:hAnsiTheme="majorHAnsi" w:cstheme="majorBidi"/>
      <w:color w:val="2E74B5" w:themeColor="accent1" w:themeShade="BF"/>
      <w:kern w:val="28"/>
      <w:sz w:val="21"/>
    </w:rPr>
  </w:style>
  <w:style w:type="character" w:customStyle="1" w:styleId="Heading6Char1">
    <w:name w:val="Heading 6 Char1"/>
    <w:aliases w:val="H6 Char1"/>
    <w:basedOn w:val="DefaultParagraphFont"/>
    <w:uiPriority w:val="11"/>
    <w:semiHidden/>
    <w:rsid w:val="00A229CC"/>
    <w:rPr>
      <w:rFonts w:asciiTheme="majorHAnsi" w:eastAsiaTheme="majorEastAsia" w:hAnsiTheme="majorHAnsi" w:cstheme="majorBidi"/>
      <w:color w:val="1F4D78" w:themeColor="accent1" w:themeShade="7F"/>
      <w:kern w:val="28"/>
      <w:sz w:val="21"/>
    </w:rPr>
  </w:style>
  <w:style w:type="character" w:customStyle="1" w:styleId="UnresolvedMention2">
    <w:name w:val="Unresolved Mention2"/>
    <w:basedOn w:val="DefaultParagraphFont"/>
    <w:uiPriority w:val="99"/>
    <w:semiHidden/>
    <w:rsid w:val="00A229CC"/>
    <w:rPr>
      <w:color w:val="605E5C"/>
      <w:shd w:val="clear" w:color="auto" w:fill="E1DFDD"/>
    </w:rPr>
  </w:style>
  <w:style w:type="table" w:styleId="PlainTable3">
    <w:name w:val="Plain Table 3"/>
    <w:basedOn w:val="TableNormal"/>
    <w:uiPriority w:val="43"/>
    <w:rsid w:val="00636F3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636F3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rsid w:val="00636F3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paragraph">
    <w:name w:val="paragraph"/>
    <w:basedOn w:val="Normal"/>
    <w:rsid w:val="00636F3B"/>
    <w:pPr>
      <w:spacing w:before="100" w:beforeAutospacing="1" w:after="100" w:afterAutospacing="1" w:line="240" w:lineRule="auto"/>
      <w:jc w:val="left"/>
    </w:pPr>
    <w:rPr>
      <w:rFonts w:ascii="Times New Roman" w:hAnsi="Times New Roman"/>
      <w:color w:val="auto"/>
      <w:kern w:val="0"/>
      <w:sz w:val="24"/>
      <w:szCs w:val="24"/>
      <w:lang w:eastAsia="en-AU"/>
    </w:rPr>
  </w:style>
  <w:style w:type="character" w:customStyle="1" w:styleId="normaltextrun">
    <w:name w:val="normaltextrun"/>
    <w:basedOn w:val="DefaultParagraphFont"/>
    <w:rsid w:val="00636F3B"/>
  </w:style>
  <w:style w:type="character" w:customStyle="1" w:styleId="eop">
    <w:name w:val="eop"/>
    <w:basedOn w:val="DefaultParagraphFont"/>
    <w:rsid w:val="00636F3B"/>
  </w:style>
  <w:style w:type="table" w:customStyle="1" w:styleId="GridTable5Dark-Accent11">
    <w:name w:val="Grid Table 5 Dark - Accent 11"/>
    <w:basedOn w:val="TableNormal"/>
    <w:uiPriority w:val="50"/>
    <w:rsid w:val="00B60940"/>
    <w:pPr>
      <w:spacing w:after="0" w:line="240" w:lineRule="auto"/>
    </w:pPr>
    <w:rPr>
      <w:rFonts w:eastAsiaTheme="minorEastAsia"/>
      <w:lang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StyleCaptionArial">
    <w:name w:val="Style Caption + Arial"/>
    <w:basedOn w:val="Caption"/>
    <w:next w:val="Normal"/>
    <w:link w:val="StyleCaptionArialChar"/>
    <w:rsid w:val="00E35825"/>
    <w:pPr>
      <w:spacing w:before="0" w:after="0" w:line="360" w:lineRule="auto"/>
    </w:pPr>
    <w:rPr>
      <w:rFonts w:ascii="Garamond" w:hAnsi="Garamond"/>
      <w:b w:val="0"/>
      <w:szCs w:val="20"/>
      <w:lang w:eastAsia="en-AU"/>
    </w:rPr>
  </w:style>
  <w:style w:type="character" w:customStyle="1" w:styleId="StyleCaptionArialChar">
    <w:name w:val="Style Caption + Arial Char"/>
    <w:basedOn w:val="CaptionChar"/>
    <w:link w:val="StyleCaptionArial"/>
    <w:rsid w:val="00E35825"/>
    <w:rPr>
      <w:rFonts w:ascii="Garamond" w:eastAsia="Times New Roman" w:hAnsi="Garamond" w:cs="Times New Roman"/>
      <w:b w:val="0"/>
      <w:bCs/>
      <w:kern w:val="28"/>
      <w:sz w:val="20"/>
      <w:szCs w:val="20"/>
      <w:lang w:eastAsia="en-AU"/>
    </w:rPr>
  </w:style>
  <w:style w:type="character" w:styleId="PlaceholderText">
    <w:name w:val="Placeholder Text"/>
    <w:basedOn w:val="DefaultParagraphFont"/>
    <w:uiPriority w:val="99"/>
    <w:semiHidden/>
    <w:rsid w:val="00E87EAE"/>
    <w:rPr>
      <w:color w:val="808080"/>
    </w:rPr>
  </w:style>
  <w:style w:type="table" w:customStyle="1" w:styleId="ListTable3-Accent31">
    <w:name w:val="List Table 3 - Accent 31"/>
    <w:basedOn w:val="TableNormal"/>
    <w:next w:val="ListTable3-Accent3"/>
    <w:uiPriority w:val="48"/>
    <w:rsid w:val="0065397A"/>
    <w:pPr>
      <w:spacing w:after="0" w:line="240" w:lineRule="auto"/>
    </w:pPr>
    <w:rPr>
      <w:rFonts w:eastAsia="DengXian"/>
      <w:lang w:eastAsia="zh-CN"/>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3">
    <w:name w:val="List Table 3 Accent 3"/>
    <w:basedOn w:val="TableNormal"/>
    <w:uiPriority w:val="48"/>
    <w:rsid w:val="0065397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GridTable5Dark-Accent12">
    <w:name w:val="Grid Table 5 Dark - Accent 12"/>
    <w:basedOn w:val="TableNormal"/>
    <w:next w:val="GridTable5Dark-Accent1"/>
    <w:uiPriority w:val="50"/>
    <w:rsid w:val="0065397A"/>
    <w:pPr>
      <w:spacing w:after="0" w:line="240" w:lineRule="auto"/>
    </w:pPr>
    <w:rPr>
      <w:rFonts w:eastAsia="DengXian"/>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1">
    <w:name w:val="Grid Table 5 Dark Accent 1"/>
    <w:basedOn w:val="TableNormal"/>
    <w:uiPriority w:val="50"/>
    <w:rsid w:val="006539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EndnoteReference">
    <w:name w:val="endnote reference"/>
    <w:basedOn w:val="DefaultParagraphFont"/>
    <w:uiPriority w:val="99"/>
    <w:semiHidden/>
    <w:unhideWhenUsed/>
    <w:rsid w:val="0065397A"/>
    <w:rPr>
      <w:vertAlign w:val="superscript"/>
    </w:rPr>
  </w:style>
  <w:style w:type="character" w:customStyle="1" w:styleId="teaser">
    <w:name w:val="teaser"/>
    <w:basedOn w:val="DefaultParagraphFont"/>
    <w:rsid w:val="007937F0"/>
  </w:style>
  <w:style w:type="paragraph" w:customStyle="1" w:styleId="tabletext0">
    <w:name w:val="tabletext"/>
    <w:basedOn w:val="Normal"/>
    <w:rsid w:val="002F53E2"/>
    <w:pPr>
      <w:spacing w:before="100" w:beforeAutospacing="1" w:after="100" w:afterAutospacing="1" w:line="240" w:lineRule="auto"/>
      <w:jc w:val="left"/>
    </w:pPr>
    <w:rPr>
      <w:rFonts w:ascii="Times New Roman" w:hAnsi="Times New Roman"/>
      <w:color w:val="auto"/>
      <w:kern w:val="0"/>
      <w:sz w:val="24"/>
      <w:szCs w:val="24"/>
      <w:lang w:eastAsia="en-GB"/>
    </w:rPr>
  </w:style>
  <w:style w:type="character" w:customStyle="1" w:styleId="apple-converted-space">
    <w:name w:val="apple-converted-space"/>
    <w:basedOn w:val="DefaultParagraphFont"/>
    <w:rsid w:val="002F53E2"/>
  </w:style>
  <w:style w:type="paragraph" w:styleId="HTMLPreformatted">
    <w:name w:val="HTML Preformatted"/>
    <w:basedOn w:val="Normal"/>
    <w:link w:val="HTMLPreformattedChar"/>
    <w:uiPriority w:val="99"/>
    <w:semiHidden/>
    <w:unhideWhenUsed/>
    <w:rsid w:val="0071628A"/>
    <w:pPr>
      <w:spacing w:before="0" w:after="0"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71628A"/>
    <w:rPr>
      <w:rFonts w:ascii="Consolas" w:eastAsia="Times New Roman" w:hAnsi="Consolas" w:cs="Times New Roman"/>
      <w:color w:val="000000"/>
      <w:kern w:val="28"/>
      <w:sz w:val="20"/>
      <w:szCs w:val="20"/>
    </w:rPr>
  </w:style>
  <w:style w:type="character" w:customStyle="1" w:styleId="Heading9Char">
    <w:name w:val="Heading 9 Char"/>
    <w:basedOn w:val="DefaultParagraphFont"/>
    <w:link w:val="Heading9"/>
    <w:uiPriority w:val="9"/>
    <w:semiHidden/>
    <w:rsid w:val="00C002ED"/>
    <w:rPr>
      <w:rFonts w:ascii="Century Gothic" w:eastAsiaTheme="majorEastAsia" w:hAnsi="Century Gothic" w:cstheme="majorBidi"/>
      <w:color w:val="272727" w:themeColor="text1" w:themeTint="D8"/>
      <w:kern w:val="28"/>
      <w:sz w:val="21"/>
      <w:szCs w:val="20"/>
      <w14:ligatures w14:val="standardContextual"/>
    </w:rPr>
  </w:style>
  <w:style w:type="table" w:customStyle="1" w:styleId="TableCSIRO">
    <w:name w:val="Table_CSIRO"/>
    <w:uiPriority w:val="99"/>
    <w:rsid w:val="00C002ED"/>
    <w:pPr>
      <w:spacing w:after="0" w:line="240" w:lineRule="auto"/>
    </w:pPr>
    <w:rPr>
      <w:rFonts w:ascii="Calibri" w:hAnsi="Calibri" w:cs="Times New Roman"/>
      <w:sz w:val="20"/>
      <w:szCs w:val="20"/>
      <w:lang w:val="en-US" w:eastAsia="en-AU" w:bidi="dz-BT"/>
    </w:rPr>
    <w:tblPr>
      <w:tblStyleRowBandSize w:val="1"/>
      <w:tblStyleColBandSize w:val="1"/>
      <w:tblBorders>
        <w:bottom w:val="single" w:sz="12" w:space="0" w:color="000000"/>
      </w:tblBorders>
      <w:tblCellMar>
        <w:top w:w="57" w:type="dxa"/>
        <w:left w:w="85" w:type="dxa"/>
        <w:bottom w:w="57" w:type="dxa"/>
        <w:right w:w="85" w:type="dxa"/>
      </w:tblCellMar>
    </w:tblPr>
    <w:tblStylePr w:type="firstRow">
      <w:tblPr/>
      <w:tcPr>
        <w:shd w:val="clear" w:color="auto" w:fill="000000" w:themeFill="text1"/>
      </w:tcPr>
    </w:tblStylePr>
  </w:style>
  <w:style w:type="paragraph" w:styleId="Quote">
    <w:name w:val="Quote"/>
    <w:basedOn w:val="Normal"/>
    <w:next w:val="Normal"/>
    <w:link w:val="QuoteChar"/>
    <w:uiPriority w:val="29"/>
    <w:qFormat/>
    <w:rsid w:val="00C002ED"/>
    <w:pPr>
      <w:spacing w:before="160"/>
      <w:jc w:val="center"/>
    </w:pPr>
    <w:rPr>
      <w:i/>
      <w:iCs/>
      <w:color w:val="404040" w:themeColor="text1" w:themeTint="BF"/>
      <w14:ligatures w14:val="standardContextual"/>
    </w:rPr>
  </w:style>
  <w:style w:type="character" w:customStyle="1" w:styleId="QuoteChar">
    <w:name w:val="Quote Char"/>
    <w:basedOn w:val="DefaultParagraphFont"/>
    <w:link w:val="Quote"/>
    <w:uiPriority w:val="29"/>
    <w:rsid w:val="00C002ED"/>
    <w:rPr>
      <w:rFonts w:ascii="Century Gothic" w:eastAsia="Times New Roman" w:hAnsi="Century Gothic" w:cs="Times New Roman"/>
      <w:i/>
      <w:iCs/>
      <w:color w:val="404040" w:themeColor="text1" w:themeTint="BF"/>
      <w:kern w:val="28"/>
      <w:sz w:val="21"/>
      <w:szCs w:val="20"/>
      <w14:ligatures w14:val="standardContextual"/>
    </w:rPr>
  </w:style>
  <w:style w:type="paragraph" w:styleId="IntenseQuote">
    <w:name w:val="Intense Quote"/>
    <w:basedOn w:val="Normal"/>
    <w:next w:val="Normal"/>
    <w:link w:val="IntenseQuoteChar"/>
    <w:uiPriority w:val="30"/>
    <w:qFormat/>
    <w:rsid w:val="00C002E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14:ligatures w14:val="standardContextual"/>
    </w:rPr>
  </w:style>
  <w:style w:type="character" w:customStyle="1" w:styleId="IntenseQuoteChar">
    <w:name w:val="Intense Quote Char"/>
    <w:basedOn w:val="DefaultParagraphFont"/>
    <w:link w:val="IntenseQuote"/>
    <w:uiPriority w:val="30"/>
    <w:rsid w:val="00C002ED"/>
    <w:rPr>
      <w:rFonts w:ascii="Century Gothic" w:eastAsia="Times New Roman" w:hAnsi="Century Gothic" w:cs="Times New Roman"/>
      <w:i/>
      <w:iCs/>
      <w:color w:val="2E74B5" w:themeColor="accent1" w:themeShade="BF"/>
      <w:kern w:val="28"/>
      <w:sz w:val="21"/>
      <w:szCs w:val="20"/>
      <w14:ligatures w14:val="standardContextual"/>
    </w:rPr>
  </w:style>
  <w:style w:type="character" w:styleId="IntenseReference">
    <w:name w:val="Intense Reference"/>
    <w:basedOn w:val="DefaultParagraphFont"/>
    <w:uiPriority w:val="32"/>
    <w:qFormat/>
    <w:rsid w:val="00C002E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0983">
      <w:bodyDiv w:val="1"/>
      <w:marLeft w:val="0"/>
      <w:marRight w:val="0"/>
      <w:marTop w:val="0"/>
      <w:marBottom w:val="0"/>
      <w:divBdr>
        <w:top w:val="none" w:sz="0" w:space="0" w:color="auto"/>
        <w:left w:val="none" w:sz="0" w:space="0" w:color="auto"/>
        <w:bottom w:val="none" w:sz="0" w:space="0" w:color="auto"/>
        <w:right w:val="none" w:sz="0" w:space="0" w:color="auto"/>
      </w:divBdr>
    </w:div>
    <w:div w:id="86968262">
      <w:bodyDiv w:val="1"/>
      <w:marLeft w:val="0"/>
      <w:marRight w:val="0"/>
      <w:marTop w:val="0"/>
      <w:marBottom w:val="0"/>
      <w:divBdr>
        <w:top w:val="none" w:sz="0" w:space="0" w:color="auto"/>
        <w:left w:val="none" w:sz="0" w:space="0" w:color="auto"/>
        <w:bottom w:val="none" w:sz="0" w:space="0" w:color="auto"/>
        <w:right w:val="none" w:sz="0" w:space="0" w:color="auto"/>
      </w:divBdr>
    </w:div>
    <w:div w:id="120154745">
      <w:bodyDiv w:val="1"/>
      <w:marLeft w:val="0"/>
      <w:marRight w:val="0"/>
      <w:marTop w:val="0"/>
      <w:marBottom w:val="0"/>
      <w:divBdr>
        <w:top w:val="none" w:sz="0" w:space="0" w:color="auto"/>
        <w:left w:val="none" w:sz="0" w:space="0" w:color="auto"/>
        <w:bottom w:val="none" w:sz="0" w:space="0" w:color="auto"/>
        <w:right w:val="none" w:sz="0" w:space="0" w:color="auto"/>
      </w:divBdr>
    </w:div>
    <w:div w:id="152920398">
      <w:bodyDiv w:val="1"/>
      <w:marLeft w:val="0"/>
      <w:marRight w:val="0"/>
      <w:marTop w:val="0"/>
      <w:marBottom w:val="0"/>
      <w:divBdr>
        <w:top w:val="none" w:sz="0" w:space="0" w:color="auto"/>
        <w:left w:val="none" w:sz="0" w:space="0" w:color="auto"/>
        <w:bottom w:val="none" w:sz="0" w:space="0" w:color="auto"/>
        <w:right w:val="none" w:sz="0" w:space="0" w:color="auto"/>
      </w:divBdr>
    </w:div>
    <w:div w:id="188572327">
      <w:bodyDiv w:val="1"/>
      <w:marLeft w:val="0"/>
      <w:marRight w:val="0"/>
      <w:marTop w:val="0"/>
      <w:marBottom w:val="0"/>
      <w:divBdr>
        <w:top w:val="none" w:sz="0" w:space="0" w:color="auto"/>
        <w:left w:val="none" w:sz="0" w:space="0" w:color="auto"/>
        <w:bottom w:val="none" w:sz="0" w:space="0" w:color="auto"/>
        <w:right w:val="none" w:sz="0" w:space="0" w:color="auto"/>
      </w:divBdr>
    </w:div>
    <w:div w:id="200631458">
      <w:bodyDiv w:val="1"/>
      <w:marLeft w:val="0"/>
      <w:marRight w:val="0"/>
      <w:marTop w:val="0"/>
      <w:marBottom w:val="0"/>
      <w:divBdr>
        <w:top w:val="none" w:sz="0" w:space="0" w:color="auto"/>
        <w:left w:val="none" w:sz="0" w:space="0" w:color="auto"/>
        <w:bottom w:val="none" w:sz="0" w:space="0" w:color="auto"/>
        <w:right w:val="none" w:sz="0" w:space="0" w:color="auto"/>
      </w:divBdr>
    </w:div>
    <w:div w:id="223637593">
      <w:bodyDiv w:val="1"/>
      <w:marLeft w:val="0"/>
      <w:marRight w:val="0"/>
      <w:marTop w:val="0"/>
      <w:marBottom w:val="0"/>
      <w:divBdr>
        <w:top w:val="none" w:sz="0" w:space="0" w:color="auto"/>
        <w:left w:val="none" w:sz="0" w:space="0" w:color="auto"/>
        <w:bottom w:val="none" w:sz="0" w:space="0" w:color="auto"/>
        <w:right w:val="none" w:sz="0" w:space="0" w:color="auto"/>
      </w:divBdr>
    </w:div>
    <w:div w:id="259073889">
      <w:bodyDiv w:val="1"/>
      <w:marLeft w:val="0"/>
      <w:marRight w:val="0"/>
      <w:marTop w:val="0"/>
      <w:marBottom w:val="0"/>
      <w:divBdr>
        <w:top w:val="none" w:sz="0" w:space="0" w:color="auto"/>
        <w:left w:val="none" w:sz="0" w:space="0" w:color="auto"/>
        <w:bottom w:val="none" w:sz="0" w:space="0" w:color="auto"/>
        <w:right w:val="none" w:sz="0" w:space="0" w:color="auto"/>
      </w:divBdr>
    </w:div>
    <w:div w:id="287779132">
      <w:bodyDiv w:val="1"/>
      <w:marLeft w:val="0"/>
      <w:marRight w:val="0"/>
      <w:marTop w:val="0"/>
      <w:marBottom w:val="0"/>
      <w:divBdr>
        <w:top w:val="none" w:sz="0" w:space="0" w:color="auto"/>
        <w:left w:val="none" w:sz="0" w:space="0" w:color="auto"/>
        <w:bottom w:val="none" w:sz="0" w:space="0" w:color="auto"/>
        <w:right w:val="none" w:sz="0" w:space="0" w:color="auto"/>
      </w:divBdr>
    </w:div>
    <w:div w:id="312880590">
      <w:bodyDiv w:val="1"/>
      <w:marLeft w:val="0"/>
      <w:marRight w:val="0"/>
      <w:marTop w:val="0"/>
      <w:marBottom w:val="0"/>
      <w:divBdr>
        <w:top w:val="none" w:sz="0" w:space="0" w:color="auto"/>
        <w:left w:val="none" w:sz="0" w:space="0" w:color="auto"/>
        <w:bottom w:val="none" w:sz="0" w:space="0" w:color="auto"/>
        <w:right w:val="none" w:sz="0" w:space="0" w:color="auto"/>
      </w:divBdr>
    </w:div>
    <w:div w:id="402532424">
      <w:bodyDiv w:val="1"/>
      <w:marLeft w:val="0"/>
      <w:marRight w:val="0"/>
      <w:marTop w:val="0"/>
      <w:marBottom w:val="0"/>
      <w:divBdr>
        <w:top w:val="none" w:sz="0" w:space="0" w:color="auto"/>
        <w:left w:val="none" w:sz="0" w:space="0" w:color="auto"/>
        <w:bottom w:val="none" w:sz="0" w:space="0" w:color="auto"/>
        <w:right w:val="none" w:sz="0" w:space="0" w:color="auto"/>
      </w:divBdr>
    </w:div>
    <w:div w:id="403264317">
      <w:bodyDiv w:val="1"/>
      <w:marLeft w:val="0"/>
      <w:marRight w:val="0"/>
      <w:marTop w:val="0"/>
      <w:marBottom w:val="0"/>
      <w:divBdr>
        <w:top w:val="none" w:sz="0" w:space="0" w:color="auto"/>
        <w:left w:val="none" w:sz="0" w:space="0" w:color="auto"/>
        <w:bottom w:val="none" w:sz="0" w:space="0" w:color="auto"/>
        <w:right w:val="none" w:sz="0" w:space="0" w:color="auto"/>
      </w:divBdr>
    </w:div>
    <w:div w:id="405807980">
      <w:bodyDiv w:val="1"/>
      <w:marLeft w:val="0"/>
      <w:marRight w:val="0"/>
      <w:marTop w:val="0"/>
      <w:marBottom w:val="0"/>
      <w:divBdr>
        <w:top w:val="none" w:sz="0" w:space="0" w:color="auto"/>
        <w:left w:val="none" w:sz="0" w:space="0" w:color="auto"/>
        <w:bottom w:val="none" w:sz="0" w:space="0" w:color="auto"/>
        <w:right w:val="none" w:sz="0" w:space="0" w:color="auto"/>
      </w:divBdr>
    </w:div>
    <w:div w:id="438722734">
      <w:bodyDiv w:val="1"/>
      <w:marLeft w:val="0"/>
      <w:marRight w:val="0"/>
      <w:marTop w:val="0"/>
      <w:marBottom w:val="0"/>
      <w:divBdr>
        <w:top w:val="none" w:sz="0" w:space="0" w:color="auto"/>
        <w:left w:val="none" w:sz="0" w:space="0" w:color="auto"/>
        <w:bottom w:val="none" w:sz="0" w:space="0" w:color="auto"/>
        <w:right w:val="none" w:sz="0" w:space="0" w:color="auto"/>
      </w:divBdr>
    </w:div>
    <w:div w:id="591084074">
      <w:bodyDiv w:val="1"/>
      <w:marLeft w:val="0"/>
      <w:marRight w:val="0"/>
      <w:marTop w:val="0"/>
      <w:marBottom w:val="0"/>
      <w:divBdr>
        <w:top w:val="none" w:sz="0" w:space="0" w:color="auto"/>
        <w:left w:val="none" w:sz="0" w:space="0" w:color="auto"/>
        <w:bottom w:val="none" w:sz="0" w:space="0" w:color="auto"/>
        <w:right w:val="none" w:sz="0" w:space="0" w:color="auto"/>
      </w:divBdr>
    </w:div>
    <w:div w:id="597182805">
      <w:bodyDiv w:val="1"/>
      <w:marLeft w:val="0"/>
      <w:marRight w:val="0"/>
      <w:marTop w:val="0"/>
      <w:marBottom w:val="0"/>
      <w:divBdr>
        <w:top w:val="none" w:sz="0" w:space="0" w:color="auto"/>
        <w:left w:val="none" w:sz="0" w:space="0" w:color="auto"/>
        <w:bottom w:val="none" w:sz="0" w:space="0" w:color="auto"/>
        <w:right w:val="none" w:sz="0" w:space="0" w:color="auto"/>
      </w:divBdr>
    </w:div>
    <w:div w:id="623540434">
      <w:bodyDiv w:val="1"/>
      <w:marLeft w:val="0"/>
      <w:marRight w:val="0"/>
      <w:marTop w:val="0"/>
      <w:marBottom w:val="0"/>
      <w:divBdr>
        <w:top w:val="none" w:sz="0" w:space="0" w:color="auto"/>
        <w:left w:val="none" w:sz="0" w:space="0" w:color="auto"/>
        <w:bottom w:val="none" w:sz="0" w:space="0" w:color="auto"/>
        <w:right w:val="none" w:sz="0" w:space="0" w:color="auto"/>
      </w:divBdr>
    </w:div>
    <w:div w:id="627080004">
      <w:bodyDiv w:val="1"/>
      <w:marLeft w:val="0"/>
      <w:marRight w:val="0"/>
      <w:marTop w:val="0"/>
      <w:marBottom w:val="0"/>
      <w:divBdr>
        <w:top w:val="none" w:sz="0" w:space="0" w:color="auto"/>
        <w:left w:val="none" w:sz="0" w:space="0" w:color="auto"/>
        <w:bottom w:val="none" w:sz="0" w:space="0" w:color="auto"/>
        <w:right w:val="none" w:sz="0" w:space="0" w:color="auto"/>
      </w:divBdr>
    </w:div>
    <w:div w:id="640422563">
      <w:bodyDiv w:val="1"/>
      <w:marLeft w:val="0"/>
      <w:marRight w:val="0"/>
      <w:marTop w:val="0"/>
      <w:marBottom w:val="0"/>
      <w:divBdr>
        <w:top w:val="none" w:sz="0" w:space="0" w:color="auto"/>
        <w:left w:val="none" w:sz="0" w:space="0" w:color="auto"/>
        <w:bottom w:val="none" w:sz="0" w:space="0" w:color="auto"/>
        <w:right w:val="none" w:sz="0" w:space="0" w:color="auto"/>
      </w:divBdr>
    </w:div>
    <w:div w:id="687753400">
      <w:bodyDiv w:val="1"/>
      <w:marLeft w:val="0"/>
      <w:marRight w:val="0"/>
      <w:marTop w:val="0"/>
      <w:marBottom w:val="0"/>
      <w:divBdr>
        <w:top w:val="none" w:sz="0" w:space="0" w:color="auto"/>
        <w:left w:val="none" w:sz="0" w:space="0" w:color="auto"/>
        <w:bottom w:val="none" w:sz="0" w:space="0" w:color="auto"/>
        <w:right w:val="none" w:sz="0" w:space="0" w:color="auto"/>
      </w:divBdr>
    </w:div>
    <w:div w:id="707024510">
      <w:bodyDiv w:val="1"/>
      <w:marLeft w:val="0"/>
      <w:marRight w:val="0"/>
      <w:marTop w:val="0"/>
      <w:marBottom w:val="0"/>
      <w:divBdr>
        <w:top w:val="none" w:sz="0" w:space="0" w:color="auto"/>
        <w:left w:val="none" w:sz="0" w:space="0" w:color="auto"/>
        <w:bottom w:val="none" w:sz="0" w:space="0" w:color="auto"/>
        <w:right w:val="none" w:sz="0" w:space="0" w:color="auto"/>
      </w:divBdr>
    </w:div>
    <w:div w:id="746733431">
      <w:bodyDiv w:val="1"/>
      <w:marLeft w:val="0"/>
      <w:marRight w:val="0"/>
      <w:marTop w:val="0"/>
      <w:marBottom w:val="0"/>
      <w:divBdr>
        <w:top w:val="none" w:sz="0" w:space="0" w:color="auto"/>
        <w:left w:val="none" w:sz="0" w:space="0" w:color="auto"/>
        <w:bottom w:val="none" w:sz="0" w:space="0" w:color="auto"/>
        <w:right w:val="none" w:sz="0" w:space="0" w:color="auto"/>
      </w:divBdr>
    </w:div>
    <w:div w:id="749891303">
      <w:bodyDiv w:val="1"/>
      <w:marLeft w:val="0"/>
      <w:marRight w:val="0"/>
      <w:marTop w:val="0"/>
      <w:marBottom w:val="0"/>
      <w:divBdr>
        <w:top w:val="none" w:sz="0" w:space="0" w:color="auto"/>
        <w:left w:val="none" w:sz="0" w:space="0" w:color="auto"/>
        <w:bottom w:val="none" w:sz="0" w:space="0" w:color="auto"/>
        <w:right w:val="none" w:sz="0" w:space="0" w:color="auto"/>
      </w:divBdr>
    </w:div>
    <w:div w:id="773674984">
      <w:bodyDiv w:val="1"/>
      <w:marLeft w:val="0"/>
      <w:marRight w:val="0"/>
      <w:marTop w:val="0"/>
      <w:marBottom w:val="0"/>
      <w:divBdr>
        <w:top w:val="none" w:sz="0" w:space="0" w:color="auto"/>
        <w:left w:val="none" w:sz="0" w:space="0" w:color="auto"/>
        <w:bottom w:val="none" w:sz="0" w:space="0" w:color="auto"/>
        <w:right w:val="none" w:sz="0" w:space="0" w:color="auto"/>
      </w:divBdr>
    </w:div>
    <w:div w:id="781261808">
      <w:bodyDiv w:val="1"/>
      <w:marLeft w:val="0"/>
      <w:marRight w:val="0"/>
      <w:marTop w:val="0"/>
      <w:marBottom w:val="0"/>
      <w:divBdr>
        <w:top w:val="none" w:sz="0" w:space="0" w:color="auto"/>
        <w:left w:val="none" w:sz="0" w:space="0" w:color="auto"/>
        <w:bottom w:val="none" w:sz="0" w:space="0" w:color="auto"/>
        <w:right w:val="none" w:sz="0" w:space="0" w:color="auto"/>
      </w:divBdr>
    </w:div>
    <w:div w:id="782116164">
      <w:bodyDiv w:val="1"/>
      <w:marLeft w:val="0"/>
      <w:marRight w:val="0"/>
      <w:marTop w:val="0"/>
      <w:marBottom w:val="0"/>
      <w:divBdr>
        <w:top w:val="none" w:sz="0" w:space="0" w:color="auto"/>
        <w:left w:val="none" w:sz="0" w:space="0" w:color="auto"/>
        <w:bottom w:val="none" w:sz="0" w:space="0" w:color="auto"/>
        <w:right w:val="none" w:sz="0" w:space="0" w:color="auto"/>
      </w:divBdr>
    </w:div>
    <w:div w:id="809324635">
      <w:bodyDiv w:val="1"/>
      <w:marLeft w:val="0"/>
      <w:marRight w:val="0"/>
      <w:marTop w:val="0"/>
      <w:marBottom w:val="0"/>
      <w:divBdr>
        <w:top w:val="none" w:sz="0" w:space="0" w:color="auto"/>
        <w:left w:val="none" w:sz="0" w:space="0" w:color="auto"/>
        <w:bottom w:val="none" w:sz="0" w:space="0" w:color="auto"/>
        <w:right w:val="none" w:sz="0" w:space="0" w:color="auto"/>
      </w:divBdr>
    </w:div>
    <w:div w:id="843012608">
      <w:bodyDiv w:val="1"/>
      <w:marLeft w:val="0"/>
      <w:marRight w:val="0"/>
      <w:marTop w:val="0"/>
      <w:marBottom w:val="0"/>
      <w:divBdr>
        <w:top w:val="none" w:sz="0" w:space="0" w:color="auto"/>
        <w:left w:val="none" w:sz="0" w:space="0" w:color="auto"/>
        <w:bottom w:val="none" w:sz="0" w:space="0" w:color="auto"/>
        <w:right w:val="none" w:sz="0" w:space="0" w:color="auto"/>
      </w:divBdr>
    </w:div>
    <w:div w:id="878199871">
      <w:bodyDiv w:val="1"/>
      <w:marLeft w:val="0"/>
      <w:marRight w:val="0"/>
      <w:marTop w:val="0"/>
      <w:marBottom w:val="0"/>
      <w:divBdr>
        <w:top w:val="none" w:sz="0" w:space="0" w:color="auto"/>
        <w:left w:val="none" w:sz="0" w:space="0" w:color="auto"/>
        <w:bottom w:val="none" w:sz="0" w:space="0" w:color="auto"/>
        <w:right w:val="none" w:sz="0" w:space="0" w:color="auto"/>
      </w:divBdr>
    </w:div>
    <w:div w:id="878395923">
      <w:bodyDiv w:val="1"/>
      <w:marLeft w:val="0"/>
      <w:marRight w:val="0"/>
      <w:marTop w:val="0"/>
      <w:marBottom w:val="0"/>
      <w:divBdr>
        <w:top w:val="none" w:sz="0" w:space="0" w:color="auto"/>
        <w:left w:val="none" w:sz="0" w:space="0" w:color="auto"/>
        <w:bottom w:val="none" w:sz="0" w:space="0" w:color="auto"/>
        <w:right w:val="none" w:sz="0" w:space="0" w:color="auto"/>
      </w:divBdr>
    </w:div>
    <w:div w:id="911810503">
      <w:bodyDiv w:val="1"/>
      <w:marLeft w:val="0"/>
      <w:marRight w:val="0"/>
      <w:marTop w:val="0"/>
      <w:marBottom w:val="0"/>
      <w:divBdr>
        <w:top w:val="none" w:sz="0" w:space="0" w:color="auto"/>
        <w:left w:val="none" w:sz="0" w:space="0" w:color="auto"/>
        <w:bottom w:val="none" w:sz="0" w:space="0" w:color="auto"/>
        <w:right w:val="none" w:sz="0" w:space="0" w:color="auto"/>
      </w:divBdr>
    </w:div>
    <w:div w:id="911816706">
      <w:bodyDiv w:val="1"/>
      <w:marLeft w:val="0"/>
      <w:marRight w:val="0"/>
      <w:marTop w:val="0"/>
      <w:marBottom w:val="0"/>
      <w:divBdr>
        <w:top w:val="none" w:sz="0" w:space="0" w:color="auto"/>
        <w:left w:val="none" w:sz="0" w:space="0" w:color="auto"/>
        <w:bottom w:val="none" w:sz="0" w:space="0" w:color="auto"/>
        <w:right w:val="none" w:sz="0" w:space="0" w:color="auto"/>
      </w:divBdr>
    </w:div>
    <w:div w:id="919601752">
      <w:bodyDiv w:val="1"/>
      <w:marLeft w:val="0"/>
      <w:marRight w:val="0"/>
      <w:marTop w:val="0"/>
      <w:marBottom w:val="0"/>
      <w:divBdr>
        <w:top w:val="none" w:sz="0" w:space="0" w:color="auto"/>
        <w:left w:val="none" w:sz="0" w:space="0" w:color="auto"/>
        <w:bottom w:val="none" w:sz="0" w:space="0" w:color="auto"/>
        <w:right w:val="none" w:sz="0" w:space="0" w:color="auto"/>
      </w:divBdr>
    </w:div>
    <w:div w:id="926957145">
      <w:bodyDiv w:val="1"/>
      <w:marLeft w:val="0"/>
      <w:marRight w:val="0"/>
      <w:marTop w:val="0"/>
      <w:marBottom w:val="0"/>
      <w:divBdr>
        <w:top w:val="none" w:sz="0" w:space="0" w:color="auto"/>
        <w:left w:val="none" w:sz="0" w:space="0" w:color="auto"/>
        <w:bottom w:val="none" w:sz="0" w:space="0" w:color="auto"/>
        <w:right w:val="none" w:sz="0" w:space="0" w:color="auto"/>
      </w:divBdr>
    </w:div>
    <w:div w:id="947934682">
      <w:bodyDiv w:val="1"/>
      <w:marLeft w:val="0"/>
      <w:marRight w:val="0"/>
      <w:marTop w:val="0"/>
      <w:marBottom w:val="0"/>
      <w:divBdr>
        <w:top w:val="none" w:sz="0" w:space="0" w:color="auto"/>
        <w:left w:val="none" w:sz="0" w:space="0" w:color="auto"/>
        <w:bottom w:val="none" w:sz="0" w:space="0" w:color="auto"/>
        <w:right w:val="none" w:sz="0" w:space="0" w:color="auto"/>
      </w:divBdr>
    </w:div>
    <w:div w:id="954679511">
      <w:bodyDiv w:val="1"/>
      <w:marLeft w:val="0"/>
      <w:marRight w:val="0"/>
      <w:marTop w:val="0"/>
      <w:marBottom w:val="0"/>
      <w:divBdr>
        <w:top w:val="none" w:sz="0" w:space="0" w:color="auto"/>
        <w:left w:val="none" w:sz="0" w:space="0" w:color="auto"/>
        <w:bottom w:val="none" w:sz="0" w:space="0" w:color="auto"/>
        <w:right w:val="none" w:sz="0" w:space="0" w:color="auto"/>
      </w:divBdr>
    </w:div>
    <w:div w:id="976226951">
      <w:bodyDiv w:val="1"/>
      <w:marLeft w:val="0"/>
      <w:marRight w:val="0"/>
      <w:marTop w:val="0"/>
      <w:marBottom w:val="0"/>
      <w:divBdr>
        <w:top w:val="none" w:sz="0" w:space="0" w:color="auto"/>
        <w:left w:val="none" w:sz="0" w:space="0" w:color="auto"/>
        <w:bottom w:val="none" w:sz="0" w:space="0" w:color="auto"/>
        <w:right w:val="none" w:sz="0" w:space="0" w:color="auto"/>
      </w:divBdr>
    </w:div>
    <w:div w:id="1022052769">
      <w:bodyDiv w:val="1"/>
      <w:marLeft w:val="0"/>
      <w:marRight w:val="0"/>
      <w:marTop w:val="0"/>
      <w:marBottom w:val="0"/>
      <w:divBdr>
        <w:top w:val="none" w:sz="0" w:space="0" w:color="auto"/>
        <w:left w:val="none" w:sz="0" w:space="0" w:color="auto"/>
        <w:bottom w:val="none" w:sz="0" w:space="0" w:color="auto"/>
        <w:right w:val="none" w:sz="0" w:space="0" w:color="auto"/>
      </w:divBdr>
    </w:div>
    <w:div w:id="1057704950">
      <w:bodyDiv w:val="1"/>
      <w:marLeft w:val="0"/>
      <w:marRight w:val="0"/>
      <w:marTop w:val="0"/>
      <w:marBottom w:val="0"/>
      <w:divBdr>
        <w:top w:val="none" w:sz="0" w:space="0" w:color="auto"/>
        <w:left w:val="none" w:sz="0" w:space="0" w:color="auto"/>
        <w:bottom w:val="none" w:sz="0" w:space="0" w:color="auto"/>
        <w:right w:val="none" w:sz="0" w:space="0" w:color="auto"/>
      </w:divBdr>
    </w:div>
    <w:div w:id="1076051755">
      <w:bodyDiv w:val="1"/>
      <w:marLeft w:val="0"/>
      <w:marRight w:val="0"/>
      <w:marTop w:val="0"/>
      <w:marBottom w:val="0"/>
      <w:divBdr>
        <w:top w:val="none" w:sz="0" w:space="0" w:color="auto"/>
        <w:left w:val="none" w:sz="0" w:space="0" w:color="auto"/>
        <w:bottom w:val="none" w:sz="0" w:space="0" w:color="auto"/>
        <w:right w:val="none" w:sz="0" w:space="0" w:color="auto"/>
      </w:divBdr>
    </w:div>
    <w:div w:id="1091583714">
      <w:bodyDiv w:val="1"/>
      <w:marLeft w:val="0"/>
      <w:marRight w:val="0"/>
      <w:marTop w:val="0"/>
      <w:marBottom w:val="0"/>
      <w:divBdr>
        <w:top w:val="none" w:sz="0" w:space="0" w:color="auto"/>
        <w:left w:val="none" w:sz="0" w:space="0" w:color="auto"/>
        <w:bottom w:val="none" w:sz="0" w:space="0" w:color="auto"/>
        <w:right w:val="none" w:sz="0" w:space="0" w:color="auto"/>
      </w:divBdr>
    </w:div>
    <w:div w:id="1103762783">
      <w:bodyDiv w:val="1"/>
      <w:marLeft w:val="0"/>
      <w:marRight w:val="0"/>
      <w:marTop w:val="0"/>
      <w:marBottom w:val="0"/>
      <w:divBdr>
        <w:top w:val="none" w:sz="0" w:space="0" w:color="auto"/>
        <w:left w:val="none" w:sz="0" w:space="0" w:color="auto"/>
        <w:bottom w:val="none" w:sz="0" w:space="0" w:color="auto"/>
        <w:right w:val="none" w:sz="0" w:space="0" w:color="auto"/>
      </w:divBdr>
    </w:div>
    <w:div w:id="1107040041">
      <w:bodyDiv w:val="1"/>
      <w:marLeft w:val="0"/>
      <w:marRight w:val="0"/>
      <w:marTop w:val="0"/>
      <w:marBottom w:val="0"/>
      <w:divBdr>
        <w:top w:val="none" w:sz="0" w:space="0" w:color="auto"/>
        <w:left w:val="none" w:sz="0" w:space="0" w:color="auto"/>
        <w:bottom w:val="none" w:sz="0" w:space="0" w:color="auto"/>
        <w:right w:val="none" w:sz="0" w:space="0" w:color="auto"/>
      </w:divBdr>
    </w:div>
    <w:div w:id="1131098312">
      <w:bodyDiv w:val="1"/>
      <w:marLeft w:val="0"/>
      <w:marRight w:val="0"/>
      <w:marTop w:val="0"/>
      <w:marBottom w:val="0"/>
      <w:divBdr>
        <w:top w:val="none" w:sz="0" w:space="0" w:color="auto"/>
        <w:left w:val="none" w:sz="0" w:space="0" w:color="auto"/>
        <w:bottom w:val="none" w:sz="0" w:space="0" w:color="auto"/>
        <w:right w:val="none" w:sz="0" w:space="0" w:color="auto"/>
      </w:divBdr>
    </w:div>
    <w:div w:id="1151025240">
      <w:bodyDiv w:val="1"/>
      <w:marLeft w:val="0"/>
      <w:marRight w:val="0"/>
      <w:marTop w:val="0"/>
      <w:marBottom w:val="0"/>
      <w:divBdr>
        <w:top w:val="none" w:sz="0" w:space="0" w:color="auto"/>
        <w:left w:val="none" w:sz="0" w:space="0" w:color="auto"/>
        <w:bottom w:val="none" w:sz="0" w:space="0" w:color="auto"/>
        <w:right w:val="none" w:sz="0" w:space="0" w:color="auto"/>
      </w:divBdr>
    </w:div>
    <w:div w:id="1160079836">
      <w:bodyDiv w:val="1"/>
      <w:marLeft w:val="0"/>
      <w:marRight w:val="0"/>
      <w:marTop w:val="0"/>
      <w:marBottom w:val="0"/>
      <w:divBdr>
        <w:top w:val="none" w:sz="0" w:space="0" w:color="auto"/>
        <w:left w:val="none" w:sz="0" w:space="0" w:color="auto"/>
        <w:bottom w:val="none" w:sz="0" w:space="0" w:color="auto"/>
        <w:right w:val="none" w:sz="0" w:space="0" w:color="auto"/>
      </w:divBdr>
    </w:div>
    <w:div w:id="1205362706">
      <w:bodyDiv w:val="1"/>
      <w:marLeft w:val="0"/>
      <w:marRight w:val="0"/>
      <w:marTop w:val="0"/>
      <w:marBottom w:val="0"/>
      <w:divBdr>
        <w:top w:val="none" w:sz="0" w:space="0" w:color="auto"/>
        <w:left w:val="none" w:sz="0" w:space="0" w:color="auto"/>
        <w:bottom w:val="none" w:sz="0" w:space="0" w:color="auto"/>
        <w:right w:val="none" w:sz="0" w:space="0" w:color="auto"/>
      </w:divBdr>
    </w:div>
    <w:div w:id="1229917386">
      <w:bodyDiv w:val="1"/>
      <w:marLeft w:val="0"/>
      <w:marRight w:val="0"/>
      <w:marTop w:val="0"/>
      <w:marBottom w:val="0"/>
      <w:divBdr>
        <w:top w:val="none" w:sz="0" w:space="0" w:color="auto"/>
        <w:left w:val="none" w:sz="0" w:space="0" w:color="auto"/>
        <w:bottom w:val="none" w:sz="0" w:space="0" w:color="auto"/>
        <w:right w:val="none" w:sz="0" w:space="0" w:color="auto"/>
      </w:divBdr>
    </w:div>
    <w:div w:id="1270117620">
      <w:bodyDiv w:val="1"/>
      <w:marLeft w:val="0"/>
      <w:marRight w:val="0"/>
      <w:marTop w:val="0"/>
      <w:marBottom w:val="0"/>
      <w:divBdr>
        <w:top w:val="none" w:sz="0" w:space="0" w:color="auto"/>
        <w:left w:val="none" w:sz="0" w:space="0" w:color="auto"/>
        <w:bottom w:val="none" w:sz="0" w:space="0" w:color="auto"/>
        <w:right w:val="none" w:sz="0" w:space="0" w:color="auto"/>
      </w:divBdr>
    </w:div>
    <w:div w:id="1271356773">
      <w:bodyDiv w:val="1"/>
      <w:marLeft w:val="0"/>
      <w:marRight w:val="0"/>
      <w:marTop w:val="0"/>
      <w:marBottom w:val="0"/>
      <w:divBdr>
        <w:top w:val="none" w:sz="0" w:space="0" w:color="auto"/>
        <w:left w:val="none" w:sz="0" w:space="0" w:color="auto"/>
        <w:bottom w:val="none" w:sz="0" w:space="0" w:color="auto"/>
        <w:right w:val="none" w:sz="0" w:space="0" w:color="auto"/>
      </w:divBdr>
    </w:div>
    <w:div w:id="1278371747">
      <w:bodyDiv w:val="1"/>
      <w:marLeft w:val="0"/>
      <w:marRight w:val="0"/>
      <w:marTop w:val="0"/>
      <w:marBottom w:val="0"/>
      <w:divBdr>
        <w:top w:val="none" w:sz="0" w:space="0" w:color="auto"/>
        <w:left w:val="none" w:sz="0" w:space="0" w:color="auto"/>
        <w:bottom w:val="none" w:sz="0" w:space="0" w:color="auto"/>
        <w:right w:val="none" w:sz="0" w:space="0" w:color="auto"/>
      </w:divBdr>
    </w:div>
    <w:div w:id="1312369042">
      <w:bodyDiv w:val="1"/>
      <w:marLeft w:val="0"/>
      <w:marRight w:val="0"/>
      <w:marTop w:val="0"/>
      <w:marBottom w:val="0"/>
      <w:divBdr>
        <w:top w:val="none" w:sz="0" w:space="0" w:color="auto"/>
        <w:left w:val="none" w:sz="0" w:space="0" w:color="auto"/>
        <w:bottom w:val="none" w:sz="0" w:space="0" w:color="auto"/>
        <w:right w:val="none" w:sz="0" w:space="0" w:color="auto"/>
      </w:divBdr>
    </w:div>
    <w:div w:id="1321811547">
      <w:bodyDiv w:val="1"/>
      <w:marLeft w:val="0"/>
      <w:marRight w:val="0"/>
      <w:marTop w:val="0"/>
      <w:marBottom w:val="0"/>
      <w:divBdr>
        <w:top w:val="none" w:sz="0" w:space="0" w:color="auto"/>
        <w:left w:val="none" w:sz="0" w:space="0" w:color="auto"/>
        <w:bottom w:val="none" w:sz="0" w:space="0" w:color="auto"/>
        <w:right w:val="none" w:sz="0" w:space="0" w:color="auto"/>
      </w:divBdr>
    </w:div>
    <w:div w:id="1346513306">
      <w:bodyDiv w:val="1"/>
      <w:marLeft w:val="0"/>
      <w:marRight w:val="0"/>
      <w:marTop w:val="0"/>
      <w:marBottom w:val="0"/>
      <w:divBdr>
        <w:top w:val="none" w:sz="0" w:space="0" w:color="auto"/>
        <w:left w:val="none" w:sz="0" w:space="0" w:color="auto"/>
        <w:bottom w:val="none" w:sz="0" w:space="0" w:color="auto"/>
        <w:right w:val="none" w:sz="0" w:space="0" w:color="auto"/>
      </w:divBdr>
    </w:div>
    <w:div w:id="1358969894">
      <w:bodyDiv w:val="1"/>
      <w:marLeft w:val="0"/>
      <w:marRight w:val="0"/>
      <w:marTop w:val="0"/>
      <w:marBottom w:val="0"/>
      <w:divBdr>
        <w:top w:val="none" w:sz="0" w:space="0" w:color="auto"/>
        <w:left w:val="none" w:sz="0" w:space="0" w:color="auto"/>
        <w:bottom w:val="none" w:sz="0" w:space="0" w:color="auto"/>
        <w:right w:val="none" w:sz="0" w:space="0" w:color="auto"/>
      </w:divBdr>
    </w:div>
    <w:div w:id="1409035696">
      <w:bodyDiv w:val="1"/>
      <w:marLeft w:val="0"/>
      <w:marRight w:val="0"/>
      <w:marTop w:val="0"/>
      <w:marBottom w:val="0"/>
      <w:divBdr>
        <w:top w:val="none" w:sz="0" w:space="0" w:color="auto"/>
        <w:left w:val="none" w:sz="0" w:space="0" w:color="auto"/>
        <w:bottom w:val="none" w:sz="0" w:space="0" w:color="auto"/>
        <w:right w:val="none" w:sz="0" w:space="0" w:color="auto"/>
      </w:divBdr>
    </w:div>
    <w:div w:id="1411923546">
      <w:bodyDiv w:val="1"/>
      <w:marLeft w:val="0"/>
      <w:marRight w:val="0"/>
      <w:marTop w:val="0"/>
      <w:marBottom w:val="0"/>
      <w:divBdr>
        <w:top w:val="none" w:sz="0" w:space="0" w:color="auto"/>
        <w:left w:val="none" w:sz="0" w:space="0" w:color="auto"/>
        <w:bottom w:val="none" w:sz="0" w:space="0" w:color="auto"/>
        <w:right w:val="none" w:sz="0" w:space="0" w:color="auto"/>
      </w:divBdr>
    </w:div>
    <w:div w:id="1419328208">
      <w:bodyDiv w:val="1"/>
      <w:marLeft w:val="0"/>
      <w:marRight w:val="0"/>
      <w:marTop w:val="0"/>
      <w:marBottom w:val="0"/>
      <w:divBdr>
        <w:top w:val="none" w:sz="0" w:space="0" w:color="auto"/>
        <w:left w:val="none" w:sz="0" w:space="0" w:color="auto"/>
        <w:bottom w:val="none" w:sz="0" w:space="0" w:color="auto"/>
        <w:right w:val="none" w:sz="0" w:space="0" w:color="auto"/>
      </w:divBdr>
    </w:div>
    <w:div w:id="1430351171">
      <w:bodyDiv w:val="1"/>
      <w:marLeft w:val="0"/>
      <w:marRight w:val="0"/>
      <w:marTop w:val="0"/>
      <w:marBottom w:val="0"/>
      <w:divBdr>
        <w:top w:val="none" w:sz="0" w:space="0" w:color="auto"/>
        <w:left w:val="none" w:sz="0" w:space="0" w:color="auto"/>
        <w:bottom w:val="none" w:sz="0" w:space="0" w:color="auto"/>
        <w:right w:val="none" w:sz="0" w:space="0" w:color="auto"/>
      </w:divBdr>
    </w:div>
    <w:div w:id="1472399999">
      <w:bodyDiv w:val="1"/>
      <w:marLeft w:val="0"/>
      <w:marRight w:val="0"/>
      <w:marTop w:val="0"/>
      <w:marBottom w:val="0"/>
      <w:divBdr>
        <w:top w:val="none" w:sz="0" w:space="0" w:color="auto"/>
        <w:left w:val="none" w:sz="0" w:space="0" w:color="auto"/>
        <w:bottom w:val="none" w:sz="0" w:space="0" w:color="auto"/>
        <w:right w:val="none" w:sz="0" w:space="0" w:color="auto"/>
      </w:divBdr>
    </w:div>
    <w:div w:id="1473594413">
      <w:bodyDiv w:val="1"/>
      <w:marLeft w:val="0"/>
      <w:marRight w:val="0"/>
      <w:marTop w:val="0"/>
      <w:marBottom w:val="0"/>
      <w:divBdr>
        <w:top w:val="none" w:sz="0" w:space="0" w:color="auto"/>
        <w:left w:val="none" w:sz="0" w:space="0" w:color="auto"/>
        <w:bottom w:val="none" w:sz="0" w:space="0" w:color="auto"/>
        <w:right w:val="none" w:sz="0" w:space="0" w:color="auto"/>
      </w:divBdr>
    </w:div>
    <w:div w:id="1505129000">
      <w:bodyDiv w:val="1"/>
      <w:marLeft w:val="0"/>
      <w:marRight w:val="0"/>
      <w:marTop w:val="0"/>
      <w:marBottom w:val="0"/>
      <w:divBdr>
        <w:top w:val="none" w:sz="0" w:space="0" w:color="auto"/>
        <w:left w:val="none" w:sz="0" w:space="0" w:color="auto"/>
        <w:bottom w:val="none" w:sz="0" w:space="0" w:color="auto"/>
        <w:right w:val="none" w:sz="0" w:space="0" w:color="auto"/>
      </w:divBdr>
    </w:div>
    <w:div w:id="1540507314">
      <w:bodyDiv w:val="1"/>
      <w:marLeft w:val="0"/>
      <w:marRight w:val="0"/>
      <w:marTop w:val="0"/>
      <w:marBottom w:val="0"/>
      <w:divBdr>
        <w:top w:val="none" w:sz="0" w:space="0" w:color="auto"/>
        <w:left w:val="none" w:sz="0" w:space="0" w:color="auto"/>
        <w:bottom w:val="none" w:sz="0" w:space="0" w:color="auto"/>
        <w:right w:val="none" w:sz="0" w:space="0" w:color="auto"/>
      </w:divBdr>
    </w:div>
    <w:div w:id="1543395134">
      <w:bodyDiv w:val="1"/>
      <w:marLeft w:val="0"/>
      <w:marRight w:val="0"/>
      <w:marTop w:val="0"/>
      <w:marBottom w:val="0"/>
      <w:divBdr>
        <w:top w:val="none" w:sz="0" w:space="0" w:color="auto"/>
        <w:left w:val="none" w:sz="0" w:space="0" w:color="auto"/>
        <w:bottom w:val="none" w:sz="0" w:space="0" w:color="auto"/>
        <w:right w:val="none" w:sz="0" w:space="0" w:color="auto"/>
      </w:divBdr>
    </w:div>
    <w:div w:id="1565986927">
      <w:bodyDiv w:val="1"/>
      <w:marLeft w:val="0"/>
      <w:marRight w:val="0"/>
      <w:marTop w:val="0"/>
      <w:marBottom w:val="0"/>
      <w:divBdr>
        <w:top w:val="none" w:sz="0" w:space="0" w:color="auto"/>
        <w:left w:val="none" w:sz="0" w:space="0" w:color="auto"/>
        <w:bottom w:val="none" w:sz="0" w:space="0" w:color="auto"/>
        <w:right w:val="none" w:sz="0" w:space="0" w:color="auto"/>
      </w:divBdr>
    </w:div>
    <w:div w:id="1587497147">
      <w:bodyDiv w:val="1"/>
      <w:marLeft w:val="0"/>
      <w:marRight w:val="0"/>
      <w:marTop w:val="0"/>
      <w:marBottom w:val="0"/>
      <w:divBdr>
        <w:top w:val="none" w:sz="0" w:space="0" w:color="auto"/>
        <w:left w:val="none" w:sz="0" w:space="0" w:color="auto"/>
        <w:bottom w:val="none" w:sz="0" w:space="0" w:color="auto"/>
        <w:right w:val="none" w:sz="0" w:space="0" w:color="auto"/>
      </w:divBdr>
    </w:div>
    <w:div w:id="1590578580">
      <w:bodyDiv w:val="1"/>
      <w:marLeft w:val="0"/>
      <w:marRight w:val="0"/>
      <w:marTop w:val="0"/>
      <w:marBottom w:val="0"/>
      <w:divBdr>
        <w:top w:val="none" w:sz="0" w:space="0" w:color="auto"/>
        <w:left w:val="none" w:sz="0" w:space="0" w:color="auto"/>
        <w:bottom w:val="none" w:sz="0" w:space="0" w:color="auto"/>
        <w:right w:val="none" w:sz="0" w:space="0" w:color="auto"/>
      </w:divBdr>
    </w:div>
    <w:div w:id="1605917824">
      <w:bodyDiv w:val="1"/>
      <w:marLeft w:val="0"/>
      <w:marRight w:val="0"/>
      <w:marTop w:val="0"/>
      <w:marBottom w:val="0"/>
      <w:divBdr>
        <w:top w:val="none" w:sz="0" w:space="0" w:color="auto"/>
        <w:left w:val="none" w:sz="0" w:space="0" w:color="auto"/>
        <w:bottom w:val="none" w:sz="0" w:space="0" w:color="auto"/>
        <w:right w:val="none" w:sz="0" w:space="0" w:color="auto"/>
      </w:divBdr>
    </w:div>
    <w:div w:id="1608997393">
      <w:bodyDiv w:val="1"/>
      <w:marLeft w:val="0"/>
      <w:marRight w:val="0"/>
      <w:marTop w:val="0"/>
      <w:marBottom w:val="0"/>
      <w:divBdr>
        <w:top w:val="none" w:sz="0" w:space="0" w:color="auto"/>
        <w:left w:val="none" w:sz="0" w:space="0" w:color="auto"/>
        <w:bottom w:val="none" w:sz="0" w:space="0" w:color="auto"/>
        <w:right w:val="none" w:sz="0" w:space="0" w:color="auto"/>
      </w:divBdr>
    </w:div>
    <w:div w:id="1629118955">
      <w:bodyDiv w:val="1"/>
      <w:marLeft w:val="0"/>
      <w:marRight w:val="0"/>
      <w:marTop w:val="0"/>
      <w:marBottom w:val="0"/>
      <w:divBdr>
        <w:top w:val="none" w:sz="0" w:space="0" w:color="auto"/>
        <w:left w:val="none" w:sz="0" w:space="0" w:color="auto"/>
        <w:bottom w:val="none" w:sz="0" w:space="0" w:color="auto"/>
        <w:right w:val="none" w:sz="0" w:space="0" w:color="auto"/>
      </w:divBdr>
    </w:div>
    <w:div w:id="1638492921">
      <w:bodyDiv w:val="1"/>
      <w:marLeft w:val="0"/>
      <w:marRight w:val="0"/>
      <w:marTop w:val="0"/>
      <w:marBottom w:val="0"/>
      <w:divBdr>
        <w:top w:val="none" w:sz="0" w:space="0" w:color="auto"/>
        <w:left w:val="none" w:sz="0" w:space="0" w:color="auto"/>
        <w:bottom w:val="none" w:sz="0" w:space="0" w:color="auto"/>
        <w:right w:val="none" w:sz="0" w:space="0" w:color="auto"/>
      </w:divBdr>
    </w:div>
    <w:div w:id="1672952074">
      <w:bodyDiv w:val="1"/>
      <w:marLeft w:val="0"/>
      <w:marRight w:val="0"/>
      <w:marTop w:val="0"/>
      <w:marBottom w:val="0"/>
      <w:divBdr>
        <w:top w:val="none" w:sz="0" w:space="0" w:color="auto"/>
        <w:left w:val="none" w:sz="0" w:space="0" w:color="auto"/>
        <w:bottom w:val="none" w:sz="0" w:space="0" w:color="auto"/>
        <w:right w:val="none" w:sz="0" w:space="0" w:color="auto"/>
      </w:divBdr>
    </w:div>
    <w:div w:id="1680156348">
      <w:bodyDiv w:val="1"/>
      <w:marLeft w:val="0"/>
      <w:marRight w:val="0"/>
      <w:marTop w:val="0"/>
      <w:marBottom w:val="0"/>
      <w:divBdr>
        <w:top w:val="none" w:sz="0" w:space="0" w:color="auto"/>
        <w:left w:val="none" w:sz="0" w:space="0" w:color="auto"/>
        <w:bottom w:val="none" w:sz="0" w:space="0" w:color="auto"/>
        <w:right w:val="none" w:sz="0" w:space="0" w:color="auto"/>
      </w:divBdr>
    </w:div>
    <w:div w:id="1731924210">
      <w:bodyDiv w:val="1"/>
      <w:marLeft w:val="0"/>
      <w:marRight w:val="0"/>
      <w:marTop w:val="0"/>
      <w:marBottom w:val="0"/>
      <w:divBdr>
        <w:top w:val="none" w:sz="0" w:space="0" w:color="auto"/>
        <w:left w:val="none" w:sz="0" w:space="0" w:color="auto"/>
        <w:bottom w:val="none" w:sz="0" w:space="0" w:color="auto"/>
        <w:right w:val="none" w:sz="0" w:space="0" w:color="auto"/>
      </w:divBdr>
    </w:div>
    <w:div w:id="1737824912">
      <w:bodyDiv w:val="1"/>
      <w:marLeft w:val="0"/>
      <w:marRight w:val="0"/>
      <w:marTop w:val="0"/>
      <w:marBottom w:val="0"/>
      <w:divBdr>
        <w:top w:val="none" w:sz="0" w:space="0" w:color="auto"/>
        <w:left w:val="none" w:sz="0" w:space="0" w:color="auto"/>
        <w:bottom w:val="none" w:sz="0" w:space="0" w:color="auto"/>
        <w:right w:val="none" w:sz="0" w:space="0" w:color="auto"/>
      </w:divBdr>
    </w:div>
    <w:div w:id="1775901476">
      <w:bodyDiv w:val="1"/>
      <w:marLeft w:val="0"/>
      <w:marRight w:val="0"/>
      <w:marTop w:val="0"/>
      <w:marBottom w:val="0"/>
      <w:divBdr>
        <w:top w:val="none" w:sz="0" w:space="0" w:color="auto"/>
        <w:left w:val="none" w:sz="0" w:space="0" w:color="auto"/>
        <w:bottom w:val="none" w:sz="0" w:space="0" w:color="auto"/>
        <w:right w:val="none" w:sz="0" w:space="0" w:color="auto"/>
      </w:divBdr>
    </w:div>
    <w:div w:id="1792548297">
      <w:bodyDiv w:val="1"/>
      <w:marLeft w:val="0"/>
      <w:marRight w:val="0"/>
      <w:marTop w:val="0"/>
      <w:marBottom w:val="0"/>
      <w:divBdr>
        <w:top w:val="none" w:sz="0" w:space="0" w:color="auto"/>
        <w:left w:val="none" w:sz="0" w:space="0" w:color="auto"/>
        <w:bottom w:val="none" w:sz="0" w:space="0" w:color="auto"/>
        <w:right w:val="none" w:sz="0" w:space="0" w:color="auto"/>
      </w:divBdr>
    </w:div>
    <w:div w:id="1812094343">
      <w:bodyDiv w:val="1"/>
      <w:marLeft w:val="0"/>
      <w:marRight w:val="0"/>
      <w:marTop w:val="0"/>
      <w:marBottom w:val="0"/>
      <w:divBdr>
        <w:top w:val="none" w:sz="0" w:space="0" w:color="auto"/>
        <w:left w:val="none" w:sz="0" w:space="0" w:color="auto"/>
        <w:bottom w:val="none" w:sz="0" w:space="0" w:color="auto"/>
        <w:right w:val="none" w:sz="0" w:space="0" w:color="auto"/>
      </w:divBdr>
    </w:div>
    <w:div w:id="1865904787">
      <w:bodyDiv w:val="1"/>
      <w:marLeft w:val="0"/>
      <w:marRight w:val="0"/>
      <w:marTop w:val="0"/>
      <w:marBottom w:val="0"/>
      <w:divBdr>
        <w:top w:val="none" w:sz="0" w:space="0" w:color="auto"/>
        <w:left w:val="none" w:sz="0" w:space="0" w:color="auto"/>
        <w:bottom w:val="none" w:sz="0" w:space="0" w:color="auto"/>
        <w:right w:val="none" w:sz="0" w:space="0" w:color="auto"/>
      </w:divBdr>
    </w:div>
    <w:div w:id="1903129311">
      <w:bodyDiv w:val="1"/>
      <w:marLeft w:val="0"/>
      <w:marRight w:val="0"/>
      <w:marTop w:val="0"/>
      <w:marBottom w:val="0"/>
      <w:divBdr>
        <w:top w:val="none" w:sz="0" w:space="0" w:color="auto"/>
        <w:left w:val="none" w:sz="0" w:space="0" w:color="auto"/>
        <w:bottom w:val="none" w:sz="0" w:space="0" w:color="auto"/>
        <w:right w:val="none" w:sz="0" w:space="0" w:color="auto"/>
      </w:divBdr>
    </w:div>
    <w:div w:id="1960338693">
      <w:bodyDiv w:val="1"/>
      <w:marLeft w:val="0"/>
      <w:marRight w:val="0"/>
      <w:marTop w:val="0"/>
      <w:marBottom w:val="0"/>
      <w:divBdr>
        <w:top w:val="none" w:sz="0" w:space="0" w:color="auto"/>
        <w:left w:val="none" w:sz="0" w:space="0" w:color="auto"/>
        <w:bottom w:val="none" w:sz="0" w:space="0" w:color="auto"/>
        <w:right w:val="none" w:sz="0" w:space="0" w:color="auto"/>
      </w:divBdr>
    </w:div>
    <w:div w:id="1962108229">
      <w:bodyDiv w:val="1"/>
      <w:marLeft w:val="0"/>
      <w:marRight w:val="0"/>
      <w:marTop w:val="0"/>
      <w:marBottom w:val="0"/>
      <w:divBdr>
        <w:top w:val="none" w:sz="0" w:space="0" w:color="auto"/>
        <w:left w:val="none" w:sz="0" w:space="0" w:color="auto"/>
        <w:bottom w:val="none" w:sz="0" w:space="0" w:color="auto"/>
        <w:right w:val="none" w:sz="0" w:space="0" w:color="auto"/>
      </w:divBdr>
    </w:div>
    <w:div w:id="1964581651">
      <w:bodyDiv w:val="1"/>
      <w:marLeft w:val="0"/>
      <w:marRight w:val="0"/>
      <w:marTop w:val="0"/>
      <w:marBottom w:val="0"/>
      <w:divBdr>
        <w:top w:val="none" w:sz="0" w:space="0" w:color="auto"/>
        <w:left w:val="none" w:sz="0" w:space="0" w:color="auto"/>
        <w:bottom w:val="none" w:sz="0" w:space="0" w:color="auto"/>
        <w:right w:val="none" w:sz="0" w:space="0" w:color="auto"/>
      </w:divBdr>
    </w:div>
    <w:div w:id="1965378912">
      <w:bodyDiv w:val="1"/>
      <w:marLeft w:val="0"/>
      <w:marRight w:val="0"/>
      <w:marTop w:val="0"/>
      <w:marBottom w:val="0"/>
      <w:divBdr>
        <w:top w:val="none" w:sz="0" w:space="0" w:color="auto"/>
        <w:left w:val="none" w:sz="0" w:space="0" w:color="auto"/>
        <w:bottom w:val="none" w:sz="0" w:space="0" w:color="auto"/>
        <w:right w:val="none" w:sz="0" w:space="0" w:color="auto"/>
      </w:divBdr>
    </w:div>
    <w:div w:id="2007779363">
      <w:bodyDiv w:val="1"/>
      <w:marLeft w:val="0"/>
      <w:marRight w:val="0"/>
      <w:marTop w:val="0"/>
      <w:marBottom w:val="0"/>
      <w:divBdr>
        <w:top w:val="none" w:sz="0" w:space="0" w:color="auto"/>
        <w:left w:val="none" w:sz="0" w:space="0" w:color="auto"/>
        <w:bottom w:val="none" w:sz="0" w:space="0" w:color="auto"/>
        <w:right w:val="none" w:sz="0" w:space="0" w:color="auto"/>
      </w:divBdr>
    </w:div>
    <w:div w:id="2019771580">
      <w:bodyDiv w:val="1"/>
      <w:marLeft w:val="0"/>
      <w:marRight w:val="0"/>
      <w:marTop w:val="0"/>
      <w:marBottom w:val="0"/>
      <w:divBdr>
        <w:top w:val="none" w:sz="0" w:space="0" w:color="auto"/>
        <w:left w:val="none" w:sz="0" w:space="0" w:color="auto"/>
        <w:bottom w:val="none" w:sz="0" w:space="0" w:color="auto"/>
        <w:right w:val="none" w:sz="0" w:space="0" w:color="auto"/>
      </w:divBdr>
    </w:div>
    <w:div w:id="2026516901">
      <w:bodyDiv w:val="1"/>
      <w:marLeft w:val="0"/>
      <w:marRight w:val="0"/>
      <w:marTop w:val="0"/>
      <w:marBottom w:val="0"/>
      <w:divBdr>
        <w:top w:val="none" w:sz="0" w:space="0" w:color="auto"/>
        <w:left w:val="none" w:sz="0" w:space="0" w:color="auto"/>
        <w:bottom w:val="none" w:sz="0" w:space="0" w:color="auto"/>
        <w:right w:val="none" w:sz="0" w:space="0" w:color="auto"/>
      </w:divBdr>
    </w:div>
    <w:div w:id="2108696311">
      <w:bodyDiv w:val="1"/>
      <w:marLeft w:val="0"/>
      <w:marRight w:val="0"/>
      <w:marTop w:val="0"/>
      <w:marBottom w:val="0"/>
      <w:divBdr>
        <w:top w:val="none" w:sz="0" w:space="0" w:color="auto"/>
        <w:left w:val="none" w:sz="0" w:space="0" w:color="auto"/>
        <w:bottom w:val="none" w:sz="0" w:space="0" w:color="auto"/>
        <w:right w:val="none" w:sz="0" w:space="0" w:color="auto"/>
      </w:divBdr>
    </w:div>
    <w:div w:id="2116899710">
      <w:bodyDiv w:val="1"/>
      <w:marLeft w:val="0"/>
      <w:marRight w:val="0"/>
      <w:marTop w:val="0"/>
      <w:marBottom w:val="0"/>
      <w:divBdr>
        <w:top w:val="none" w:sz="0" w:space="0" w:color="auto"/>
        <w:left w:val="none" w:sz="0" w:space="0" w:color="auto"/>
        <w:bottom w:val="none" w:sz="0" w:space="0" w:color="auto"/>
        <w:right w:val="none" w:sz="0" w:space="0" w:color="auto"/>
      </w:divBdr>
    </w:div>
    <w:div w:id="2139645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7.emf"/><Relationship Id="rId21" Type="http://schemas.openxmlformats.org/officeDocument/2006/relationships/image" Target="media/image8.png"/><Relationship Id="rId42" Type="http://schemas.openxmlformats.org/officeDocument/2006/relationships/header" Target="header7.xml"/><Relationship Id="rId63" Type="http://schemas.openxmlformats.org/officeDocument/2006/relationships/footer" Target="footer13.xml"/><Relationship Id="rId84" Type="http://schemas.openxmlformats.org/officeDocument/2006/relationships/image" Target="media/image36.svg"/><Relationship Id="rId138" Type="http://schemas.openxmlformats.org/officeDocument/2006/relationships/image" Target="media/image88.emf"/><Relationship Id="rId159" Type="http://schemas.openxmlformats.org/officeDocument/2006/relationships/image" Target="media/image106.emf"/><Relationship Id="rId170" Type="http://schemas.openxmlformats.org/officeDocument/2006/relationships/fontTable" Target="fontTable.xml"/><Relationship Id="rId107" Type="http://schemas.openxmlformats.org/officeDocument/2006/relationships/image" Target="media/image57.png"/><Relationship Id="rId11" Type="http://schemas.openxmlformats.org/officeDocument/2006/relationships/webSettings" Target="webSettings.xml"/><Relationship Id="rId32" Type="http://schemas.openxmlformats.org/officeDocument/2006/relationships/header" Target="header4.xml"/><Relationship Id="rId53" Type="http://schemas.openxmlformats.org/officeDocument/2006/relationships/footer" Target="footer11.xml"/><Relationship Id="rId74" Type="http://schemas.openxmlformats.org/officeDocument/2006/relationships/header" Target="header18.xml"/><Relationship Id="rId128" Type="http://schemas.openxmlformats.org/officeDocument/2006/relationships/image" Target="media/image78.jpeg"/><Relationship Id="rId149" Type="http://schemas.openxmlformats.org/officeDocument/2006/relationships/image" Target="media/image96.png"/><Relationship Id="rId5" Type="http://schemas.openxmlformats.org/officeDocument/2006/relationships/customXml" Target="../customXml/item5.xml"/><Relationship Id="rId95" Type="http://schemas.openxmlformats.org/officeDocument/2006/relationships/image" Target="media/image45.png"/><Relationship Id="rId160" Type="http://schemas.openxmlformats.org/officeDocument/2006/relationships/image" Target="media/image107.emf"/><Relationship Id="rId22" Type="http://schemas.openxmlformats.org/officeDocument/2006/relationships/image" Target="media/image9.png"/><Relationship Id="rId43" Type="http://schemas.openxmlformats.org/officeDocument/2006/relationships/header" Target="header8.xml"/><Relationship Id="rId64" Type="http://schemas.openxmlformats.org/officeDocument/2006/relationships/header" Target="header15.xml"/><Relationship Id="rId118" Type="http://schemas.openxmlformats.org/officeDocument/2006/relationships/image" Target="media/image68.jpeg"/><Relationship Id="rId139" Type="http://schemas.openxmlformats.org/officeDocument/2006/relationships/image" Target="media/image89.jpeg"/><Relationship Id="rId85" Type="http://schemas.openxmlformats.org/officeDocument/2006/relationships/image" Target="media/image37.png"/><Relationship Id="rId150" Type="http://schemas.openxmlformats.org/officeDocument/2006/relationships/image" Target="media/image97.png"/><Relationship Id="rId171" Type="http://schemas.openxmlformats.org/officeDocument/2006/relationships/theme" Target="theme/theme1.xml"/><Relationship Id="rId12" Type="http://schemas.openxmlformats.org/officeDocument/2006/relationships/footnotes" Target="footnotes.xml"/><Relationship Id="rId33" Type="http://schemas.openxmlformats.org/officeDocument/2006/relationships/header" Target="header5.xml"/><Relationship Id="rId108" Type="http://schemas.openxmlformats.org/officeDocument/2006/relationships/image" Target="media/image58.png"/><Relationship Id="rId129" Type="http://schemas.openxmlformats.org/officeDocument/2006/relationships/image" Target="media/image79.jpeg"/><Relationship Id="rId54" Type="http://schemas.openxmlformats.org/officeDocument/2006/relationships/image" Target="media/image18.jpeg"/><Relationship Id="rId70" Type="http://schemas.openxmlformats.org/officeDocument/2006/relationships/header" Target="header16.xml"/><Relationship Id="rId75" Type="http://schemas.openxmlformats.org/officeDocument/2006/relationships/footer" Target="footer17.xml"/><Relationship Id="rId91" Type="http://schemas.openxmlformats.org/officeDocument/2006/relationships/image" Target="media/image43.png"/><Relationship Id="rId96" Type="http://schemas.openxmlformats.org/officeDocument/2006/relationships/image" Target="media/image46.png"/><Relationship Id="rId140" Type="http://schemas.openxmlformats.org/officeDocument/2006/relationships/image" Target="media/image90.jpeg"/><Relationship Id="rId145" Type="http://schemas.openxmlformats.org/officeDocument/2006/relationships/image" Target="media/image93.jpeg"/><Relationship Id="rId161" Type="http://schemas.openxmlformats.org/officeDocument/2006/relationships/image" Target="media/image108.emf"/><Relationship Id="rId166" Type="http://schemas.openxmlformats.org/officeDocument/2006/relationships/image" Target="media/image113.jpeg"/><Relationship Id="rId1" Type="http://schemas.openxmlformats.org/officeDocument/2006/relationships/customXml" Target="../customXml/item1.xml"/><Relationship Id="rId23" Type="http://schemas.openxmlformats.org/officeDocument/2006/relationships/image" Target="media/image10.jpeg"/><Relationship Id="rId28" Type="http://schemas.openxmlformats.org/officeDocument/2006/relationships/header" Target="header2.xml"/><Relationship Id="rId49" Type="http://schemas.openxmlformats.org/officeDocument/2006/relationships/header" Target="header11.xml"/><Relationship Id="rId114" Type="http://schemas.openxmlformats.org/officeDocument/2006/relationships/image" Target="media/image64.emf"/><Relationship Id="rId119" Type="http://schemas.openxmlformats.org/officeDocument/2006/relationships/image" Target="media/image69.png"/><Relationship Id="rId44" Type="http://schemas.openxmlformats.org/officeDocument/2006/relationships/footer" Target="footer6.xml"/><Relationship Id="rId60" Type="http://schemas.openxmlformats.org/officeDocument/2006/relationships/header" Target="header13.xml"/><Relationship Id="rId65" Type="http://schemas.openxmlformats.org/officeDocument/2006/relationships/footer" Target="footer14.xml"/><Relationship Id="rId81" Type="http://schemas.openxmlformats.org/officeDocument/2006/relationships/image" Target="media/image33.png"/><Relationship Id="rId86" Type="http://schemas.openxmlformats.org/officeDocument/2006/relationships/image" Target="media/image38.png"/><Relationship Id="rId130" Type="http://schemas.openxmlformats.org/officeDocument/2006/relationships/image" Target="media/image80.jpeg"/><Relationship Id="rId135" Type="http://schemas.openxmlformats.org/officeDocument/2006/relationships/image" Target="media/image85.jpeg"/><Relationship Id="rId151" Type="http://schemas.openxmlformats.org/officeDocument/2006/relationships/image" Target="media/image98.png"/><Relationship Id="rId156" Type="http://schemas.openxmlformats.org/officeDocument/2006/relationships/image" Target="media/image103.emf"/><Relationship Id="rId13" Type="http://schemas.openxmlformats.org/officeDocument/2006/relationships/endnotes" Target="endnotes.xml"/><Relationship Id="rId18" Type="http://schemas.openxmlformats.org/officeDocument/2006/relationships/image" Target="media/image5.png"/><Relationship Id="rId39" Type="http://schemas.openxmlformats.org/officeDocument/2006/relationships/image" Target="media/image15.emf"/><Relationship Id="rId109" Type="http://schemas.openxmlformats.org/officeDocument/2006/relationships/image" Target="media/image59.emf"/><Relationship Id="rId34" Type="http://schemas.openxmlformats.org/officeDocument/2006/relationships/footer" Target="footer3.xml"/><Relationship Id="rId50" Type="http://schemas.openxmlformats.org/officeDocument/2006/relationships/footer" Target="footer9.xml"/><Relationship Id="rId55" Type="http://schemas.openxmlformats.org/officeDocument/2006/relationships/image" Target="media/image19.jpeg"/><Relationship Id="rId76" Type="http://schemas.openxmlformats.org/officeDocument/2006/relationships/image" Target="media/image28.jpeg"/><Relationship Id="rId97" Type="http://schemas.openxmlformats.org/officeDocument/2006/relationships/image" Target="media/image47.png"/><Relationship Id="rId104" Type="http://schemas.openxmlformats.org/officeDocument/2006/relationships/image" Target="media/image54.png"/><Relationship Id="rId120" Type="http://schemas.openxmlformats.org/officeDocument/2006/relationships/image" Target="media/image70.png"/><Relationship Id="rId125" Type="http://schemas.openxmlformats.org/officeDocument/2006/relationships/image" Target="media/image75.jpeg"/><Relationship Id="rId141" Type="http://schemas.openxmlformats.org/officeDocument/2006/relationships/image" Target="media/image91.jpeg"/><Relationship Id="rId146" Type="http://schemas.openxmlformats.org/officeDocument/2006/relationships/hyperlink" Target="http://www.environment.sa.gov.au" TargetMode="External"/><Relationship Id="rId167" Type="http://schemas.openxmlformats.org/officeDocument/2006/relationships/image" Target="media/image114.jpeg"/><Relationship Id="rId162" Type="http://schemas.openxmlformats.org/officeDocument/2006/relationships/image" Target="media/image109.emf"/><Relationship Id="rId71" Type="http://schemas.openxmlformats.org/officeDocument/2006/relationships/header" Target="header17.xml"/><Relationship Id="rId92" Type="http://schemas.openxmlformats.org/officeDocument/2006/relationships/hyperlink" Target="https://aquaticecodynamics.github.io/CDM/index.html" TargetMode="External"/><Relationship Id="rId2" Type="http://schemas.openxmlformats.org/officeDocument/2006/relationships/customXml" Target="../customXml/item2.xml"/><Relationship Id="rId29" Type="http://schemas.openxmlformats.org/officeDocument/2006/relationships/footer" Target="footer1.xml"/><Relationship Id="rId24" Type="http://schemas.openxmlformats.org/officeDocument/2006/relationships/image" Target="media/image11.png"/><Relationship Id="rId40" Type="http://schemas.openxmlformats.org/officeDocument/2006/relationships/image" Target="media/image16.emf"/><Relationship Id="rId45" Type="http://schemas.openxmlformats.org/officeDocument/2006/relationships/footer" Target="footer7.xml"/><Relationship Id="rId66" Type="http://schemas.openxmlformats.org/officeDocument/2006/relationships/image" Target="media/image24.png"/><Relationship Id="rId87" Type="http://schemas.openxmlformats.org/officeDocument/2006/relationships/image" Target="media/image39.png"/><Relationship Id="rId110" Type="http://schemas.openxmlformats.org/officeDocument/2006/relationships/image" Target="media/image60.emf"/><Relationship Id="rId115" Type="http://schemas.openxmlformats.org/officeDocument/2006/relationships/image" Target="media/image65.emf"/><Relationship Id="rId131" Type="http://schemas.openxmlformats.org/officeDocument/2006/relationships/image" Target="media/image81.jpeg"/><Relationship Id="rId136" Type="http://schemas.openxmlformats.org/officeDocument/2006/relationships/image" Target="media/image86.jpeg"/><Relationship Id="rId157" Type="http://schemas.openxmlformats.org/officeDocument/2006/relationships/image" Target="media/image104.emf"/><Relationship Id="rId61" Type="http://schemas.openxmlformats.org/officeDocument/2006/relationships/header" Target="header14.xml"/><Relationship Id="rId82" Type="http://schemas.openxmlformats.org/officeDocument/2006/relationships/image" Target="media/image34.png"/><Relationship Id="rId152" Type="http://schemas.openxmlformats.org/officeDocument/2006/relationships/image" Target="media/image99.png"/><Relationship Id="rId19" Type="http://schemas.openxmlformats.org/officeDocument/2006/relationships/image" Target="media/image6.png"/><Relationship Id="rId14" Type="http://schemas.openxmlformats.org/officeDocument/2006/relationships/image" Target="media/image1.jpeg"/><Relationship Id="rId30" Type="http://schemas.openxmlformats.org/officeDocument/2006/relationships/footer" Target="footer2.xml"/><Relationship Id="rId35" Type="http://schemas.openxmlformats.org/officeDocument/2006/relationships/footer" Target="footer4.xml"/><Relationship Id="rId56" Type="http://schemas.openxmlformats.org/officeDocument/2006/relationships/image" Target="media/image20.png"/><Relationship Id="rId77" Type="http://schemas.openxmlformats.org/officeDocument/2006/relationships/image" Target="media/image29.png"/><Relationship Id="rId100" Type="http://schemas.openxmlformats.org/officeDocument/2006/relationships/image" Target="media/image50.png"/><Relationship Id="rId105" Type="http://schemas.openxmlformats.org/officeDocument/2006/relationships/image" Target="media/image55.png"/><Relationship Id="rId126" Type="http://schemas.openxmlformats.org/officeDocument/2006/relationships/image" Target="media/image76.jpeg"/><Relationship Id="rId147" Type="http://schemas.openxmlformats.org/officeDocument/2006/relationships/image" Target="media/image94.jpeg"/><Relationship Id="rId168" Type="http://schemas.openxmlformats.org/officeDocument/2006/relationships/image" Target="media/image115.jpeg"/><Relationship Id="rId8" Type="http://schemas.openxmlformats.org/officeDocument/2006/relationships/numbering" Target="numbering.xml"/><Relationship Id="rId51" Type="http://schemas.openxmlformats.org/officeDocument/2006/relationships/footer" Target="footer10.xml"/><Relationship Id="rId72" Type="http://schemas.openxmlformats.org/officeDocument/2006/relationships/footer" Target="footer15.xml"/><Relationship Id="rId93" Type="http://schemas.openxmlformats.org/officeDocument/2006/relationships/hyperlink" Target="http://aquaticecodynamics.github.io/cdm/index.html" TargetMode="External"/><Relationship Id="rId98" Type="http://schemas.openxmlformats.org/officeDocument/2006/relationships/image" Target="media/image48.png"/><Relationship Id="rId121" Type="http://schemas.openxmlformats.org/officeDocument/2006/relationships/image" Target="media/image71.png"/><Relationship Id="rId142" Type="http://schemas.openxmlformats.org/officeDocument/2006/relationships/image" Target="media/image92.png"/><Relationship Id="rId163" Type="http://schemas.openxmlformats.org/officeDocument/2006/relationships/image" Target="media/image110.jpeg"/><Relationship Id="rId3" Type="http://schemas.openxmlformats.org/officeDocument/2006/relationships/customXml" Target="../customXml/item3.xml"/><Relationship Id="rId25" Type="http://schemas.openxmlformats.org/officeDocument/2006/relationships/image" Target="media/image12.png"/><Relationship Id="rId46" Type="http://schemas.openxmlformats.org/officeDocument/2006/relationships/header" Target="header9.xml"/><Relationship Id="rId67" Type="http://schemas.openxmlformats.org/officeDocument/2006/relationships/image" Target="media/image25.png"/><Relationship Id="rId116" Type="http://schemas.openxmlformats.org/officeDocument/2006/relationships/image" Target="media/image66.emf"/><Relationship Id="rId137" Type="http://schemas.openxmlformats.org/officeDocument/2006/relationships/image" Target="media/image87.jpeg"/><Relationship Id="rId158" Type="http://schemas.openxmlformats.org/officeDocument/2006/relationships/image" Target="media/image105.emf"/><Relationship Id="rId20" Type="http://schemas.openxmlformats.org/officeDocument/2006/relationships/image" Target="media/image7.png"/><Relationship Id="rId41" Type="http://schemas.openxmlformats.org/officeDocument/2006/relationships/image" Target="media/image17.jpeg"/><Relationship Id="rId62" Type="http://schemas.openxmlformats.org/officeDocument/2006/relationships/footer" Target="footer12.xml"/><Relationship Id="rId83" Type="http://schemas.openxmlformats.org/officeDocument/2006/relationships/image" Target="media/image35.png"/><Relationship Id="rId88" Type="http://schemas.openxmlformats.org/officeDocument/2006/relationships/image" Target="media/image40.png"/><Relationship Id="rId111" Type="http://schemas.openxmlformats.org/officeDocument/2006/relationships/image" Target="media/image61.emf"/><Relationship Id="rId132" Type="http://schemas.openxmlformats.org/officeDocument/2006/relationships/image" Target="media/image82.jpeg"/><Relationship Id="rId153" Type="http://schemas.openxmlformats.org/officeDocument/2006/relationships/image" Target="media/image100.png"/><Relationship Id="rId15" Type="http://schemas.openxmlformats.org/officeDocument/2006/relationships/image" Target="media/image2.png"/><Relationship Id="rId36" Type="http://schemas.openxmlformats.org/officeDocument/2006/relationships/header" Target="header6.xml"/><Relationship Id="rId57" Type="http://schemas.openxmlformats.org/officeDocument/2006/relationships/image" Target="media/image21.png"/><Relationship Id="rId106" Type="http://schemas.openxmlformats.org/officeDocument/2006/relationships/image" Target="media/image56.png"/><Relationship Id="rId127" Type="http://schemas.openxmlformats.org/officeDocument/2006/relationships/image" Target="media/image77.jpeg"/><Relationship Id="rId10" Type="http://schemas.openxmlformats.org/officeDocument/2006/relationships/settings" Target="settings.xml"/><Relationship Id="rId31" Type="http://schemas.openxmlformats.org/officeDocument/2006/relationships/header" Target="header3.xml"/><Relationship Id="rId52" Type="http://schemas.openxmlformats.org/officeDocument/2006/relationships/header" Target="header12.xml"/><Relationship Id="rId73" Type="http://schemas.openxmlformats.org/officeDocument/2006/relationships/footer" Target="footer16.xml"/><Relationship Id="rId78" Type="http://schemas.openxmlformats.org/officeDocument/2006/relationships/image" Target="media/image30.png"/><Relationship Id="rId94" Type="http://schemas.openxmlformats.org/officeDocument/2006/relationships/image" Target="media/image44.png"/><Relationship Id="rId99" Type="http://schemas.openxmlformats.org/officeDocument/2006/relationships/image" Target="media/image49.png"/><Relationship Id="rId101" Type="http://schemas.openxmlformats.org/officeDocument/2006/relationships/image" Target="media/image51.png"/><Relationship Id="rId122" Type="http://schemas.openxmlformats.org/officeDocument/2006/relationships/image" Target="media/image72.png"/><Relationship Id="rId143" Type="http://schemas.openxmlformats.org/officeDocument/2006/relationships/hyperlink" Target="http://www.bom.gov.au/climate/averages/tables/cw_024048.shtml" TargetMode="External"/><Relationship Id="rId148" Type="http://schemas.openxmlformats.org/officeDocument/2006/relationships/image" Target="media/image95.jpeg"/><Relationship Id="rId164" Type="http://schemas.openxmlformats.org/officeDocument/2006/relationships/image" Target="media/image111.jpeg"/><Relationship Id="rId169" Type="http://schemas.openxmlformats.org/officeDocument/2006/relationships/hyperlink" Target="http://www.bom.gov.au/water/awid/id-1026.shtml" TargetMode="External"/><Relationship Id="rId4" Type="http://schemas.openxmlformats.org/officeDocument/2006/relationships/customXml" Target="../customXml/item4.xml"/><Relationship Id="rId9" Type="http://schemas.openxmlformats.org/officeDocument/2006/relationships/styles" Target="styles.xml"/><Relationship Id="rId26" Type="http://schemas.openxmlformats.org/officeDocument/2006/relationships/image" Target="cid:image001.png@01CF3236.F571C350" TargetMode="External"/><Relationship Id="rId47" Type="http://schemas.openxmlformats.org/officeDocument/2006/relationships/footer" Target="footer8.xml"/><Relationship Id="rId68" Type="http://schemas.openxmlformats.org/officeDocument/2006/relationships/image" Target="media/image26.png"/><Relationship Id="rId89" Type="http://schemas.openxmlformats.org/officeDocument/2006/relationships/image" Target="media/image41.png"/><Relationship Id="rId112" Type="http://schemas.openxmlformats.org/officeDocument/2006/relationships/image" Target="media/image62.emf"/><Relationship Id="rId133" Type="http://schemas.openxmlformats.org/officeDocument/2006/relationships/image" Target="media/image83.jpeg"/><Relationship Id="rId154" Type="http://schemas.openxmlformats.org/officeDocument/2006/relationships/image" Target="media/image101.emf"/><Relationship Id="rId16" Type="http://schemas.openxmlformats.org/officeDocument/2006/relationships/image" Target="media/image3.png"/><Relationship Id="rId37" Type="http://schemas.openxmlformats.org/officeDocument/2006/relationships/footer" Target="footer5.xml"/><Relationship Id="rId58" Type="http://schemas.openxmlformats.org/officeDocument/2006/relationships/image" Target="media/image22.png"/><Relationship Id="rId79" Type="http://schemas.openxmlformats.org/officeDocument/2006/relationships/image" Target="media/image31.png"/><Relationship Id="rId102" Type="http://schemas.openxmlformats.org/officeDocument/2006/relationships/image" Target="media/image52.png"/><Relationship Id="rId123" Type="http://schemas.openxmlformats.org/officeDocument/2006/relationships/image" Target="media/image73.png"/><Relationship Id="rId144" Type="http://schemas.openxmlformats.org/officeDocument/2006/relationships/hyperlink" Target="https://doi" TargetMode="External"/><Relationship Id="rId90" Type="http://schemas.openxmlformats.org/officeDocument/2006/relationships/image" Target="media/image42.png"/><Relationship Id="rId165" Type="http://schemas.openxmlformats.org/officeDocument/2006/relationships/image" Target="media/image112.jpeg"/><Relationship Id="rId27" Type="http://schemas.openxmlformats.org/officeDocument/2006/relationships/header" Target="header1.xml"/><Relationship Id="rId48" Type="http://schemas.openxmlformats.org/officeDocument/2006/relationships/header" Target="header10.xml"/><Relationship Id="rId69" Type="http://schemas.openxmlformats.org/officeDocument/2006/relationships/image" Target="media/image27.png"/><Relationship Id="rId113" Type="http://schemas.openxmlformats.org/officeDocument/2006/relationships/image" Target="media/image63.emf"/><Relationship Id="rId134" Type="http://schemas.openxmlformats.org/officeDocument/2006/relationships/image" Target="media/image84.jpeg"/><Relationship Id="rId80" Type="http://schemas.openxmlformats.org/officeDocument/2006/relationships/image" Target="media/image32.png"/><Relationship Id="rId155" Type="http://schemas.openxmlformats.org/officeDocument/2006/relationships/image" Target="media/image102.emf"/><Relationship Id="rId17" Type="http://schemas.openxmlformats.org/officeDocument/2006/relationships/image" Target="media/image4.png"/><Relationship Id="rId38" Type="http://schemas.openxmlformats.org/officeDocument/2006/relationships/image" Target="media/image14.jpeg"/><Relationship Id="rId59" Type="http://schemas.openxmlformats.org/officeDocument/2006/relationships/image" Target="media/image23.png"/><Relationship Id="rId103" Type="http://schemas.openxmlformats.org/officeDocument/2006/relationships/image" Target="media/image53.png"/><Relationship Id="rId124" Type="http://schemas.openxmlformats.org/officeDocument/2006/relationships/image" Target="media/image74.jpe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2.xml><?xml version="1.0" encoding="utf-8"?>
<metadata xmlns="http://www.objective.com/ecm/document/metadata/3D2A87C8A9941445E0533AF0780A13BC" version="1.0.0">
  <systemFields>
    <field name="Objective-Id">
      <value order="0">A7126639</value>
    </field>
    <field name="Objective-Title">
      <value order="0">20250915 - Lower Murray Flow-MER Technical Report - FINAL V2</value>
    </field>
    <field name="Objective-Description">
      <value order="0"/>
    </field>
    <field name="Objective-CreationStamp">
      <value order="0">2025-09-09T12:36:00Z</value>
    </field>
    <field name="Objective-IsApproved">
      <value order="0">false</value>
    </field>
    <field name="Objective-IsPublished">
      <value order="0">true</value>
    </field>
    <field name="Objective-DatePublished">
      <value order="0">2025-09-14T23:50:02Z</value>
    </field>
    <field name="Objective-ModificationStamp">
      <value order="0">2025-09-14T23:50:02Z</value>
    </field>
    <field name="Objective-Owner">
      <value order="0">Sterns, Annie</value>
    </field>
    <field name="Objective-Path">
      <value order="0">Global Folder:01 SA Research &amp; Development Institute (SARDI):Aquatic Environments &amp; Habitats:Publications:Inland Waters &amp; Terrestrial Ecology:AQUATIC ENVIRONMENTS &amp; HABITATS - Publications - Inland Waters and Terrestrial Ecology - Commonwealth Environmental Water Holder Monitoring, Evaluation and Research Project:2019-2024 Report</value>
    </field>
    <field name="Objective-Parent">
      <value order="0">2019-2024 Report</value>
    </field>
    <field name="Objective-State">
      <value order="0">Published</value>
    </field>
    <field name="Objective-VersionId">
      <value order="0">vA11933627</value>
    </field>
    <field name="Objective-Version">
      <value order="0">2.0</value>
    </field>
    <field name="Objective-VersionNumber">
      <value order="0">2</value>
    </field>
    <field name="Objective-VersionComment">
      <value order="0"/>
    </field>
    <field name="Objective-FileNumber">
      <value order="0">SARDI F2013/000289</value>
    </field>
    <field name="Objective-Classification">
      <value order="0"/>
    </field>
    <field name="Objective-Caveats">
      <value order="0"/>
    </field>
  </systemFields>
  <catalogues>
    <catalogue name="Electronic Document Type Catalogue" type="type" ori="id:cA6">
      <field name="Objective-Agency">
        <value order="0">Primary Industries and Regions SA</value>
      </field>
      <field name="Objective-Business Division">
        <value order="0">SA Research and Development Institute SARDI</value>
      </field>
      <field name="Objective-Workgroup">
        <value order="0">SARDI Aquatic Sciences</value>
      </field>
      <field name="Objective-Section">
        <value order="0">SARDI Information &amp; Systems Support</value>
      </field>
      <field name="Objective-Document Type">
        <value order="0">Report</value>
      </field>
      <field name="Objective-Security Classification">
        <value order="0">02 Official</value>
      </field>
      <field name="Objective-Access Use Conditions">
        <value order="0"/>
      </field>
      <field name="Objective-Connect Creator">
        <value order="0"/>
      </field>
      <field name="Objective-Customer Person">
        <value order="0"/>
      </field>
      <field name="Objective-Customer Organisation">
        <value order="0"/>
      </field>
      <field name="Objective-Transaction Reference">
        <value order="0"/>
      </field>
      <field name="Objective-Place Name">
        <value order="0"/>
      </field>
      <field name="Objective-Description or Summary">
        <value order="0"/>
      </field>
      <field name="Objective-Date Document Created">
        <value order="0"/>
      </field>
      <field name="Objective-Document Created By">
        <value order="0"/>
      </field>
      <field name="Objective-Date Source Document Scanned">
        <value order="0"/>
      </field>
      <field name="Objective-Source Document Disposal Status">
        <value order="0"/>
      </field>
      <field name="Objective-Date Temporary Value Source Document Destroyed">
        <value order="0"/>
      </field>
      <field name="Objective-Date Received">
        <value order="0"/>
      </field>
      <field name="Objective-Action Delegator">
        <value order="0"/>
      </field>
      <field name="Objective-Action Officer">
        <value order="0"/>
      </field>
      <field name="Objective-Action Required">
        <value order="0"/>
      </field>
      <field name="Objective-Date Action Due By">
        <value order="0"/>
      </field>
      <field name="Objective-Date Action Assigned">
        <value order="0"/>
      </field>
      <field name="Objective-Action Approved by">
        <value order="0"/>
      </field>
      <field name="Objective-Date Action Approved">
        <value order="0"/>
      </field>
      <field name="Objective-Date Interim Reply Sent">
        <value order="0"/>
      </field>
      <field name="Objective-Date Final Reply Sent">
        <value order="0"/>
      </field>
      <field name="Objective-Date_Completed_On">
        <value order="0"/>
      </field>
      <field name="Objective-Intranet_Publishing_Requestor">
        <value order="0"/>
      </field>
      <field name="Objective-Intranet_Publishing_Requestor_Email">
        <value order="0"/>
      </field>
      <field name="Objective-Intranet Publisher">
        <value order="0">CORP ICT Intranet Publishing General Document Workflow Group</value>
      </field>
      <field name="Objective-Intranet_Publisher_Contact">
        <value order="0"/>
      </field>
      <field name="Objective-Intranet_Publisher_Email">
        <value order="0"/>
      </field>
      <field name="Objective-Intranet_Display_Name">
        <value order="0"/>
      </field>
      <field name="Objective-Free Text Subjects">
        <value order="0"/>
      </field>
      <field name="Objective-Intranet_Publishing_Requirement">
        <value order="0"/>
      </field>
      <field name="Objective-Intranet_Publishing_Instructions">
        <value order="0"/>
      </field>
      <field name="Objective-Document Published Version URL Link">
        <value order="0">https://objectivesag.pirsa.sa.gov.au/id:A7126639/document/versions/published</value>
      </field>
      <field name="Objective-Intranet URL Keyword">
        <value order="0">%globals_asset_metadata_PublishedURL%</value>
      </field>
      <field name="Objective-Intranet Short Name">
        <value order="0">A7126639</value>
      </field>
      <field name="Objective-Intranet_Publishing_Metadata_Schema">
        <value order="0">73217</value>
      </field>
      <field name="Objective-Intranet_Publishing_CSV_File_Operation">
        <value order="0">E</value>
      </field>
      <field name="Objective-Intranet_Asset_ID">
        <value order="0"/>
      </field>
      <field name="Objective-Date_Intranet_Link_Published">
        <value order="0"/>
      </field>
      <field name="Objective-Date_Intranet_Link_Next_Review_Due">
        <value order="0"/>
      </field>
      <field name="Objective-Date_Intranet_Link_Removed">
        <value order="0"/>
      </field>
      <field name="Objective-Internet Publishing Requestor">
        <value order="0"/>
      </field>
      <field name="Objective-Internet Publishing Requestor Email">
        <value order="0"/>
      </field>
      <field name="Objective-Internet Publisher Group">
        <value order="0">CORP ICT Internet Website Publishing Workflow Group</value>
      </field>
      <field name="Objective-Internet Publisher Contact">
        <value order="0">Intranet, Web Publisher</value>
      </field>
      <field name="Objective-Internet Publisher Email">
        <value order="0">PIRSA.Webpublish@sa.gov.au</value>
      </field>
      <field name="Objective-Internet Friendly Name">
        <value order="0"/>
      </field>
      <field name="Objective-Internet Document Type">
        <value order="0"/>
      </field>
      <field name="Objective-Internet Publishing Requirement">
        <value order="0"/>
      </field>
      <field name="Objective-Internet Publishing Instructions or Page URI">
        <value order="0"/>
      </field>
      <field name="Objective-Date Document Released">
        <value order="0"/>
      </field>
      <field name="Objective-Abstract">
        <value order="0"/>
      </field>
      <field name="Objective-External Link">
        <value order="0"/>
      </field>
      <field name="Objective-Publish Metadata Only">
        <value order="0">No</value>
      </field>
      <field name="Objective-Generate PDF Rendition">
        <value order="0">No</value>
      </field>
      <field name="Objective-Rendition Object ID">
        <value order="0"/>
      </field>
      <field name="Objective-Rendition Document Extension">
        <value order="0"/>
      </field>
      <field name="Objective-Accessibility Reviewed">
        <value order="0"/>
      </field>
      <field name="Objective-Accessibility Review Notes">
        <value order="0"/>
      </field>
      <field name="Objective-Collection or Program Title">
        <value order="0"/>
      </field>
      <field name="Objective-Sub Collection or Item ID">
        <value order="0"/>
      </field>
      <field name="Objective-Date Internet Document &amp; CSV File Published on Website">
        <value order="0"/>
      </field>
      <field name="Objective-Date Internet Document &amp; CSV File Next Review Due">
        <value order="0"/>
      </field>
      <field name="Objective-Date Internet Document &amp; CSV File Removed from Website">
        <value order="0"/>
      </field>
      <field name="Objective-Internet Publishing CSV File Operation">
        <value order="0">A</value>
      </field>
      <field name="Objective-Covers Period From">
        <value order="0"/>
      </field>
      <field name="Objective-Covers Period To">
        <value order="0"/>
      </field>
      <field name="Objective-Access Rights">
        <value order="0">Closed</value>
      </field>
      <field name="Objective-Vital_Record_Indicator">
        <value order="0">No</value>
      </field>
      <field name="Objective-Access Security Review Due Date">
        <value order="0"/>
      </field>
      <field name="Objective-Vital Records Review Due Date">
        <value order="0"/>
      </field>
      <field name="Objective-Internal Reference">
        <value order="0"/>
      </field>
      <field name="Objective-Media_Storage_Format">
        <value order="0">Text</value>
      </field>
      <field name="Objective-Jurisdiction">
        <value order="0">SA</value>
      </field>
      <field name="Objective-Language">
        <value order="0">English (en)</value>
      </field>
      <field name="Objective-Intellectual_Property_Rights">
        <value order="0">SA Government</value>
      </field>
      <field name="Objective-Date Emailed to DPC">
        <value order="0"/>
      </field>
      <field name="Objective-Date Emailed to DTF">
        <value order="0"/>
      </field>
      <field name="Objective-Date Emailed to Ministers Office">
        <value order="0"/>
      </field>
      <field name="Objective-Disposal Reasons">
        <value order="0"/>
      </field>
      <field name="Objective-Date to be Exported">
        <value order="0"/>
      </field>
      <field name="Objective-Used By System Admin Only">
        <value order="0"/>
      </field>
      <field name="Objective-Old Agency">
        <value order="0"/>
      </field>
      <field name="Objective-Old Business Division">
        <value order="0"/>
      </field>
      <field name="Objective-Old Workgroup">
        <value order="0"/>
      </field>
      <field name="Objective-Old Section">
        <value order="0"/>
      </field>
    </catalogue>
  </catalogues>
</meta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7.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AF2DA088-EE44-4BCC-AA45-6FC816041E85}">
  <ds:schemaRefs>
    <ds:schemaRef ds:uri="http://schemas.microsoft.com/office/2006/metadata/properties"/>
    <ds:schemaRef ds:uri="http://schemas.microsoft.com/office/infopath/2007/PartnerControls"/>
    <ds:schemaRef ds:uri="5af92df4-ae3d-4772-abff-92e7cba13994"/>
    <ds:schemaRef ds:uri="http://schemas.microsoft.com/sharepoint/v4"/>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3D2A87C8A9941445E0533AF0780A13BC"/>
  </ds:schemaRefs>
</ds:datastoreItem>
</file>

<file path=customXml/itemProps3.xml><?xml version="1.0" encoding="utf-8"?>
<ds:datastoreItem xmlns:ds="http://schemas.openxmlformats.org/officeDocument/2006/customXml" ds:itemID="{93F77B6B-891C-4637-8ECF-8670BA07A965}">
  <ds:schemaRefs>
    <ds:schemaRef ds:uri="http://schemas.microsoft.com/sharepoint/v3/contenttype/forms"/>
  </ds:schemaRefs>
</ds:datastoreItem>
</file>

<file path=customXml/itemProps4.xml><?xml version="1.0" encoding="utf-8"?>
<ds:datastoreItem xmlns:ds="http://schemas.openxmlformats.org/officeDocument/2006/customXml" ds:itemID="{82B8757D-F84B-47F8-984B-3155D446E07A}">
  <ds:schemaRefs>
    <ds:schemaRef ds:uri="http://schemas.openxmlformats.org/officeDocument/2006/bibliography"/>
  </ds:schemaRefs>
</ds:datastoreItem>
</file>

<file path=customXml/itemProps5.xml><?xml version="1.0" encoding="utf-8"?>
<ds:datastoreItem xmlns:ds="http://schemas.openxmlformats.org/officeDocument/2006/customXml" ds:itemID="{9031C9A9-7A11-4B08-8F8F-F81D2566AACA}"/>
</file>

<file path=customXml/itemProps6.xml><?xml version="1.0" encoding="utf-8"?>
<ds:datastoreItem xmlns:ds="http://schemas.openxmlformats.org/officeDocument/2006/customXml" ds:itemID="{9222F100-E204-4028-ACB4-C0C96383A5CD}">
  <ds:schemaRefs>
    <ds:schemaRef ds:uri="http://schemas.microsoft.com/sharepoint/events"/>
  </ds:schemaRefs>
</ds:datastoreItem>
</file>

<file path=customXml/itemProps7.xml><?xml version="1.0" encoding="utf-8"?>
<ds:datastoreItem xmlns:ds="http://schemas.openxmlformats.org/officeDocument/2006/customXml" ds:itemID="{98367949-78E5-4095-AA38-F3A36421838E}">
  <ds:schemaRefs>
    <ds:schemaRef ds:uri="http://schemas.microsoft.com/office/2006/metadata/customXsn"/>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1</TotalTime>
  <Pages>302</Pages>
  <Words>94017</Words>
  <Characters>524618</Characters>
  <DocSecurity>0</DocSecurity>
  <Lines>14989</Lines>
  <Paragraphs>7732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Environmental Water Holder’s Flow Monitoring, Evaluation and Research Project 2019–2024: Lower Murray Technical Report</dc:title>
  <dc:subject/>
  <dc:creator>Giatas, George (PIRSA-SARDI)</dc:creator>
  <cp:keywords/>
  <dc:description/>
  <cp:lastPrinted>2026-05-05T04:28:00Z</cp:lastPrinted>
  <dcterms:created xsi:type="dcterms:W3CDTF">2026-05-05T04:27:00Z</dcterms:created>
  <dcterms:modified xsi:type="dcterms:W3CDTF">2026-05-05T04:28:00Z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Point_WorkflowType">
    <vt:lpwstr>ActiveSubmitStub</vt:lpwstr>
  </property>
  <property fmtid="{D5CDD505-2E9C-101B-9397-08002B2CF9AE}" pid="4" name="RecordPoint_ActiveItemSiteId">
    <vt:lpwstr>{a8f0bc9d-7c61-4d87-8154-4194e40ae5d3}</vt:lpwstr>
  </property>
  <property fmtid="{D5CDD505-2E9C-101B-9397-08002B2CF9AE}" pid="5" name="RecordPoint_ActiveItemListId">
    <vt:lpwstr>{f3d884d8-75d3-4791-9d75-588751ed0db4}</vt:lpwstr>
  </property>
  <property fmtid="{D5CDD505-2E9C-101B-9397-08002B2CF9AE}" pid="6" name="RecordPoint_ActiveItemUniqueId">
    <vt:lpwstr>{b863a61b-64fe-40c9-86b7-0a95c7cbf9bc}</vt:lpwstr>
  </property>
  <property fmtid="{D5CDD505-2E9C-101B-9397-08002B2CF9AE}" pid="7" name="RecordPoint_ActiveItemWebId">
    <vt:lpwstr>{4fd2aeac-139e-4668-856d-8ea61399d778}</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RecordFormat">
    <vt:lpwstr/>
  </property>
  <property fmtid="{D5CDD505-2E9C-101B-9397-08002B2CF9AE}" pid="11" name="RecordPoint_ActiveItemMoved">
    <vt:lpwstr/>
  </property>
  <property fmtid="{D5CDD505-2E9C-101B-9397-08002B2CF9AE}" pid="12" name="RecordPoint_SubmissionCompleted">
    <vt:lpwstr/>
  </property>
  <property fmtid="{D5CDD505-2E9C-101B-9397-08002B2CF9AE}" pid="13" name="Objective-Id">
    <vt:lpwstr>A7126639</vt:lpwstr>
  </property>
  <property fmtid="{D5CDD505-2E9C-101B-9397-08002B2CF9AE}" pid="14" name="Objective-Title">
    <vt:lpwstr>20250915 - Lower Murray Flow-MER Technical Report - FINAL V2</vt:lpwstr>
  </property>
  <property fmtid="{D5CDD505-2E9C-101B-9397-08002B2CF9AE}" pid="15" name="Objective-Description">
    <vt:lpwstr/>
  </property>
  <property fmtid="{D5CDD505-2E9C-101B-9397-08002B2CF9AE}" pid="16" name="Objective-CreationStamp">
    <vt:filetime>2025-09-14T23:39:29Z</vt:filetime>
  </property>
  <property fmtid="{D5CDD505-2E9C-101B-9397-08002B2CF9AE}" pid="17" name="Objective-IsApproved">
    <vt:bool>false</vt:bool>
  </property>
  <property fmtid="{D5CDD505-2E9C-101B-9397-08002B2CF9AE}" pid="18" name="Objective-IsPublished">
    <vt:bool>true</vt:bool>
  </property>
  <property fmtid="{D5CDD505-2E9C-101B-9397-08002B2CF9AE}" pid="19" name="Objective-DatePublished">
    <vt:filetime>2025-09-14T23:50:02Z</vt:filetime>
  </property>
  <property fmtid="{D5CDD505-2E9C-101B-9397-08002B2CF9AE}" pid="20" name="Objective-ModificationStamp">
    <vt:filetime>2025-09-14T23:50:02Z</vt:filetime>
  </property>
  <property fmtid="{D5CDD505-2E9C-101B-9397-08002B2CF9AE}" pid="21" name="Objective-Owner">
    <vt:lpwstr>Sterns, Annie</vt:lpwstr>
  </property>
  <property fmtid="{D5CDD505-2E9C-101B-9397-08002B2CF9AE}" pid="22" name="Objective-Path">
    <vt:lpwstr>Global Folder:01 SA Research &amp; Development Institute (SARDI):Aquatic Environments &amp; Habitats:Publications:Inland Waters &amp; Terrestrial Ecology:AQUATIC ENVIRONMENTS &amp; HABITATS - Publications - Inland Waters and Terrestrial Ecology - Commonwealth Environmental Water Holder Monitoring, Evaluation and Research Project:2019-2024 Report:</vt:lpwstr>
  </property>
  <property fmtid="{D5CDD505-2E9C-101B-9397-08002B2CF9AE}" pid="23" name="Objective-Parent">
    <vt:lpwstr>2019-2024 Report</vt:lpwstr>
  </property>
  <property fmtid="{D5CDD505-2E9C-101B-9397-08002B2CF9AE}" pid="24" name="Objective-State">
    <vt:lpwstr>Published</vt:lpwstr>
  </property>
  <property fmtid="{D5CDD505-2E9C-101B-9397-08002B2CF9AE}" pid="25" name="Objective-VersionId">
    <vt:lpwstr>vA11933627</vt:lpwstr>
  </property>
  <property fmtid="{D5CDD505-2E9C-101B-9397-08002B2CF9AE}" pid="26" name="Objective-Version">
    <vt:lpwstr>2.0</vt:lpwstr>
  </property>
  <property fmtid="{D5CDD505-2E9C-101B-9397-08002B2CF9AE}" pid="27" name="Objective-VersionNumber">
    <vt:r8>2</vt:r8>
  </property>
  <property fmtid="{D5CDD505-2E9C-101B-9397-08002B2CF9AE}" pid="28" name="Objective-VersionComment">
    <vt:lpwstr/>
  </property>
  <property fmtid="{D5CDD505-2E9C-101B-9397-08002B2CF9AE}" pid="29" name="Objective-FileNumber">
    <vt:lpwstr>SARDI F2013/000289</vt:lpwstr>
  </property>
  <property fmtid="{D5CDD505-2E9C-101B-9397-08002B2CF9AE}" pid="30" name="Objective-Classification">
    <vt:lpwstr>[Inherited - none]</vt:lpwstr>
  </property>
  <property fmtid="{D5CDD505-2E9C-101B-9397-08002B2CF9AE}" pid="31" name="Objective-Caveats">
    <vt:lpwstr/>
  </property>
  <property fmtid="{D5CDD505-2E9C-101B-9397-08002B2CF9AE}" pid="32" name="Objective-Agency">
    <vt:lpwstr>Primary Industries and Regions SA</vt:lpwstr>
  </property>
  <property fmtid="{D5CDD505-2E9C-101B-9397-08002B2CF9AE}" pid="33" name="Objective-Business Division">
    <vt:lpwstr>SA Research and Development Institute SARDI</vt:lpwstr>
  </property>
  <property fmtid="{D5CDD505-2E9C-101B-9397-08002B2CF9AE}" pid="34" name="Objective-Workgroup">
    <vt:lpwstr>SARDI Aquatic Sciences</vt:lpwstr>
  </property>
  <property fmtid="{D5CDD505-2E9C-101B-9397-08002B2CF9AE}" pid="35" name="Objective-Section">
    <vt:lpwstr>SARDI Information &amp; Systems Support</vt:lpwstr>
  </property>
  <property fmtid="{D5CDD505-2E9C-101B-9397-08002B2CF9AE}" pid="36" name="Objective-Document Type">
    <vt:lpwstr>Report</vt:lpwstr>
  </property>
  <property fmtid="{D5CDD505-2E9C-101B-9397-08002B2CF9AE}" pid="37" name="Objective-Security Classification">
    <vt:lpwstr>02 Official</vt:lpwstr>
  </property>
  <property fmtid="{D5CDD505-2E9C-101B-9397-08002B2CF9AE}" pid="38" name="Objective-Access Use Conditions">
    <vt:lpwstr/>
  </property>
  <property fmtid="{D5CDD505-2E9C-101B-9397-08002B2CF9AE}" pid="39" name="Objective-Connect Creator">
    <vt:lpwstr/>
  </property>
  <property fmtid="{D5CDD505-2E9C-101B-9397-08002B2CF9AE}" pid="40" name="Objective-Customer Person">
    <vt:lpwstr/>
  </property>
  <property fmtid="{D5CDD505-2E9C-101B-9397-08002B2CF9AE}" pid="41" name="Objective-Customer Organisation">
    <vt:lpwstr/>
  </property>
  <property fmtid="{D5CDD505-2E9C-101B-9397-08002B2CF9AE}" pid="42" name="Objective-Transaction Reference">
    <vt:lpwstr/>
  </property>
  <property fmtid="{D5CDD505-2E9C-101B-9397-08002B2CF9AE}" pid="43" name="Objective-Place Name">
    <vt:lpwstr/>
  </property>
  <property fmtid="{D5CDD505-2E9C-101B-9397-08002B2CF9AE}" pid="44" name="Objective-Description or Summary">
    <vt:lpwstr/>
  </property>
  <property fmtid="{D5CDD505-2E9C-101B-9397-08002B2CF9AE}" pid="45" name="Objective-Date Document Created">
    <vt:lpwstr/>
  </property>
  <property fmtid="{D5CDD505-2E9C-101B-9397-08002B2CF9AE}" pid="46" name="Objective-Document Created By">
    <vt:lpwstr/>
  </property>
  <property fmtid="{D5CDD505-2E9C-101B-9397-08002B2CF9AE}" pid="47" name="Objective-Date Source Document Scanned">
    <vt:lpwstr/>
  </property>
  <property fmtid="{D5CDD505-2E9C-101B-9397-08002B2CF9AE}" pid="48" name="Objective-Source Document Disposal Status">
    <vt:lpwstr/>
  </property>
  <property fmtid="{D5CDD505-2E9C-101B-9397-08002B2CF9AE}" pid="49" name="Objective-Date Temporary Value Source Document Destroyed">
    <vt:lpwstr/>
  </property>
  <property fmtid="{D5CDD505-2E9C-101B-9397-08002B2CF9AE}" pid="50" name="Objective-Date Received">
    <vt:lpwstr/>
  </property>
  <property fmtid="{D5CDD505-2E9C-101B-9397-08002B2CF9AE}" pid="51" name="Objective-Action Delegator">
    <vt:lpwstr/>
  </property>
  <property fmtid="{D5CDD505-2E9C-101B-9397-08002B2CF9AE}" pid="52" name="Objective-Action Officer">
    <vt:lpwstr/>
  </property>
  <property fmtid="{D5CDD505-2E9C-101B-9397-08002B2CF9AE}" pid="53" name="Objective-Action Required">
    <vt:lpwstr/>
  </property>
  <property fmtid="{D5CDD505-2E9C-101B-9397-08002B2CF9AE}" pid="54" name="Objective-Date Action Due By">
    <vt:lpwstr/>
  </property>
  <property fmtid="{D5CDD505-2E9C-101B-9397-08002B2CF9AE}" pid="55" name="Objective-Date Action Assigned">
    <vt:lpwstr/>
  </property>
  <property fmtid="{D5CDD505-2E9C-101B-9397-08002B2CF9AE}" pid="56" name="Objective-Action Approved by">
    <vt:lpwstr/>
  </property>
  <property fmtid="{D5CDD505-2E9C-101B-9397-08002B2CF9AE}" pid="57" name="Objective-Date Action Approved">
    <vt:lpwstr/>
  </property>
  <property fmtid="{D5CDD505-2E9C-101B-9397-08002B2CF9AE}" pid="58" name="Objective-Date Interim Reply Sent">
    <vt:lpwstr/>
  </property>
  <property fmtid="{D5CDD505-2E9C-101B-9397-08002B2CF9AE}" pid="59" name="Objective-Date Final Reply Sent">
    <vt:lpwstr/>
  </property>
  <property fmtid="{D5CDD505-2E9C-101B-9397-08002B2CF9AE}" pid="60" name="Objective-Date_Completed_On">
    <vt:lpwstr/>
  </property>
  <property fmtid="{D5CDD505-2E9C-101B-9397-08002B2CF9AE}" pid="61" name="Objective-Intranet_Publishing_Requestor">
    <vt:lpwstr/>
  </property>
  <property fmtid="{D5CDD505-2E9C-101B-9397-08002B2CF9AE}" pid="62" name="Objective-Intranet_Publishing_Requestor_Email">
    <vt:lpwstr/>
  </property>
  <property fmtid="{D5CDD505-2E9C-101B-9397-08002B2CF9AE}" pid="63" name="Objective-Intranet Publisher">
    <vt:lpwstr>CORP ICT Intranet Publishing General Document Workflow Group</vt:lpwstr>
  </property>
  <property fmtid="{D5CDD505-2E9C-101B-9397-08002B2CF9AE}" pid="64" name="Objective-Intranet_Publisher_Contact">
    <vt:lpwstr/>
  </property>
  <property fmtid="{D5CDD505-2E9C-101B-9397-08002B2CF9AE}" pid="65" name="Objective-Intranet_Publisher_Email">
    <vt:lpwstr/>
  </property>
  <property fmtid="{D5CDD505-2E9C-101B-9397-08002B2CF9AE}" pid="66" name="Objective-Intranet_Display_Name">
    <vt:lpwstr/>
  </property>
  <property fmtid="{D5CDD505-2E9C-101B-9397-08002B2CF9AE}" pid="67" name="Objective-Free Text Subjects">
    <vt:lpwstr/>
  </property>
  <property fmtid="{D5CDD505-2E9C-101B-9397-08002B2CF9AE}" pid="68" name="Objective-Intranet_Publishing_Requirement">
    <vt:lpwstr/>
  </property>
  <property fmtid="{D5CDD505-2E9C-101B-9397-08002B2CF9AE}" pid="69" name="Objective-Intranet_Publishing_Instructions">
    <vt:lpwstr/>
  </property>
  <property fmtid="{D5CDD505-2E9C-101B-9397-08002B2CF9AE}" pid="70" name="Objective-Document Published Version URL Link">
    <vt:lpwstr>https://objectivesag.pirsa.sa.gov.au/id:A7126639/document/versions/published</vt:lpwstr>
  </property>
  <property fmtid="{D5CDD505-2E9C-101B-9397-08002B2CF9AE}" pid="71" name="Objective-Intranet URL Keyword">
    <vt:lpwstr>%globals_asset_metadata_PublishedURL%</vt:lpwstr>
  </property>
  <property fmtid="{D5CDD505-2E9C-101B-9397-08002B2CF9AE}" pid="72" name="Objective-Intranet Short Name">
    <vt:lpwstr>A7126639</vt:lpwstr>
  </property>
  <property fmtid="{D5CDD505-2E9C-101B-9397-08002B2CF9AE}" pid="73" name="Objective-Intranet_Publishing_Metadata_Schema">
    <vt:lpwstr>73217</vt:lpwstr>
  </property>
  <property fmtid="{D5CDD505-2E9C-101B-9397-08002B2CF9AE}" pid="74" name="Objective-Intranet_Publishing_CSV_File_Operation">
    <vt:lpwstr>E</vt:lpwstr>
  </property>
  <property fmtid="{D5CDD505-2E9C-101B-9397-08002B2CF9AE}" pid="75" name="Objective-Intranet_Asset_ID">
    <vt:lpwstr/>
  </property>
  <property fmtid="{D5CDD505-2E9C-101B-9397-08002B2CF9AE}" pid="76" name="Objective-Date_Intranet_Link_Published">
    <vt:lpwstr/>
  </property>
  <property fmtid="{D5CDD505-2E9C-101B-9397-08002B2CF9AE}" pid="77" name="Objective-Date_Intranet_Link_Next_Review_Due">
    <vt:lpwstr/>
  </property>
  <property fmtid="{D5CDD505-2E9C-101B-9397-08002B2CF9AE}" pid="78" name="Objective-Date_Intranet_Link_Removed">
    <vt:lpwstr/>
  </property>
  <property fmtid="{D5CDD505-2E9C-101B-9397-08002B2CF9AE}" pid="79" name="Objective-Internet Publishing Requestor">
    <vt:lpwstr/>
  </property>
  <property fmtid="{D5CDD505-2E9C-101B-9397-08002B2CF9AE}" pid="80" name="Objective-Internet Publishing Requestor Email">
    <vt:lpwstr/>
  </property>
  <property fmtid="{D5CDD505-2E9C-101B-9397-08002B2CF9AE}" pid="81" name="Objective-Internet Publisher Group">
    <vt:lpwstr>CORP ICT Internet Website Publishing Workflow Group</vt:lpwstr>
  </property>
  <property fmtid="{D5CDD505-2E9C-101B-9397-08002B2CF9AE}" pid="82" name="Objective-Internet Publisher Contact">
    <vt:lpwstr>Intranet, Web Publisher</vt:lpwstr>
  </property>
  <property fmtid="{D5CDD505-2E9C-101B-9397-08002B2CF9AE}" pid="83" name="Objective-Internet Publisher Email">
    <vt:lpwstr>PIRSA.Webpublish@sa.gov.au</vt:lpwstr>
  </property>
  <property fmtid="{D5CDD505-2E9C-101B-9397-08002B2CF9AE}" pid="84" name="Objective-Internet Friendly Name">
    <vt:lpwstr/>
  </property>
  <property fmtid="{D5CDD505-2E9C-101B-9397-08002B2CF9AE}" pid="85" name="Objective-Internet Document Type">
    <vt:lpwstr/>
  </property>
  <property fmtid="{D5CDD505-2E9C-101B-9397-08002B2CF9AE}" pid="86" name="Objective-Internet Publishing Requirement">
    <vt:lpwstr/>
  </property>
  <property fmtid="{D5CDD505-2E9C-101B-9397-08002B2CF9AE}" pid="87" name="Objective-Internet Publishing Instructions or Page URI">
    <vt:lpwstr/>
  </property>
  <property fmtid="{D5CDD505-2E9C-101B-9397-08002B2CF9AE}" pid="88" name="Objective-Date Document Released">
    <vt:lpwstr/>
  </property>
  <property fmtid="{D5CDD505-2E9C-101B-9397-08002B2CF9AE}" pid="89" name="Objective-Abstract">
    <vt:lpwstr/>
  </property>
  <property fmtid="{D5CDD505-2E9C-101B-9397-08002B2CF9AE}" pid="90" name="Objective-External Link">
    <vt:lpwstr/>
  </property>
  <property fmtid="{D5CDD505-2E9C-101B-9397-08002B2CF9AE}" pid="91" name="Objective-Publish Metadata Only">
    <vt:lpwstr>No</vt:lpwstr>
  </property>
  <property fmtid="{D5CDD505-2E9C-101B-9397-08002B2CF9AE}" pid="92" name="Objective-Generate PDF Rendition">
    <vt:lpwstr>No</vt:lpwstr>
  </property>
  <property fmtid="{D5CDD505-2E9C-101B-9397-08002B2CF9AE}" pid="93" name="Objective-Rendition Object ID">
    <vt:lpwstr/>
  </property>
  <property fmtid="{D5CDD505-2E9C-101B-9397-08002B2CF9AE}" pid="94" name="Objective-Rendition Document Extension">
    <vt:lpwstr/>
  </property>
  <property fmtid="{D5CDD505-2E9C-101B-9397-08002B2CF9AE}" pid="95" name="Objective-Accessibility Reviewed">
    <vt:lpwstr/>
  </property>
  <property fmtid="{D5CDD505-2E9C-101B-9397-08002B2CF9AE}" pid="96" name="Objective-Accessibility Review Notes">
    <vt:lpwstr/>
  </property>
  <property fmtid="{D5CDD505-2E9C-101B-9397-08002B2CF9AE}" pid="97" name="Objective-Collection or Program Title">
    <vt:lpwstr/>
  </property>
  <property fmtid="{D5CDD505-2E9C-101B-9397-08002B2CF9AE}" pid="98" name="Objective-Sub Collection or Item ID">
    <vt:lpwstr/>
  </property>
  <property fmtid="{D5CDD505-2E9C-101B-9397-08002B2CF9AE}" pid="99" name="Objective-Date Internet Document &amp; CSV File Published on Website">
    <vt:lpwstr/>
  </property>
  <property fmtid="{D5CDD505-2E9C-101B-9397-08002B2CF9AE}" pid="100" name="Objective-Date Internet Document &amp; CSV File Next Review Due">
    <vt:lpwstr/>
  </property>
  <property fmtid="{D5CDD505-2E9C-101B-9397-08002B2CF9AE}" pid="101" name="Objective-Date Internet Document &amp; CSV File Removed from Website">
    <vt:lpwstr/>
  </property>
  <property fmtid="{D5CDD505-2E9C-101B-9397-08002B2CF9AE}" pid="102" name="Objective-Internet Publishing CSV File Operation">
    <vt:lpwstr>A</vt:lpwstr>
  </property>
  <property fmtid="{D5CDD505-2E9C-101B-9397-08002B2CF9AE}" pid="103" name="Objective-Covers Period From">
    <vt:lpwstr/>
  </property>
  <property fmtid="{D5CDD505-2E9C-101B-9397-08002B2CF9AE}" pid="104" name="Objective-Covers Period To">
    <vt:lpwstr/>
  </property>
  <property fmtid="{D5CDD505-2E9C-101B-9397-08002B2CF9AE}" pid="105" name="Objective-Access Rights">
    <vt:lpwstr>Closed</vt:lpwstr>
  </property>
  <property fmtid="{D5CDD505-2E9C-101B-9397-08002B2CF9AE}" pid="106" name="Objective-Vital_Record_Indicator">
    <vt:lpwstr>No</vt:lpwstr>
  </property>
  <property fmtid="{D5CDD505-2E9C-101B-9397-08002B2CF9AE}" pid="107" name="Objective-Access Security Review Due Date">
    <vt:lpwstr/>
  </property>
  <property fmtid="{D5CDD505-2E9C-101B-9397-08002B2CF9AE}" pid="108" name="Objective-Vital Records Review Due Date">
    <vt:lpwstr/>
  </property>
  <property fmtid="{D5CDD505-2E9C-101B-9397-08002B2CF9AE}" pid="109" name="Objective-Internal Reference">
    <vt:lpwstr/>
  </property>
  <property fmtid="{D5CDD505-2E9C-101B-9397-08002B2CF9AE}" pid="110" name="Objective-Media_Storage_Format">
    <vt:lpwstr>Text</vt:lpwstr>
  </property>
  <property fmtid="{D5CDD505-2E9C-101B-9397-08002B2CF9AE}" pid="111" name="Objective-Jurisdiction">
    <vt:lpwstr>SA</vt:lpwstr>
  </property>
  <property fmtid="{D5CDD505-2E9C-101B-9397-08002B2CF9AE}" pid="112" name="Objective-Language">
    <vt:lpwstr>English (en)</vt:lpwstr>
  </property>
  <property fmtid="{D5CDD505-2E9C-101B-9397-08002B2CF9AE}" pid="113" name="Objective-Intellectual_Property_Rights">
    <vt:lpwstr>SA Government</vt:lpwstr>
  </property>
  <property fmtid="{D5CDD505-2E9C-101B-9397-08002B2CF9AE}" pid="114" name="Objective-Date Emailed to DPC">
    <vt:lpwstr/>
  </property>
  <property fmtid="{D5CDD505-2E9C-101B-9397-08002B2CF9AE}" pid="115" name="Objective-Date Emailed to DTF">
    <vt:lpwstr/>
  </property>
  <property fmtid="{D5CDD505-2E9C-101B-9397-08002B2CF9AE}" pid="116" name="Objective-Date Emailed to Ministers Office">
    <vt:lpwstr/>
  </property>
  <property fmtid="{D5CDD505-2E9C-101B-9397-08002B2CF9AE}" pid="117" name="Objective-Disposal Reasons">
    <vt:lpwstr/>
  </property>
  <property fmtid="{D5CDD505-2E9C-101B-9397-08002B2CF9AE}" pid="118" name="Objective-Date to be Exported">
    <vt:lpwstr/>
  </property>
  <property fmtid="{D5CDD505-2E9C-101B-9397-08002B2CF9AE}" pid="119" name="Objective-Used By System Admin Only">
    <vt:lpwstr/>
  </property>
  <property fmtid="{D5CDD505-2E9C-101B-9397-08002B2CF9AE}" pid="120" name="Objective-Old Agency">
    <vt:lpwstr/>
  </property>
  <property fmtid="{D5CDD505-2E9C-101B-9397-08002B2CF9AE}" pid="121" name="Objective-Old Business Division">
    <vt:lpwstr/>
  </property>
  <property fmtid="{D5CDD505-2E9C-101B-9397-08002B2CF9AE}" pid="122" name="Objective-Old Workgroup">
    <vt:lpwstr/>
  </property>
  <property fmtid="{D5CDD505-2E9C-101B-9397-08002B2CF9AE}" pid="123" name="Objective-Old Section">
    <vt:lpwstr/>
  </property>
  <property fmtid="{D5CDD505-2E9C-101B-9397-08002B2CF9AE}" pid="124" name="Objective-Comment">
    <vt:lpwstr/>
  </property>
  <property fmtid="{D5CDD505-2E9C-101B-9397-08002B2CF9AE}" pid="125" name="Objective-Agency [system]">
    <vt:lpwstr>Primary Industries and Regions SA</vt:lpwstr>
  </property>
  <property fmtid="{D5CDD505-2E9C-101B-9397-08002B2CF9AE}" pid="126" name="Objective-Business Division [system]">
    <vt:lpwstr>SA Research and Development Institute SARDI</vt:lpwstr>
  </property>
  <property fmtid="{D5CDD505-2E9C-101B-9397-08002B2CF9AE}" pid="127" name="Objective-Workgroup [system]">
    <vt:lpwstr>SARDI Aquatic Sciences</vt:lpwstr>
  </property>
  <property fmtid="{D5CDD505-2E9C-101B-9397-08002B2CF9AE}" pid="128" name="Objective-Section [system]">
    <vt:lpwstr>SARDI Information &amp; Systems Support</vt:lpwstr>
  </property>
  <property fmtid="{D5CDD505-2E9C-101B-9397-08002B2CF9AE}" pid="129" name="Objective-Document Type [system]">
    <vt:lpwstr>Report</vt:lpwstr>
  </property>
  <property fmtid="{D5CDD505-2E9C-101B-9397-08002B2CF9AE}" pid="130" name="Objective-Security Classification [system]">
    <vt:lpwstr>02 Official</vt:lpwstr>
  </property>
  <property fmtid="{D5CDD505-2E9C-101B-9397-08002B2CF9AE}" pid="131" name="Objective-Access Use Conditions [system]">
    <vt:lpwstr/>
  </property>
  <property fmtid="{D5CDD505-2E9C-101B-9397-08002B2CF9AE}" pid="132" name="Objective-Connect Creator [system]">
    <vt:lpwstr/>
  </property>
  <property fmtid="{D5CDD505-2E9C-101B-9397-08002B2CF9AE}" pid="133" name="Objective-Customer Person [system]">
    <vt:lpwstr/>
  </property>
  <property fmtid="{D5CDD505-2E9C-101B-9397-08002B2CF9AE}" pid="134" name="Objective-Customer Organisation [system]">
    <vt:lpwstr/>
  </property>
  <property fmtid="{D5CDD505-2E9C-101B-9397-08002B2CF9AE}" pid="135" name="Objective-Transaction Reference [system]">
    <vt:lpwstr/>
  </property>
  <property fmtid="{D5CDD505-2E9C-101B-9397-08002B2CF9AE}" pid="136" name="Objective-Place Name [system]">
    <vt:lpwstr/>
  </property>
  <property fmtid="{D5CDD505-2E9C-101B-9397-08002B2CF9AE}" pid="137" name="Objective-Description or Summary [system]">
    <vt:lpwstr/>
  </property>
  <property fmtid="{D5CDD505-2E9C-101B-9397-08002B2CF9AE}" pid="138" name="Objective-Date Document Created [system]">
    <vt:lpwstr/>
  </property>
  <property fmtid="{D5CDD505-2E9C-101B-9397-08002B2CF9AE}" pid="139" name="Objective-Document Created By [system]">
    <vt:lpwstr/>
  </property>
  <property fmtid="{D5CDD505-2E9C-101B-9397-08002B2CF9AE}" pid="140" name="Objective-Date Source Document Scanned [system]">
    <vt:lpwstr/>
  </property>
  <property fmtid="{D5CDD505-2E9C-101B-9397-08002B2CF9AE}" pid="141" name="Objective-Source Document Disposal Status [system]">
    <vt:lpwstr/>
  </property>
  <property fmtid="{D5CDD505-2E9C-101B-9397-08002B2CF9AE}" pid="142" name="Objective-Date Temporary Value Source Document Destroyed [system]">
    <vt:lpwstr/>
  </property>
  <property fmtid="{D5CDD505-2E9C-101B-9397-08002B2CF9AE}" pid="143" name="Objective-Date Received [system]">
    <vt:lpwstr/>
  </property>
  <property fmtid="{D5CDD505-2E9C-101B-9397-08002B2CF9AE}" pid="144" name="Objective-Action Delegator [system]">
    <vt:lpwstr/>
  </property>
  <property fmtid="{D5CDD505-2E9C-101B-9397-08002B2CF9AE}" pid="145" name="Objective-Action Officer [system]">
    <vt:lpwstr/>
  </property>
  <property fmtid="{D5CDD505-2E9C-101B-9397-08002B2CF9AE}" pid="146" name="Objective-Action Required [system]">
    <vt:lpwstr/>
  </property>
  <property fmtid="{D5CDD505-2E9C-101B-9397-08002B2CF9AE}" pid="147" name="Objective-Date Action Due By [system]">
    <vt:lpwstr/>
  </property>
  <property fmtid="{D5CDD505-2E9C-101B-9397-08002B2CF9AE}" pid="148" name="Objective-Date Action Assigned [system]">
    <vt:lpwstr/>
  </property>
  <property fmtid="{D5CDD505-2E9C-101B-9397-08002B2CF9AE}" pid="149" name="Objective-Action Approved by [system]">
    <vt:lpwstr/>
  </property>
  <property fmtid="{D5CDD505-2E9C-101B-9397-08002B2CF9AE}" pid="150" name="Objective-Date Action Approved [system]">
    <vt:lpwstr/>
  </property>
  <property fmtid="{D5CDD505-2E9C-101B-9397-08002B2CF9AE}" pid="151" name="Objective-Date Interim Reply Sent [system]">
    <vt:lpwstr/>
  </property>
  <property fmtid="{D5CDD505-2E9C-101B-9397-08002B2CF9AE}" pid="152" name="Objective-Date Final Reply Sent [system]">
    <vt:lpwstr/>
  </property>
  <property fmtid="{D5CDD505-2E9C-101B-9397-08002B2CF9AE}" pid="153" name="Objective-Date_Completed_On [system]">
    <vt:lpwstr/>
  </property>
  <property fmtid="{D5CDD505-2E9C-101B-9397-08002B2CF9AE}" pid="154" name="Objective-Intranet_Publishing_Requestor [system]">
    <vt:lpwstr/>
  </property>
  <property fmtid="{D5CDD505-2E9C-101B-9397-08002B2CF9AE}" pid="155" name="Objective-Intranet_Publishing_Requestor_Email [system]">
    <vt:lpwstr/>
  </property>
  <property fmtid="{D5CDD505-2E9C-101B-9397-08002B2CF9AE}" pid="156" name="Objective-Intranet Publisher [system]">
    <vt:lpwstr>CORP ICT Intranet Publishing General Document Workflow Group</vt:lpwstr>
  </property>
  <property fmtid="{D5CDD505-2E9C-101B-9397-08002B2CF9AE}" pid="157" name="Objective-Intranet_Publisher_Contact [system]">
    <vt:lpwstr/>
  </property>
  <property fmtid="{D5CDD505-2E9C-101B-9397-08002B2CF9AE}" pid="158" name="Objective-Intranet_Publisher_Email [system]">
    <vt:lpwstr/>
  </property>
  <property fmtid="{D5CDD505-2E9C-101B-9397-08002B2CF9AE}" pid="159" name="Objective-Intranet_Display_Name [system]">
    <vt:lpwstr/>
  </property>
  <property fmtid="{D5CDD505-2E9C-101B-9397-08002B2CF9AE}" pid="160" name="Objective-Free Text Subjects [system]">
    <vt:lpwstr/>
  </property>
  <property fmtid="{D5CDD505-2E9C-101B-9397-08002B2CF9AE}" pid="161" name="Objective-Intranet_Publishing_Requirement [system]">
    <vt:lpwstr/>
  </property>
  <property fmtid="{D5CDD505-2E9C-101B-9397-08002B2CF9AE}" pid="162" name="Objective-Intranet_Publishing_Instructions [system]">
    <vt:lpwstr/>
  </property>
  <property fmtid="{D5CDD505-2E9C-101B-9397-08002B2CF9AE}" pid="163" name="Objective-Document Published Version URL Link [system]">
    <vt:lpwstr>https://objectivesag.pirsa.sa.gov.au/id:A4885329/document/versions/published</vt:lpwstr>
  </property>
  <property fmtid="{D5CDD505-2E9C-101B-9397-08002B2CF9AE}" pid="164" name="Objective-Intranet URL Keyword [system]">
    <vt:lpwstr>%globals_asset_metadata_PublishedURL%</vt:lpwstr>
  </property>
  <property fmtid="{D5CDD505-2E9C-101B-9397-08002B2CF9AE}" pid="165" name="Objective-Intranet Short Name [system]">
    <vt:lpwstr>A4885329</vt:lpwstr>
  </property>
  <property fmtid="{D5CDD505-2E9C-101B-9397-08002B2CF9AE}" pid="166" name="Objective-Intranet_Publishing_Metadata_Schema [system]">
    <vt:lpwstr>73217</vt:lpwstr>
  </property>
  <property fmtid="{D5CDD505-2E9C-101B-9397-08002B2CF9AE}" pid="167" name="Objective-Intranet_Publishing_CSV_File_Operation [system]">
    <vt:lpwstr>E</vt:lpwstr>
  </property>
  <property fmtid="{D5CDD505-2E9C-101B-9397-08002B2CF9AE}" pid="168" name="Objective-Intranet_Asset_ID [system]">
    <vt:lpwstr/>
  </property>
  <property fmtid="{D5CDD505-2E9C-101B-9397-08002B2CF9AE}" pid="169" name="Objective-Date_Intranet_Link_Published [system]">
    <vt:lpwstr/>
  </property>
  <property fmtid="{D5CDD505-2E9C-101B-9397-08002B2CF9AE}" pid="170" name="Objective-Date_Intranet_Link_Next_Review_Due [system]">
    <vt:lpwstr/>
  </property>
  <property fmtid="{D5CDD505-2E9C-101B-9397-08002B2CF9AE}" pid="171" name="Objective-Date_Intranet_Link_Removed [system]">
    <vt:lpwstr/>
  </property>
  <property fmtid="{D5CDD505-2E9C-101B-9397-08002B2CF9AE}" pid="172" name="Objective-Internet Publishing Requestor [system]">
    <vt:lpwstr/>
  </property>
  <property fmtid="{D5CDD505-2E9C-101B-9397-08002B2CF9AE}" pid="173" name="Objective-Internet Publishing Requestor Email [system]">
    <vt:lpwstr/>
  </property>
  <property fmtid="{D5CDD505-2E9C-101B-9397-08002B2CF9AE}" pid="174" name="Objective-Internet Publisher Group [system]">
    <vt:lpwstr>CORP ICT Internet Website Publishing Workflow Group</vt:lpwstr>
  </property>
  <property fmtid="{D5CDD505-2E9C-101B-9397-08002B2CF9AE}" pid="175" name="Objective-Internet Publisher Contact [system]">
    <vt:lpwstr>publish, webpublish</vt:lpwstr>
  </property>
  <property fmtid="{D5CDD505-2E9C-101B-9397-08002B2CF9AE}" pid="176" name="Objective-Internet Publisher Email [system]">
    <vt:lpwstr>PIRSA.Webpublish@sa.gov.au</vt:lpwstr>
  </property>
  <property fmtid="{D5CDD505-2E9C-101B-9397-08002B2CF9AE}" pid="177" name="Objective-Internet Friendly Name [system]">
    <vt:lpwstr/>
  </property>
  <property fmtid="{D5CDD505-2E9C-101B-9397-08002B2CF9AE}" pid="178" name="Objective-Internet Document Type [system]">
    <vt:lpwstr/>
  </property>
  <property fmtid="{D5CDD505-2E9C-101B-9397-08002B2CF9AE}" pid="179" name="Objective-Internet Publishing Requirement [system]">
    <vt:lpwstr/>
  </property>
  <property fmtid="{D5CDD505-2E9C-101B-9397-08002B2CF9AE}" pid="180" name="Objective-Internet Publishing Instructions or Page URI [system]">
    <vt:lpwstr/>
  </property>
  <property fmtid="{D5CDD505-2E9C-101B-9397-08002B2CF9AE}" pid="181" name="Objective-Date Document Released [system]">
    <vt:lpwstr/>
  </property>
  <property fmtid="{D5CDD505-2E9C-101B-9397-08002B2CF9AE}" pid="182" name="Objective-Abstract [system]">
    <vt:lpwstr/>
  </property>
  <property fmtid="{D5CDD505-2E9C-101B-9397-08002B2CF9AE}" pid="183" name="Objective-External Link [system]">
    <vt:lpwstr/>
  </property>
  <property fmtid="{D5CDD505-2E9C-101B-9397-08002B2CF9AE}" pid="184" name="Objective-Publish Metadata Only [system]">
    <vt:lpwstr>No</vt:lpwstr>
  </property>
  <property fmtid="{D5CDD505-2E9C-101B-9397-08002B2CF9AE}" pid="185" name="Objective-Generate PDF Rendition [system]">
    <vt:lpwstr>No</vt:lpwstr>
  </property>
  <property fmtid="{D5CDD505-2E9C-101B-9397-08002B2CF9AE}" pid="186" name="Objective-Rendition Object ID [system]">
    <vt:lpwstr/>
  </property>
  <property fmtid="{D5CDD505-2E9C-101B-9397-08002B2CF9AE}" pid="187" name="Objective-Rendition Document Extension [system]">
    <vt:lpwstr/>
  </property>
  <property fmtid="{D5CDD505-2E9C-101B-9397-08002B2CF9AE}" pid="188" name="Objective-Accessibility Reviewed [system]">
    <vt:lpwstr/>
  </property>
  <property fmtid="{D5CDD505-2E9C-101B-9397-08002B2CF9AE}" pid="189" name="Objective-Accessibility Review Notes [system]">
    <vt:lpwstr/>
  </property>
  <property fmtid="{D5CDD505-2E9C-101B-9397-08002B2CF9AE}" pid="190" name="Objective-Collection or Program Title [system]">
    <vt:lpwstr/>
  </property>
  <property fmtid="{D5CDD505-2E9C-101B-9397-08002B2CF9AE}" pid="191" name="Objective-Sub Collection or Item ID [system]">
    <vt:lpwstr/>
  </property>
  <property fmtid="{D5CDD505-2E9C-101B-9397-08002B2CF9AE}" pid="192" name="Objective-Date Internet Document &amp; CSV File Published on Website [system]">
    <vt:lpwstr/>
  </property>
  <property fmtid="{D5CDD505-2E9C-101B-9397-08002B2CF9AE}" pid="193" name="Objective-Date Internet Document &amp; CSV File Next Review Due [system]">
    <vt:lpwstr/>
  </property>
  <property fmtid="{D5CDD505-2E9C-101B-9397-08002B2CF9AE}" pid="194" name="Objective-Date Internet Document &amp; CSV File Removed from Website [system]">
    <vt:lpwstr/>
  </property>
  <property fmtid="{D5CDD505-2E9C-101B-9397-08002B2CF9AE}" pid="195" name="Objective-Internet Publishing CSV File Operation [system]">
    <vt:lpwstr>A</vt:lpwstr>
  </property>
  <property fmtid="{D5CDD505-2E9C-101B-9397-08002B2CF9AE}" pid="196" name="Objective-Covers Period From [system]">
    <vt:lpwstr/>
  </property>
  <property fmtid="{D5CDD505-2E9C-101B-9397-08002B2CF9AE}" pid="197" name="Objective-Covers Period To [system]">
    <vt:lpwstr/>
  </property>
  <property fmtid="{D5CDD505-2E9C-101B-9397-08002B2CF9AE}" pid="198" name="Objective-Access Rights [system]">
    <vt:lpwstr>Closed</vt:lpwstr>
  </property>
  <property fmtid="{D5CDD505-2E9C-101B-9397-08002B2CF9AE}" pid="199" name="Objective-Vital_Record_Indicator [system]">
    <vt:lpwstr>No</vt:lpwstr>
  </property>
  <property fmtid="{D5CDD505-2E9C-101B-9397-08002B2CF9AE}" pid="200" name="Objective-Access Security Review Due Date [system]">
    <vt:lpwstr/>
  </property>
  <property fmtid="{D5CDD505-2E9C-101B-9397-08002B2CF9AE}" pid="201" name="Objective-Vital Records Review Due Date [system]">
    <vt:lpwstr/>
  </property>
  <property fmtid="{D5CDD505-2E9C-101B-9397-08002B2CF9AE}" pid="202" name="Objective-Internal Reference [system]">
    <vt:lpwstr/>
  </property>
  <property fmtid="{D5CDD505-2E9C-101B-9397-08002B2CF9AE}" pid="203" name="Objective-Media_Storage_Format [system]">
    <vt:lpwstr>Text</vt:lpwstr>
  </property>
  <property fmtid="{D5CDD505-2E9C-101B-9397-08002B2CF9AE}" pid="204" name="Objective-Jurisdiction [system]">
    <vt:lpwstr>SA</vt:lpwstr>
  </property>
  <property fmtid="{D5CDD505-2E9C-101B-9397-08002B2CF9AE}" pid="205" name="Objective-Language [system]">
    <vt:lpwstr>English (en)</vt:lpwstr>
  </property>
  <property fmtid="{D5CDD505-2E9C-101B-9397-08002B2CF9AE}" pid="206" name="Objective-Intellectual_Property_Rights [system]">
    <vt:lpwstr>SA Government</vt:lpwstr>
  </property>
  <property fmtid="{D5CDD505-2E9C-101B-9397-08002B2CF9AE}" pid="207" name="Objective-Date Emailed to DPC [system]">
    <vt:lpwstr/>
  </property>
  <property fmtid="{D5CDD505-2E9C-101B-9397-08002B2CF9AE}" pid="208" name="Objective-Date Emailed to DTF [system]">
    <vt:lpwstr/>
  </property>
  <property fmtid="{D5CDD505-2E9C-101B-9397-08002B2CF9AE}" pid="209" name="Objective-Date Emailed to Ministers Office [system]">
    <vt:lpwstr/>
  </property>
  <property fmtid="{D5CDD505-2E9C-101B-9397-08002B2CF9AE}" pid="210" name="Objective-Disposal Reasons [system]">
    <vt:lpwstr/>
  </property>
  <property fmtid="{D5CDD505-2E9C-101B-9397-08002B2CF9AE}" pid="211" name="Objective-Date to be Exported [system]">
    <vt:lpwstr/>
  </property>
  <property fmtid="{D5CDD505-2E9C-101B-9397-08002B2CF9AE}" pid="212" name="Objective-Used By System Admin Only [system]">
    <vt:lpwstr/>
  </property>
  <property fmtid="{D5CDD505-2E9C-101B-9397-08002B2CF9AE}" pid="213" name="Objective-Old Agency [system]">
    <vt:lpwstr/>
  </property>
  <property fmtid="{D5CDD505-2E9C-101B-9397-08002B2CF9AE}" pid="214" name="Objective-Old Business Division [system]">
    <vt:lpwstr/>
  </property>
  <property fmtid="{D5CDD505-2E9C-101B-9397-08002B2CF9AE}" pid="215" name="Objective-Old Workgroup [system]">
    <vt:lpwstr/>
  </property>
  <property fmtid="{D5CDD505-2E9C-101B-9397-08002B2CF9AE}" pid="216" name="Objective-Old Section [system]">
    <vt:lpwstr/>
  </property>
  <property fmtid="{D5CDD505-2E9C-101B-9397-08002B2CF9AE}" pid="217" name="ClassificationContentMarkingHeaderText">
    <vt:lpwstr>OFFICIAL</vt:lpwstr>
  </property>
  <property fmtid="{D5CDD505-2E9C-101B-9397-08002B2CF9AE}" pid="218" name="ClassificationContentMarkingHeaderShapeIds">
    <vt:lpwstr>6,a,15,47,4a,34a5395,6cddfa4b,7038cf50,26bacf50,62b52ef6,1d03bb9c,6ca03459,2197d57a,138e3037,7c43fa6a,4f95e4fd,68558933,535334e,3464415e,16dce6d,7fedb3e8,364ea62c,66ac316e</vt:lpwstr>
  </property>
  <property fmtid="{D5CDD505-2E9C-101B-9397-08002B2CF9AE}" pid="219" name="ClassificationContentMarkingHeaderFontProps">
    <vt:lpwstr>#ff0000,12,Calibri</vt:lpwstr>
  </property>
  <property fmtid="{D5CDD505-2E9C-101B-9397-08002B2CF9AE}" pid="220" name="ClassificationContentMarkingFooterShapeIds">
    <vt:lpwstr>5c,61,62,67,68,69,179f9b5c,78444b42,16a7ecd6,771956d8,3e13108f,107a2e59,2606e87d,6861b833,10190763,35e863dd,b3328c4,5d17aa35,72de04e,1ac37345,1f8d79aa,281b2a88,301d3428,5aee48f9</vt:lpwstr>
  </property>
  <property fmtid="{D5CDD505-2E9C-101B-9397-08002B2CF9AE}" pid="221" name="ClassificationContentMarkingFooterFontProps">
    <vt:lpwstr>#ff0000,12,Calibri</vt:lpwstr>
  </property>
  <property fmtid="{D5CDD505-2E9C-101B-9397-08002B2CF9AE}" pid="222" name="ClassificationContentMarkingFooterText">
    <vt:lpwstr>OFFICIAL</vt:lpwstr>
  </property>
  <property fmtid="{D5CDD505-2E9C-101B-9397-08002B2CF9AE}" pid="223" name="MediaServiceImageTags">
    <vt:lpwstr/>
  </property>
  <property fmtid="{D5CDD505-2E9C-101B-9397-08002B2CF9AE}" pid="224" name="Record_x0020_Classification">
    <vt:lpwstr/>
  </property>
  <property fmtid="{D5CDD505-2E9C-101B-9397-08002B2CF9AE}" pid="225" name="h64465b6520a47a58f1168c7a3f04764">
    <vt:lpwstr/>
  </property>
  <property fmtid="{D5CDD505-2E9C-101B-9397-08002B2CF9AE}" pid="226" name="Record Classification">
    <vt:lpwstr/>
  </property>
</Properties>
</file>